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DD1521">
        <w:tc>
          <w:tcPr>
            <w:tcW w:w="8890" w:type="dxa"/>
            <w:shd w:val="clear" w:color="auto" w:fill="FFCC99"/>
          </w:tcPr>
          <w:p w:rsidR="00DD1521" w:rsidRDefault="00DD1521">
            <w:pPr>
              <w:spacing w:after="0" w:line="240" w:lineRule="auto"/>
              <w:rPr>
                <w:rFonts w:ascii="Arial" w:hAnsi="Arial" w:cs="Arial"/>
                <w:b/>
                <w:bCs/>
                <w:sz w:val="40"/>
                <w:szCs w:val="40"/>
              </w:rPr>
            </w:pPr>
          </w:p>
          <w:p w:rsidR="00DD1521" w:rsidRDefault="00DD1521">
            <w:pPr>
              <w:spacing w:after="0" w:line="240" w:lineRule="auto"/>
              <w:jc w:val="center"/>
              <w:rPr>
                <w:rFonts w:ascii="Arial" w:hAnsi="Arial" w:cs="Arial"/>
                <w:b/>
                <w:bCs/>
                <w:sz w:val="40"/>
                <w:szCs w:val="40"/>
              </w:rPr>
            </w:pPr>
            <w:r>
              <w:rPr>
                <w:rFonts w:ascii="Arial" w:hAnsi="Arial" w:cs="Arial"/>
                <w:b/>
                <w:bCs/>
                <w:sz w:val="40"/>
                <w:szCs w:val="40"/>
              </w:rPr>
              <w:t>OSIMERTINIB</w:t>
            </w:r>
          </w:p>
          <w:p w:rsidR="00DD1521" w:rsidRDefault="00DD1521">
            <w:pPr>
              <w:spacing w:after="0" w:line="240" w:lineRule="auto"/>
              <w:jc w:val="center"/>
              <w:rPr>
                <w:rFonts w:ascii="Arial" w:hAnsi="Arial" w:cs="Arial"/>
                <w:b/>
                <w:bCs/>
                <w:sz w:val="40"/>
                <w:szCs w:val="40"/>
              </w:rPr>
            </w:pPr>
            <w:r>
              <w:rPr>
                <w:rFonts w:ascii="Arial" w:hAnsi="Arial" w:cs="Arial"/>
                <w:b/>
                <w:bCs/>
                <w:sz w:val="40"/>
                <w:szCs w:val="40"/>
              </w:rPr>
              <w:t xml:space="preserve">En cáncer de pulmón no microcítico con mutación EGFR </w:t>
            </w:r>
          </w:p>
          <w:p w:rsidR="00DD1521" w:rsidRDefault="00DD1521" w:rsidP="009148EA">
            <w:pPr>
              <w:spacing w:after="0" w:line="240" w:lineRule="auto"/>
              <w:rPr>
                <w:rFonts w:ascii="Arial" w:hAnsi="Arial" w:cs="Arial"/>
                <w:b/>
                <w:bCs/>
                <w:sz w:val="40"/>
                <w:szCs w:val="40"/>
              </w:rPr>
            </w:pPr>
          </w:p>
          <w:p w:rsidR="00DD1521" w:rsidRDefault="00DD1521">
            <w:pPr>
              <w:spacing w:after="0" w:line="240" w:lineRule="auto"/>
              <w:jc w:val="center"/>
              <w:rPr>
                <w:rFonts w:ascii="Arial" w:hAnsi="Arial" w:cs="Arial"/>
                <w:b/>
                <w:bCs/>
              </w:rPr>
            </w:pPr>
            <w:r>
              <w:rPr>
                <w:rFonts w:ascii="Arial" w:hAnsi="Arial" w:cs="Arial"/>
                <w:b/>
                <w:bCs/>
                <w:sz w:val="22"/>
                <w:szCs w:val="22"/>
              </w:rPr>
              <w:t>Informe GENESIS-SEFH</w:t>
            </w:r>
          </w:p>
          <w:p w:rsidR="00DD1521" w:rsidRDefault="00DD1521">
            <w:pPr>
              <w:spacing w:after="0" w:line="240" w:lineRule="auto"/>
              <w:jc w:val="center"/>
              <w:rPr>
                <w:rFonts w:ascii="Arial" w:hAnsi="Arial" w:cs="Arial"/>
              </w:rPr>
            </w:pPr>
            <w:r>
              <w:rPr>
                <w:rFonts w:ascii="Arial" w:hAnsi="Arial" w:cs="Arial"/>
                <w:sz w:val="22"/>
                <w:szCs w:val="22"/>
              </w:rPr>
              <w:t>Informe para el grupo GENESIS elaborado según el método y procedimientos de evaluación compartida establecidos por este grupo de trabajo de la SEFH</w:t>
            </w:r>
          </w:p>
          <w:p w:rsidR="00DD1521" w:rsidRDefault="00DD1521">
            <w:pPr>
              <w:spacing w:after="0" w:line="240" w:lineRule="auto"/>
              <w:jc w:val="center"/>
              <w:rPr>
                <w:rFonts w:ascii="Arial" w:hAnsi="Arial" w:cs="Arial"/>
              </w:rPr>
            </w:pPr>
            <w:r>
              <w:rPr>
                <w:rFonts w:ascii="Arial" w:hAnsi="Arial" w:cs="Arial"/>
              </w:rPr>
              <w:t>Fecha redacción noviembre 2018</w:t>
            </w:r>
          </w:p>
          <w:p w:rsidR="00DD1521" w:rsidRDefault="00DD1521">
            <w:pPr>
              <w:spacing w:after="0" w:line="240" w:lineRule="auto"/>
              <w:jc w:val="center"/>
              <w:rPr>
                <w:rFonts w:ascii="Arial" w:hAnsi="Arial" w:cs="Arial"/>
              </w:rPr>
            </w:pPr>
            <w:r>
              <w:rPr>
                <w:rFonts w:ascii="Arial" w:hAnsi="Arial" w:cs="Arial"/>
              </w:rPr>
              <w:t>Fecha fin</w:t>
            </w:r>
            <w:r w:rsidR="002E0A36">
              <w:rPr>
                <w:rFonts w:ascii="Arial" w:hAnsi="Arial" w:cs="Arial"/>
              </w:rPr>
              <w:t xml:space="preserve">: marzo </w:t>
            </w:r>
            <w:r>
              <w:rPr>
                <w:rFonts w:ascii="Arial" w:hAnsi="Arial" w:cs="Arial"/>
              </w:rPr>
              <w:t>2019</w:t>
            </w:r>
          </w:p>
          <w:p w:rsidR="00DD1521" w:rsidRDefault="00DD1521">
            <w:pPr>
              <w:spacing w:after="0" w:line="240" w:lineRule="auto"/>
              <w:rPr>
                <w:rFonts w:ascii="Arial" w:hAnsi="Arial" w:cs="Arial"/>
                <w:color w:val="0000FF"/>
                <w:sz w:val="18"/>
                <w:szCs w:val="18"/>
              </w:rPr>
            </w:pPr>
          </w:p>
          <w:p w:rsidR="00DD1521" w:rsidRDefault="00DD1521">
            <w:pPr>
              <w:spacing w:after="0" w:line="240" w:lineRule="auto"/>
              <w:rPr>
                <w:rFonts w:ascii="Arial" w:hAnsi="Arial" w:cs="Arial"/>
                <w:sz w:val="18"/>
                <w:szCs w:val="18"/>
              </w:rPr>
            </w:pPr>
            <w:r>
              <w:rPr>
                <w:rFonts w:ascii="Arial" w:hAnsi="Arial" w:cs="Arial"/>
                <w:sz w:val="18"/>
                <w:szCs w:val="18"/>
              </w:rPr>
              <w:t>ISBN</w:t>
            </w:r>
            <w:r w:rsidR="00787FA8">
              <w:rPr>
                <w:rFonts w:ascii="Arial" w:hAnsi="Arial" w:cs="Arial"/>
                <w:sz w:val="18"/>
                <w:szCs w:val="18"/>
              </w:rPr>
              <w:t>:978-84-09-14825-7</w:t>
            </w:r>
          </w:p>
          <w:p w:rsidR="00DD1521" w:rsidRDefault="00787FA8">
            <w:pPr>
              <w:spacing w:after="0" w:line="240" w:lineRule="auto"/>
              <w:rPr>
                <w:rFonts w:ascii="Arial" w:hAnsi="Arial" w:cs="Arial"/>
                <w:color w:val="0000FF"/>
              </w:rPr>
            </w:pPr>
            <w:r>
              <w:rPr>
                <w:rFonts w:ascii="Arial" w:hAnsi="Arial" w:cs="Arial"/>
                <w:sz w:val="18"/>
                <w:szCs w:val="18"/>
              </w:rPr>
              <w:t>Depósito Legal:</w:t>
            </w:r>
            <w:r w:rsidR="00622025">
              <w:rPr>
                <w:rFonts w:ascii="Arial" w:hAnsi="Arial" w:cs="Arial"/>
                <w:sz w:val="18"/>
                <w:szCs w:val="18"/>
              </w:rPr>
              <w:t xml:space="preserve"> </w:t>
            </w:r>
            <w:r w:rsidR="00622025" w:rsidRPr="00886FFD">
              <w:rPr>
                <w:rFonts w:ascii="Helvetica" w:hAnsi="Helvetica"/>
                <w:color w:val="000000"/>
                <w:sz w:val="18"/>
                <w:szCs w:val="18"/>
              </w:rPr>
              <w:t>M-33494-2019</w:t>
            </w:r>
            <w:bookmarkStart w:id="0" w:name="_GoBack"/>
            <w:bookmarkEnd w:id="0"/>
          </w:p>
        </w:tc>
      </w:tr>
    </w:tbl>
    <w:p w:rsidR="00DD1521" w:rsidRDefault="00DD1521">
      <w:pPr>
        <w:spacing w:after="0" w:line="240" w:lineRule="auto"/>
        <w:rPr>
          <w:rFonts w:ascii="Arial" w:hAnsi="Arial" w:cs="Arial"/>
          <w:color w:val="0000FF"/>
          <w:u w:val="single"/>
        </w:rPr>
      </w:pPr>
    </w:p>
    <w:p w:rsidR="00DD1521" w:rsidRPr="0001434C" w:rsidRDefault="00DD1521" w:rsidP="0001434C">
      <w:pPr>
        <w:spacing w:after="0" w:line="240" w:lineRule="auto"/>
        <w:rPr>
          <w:rFonts w:ascii="Arial" w:hAnsi="Arial" w:cs="Arial"/>
          <w:b/>
          <w:bCs/>
          <w:sz w:val="18"/>
          <w:szCs w:val="18"/>
        </w:rPr>
      </w:pPr>
      <w:r w:rsidRPr="0001434C">
        <w:rPr>
          <w:rFonts w:ascii="Arial" w:hAnsi="Arial" w:cs="Arial"/>
          <w:b/>
          <w:bCs/>
          <w:sz w:val="18"/>
          <w:szCs w:val="18"/>
        </w:rPr>
        <w:t>ÍNDICE</w:t>
      </w:r>
    </w:p>
    <w:p w:rsidR="00DD1521" w:rsidRPr="0001434C" w:rsidRDefault="00DD1521" w:rsidP="0001434C">
      <w:pPr>
        <w:pStyle w:val="TtulodeTDC1"/>
        <w:spacing w:before="0" w:after="0" w:line="240" w:lineRule="auto"/>
        <w:rPr>
          <w:rFonts w:ascii="Arial" w:hAnsi="Arial" w:cs="Arial"/>
          <w:sz w:val="18"/>
          <w:szCs w:val="18"/>
        </w:rPr>
      </w:pPr>
    </w:p>
    <w:p w:rsidR="00DD1521" w:rsidRPr="0001434C" w:rsidRDefault="00DD1521" w:rsidP="0001434C">
      <w:pPr>
        <w:pStyle w:val="TDC1"/>
        <w:tabs>
          <w:tab w:val="right" w:leader="dot" w:pos="8729"/>
        </w:tabs>
        <w:spacing w:after="0" w:line="240" w:lineRule="auto"/>
        <w:rPr>
          <w:rFonts w:ascii="Arial" w:hAnsi="Arial" w:cs="Arial"/>
          <w:noProof/>
          <w:sz w:val="18"/>
          <w:szCs w:val="18"/>
        </w:rPr>
      </w:pPr>
      <w:r w:rsidRPr="0001434C">
        <w:rPr>
          <w:rFonts w:ascii="Arial" w:hAnsi="Arial" w:cs="Arial"/>
          <w:sz w:val="18"/>
          <w:szCs w:val="18"/>
        </w:rPr>
        <w:fldChar w:fldCharType="begin"/>
      </w:r>
      <w:r w:rsidRPr="0001434C">
        <w:rPr>
          <w:rFonts w:ascii="Arial" w:hAnsi="Arial" w:cs="Arial"/>
          <w:sz w:val="18"/>
          <w:szCs w:val="18"/>
        </w:rPr>
        <w:instrText xml:space="preserve"> TOC \o "1-3" \h \z \u </w:instrText>
      </w:r>
      <w:r w:rsidRPr="0001434C">
        <w:rPr>
          <w:rFonts w:ascii="Arial" w:hAnsi="Arial" w:cs="Arial"/>
          <w:sz w:val="18"/>
          <w:szCs w:val="18"/>
        </w:rPr>
        <w:fldChar w:fldCharType="separate"/>
      </w:r>
      <w:hyperlink w:anchor="_Toc5793729" w:history="1">
        <w:r w:rsidRPr="0001434C">
          <w:rPr>
            <w:rStyle w:val="Hipervnculo"/>
            <w:rFonts w:ascii="Arial" w:hAnsi="Arial" w:cs="Arial"/>
            <w:noProof/>
            <w:sz w:val="18"/>
            <w:szCs w:val="18"/>
          </w:rPr>
          <w:t>1.- IDENTIFICACIÓN DEL FÁRMACO Y AUTORES DEL INFORME</w:t>
        </w:r>
        <w:r w:rsidRPr="0001434C">
          <w:rPr>
            <w:rFonts w:ascii="Arial" w:hAnsi="Arial" w:cs="Arial"/>
            <w:noProof/>
            <w:webHidden/>
            <w:sz w:val="18"/>
            <w:szCs w:val="18"/>
          </w:rPr>
          <w:tab/>
        </w:r>
        <w:r w:rsidRPr="0001434C">
          <w:rPr>
            <w:rFonts w:ascii="Arial" w:hAnsi="Arial" w:cs="Arial"/>
            <w:noProof/>
            <w:webHidden/>
            <w:sz w:val="18"/>
            <w:szCs w:val="18"/>
          </w:rPr>
          <w:fldChar w:fldCharType="begin"/>
        </w:r>
        <w:r w:rsidRPr="0001434C">
          <w:rPr>
            <w:rFonts w:ascii="Arial" w:hAnsi="Arial" w:cs="Arial"/>
            <w:noProof/>
            <w:webHidden/>
            <w:sz w:val="18"/>
            <w:szCs w:val="18"/>
          </w:rPr>
          <w:instrText xml:space="preserve"> PAGEREF _Toc5793729 \h </w:instrText>
        </w:r>
        <w:r w:rsidRPr="0001434C">
          <w:rPr>
            <w:rFonts w:ascii="Arial" w:hAnsi="Arial" w:cs="Arial"/>
            <w:noProof/>
            <w:webHidden/>
            <w:sz w:val="18"/>
            <w:szCs w:val="18"/>
          </w:rPr>
        </w:r>
        <w:r w:rsidRPr="0001434C">
          <w:rPr>
            <w:rFonts w:ascii="Arial" w:hAnsi="Arial" w:cs="Arial"/>
            <w:noProof/>
            <w:webHidden/>
            <w:sz w:val="18"/>
            <w:szCs w:val="18"/>
          </w:rPr>
          <w:fldChar w:fldCharType="separate"/>
        </w:r>
        <w:r w:rsidR="00CA0E55">
          <w:rPr>
            <w:rFonts w:ascii="Arial" w:hAnsi="Arial" w:cs="Arial"/>
            <w:noProof/>
            <w:webHidden/>
            <w:sz w:val="18"/>
            <w:szCs w:val="18"/>
          </w:rPr>
          <w:t>3</w:t>
        </w:r>
        <w:r w:rsidRPr="0001434C">
          <w:rPr>
            <w:rFonts w:ascii="Arial" w:hAnsi="Arial" w:cs="Arial"/>
            <w:noProof/>
            <w:webHidden/>
            <w:sz w:val="18"/>
            <w:szCs w:val="18"/>
          </w:rPr>
          <w:fldChar w:fldCharType="end"/>
        </w:r>
      </w:hyperlink>
    </w:p>
    <w:p w:rsidR="00DD1521" w:rsidRPr="0001434C" w:rsidRDefault="00CB346C" w:rsidP="0001434C">
      <w:pPr>
        <w:pStyle w:val="TDC1"/>
        <w:tabs>
          <w:tab w:val="right" w:leader="dot" w:pos="8729"/>
        </w:tabs>
        <w:spacing w:after="0" w:line="240" w:lineRule="auto"/>
        <w:rPr>
          <w:rFonts w:ascii="Arial" w:hAnsi="Arial" w:cs="Arial"/>
          <w:noProof/>
          <w:sz w:val="18"/>
          <w:szCs w:val="18"/>
        </w:rPr>
      </w:pPr>
      <w:hyperlink w:anchor="_Toc5793730" w:history="1">
        <w:r w:rsidR="00DD1521" w:rsidRPr="0001434C">
          <w:rPr>
            <w:rStyle w:val="Hipervnculo"/>
            <w:rFonts w:ascii="Arial" w:hAnsi="Arial" w:cs="Arial"/>
            <w:noProof/>
            <w:sz w:val="18"/>
            <w:szCs w:val="18"/>
          </w:rPr>
          <w:t>2.- SOLICITUD Y DATOS DEL PROCESO DE EVALUACIÓN</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_Toc5793730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3</w:t>
        </w:r>
        <w:r w:rsidR="00DD1521" w:rsidRPr="0001434C">
          <w:rPr>
            <w:rFonts w:ascii="Arial" w:hAnsi="Arial" w:cs="Arial"/>
            <w:noProof/>
            <w:webHidden/>
            <w:sz w:val="18"/>
            <w:szCs w:val="18"/>
          </w:rPr>
          <w:fldChar w:fldCharType="end"/>
        </w:r>
      </w:hyperlink>
    </w:p>
    <w:p w:rsidR="00DD1521" w:rsidRPr="0001434C" w:rsidRDefault="00CB346C" w:rsidP="0001434C">
      <w:pPr>
        <w:pStyle w:val="TDC1"/>
        <w:tabs>
          <w:tab w:val="right" w:leader="dot" w:pos="8729"/>
        </w:tabs>
        <w:spacing w:after="0" w:line="240" w:lineRule="auto"/>
        <w:rPr>
          <w:rFonts w:ascii="Arial" w:hAnsi="Arial" w:cs="Arial"/>
          <w:noProof/>
          <w:sz w:val="18"/>
          <w:szCs w:val="18"/>
        </w:rPr>
      </w:pPr>
      <w:hyperlink w:anchor="_Toc5793731" w:history="1">
        <w:r w:rsidR="00DD1521" w:rsidRPr="0001434C">
          <w:rPr>
            <w:rStyle w:val="Hipervnculo"/>
            <w:rFonts w:ascii="Arial" w:hAnsi="Arial" w:cs="Arial"/>
            <w:noProof/>
            <w:sz w:val="18"/>
            <w:szCs w:val="18"/>
          </w:rPr>
          <w:t>3.- AREA DESCRIPTIVA DEL MEDICAMENTO Y DEL PROBLEMA DE SALUD</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_Toc5793731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3</w:t>
        </w:r>
        <w:r w:rsidR="00DD1521" w:rsidRPr="0001434C">
          <w:rPr>
            <w:rFonts w:ascii="Arial" w:hAnsi="Arial" w:cs="Arial"/>
            <w:noProof/>
            <w:webHidden/>
            <w:sz w:val="18"/>
            <w:szCs w:val="18"/>
          </w:rPr>
          <w:fldChar w:fldCharType="end"/>
        </w:r>
      </w:hyperlink>
    </w:p>
    <w:p w:rsidR="00DD1521" w:rsidRPr="0001434C" w:rsidRDefault="00CB346C" w:rsidP="0001434C">
      <w:pPr>
        <w:pStyle w:val="TDC2"/>
      </w:pPr>
      <w:hyperlink w:anchor="_Toc5793732" w:history="1">
        <w:r w:rsidR="00DD1521" w:rsidRPr="0001434C">
          <w:rPr>
            <w:rStyle w:val="Hipervnculo"/>
            <w:rFonts w:cs="Arial"/>
          </w:rPr>
          <w:t>3.1 Área descriptiva del medicamento</w:t>
        </w:r>
        <w:r w:rsidR="00DD1521" w:rsidRPr="0001434C">
          <w:rPr>
            <w:webHidden/>
          </w:rPr>
          <w:tab/>
        </w:r>
        <w:r w:rsidR="00DD1521" w:rsidRPr="0001434C">
          <w:rPr>
            <w:webHidden/>
          </w:rPr>
          <w:fldChar w:fldCharType="begin"/>
        </w:r>
        <w:r w:rsidR="00DD1521" w:rsidRPr="0001434C">
          <w:rPr>
            <w:webHidden/>
          </w:rPr>
          <w:instrText xml:space="preserve"> PAGEREF _Toc5793732 \h </w:instrText>
        </w:r>
        <w:r w:rsidR="00DD1521" w:rsidRPr="0001434C">
          <w:rPr>
            <w:webHidden/>
          </w:rPr>
        </w:r>
        <w:r w:rsidR="00DD1521" w:rsidRPr="0001434C">
          <w:rPr>
            <w:webHidden/>
          </w:rPr>
          <w:fldChar w:fldCharType="separate"/>
        </w:r>
        <w:r w:rsidR="00CA0E55">
          <w:rPr>
            <w:webHidden/>
          </w:rPr>
          <w:t>3</w:t>
        </w:r>
        <w:r w:rsidR="00DD1521" w:rsidRPr="0001434C">
          <w:rPr>
            <w:webHidden/>
          </w:rPr>
          <w:fldChar w:fldCharType="end"/>
        </w:r>
      </w:hyperlink>
    </w:p>
    <w:p w:rsidR="00DD1521" w:rsidRPr="0001434C" w:rsidRDefault="00CB346C" w:rsidP="0001434C">
      <w:pPr>
        <w:pStyle w:val="TDC2"/>
      </w:pPr>
      <w:hyperlink w:anchor="_Toc5793733" w:history="1">
        <w:r w:rsidR="00DD1521" w:rsidRPr="0001434C">
          <w:rPr>
            <w:rStyle w:val="Hipervnculo"/>
            <w:rFonts w:cs="Arial"/>
          </w:rPr>
          <w:t>3.2 Área descriptiva del problema de salud</w:t>
        </w:r>
        <w:r w:rsidR="00DD1521" w:rsidRPr="0001434C">
          <w:rPr>
            <w:webHidden/>
          </w:rPr>
          <w:tab/>
        </w:r>
        <w:r w:rsidR="00DD1521" w:rsidRPr="0001434C">
          <w:rPr>
            <w:webHidden/>
          </w:rPr>
          <w:fldChar w:fldCharType="begin"/>
        </w:r>
        <w:r w:rsidR="00DD1521" w:rsidRPr="0001434C">
          <w:rPr>
            <w:webHidden/>
          </w:rPr>
          <w:instrText xml:space="preserve"> PAGEREF _Toc5793733 \h </w:instrText>
        </w:r>
        <w:r w:rsidR="00DD1521" w:rsidRPr="0001434C">
          <w:rPr>
            <w:webHidden/>
          </w:rPr>
        </w:r>
        <w:r w:rsidR="00DD1521" w:rsidRPr="0001434C">
          <w:rPr>
            <w:webHidden/>
          </w:rPr>
          <w:fldChar w:fldCharType="separate"/>
        </w:r>
        <w:r w:rsidR="00CA0E55">
          <w:rPr>
            <w:webHidden/>
          </w:rPr>
          <w:t>4</w:t>
        </w:r>
        <w:r w:rsidR="00DD1521" w:rsidRPr="0001434C">
          <w:rPr>
            <w:webHidden/>
          </w:rPr>
          <w:fldChar w:fldCharType="end"/>
        </w:r>
      </w:hyperlink>
    </w:p>
    <w:p w:rsidR="00DD1521" w:rsidRPr="0001434C" w:rsidRDefault="00CB346C" w:rsidP="0001434C">
      <w:pPr>
        <w:pStyle w:val="TDC2"/>
      </w:pPr>
      <w:hyperlink w:anchor="_Toc5793734" w:history="1">
        <w:r w:rsidR="00DD1521" w:rsidRPr="0001434C">
          <w:rPr>
            <w:rStyle w:val="Hipervnculo"/>
            <w:rFonts w:cs="Arial"/>
          </w:rPr>
          <w:t>3.2.a Descripción estructurada del problema de salud</w:t>
        </w:r>
        <w:r w:rsidR="00DD1521" w:rsidRPr="0001434C">
          <w:rPr>
            <w:webHidden/>
          </w:rPr>
          <w:tab/>
        </w:r>
        <w:r w:rsidR="00DD1521" w:rsidRPr="0001434C">
          <w:rPr>
            <w:webHidden/>
          </w:rPr>
          <w:fldChar w:fldCharType="begin"/>
        </w:r>
        <w:r w:rsidR="00DD1521" w:rsidRPr="0001434C">
          <w:rPr>
            <w:webHidden/>
          </w:rPr>
          <w:instrText xml:space="preserve"> PAGEREF _Toc5793734 \h </w:instrText>
        </w:r>
        <w:r w:rsidR="00DD1521" w:rsidRPr="0001434C">
          <w:rPr>
            <w:webHidden/>
          </w:rPr>
        </w:r>
        <w:r w:rsidR="00DD1521" w:rsidRPr="0001434C">
          <w:rPr>
            <w:webHidden/>
          </w:rPr>
          <w:fldChar w:fldCharType="separate"/>
        </w:r>
        <w:r w:rsidR="00CA0E55">
          <w:rPr>
            <w:webHidden/>
          </w:rPr>
          <w:t>4</w:t>
        </w:r>
        <w:r w:rsidR="00DD1521" w:rsidRPr="0001434C">
          <w:rPr>
            <w:webHidden/>
          </w:rPr>
          <w:fldChar w:fldCharType="end"/>
        </w:r>
      </w:hyperlink>
    </w:p>
    <w:p w:rsidR="00DD1521" w:rsidRPr="0001434C" w:rsidRDefault="00CB346C" w:rsidP="0001434C">
      <w:pPr>
        <w:pStyle w:val="TDC2"/>
      </w:pPr>
      <w:hyperlink w:anchor="_Toc5793735" w:history="1">
        <w:r w:rsidR="00DD1521" w:rsidRPr="0001434C">
          <w:rPr>
            <w:rStyle w:val="Hipervnculo"/>
            <w:rFonts w:cs="Arial"/>
          </w:rPr>
          <w:t>3.2.b Tratamiento actual de la enfermedad: evidencias</w:t>
        </w:r>
        <w:r w:rsidR="00DD1521" w:rsidRPr="0001434C">
          <w:rPr>
            <w:webHidden/>
          </w:rPr>
          <w:tab/>
        </w:r>
        <w:r w:rsidR="00DD1521" w:rsidRPr="0001434C">
          <w:rPr>
            <w:webHidden/>
          </w:rPr>
          <w:fldChar w:fldCharType="begin"/>
        </w:r>
        <w:r w:rsidR="00DD1521" w:rsidRPr="0001434C">
          <w:rPr>
            <w:webHidden/>
          </w:rPr>
          <w:instrText xml:space="preserve"> PAGEREF _Toc5793735 \h </w:instrText>
        </w:r>
        <w:r w:rsidR="00DD1521" w:rsidRPr="0001434C">
          <w:rPr>
            <w:webHidden/>
          </w:rPr>
        </w:r>
        <w:r w:rsidR="00DD1521" w:rsidRPr="0001434C">
          <w:rPr>
            <w:webHidden/>
          </w:rPr>
          <w:fldChar w:fldCharType="separate"/>
        </w:r>
        <w:r w:rsidR="00CA0E55">
          <w:rPr>
            <w:webHidden/>
          </w:rPr>
          <w:t>5</w:t>
        </w:r>
        <w:r w:rsidR="00DD1521" w:rsidRPr="0001434C">
          <w:rPr>
            <w:webHidden/>
          </w:rPr>
          <w:fldChar w:fldCharType="end"/>
        </w:r>
      </w:hyperlink>
    </w:p>
    <w:p w:rsidR="00DD1521" w:rsidRPr="0001434C" w:rsidRDefault="00CB346C" w:rsidP="0001434C">
      <w:pPr>
        <w:pStyle w:val="TDC2"/>
      </w:pPr>
      <w:hyperlink w:anchor="_Toc5793736" w:history="1">
        <w:r w:rsidR="00DD1521" w:rsidRPr="0001434C">
          <w:rPr>
            <w:rStyle w:val="Hipervnculo"/>
            <w:rFonts w:cs="Arial"/>
          </w:rPr>
          <w:t>3.3 Características comparadas con otras alternativas similares</w:t>
        </w:r>
        <w:r w:rsidR="00DD1521" w:rsidRPr="0001434C">
          <w:rPr>
            <w:webHidden/>
          </w:rPr>
          <w:tab/>
        </w:r>
        <w:r w:rsidR="00DD1521" w:rsidRPr="0001434C">
          <w:rPr>
            <w:webHidden/>
          </w:rPr>
          <w:fldChar w:fldCharType="begin"/>
        </w:r>
        <w:r w:rsidR="00DD1521" w:rsidRPr="0001434C">
          <w:rPr>
            <w:webHidden/>
          </w:rPr>
          <w:instrText xml:space="preserve"> PAGEREF _Toc5793736 \h </w:instrText>
        </w:r>
        <w:r w:rsidR="00DD1521" w:rsidRPr="0001434C">
          <w:rPr>
            <w:webHidden/>
          </w:rPr>
        </w:r>
        <w:r w:rsidR="00DD1521" w:rsidRPr="0001434C">
          <w:rPr>
            <w:webHidden/>
          </w:rPr>
          <w:fldChar w:fldCharType="separate"/>
        </w:r>
        <w:r w:rsidR="00CA0E55">
          <w:rPr>
            <w:webHidden/>
          </w:rPr>
          <w:t>6</w:t>
        </w:r>
        <w:r w:rsidR="00DD1521" w:rsidRPr="0001434C">
          <w:rPr>
            <w:webHidden/>
          </w:rPr>
          <w:fldChar w:fldCharType="end"/>
        </w:r>
      </w:hyperlink>
    </w:p>
    <w:p w:rsidR="00DD1521" w:rsidRPr="0001434C" w:rsidRDefault="00CB346C" w:rsidP="0001434C">
      <w:pPr>
        <w:pStyle w:val="TDC1"/>
        <w:tabs>
          <w:tab w:val="right" w:leader="dot" w:pos="8729"/>
        </w:tabs>
        <w:spacing w:after="0" w:line="240" w:lineRule="auto"/>
        <w:rPr>
          <w:rFonts w:ascii="Arial" w:hAnsi="Arial" w:cs="Arial"/>
          <w:noProof/>
          <w:sz w:val="18"/>
          <w:szCs w:val="18"/>
        </w:rPr>
      </w:pPr>
      <w:hyperlink w:anchor="_Toc5793737" w:history="1">
        <w:r w:rsidR="00DD1521" w:rsidRPr="0001434C">
          <w:rPr>
            <w:rStyle w:val="Hipervnculo"/>
            <w:rFonts w:ascii="Arial" w:hAnsi="Arial" w:cs="Arial"/>
            <w:noProof/>
            <w:sz w:val="18"/>
            <w:szCs w:val="18"/>
          </w:rPr>
          <w:t>4.- AREA DE ACCIÓN FARMACOLÓGICA.</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_Toc5793737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7</w:t>
        </w:r>
        <w:r w:rsidR="00DD1521" w:rsidRPr="0001434C">
          <w:rPr>
            <w:rFonts w:ascii="Arial" w:hAnsi="Arial" w:cs="Arial"/>
            <w:noProof/>
            <w:webHidden/>
            <w:sz w:val="18"/>
            <w:szCs w:val="18"/>
          </w:rPr>
          <w:fldChar w:fldCharType="end"/>
        </w:r>
      </w:hyperlink>
    </w:p>
    <w:p w:rsidR="00DD1521" w:rsidRPr="0001434C" w:rsidRDefault="00CB346C" w:rsidP="0001434C">
      <w:pPr>
        <w:pStyle w:val="TDC2"/>
      </w:pPr>
      <w:hyperlink w:anchor="_Toc5793738" w:history="1">
        <w:r w:rsidR="00DD1521" w:rsidRPr="0001434C">
          <w:rPr>
            <w:rStyle w:val="Hipervnculo"/>
            <w:rFonts w:cs="Arial"/>
          </w:rPr>
          <w:t>4.1 Mecanismo de acción.</w:t>
        </w:r>
        <w:r w:rsidR="00DD1521" w:rsidRPr="0001434C">
          <w:rPr>
            <w:webHidden/>
          </w:rPr>
          <w:tab/>
        </w:r>
        <w:r w:rsidR="00DD1521" w:rsidRPr="0001434C">
          <w:rPr>
            <w:webHidden/>
          </w:rPr>
          <w:fldChar w:fldCharType="begin"/>
        </w:r>
        <w:r w:rsidR="00DD1521" w:rsidRPr="0001434C">
          <w:rPr>
            <w:webHidden/>
          </w:rPr>
          <w:instrText xml:space="preserve"> PAGEREF _Toc5793738 \h </w:instrText>
        </w:r>
        <w:r w:rsidR="00DD1521" w:rsidRPr="0001434C">
          <w:rPr>
            <w:webHidden/>
          </w:rPr>
        </w:r>
        <w:r w:rsidR="00DD1521" w:rsidRPr="0001434C">
          <w:rPr>
            <w:webHidden/>
          </w:rPr>
          <w:fldChar w:fldCharType="separate"/>
        </w:r>
        <w:r w:rsidR="00CA0E55">
          <w:rPr>
            <w:webHidden/>
          </w:rPr>
          <w:t>7</w:t>
        </w:r>
        <w:r w:rsidR="00DD1521" w:rsidRPr="0001434C">
          <w:rPr>
            <w:webHidden/>
          </w:rPr>
          <w:fldChar w:fldCharType="end"/>
        </w:r>
      </w:hyperlink>
    </w:p>
    <w:p w:rsidR="00DD1521" w:rsidRPr="0001434C" w:rsidRDefault="00CB346C" w:rsidP="0001434C">
      <w:pPr>
        <w:pStyle w:val="TDC2"/>
      </w:pPr>
      <w:hyperlink w:anchor="_Toc5793739" w:history="1">
        <w:r w:rsidR="00DD1521" w:rsidRPr="0001434C">
          <w:rPr>
            <w:rStyle w:val="Hipervnculo"/>
            <w:rFonts w:cs="Arial"/>
          </w:rPr>
          <w:t>4.2 Indicaciones clínicas formalmente aprobadas y fecha de aprobación.</w:t>
        </w:r>
        <w:r w:rsidR="00DD1521" w:rsidRPr="0001434C">
          <w:rPr>
            <w:webHidden/>
          </w:rPr>
          <w:tab/>
        </w:r>
        <w:r w:rsidR="00DD1521" w:rsidRPr="0001434C">
          <w:rPr>
            <w:webHidden/>
          </w:rPr>
          <w:fldChar w:fldCharType="begin"/>
        </w:r>
        <w:r w:rsidR="00DD1521" w:rsidRPr="0001434C">
          <w:rPr>
            <w:webHidden/>
          </w:rPr>
          <w:instrText xml:space="preserve"> PAGEREF _Toc5793739 \h </w:instrText>
        </w:r>
        <w:r w:rsidR="00DD1521" w:rsidRPr="0001434C">
          <w:rPr>
            <w:webHidden/>
          </w:rPr>
        </w:r>
        <w:r w:rsidR="00DD1521" w:rsidRPr="0001434C">
          <w:rPr>
            <w:webHidden/>
          </w:rPr>
          <w:fldChar w:fldCharType="separate"/>
        </w:r>
        <w:r w:rsidR="00CA0E55">
          <w:rPr>
            <w:webHidden/>
          </w:rPr>
          <w:t>8</w:t>
        </w:r>
        <w:r w:rsidR="00DD1521" w:rsidRPr="0001434C">
          <w:rPr>
            <w:webHidden/>
          </w:rPr>
          <w:fldChar w:fldCharType="end"/>
        </w:r>
      </w:hyperlink>
    </w:p>
    <w:p w:rsidR="00DD1521" w:rsidRPr="0001434C" w:rsidRDefault="00CB346C" w:rsidP="0001434C">
      <w:pPr>
        <w:pStyle w:val="TDC2"/>
      </w:pPr>
      <w:hyperlink w:anchor="_Toc5793740" w:history="1">
        <w:r w:rsidR="00DD1521" w:rsidRPr="0001434C">
          <w:rPr>
            <w:rStyle w:val="Hipervnculo"/>
            <w:rFonts w:cs="Arial"/>
          </w:rPr>
          <w:t>4.3 Posología, forma de preparación y administración.</w:t>
        </w:r>
        <w:r w:rsidR="00DD1521" w:rsidRPr="0001434C">
          <w:rPr>
            <w:webHidden/>
          </w:rPr>
          <w:tab/>
        </w:r>
        <w:r w:rsidR="00DD1521" w:rsidRPr="0001434C">
          <w:rPr>
            <w:webHidden/>
          </w:rPr>
          <w:fldChar w:fldCharType="begin"/>
        </w:r>
        <w:r w:rsidR="00DD1521" w:rsidRPr="0001434C">
          <w:rPr>
            <w:webHidden/>
          </w:rPr>
          <w:instrText xml:space="preserve"> PAGEREF _Toc5793740 \h </w:instrText>
        </w:r>
        <w:r w:rsidR="00DD1521" w:rsidRPr="0001434C">
          <w:rPr>
            <w:webHidden/>
          </w:rPr>
        </w:r>
        <w:r w:rsidR="00DD1521" w:rsidRPr="0001434C">
          <w:rPr>
            <w:webHidden/>
          </w:rPr>
          <w:fldChar w:fldCharType="separate"/>
        </w:r>
        <w:r w:rsidR="00CA0E55">
          <w:rPr>
            <w:webHidden/>
          </w:rPr>
          <w:t>8</w:t>
        </w:r>
        <w:r w:rsidR="00DD1521" w:rsidRPr="0001434C">
          <w:rPr>
            <w:webHidden/>
          </w:rPr>
          <w:fldChar w:fldCharType="end"/>
        </w:r>
      </w:hyperlink>
    </w:p>
    <w:p w:rsidR="00DD1521" w:rsidRPr="0001434C" w:rsidRDefault="00CB346C" w:rsidP="0001434C">
      <w:pPr>
        <w:pStyle w:val="TDC2"/>
      </w:pPr>
      <w:hyperlink w:anchor="_Toc5793741" w:history="1">
        <w:r w:rsidR="00DD1521" w:rsidRPr="0001434C">
          <w:rPr>
            <w:rStyle w:val="Hipervnculo"/>
            <w:rFonts w:cs="Arial"/>
          </w:rPr>
          <w:t>4.4 Utilización en poblaciones especiales.</w:t>
        </w:r>
        <w:r w:rsidR="00DD1521" w:rsidRPr="0001434C">
          <w:rPr>
            <w:webHidden/>
          </w:rPr>
          <w:tab/>
        </w:r>
        <w:r w:rsidR="00DD1521" w:rsidRPr="0001434C">
          <w:rPr>
            <w:webHidden/>
          </w:rPr>
          <w:fldChar w:fldCharType="begin"/>
        </w:r>
        <w:r w:rsidR="00DD1521" w:rsidRPr="0001434C">
          <w:rPr>
            <w:webHidden/>
          </w:rPr>
          <w:instrText xml:space="preserve"> PAGEREF _Toc5793741 \h </w:instrText>
        </w:r>
        <w:r w:rsidR="00DD1521" w:rsidRPr="0001434C">
          <w:rPr>
            <w:webHidden/>
          </w:rPr>
        </w:r>
        <w:r w:rsidR="00DD1521" w:rsidRPr="0001434C">
          <w:rPr>
            <w:webHidden/>
          </w:rPr>
          <w:fldChar w:fldCharType="separate"/>
        </w:r>
        <w:r w:rsidR="00CA0E55">
          <w:rPr>
            <w:webHidden/>
          </w:rPr>
          <w:t>8</w:t>
        </w:r>
        <w:r w:rsidR="00DD1521" w:rsidRPr="0001434C">
          <w:rPr>
            <w:webHidden/>
          </w:rPr>
          <w:fldChar w:fldCharType="end"/>
        </w:r>
      </w:hyperlink>
    </w:p>
    <w:p w:rsidR="00DD1521" w:rsidRPr="0001434C" w:rsidRDefault="00CB346C" w:rsidP="0001434C">
      <w:pPr>
        <w:pStyle w:val="TDC2"/>
      </w:pPr>
      <w:hyperlink w:anchor="_Toc5793742" w:history="1">
        <w:r w:rsidR="00DD1521">
          <w:rPr>
            <w:rStyle w:val="Hipervnculo"/>
            <w:rFonts w:cs="Arial"/>
          </w:rPr>
          <w:t xml:space="preserve">4.5 Farmacocinética </w:t>
        </w:r>
        <w:r w:rsidR="00DD1521" w:rsidRPr="0001434C">
          <w:rPr>
            <w:rStyle w:val="Hipervnculo"/>
            <w:rFonts w:cs="Arial"/>
          </w:rPr>
          <w:t>.</w:t>
        </w:r>
        <w:r w:rsidR="00DD1521" w:rsidRPr="0001434C">
          <w:rPr>
            <w:webHidden/>
          </w:rPr>
          <w:tab/>
        </w:r>
        <w:r w:rsidR="00DD1521" w:rsidRPr="0001434C">
          <w:rPr>
            <w:webHidden/>
          </w:rPr>
          <w:fldChar w:fldCharType="begin"/>
        </w:r>
        <w:r w:rsidR="00DD1521" w:rsidRPr="0001434C">
          <w:rPr>
            <w:webHidden/>
          </w:rPr>
          <w:instrText xml:space="preserve"> PAGEREF _Toc5793742 \h </w:instrText>
        </w:r>
        <w:r w:rsidR="00DD1521" w:rsidRPr="0001434C">
          <w:rPr>
            <w:webHidden/>
          </w:rPr>
        </w:r>
        <w:r w:rsidR="00DD1521" w:rsidRPr="0001434C">
          <w:rPr>
            <w:webHidden/>
          </w:rPr>
          <w:fldChar w:fldCharType="separate"/>
        </w:r>
        <w:r w:rsidR="00CA0E55">
          <w:rPr>
            <w:webHidden/>
          </w:rPr>
          <w:t>9</w:t>
        </w:r>
        <w:r w:rsidR="00DD1521" w:rsidRPr="0001434C">
          <w:rPr>
            <w:webHidden/>
          </w:rPr>
          <w:fldChar w:fldCharType="end"/>
        </w:r>
      </w:hyperlink>
    </w:p>
    <w:p w:rsidR="00DD1521" w:rsidRPr="0001434C" w:rsidRDefault="00CB346C" w:rsidP="0001434C">
      <w:pPr>
        <w:pStyle w:val="TDC1"/>
        <w:tabs>
          <w:tab w:val="right" w:leader="dot" w:pos="8729"/>
        </w:tabs>
        <w:spacing w:after="0" w:line="240" w:lineRule="auto"/>
        <w:rPr>
          <w:rFonts w:ascii="Arial" w:hAnsi="Arial" w:cs="Arial"/>
          <w:noProof/>
          <w:sz w:val="18"/>
          <w:szCs w:val="18"/>
        </w:rPr>
      </w:pPr>
      <w:hyperlink w:anchor="_Toc5793743" w:history="1">
        <w:r w:rsidR="00DD1521" w:rsidRPr="0001434C">
          <w:rPr>
            <w:rStyle w:val="Hipervnculo"/>
            <w:rFonts w:ascii="Arial" w:hAnsi="Arial" w:cs="Arial"/>
            <w:noProof/>
            <w:sz w:val="18"/>
            <w:szCs w:val="18"/>
          </w:rPr>
          <w:t>5.- EVALUACIÓN DE LA EFICACIA.</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_Toc5793743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10</w:t>
        </w:r>
        <w:r w:rsidR="00DD1521" w:rsidRPr="0001434C">
          <w:rPr>
            <w:rFonts w:ascii="Arial" w:hAnsi="Arial" w:cs="Arial"/>
            <w:noProof/>
            <w:webHidden/>
            <w:sz w:val="18"/>
            <w:szCs w:val="18"/>
          </w:rPr>
          <w:fldChar w:fldCharType="end"/>
        </w:r>
      </w:hyperlink>
    </w:p>
    <w:p w:rsidR="00DD1521" w:rsidRPr="0001434C" w:rsidRDefault="00CB346C" w:rsidP="0001434C">
      <w:pPr>
        <w:pStyle w:val="TDC2"/>
      </w:pPr>
      <w:hyperlink w:anchor="_Toc5793744" w:history="1">
        <w:r w:rsidR="00DD1521" w:rsidRPr="0001434C">
          <w:rPr>
            <w:rStyle w:val="Hipervnculo"/>
            <w:rFonts w:cs="Arial"/>
          </w:rPr>
          <w:t>5.1.a Ensayos clínicos disponibles para la indicación clínica evaluada</w:t>
        </w:r>
        <w:r w:rsidR="00DD1521" w:rsidRPr="0001434C">
          <w:rPr>
            <w:webHidden/>
          </w:rPr>
          <w:tab/>
        </w:r>
        <w:r w:rsidR="00DD1521" w:rsidRPr="0001434C">
          <w:rPr>
            <w:webHidden/>
          </w:rPr>
          <w:fldChar w:fldCharType="begin"/>
        </w:r>
        <w:r w:rsidR="00DD1521" w:rsidRPr="0001434C">
          <w:rPr>
            <w:webHidden/>
          </w:rPr>
          <w:instrText xml:space="preserve"> PAGEREF _Toc5793744 \h </w:instrText>
        </w:r>
        <w:r w:rsidR="00DD1521" w:rsidRPr="0001434C">
          <w:rPr>
            <w:webHidden/>
          </w:rPr>
        </w:r>
        <w:r w:rsidR="00DD1521" w:rsidRPr="0001434C">
          <w:rPr>
            <w:webHidden/>
          </w:rPr>
          <w:fldChar w:fldCharType="separate"/>
        </w:r>
        <w:r w:rsidR="00CA0E55">
          <w:rPr>
            <w:webHidden/>
          </w:rPr>
          <w:t>10</w:t>
        </w:r>
        <w:r w:rsidR="00DD1521" w:rsidRPr="0001434C">
          <w:rPr>
            <w:webHidden/>
          </w:rPr>
          <w:fldChar w:fldCharType="end"/>
        </w:r>
      </w:hyperlink>
    </w:p>
    <w:p w:rsidR="00DD1521" w:rsidRPr="0001434C" w:rsidRDefault="00CB346C" w:rsidP="0001434C">
      <w:pPr>
        <w:pStyle w:val="TDC2"/>
      </w:pPr>
      <w:hyperlink w:anchor="_Toc5793745" w:history="1">
        <w:r w:rsidR="00DD1521" w:rsidRPr="0001434C">
          <w:rPr>
            <w:rStyle w:val="Hipervnculo"/>
            <w:rFonts w:cs="Arial"/>
          </w:rPr>
          <w:t>5.1.b Variables utilizadas en los ensayos</w:t>
        </w:r>
        <w:r w:rsidR="00DD1521" w:rsidRPr="0001434C">
          <w:rPr>
            <w:webHidden/>
          </w:rPr>
          <w:tab/>
        </w:r>
        <w:r w:rsidR="00DD1521" w:rsidRPr="0001434C">
          <w:rPr>
            <w:webHidden/>
          </w:rPr>
          <w:fldChar w:fldCharType="begin"/>
        </w:r>
        <w:r w:rsidR="00DD1521" w:rsidRPr="0001434C">
          <w:rPr>
            <w:webHidden/>
          </w:rPr>
          <w:instrText xml:space="preserve"> PAGEREF _Toc5793745 \h </w:instrText>
        </w:r>
        <w:r w:rsidR="00DD1521" w:rsidRPr="0001434C">
          <w:rPr>
            <w:webHidden/>
          </w:rPr>
        </w:r>
        <w:r w:rsidR="00DD1521" w:rsidRPr="0001434C">
          <w:rPr>
            <w:webHidden/>
          </w:rPr>
          <w:fldChar w:fldCharType="separate"/>
        </w:r>
        <w:r w:rsidR="00CA0E55">
          <w:rPr>
            <w:webHidden/>
          </w:rPr>
          <w:t>10</w:t>
        </w:r>
        <w:r w:rsidR="00DD1521" w:rsidRPr="0001434C">
          <w:rPr>
            <w:webHidden/>
          </w:rPr>
          <w:fldChar w:fldCharType="end"/>
        </w:r>
      </w:hyperlink>
    </w:p>
    <w:p w:rsidR="00DD1521" w:rsidRPr="0001434C" w:rsidRDefault="00CB346C" w:rsidP="0001434C">
      <w:pPr>
        <w:pStyle w:val="TDC2"/>
      </w:pPr>
      <w:hyperlink w:anchor="_Toc5793746" w:history="1">
        <w:r w:rsidR="00DD1521" w:rsidRPr="0001434C">
          <w:rPr>
            <w:rStyle w:val="Hipervnculo"/>
            <w:rFonts w:cs="Arial"/>
          </w:rPr>
          <w:t>5.2.a Resultados de los ensayos clínicos</w:t>
        </w:r>
        <w:r w:rsidR="00DD1521" w:rsidRPr="0001434C">
          <w:rPr>
            <w:webHidden/>
          </w:rPr>
          <w:tab/>
        </w:r>
        <w:r w:rsidR="00DD1521" w:rsidRPr="0001434C">
          <w:rPr>
            <w:webHidden/>
          </w:rPr>
          <w:fldChar w:fldCharType="begin"/>
        </w:r>
        <w:r w:rsidR="00DD1521" w:rsidRPr="0001434C">
          <w:rPr>
            <w:webHidden/>
          </w:rPr>
          <w:instrText xml:space="preserve"> PAGEREF _Toc5793746 \h </w:instrText>
        </w:r>
        <w:r w:rsidR="00DD1521" w:rsidRPr="0001434C">
          <w:rPr>
            <w:webHidden/>
          </w:rPr>
        </w:r>
        <w:r w:rsidR="00DD1521" w:rsidRPr="0001434C">
          <w:rPr>
            <w:webHidden/>
          </w:rPr>
          <w:fldChar w:fldCharType="separate"/>
        </w:r>
        <w:r w:rsidR="00CA0E55">
          <w:rPr>
            <w:webHidden/>
          </w:rPr>
          <w:t>11</w:t>
        </w:r>
        <w:r w:rsidR="00DD1521" w:rsidRPr="0001434C">
          <w:rPr>
            <w:webHidden/>
          </w:rPr>
          <w:fldChar w:fldCharType="end"/>
        </w:r>
      </w:hyperlink>
    </w:p>
    <w:p w:rsidR="00DD1521" w:rsidRPr="0001434C" w:rsidRDefault="00CB346C" w:rsidP="0001434C">
      <w:pPr>
        <w:pStyle w:val="TDC2"/>
      </w:pPr>
      <w:hyperlink w:anchor="_Toc5793747" w:history="1">
        <w:r w:rsidR="00DD1521" w:rsidRPr="0001434C">
          <w:rPr>
            <w:rStyle w:val="Hipervnculo"/>
            <w:rFonts w:cs="Arial"/>
          </w:rPr>
          <w:t>5.2.b Evaluación de la validez y de la utilidad práctica de los resultados</w:t>
        </w:r>
        <w:r w:rsidR="00DD1521" w:rsidRPr="0001434C">
          <w:rPr>
            <w:webHidden/>
          </w:rPr>
          <w:tab/>
        </w:r>
        <w:r w:rsidR="00DD1521" w:rsidRPr="0001434C">
          <w:rPr>
            <w:webHidden/>
          </w:rPr>
          <w:fldChar w:fldCharType="begin"/>
        </w:r>
        <w:r w:rsidR="00DD1521" w:rsidRPr="0001434C">
          <w:rPr>
            <w:webHidden/>
          </w:rPr>
          <w:instrText xml:space="preserve"> PAGEREF _Toc5793747 \h </w:instrText>
        </w:r>
        <w:r w:rsidR="00DD1521" w:rsidRPr="0001434C">
          <w:rPr>
            <w:webHidden/>
          </w:rPr>
        </w:r>
        <w:r w:rsidR="00DD1521" w:rsidRPr="0001434C">
          <w:rPr>
            <w:webHidden/>
          </w:rPr>
          <w:fldChar w:fldCharType="separate"/>
        </w:r>
        <w:r w:rsidR="00CA0E55">
          <w:rPr>
            <w:webHidden/>
          </w:rPr>
          <w:t>17</w:t>
        </w:r>
        <w:r w:rsidR="00DD1521" w:rsidRPr="0001434C">
          <w:rPr>
            <w:webHidden/>
          </w:rPr>
          <w:fldChar w:fldCharType="end"/>
        </w:r>
      </w:hyperlink>
    </w:p>
    <w:p w:rsidR="00DD1521" w:rsidRPr="0001434C" w:rsidRDefault="00CB346C" w:rsidP="0001434C">
      <w:pPr>
        <w:pStyle w:val="TDC3"/>
        <w:tabs>
          <w:tab w:val="right" w:leader="dot" w:pos="8729"/>
        </w:tabs>
        <w:spacing w:after="0" w:line="240" w:lineRule="auto"/>
        <w:rPr>
          <w:rFonts w:ascii="Arial" w:hAnsi="Arial" w:cs="Arial"/>
          <w:noProof/>
          <w:sz w:val="18"/>
          <w:szCs w:val="18"/>
        </w:rPr>
      </w:pPr>
      <w:hyperlink w:anchor="_Toc5793748" w:history="1">
        <w:r w:rsidR="00DD1521" w:rsidRPr="0001434C">
          <w:rPr>
            <w:rStyle w:val="Hipervnculo"/>
            <w:rFonts w:ascii="Arial" w:hAnsi="Arial" w:cs="Arial"/>
            <w:noProof/>
            <w:sz w:val="18"/>
            <w:szCs w:val="18"/>
          </w:rPr>
          <w:t>A. Validez interna. Limitaciones de diseño y/o comentarios:</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_Toc5793748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17</w:t>
        </w:r>
        <w:r w:rsidR="00DD1521" w:rsidRPr="0001434C">
          <w:rPr>
            <w:rFonts w:ascii="Arial" w:hAnsi="Arial" w:cs="Arial"/>
            <w:noProof/>
            <w:webHidden/>
            <w:sz w:val="18"/>
            <w:szCs w:val="18"/>
          </w:rPr>
          <w:fldChar w:fldCharType="end"/>
        </w:r>
      </w:hyperlink>
    </w:p>
    <w:p w:rsidR="00DD1521" w:rsidRPr="0001434C" w:rsidRDefault="00CB346C" w:rsidP="0001434C">
      <w:pPr>
        <w:pStyle w:val="TDC3"/>
        <w:tabs>
          <w:tab w:val="right" w:leader="dot" w:pos="8729"/>
        </w:tabs>
        <w:spacing w:after="0" w:line="240" w:lineRule="auto"/>
        <w:rPr>
          <w:rFonts w:ascii="Arial" w:hAnsi="Arial" w:cs="Arial"/>
          <w:noProof/>
          <w:sz w:val="18"/>
          <w:szCs w:val="18"/>
        </w:rPr>
      </w:pPr>
      <w:hyperlink w:anchor="_Toc5793749" w:history="1">
        <w:r w:rsidR="00DD1521" w:rsidRPr="0001434C">
          <w:rPr>
            <w:rStyle w:val="Hipervnculo"/>
            <w:rFonts w:ascii="Arial" w:hAnsi="Arial" w:cs="Arial"/>
            <w:noProof/>
            <w:sz w:val="18"/>
            <w:szCs w:val="18"/>
          </w:rPr>
          <w:t>B. Aplicabilidad del ensayo a la práctica del hospital</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_Toc5793749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18</w:t>
        </w:r>
        <w:r w:rsidR="00DD1521" w:rsidRPr="0001434C">
          <w:rPr>
            <w:rFonts w:ascii="Arial" w:hAnsi="Arial" w:cs="Arial"/>
            <w:noProof/>
            <w:webHidden/>
            <w:sz w:val="18"/>
            <w:szCs w:val="18"/>
          </w:rPr>
          <w:fldChar w:fldCharType="end"/>
        </w:r>
      </w:hyperlink>
    </w:p>
    <w:p w:rsidR="00DD1521" w:rsidRPr="0001434C" w:rsidRDefault="00CB346C" w:rsidP="0001434C">
      <w:pPr>
        <w:pStyle w:val="TDC3"/>
        <w:tabs>
          <w:tab w:val="right" w:leader="dot" w:pos="8729"/>
        </w:tabs>
        <w:spacing w:after="0" w:line="240" w:lineRule="auto"/>
        <w:rPr>
          <w:rFonts w:ascii="Arial" w:hAnsi="Arial" w:cs="Arial"/>
          <w:noProof/>
          <w:sz w:val="18"/>
          <w:szCs w:val="18"/>
        </w:rPr>
      </w:pPr>
      <w:hyperlink w:anchor="_Toc5793750" w:history="1">
        <w:r w:rsidR="00DD1521" w:rsidRPr="0001434C">
          <w:rPr>
            <w:rStyle w:val="Hipervnculo"/>
            <w:rFonts w:ascii="Arial" w:hAnsi="Arial" w:cs="Arial"/>
            <w:noProof/>
            <w:sz w:val="18"/>
            <w:szCs w:val="18"/>
          </w:rPr>
          <w:t>C. Relevancia clínica de los resultados</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_Toc5793750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19</w:t>
        </w:r>
        <w:r w:rsidR="00DD1521" w:rsidRPr="0001434C">
          <w:rPr>
            <w:rFonts w:ascii="Arial" w:hAnsi="Arial" w:cs="Arial"/>
            <w:noProof/>
            <w:webHidden/>
            <w:sz w:val="18"/>
            <w:szCs w:val="18"/>
          </w:rPr>
          <w:fldChar w:fldCharType="end"/>
        </w:r>
      </w:hyperlink>
    </w:p>
    <w:p w:rsidR="00DD1521" w:rsidRPr="0001434C" w:rsidRDefault="00CB346C" w:rsidP="0001434C">
      <w:pPr>
        <w:pStyle w:val="TDC3"/>
        <w:tabs>
          <w:tab w:val="right" w:leader="dot" w:pos="8729"/>
        </w:tabs>
        <w:spacing w:after="0" w:line="240" w:lineRule="auto"/>
        <w:rPr>
          <w:rFonts w:ascii="Arial" w:hAnsi="Arial" w:cs="Arial"/>
          <w:noProof/>
          <w:sz w:val="18"/>
          <w:szCs w:val="18"/>
        </w:rPr>
      </w:pPr>
      <w:hyperlink w:anchor="_Toc5793751" w:history="1">
        <w:r w:rsidR="00DD1521" w:rsidRPr="0001434C">
          <w:rPr>
            <w:rStyle w:val="Hipervnculo"/>
            <w:rFonts w:ascii="Arial" w:hAnsi="Arial" w:cs="Arial"/>
            <w:noProof/>
            <w:sz w:val="18"/>
            <w:szCs w:val="18"/>
          </w:rPr>
          <w:t>C.1 Valorar si la magnitud del efecto del tratamiento es de relevancia clínica.</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_Toc5793751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19</w:t>
        </w:r>
        <w:r w:rsidR="00DD1521" w:rsidRPr="0001434C">
          <w:rPr>
            <w:rFonts w:ascii="Arial" w:hAnsi="Arial" w:cs="Arial"/>
            <w:noProof/>
            <w:webHidden/>
            <w:sz w:val="18"/>
            <w:szCs w:val="18"/>
          </w:rPr>
          <w:fldChar w:fldCharType="end"/>
        </w:r>
      </w:hyperlink>
    </w:p>
    <w:p w:rsidR="00DD1521" w:rsidRPr="0001434C" w:rsidRDefault="00CB346C" w:rsidP="0001434C">
      <w:pPr>
        <w:pStyle w:val="TDC3"/>
        <w:tabs>
          <w:tab w:val="right" w:leader="dot" w:pos="8729"/>
        </w:tabs>
        <w:spacing w:after="0" w:line="240" w:lineRule="auto"/>
        <w:rPr>
          <w:rFonts w:ascii="Arial" w:hAnsi="Arial" w:cs="Arial"/>
          <w:noProof/>
          <w:sz w:val="18"/>
          <w:szCs w:val="18"/>
        </w:rPr>
      </w:pPr>
      <w:hyperlink w:anchor="_Toc5793752" w:history="1">
        <w:r w:rsidR="00DD1521" w:rsidRPr="0001434C">
          <w:rPr>
            <w:rStyle w:val="Hipervnculo"/>
            <w:rFonts w:ascii="Arial" w:hAnsi="Arial" w:cs="Arial"/>
            <w:noProof/>
            <w:sz w:val="18"/>
            <w:szCs w:val="18"/>
          </w:rPr>
          <w:t>C.2 La evidencia de equivalencia terapéutica.</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_Toc5793752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20</w:t>
        </w:r>
        <w:r w:rsidR="00DD1521" w:rsidRPr="0001434C">
          <w:rPr>
            <w:rFonts w:ascii="Arial" w:hAnsi="Arial" w:cs="Arial"/>
            <w:noProof/>
            <w:webHidden/>
            <w:sz w:val="18"/>
            <w:szCs w:val="18"/>
          </w:rPr>
          <w:fldChar w:fldCharType="end"/>
        </w:r>
      </w:hyperlink>
    </w:p>
    <w:p w:rsidR="00DD1521" w:rsidRPr="0001434C" w:rsidRDefault="00CB346C" w:rsidP="0001434C">
      <w:pPr>
        <w:pStyle w:val="TDC3"/>
        <w:tabs>
          <w:tab w:val="right" w:leader="dot" w:pos="8729"/>
        </w:tabs>
        <w:spacing w:after="0" w:line="240" w:lineRule="auto"/>
        <w:rPr>
          <w:rFonts w:ascii="Arial" w:hAnsi="Arial" w:cs="Arial"/>
          <w:noProof/>
          <w:sz w:val="18"/>
          <w:szCs w:val="18"/>
        </w:rPr>
      </w:pPr>
      <w:hyperlink w:anchor="_Toc5793753" w:history="1">
        <w:r w:rsidR="00DD1521" w:rsidRPr="0001434C">
          <w:rPr>
            <w:rStyle w:val="Hipervnculo"/>
            <w:rFonts w:ascii="Arial" w:hAnsi="Arial" w:cs="Arial"/>
            <w:noProof/>
            <w:sz w:val="18"/>
            <w:szCs w:val="18"/>
            <w:lang w:val="pt-BR"/>
          </w:rPr>
          <w:t>C.3 Alternativas terapéuticas equivalentes (ATE)</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_Toc5793753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22</w:t>
        </w:r>
        <w:r w:rsidR="00DD1521" w:rsidRPr="0001434C">
          <w:rPr>
            <w:rFonts w:ascii="Arial" w:hAnsi="Arial" w:cs="Arial"/>
            <w:noProof/>
            <w:webHidden/>
            <w:sz w:val="18"/>
            <w:szCs w:val="18"/>
          </w:rPr>
          <w:fldChar w:fldCharType="end"/>
        </w:r>
      </w:hyperlink>
    </w:p>
    <w:p w:rsidR="00DD1521" w:rsidRPr="0001434C" w:rsidRDefault="00CB346C" w:rsidP="0001434C">
      <w:pPr>
        <w:pStyle w:val="TDC2"/>
      </w:pPr>
      <w:hyperlink w:anchor="_Toc5793754" w:history="1">
        <w:r w:rsidR="00DD1521" w:rsidRPr="0001434C">
          <w:rPr>
            <w:rStyle w:val="Hipervnculo"/>
            <w:rFonts w:cs="Arial"/>
          </w:rPr>
          <w:t>5.2.c Evaluación de las pruebas de cribado utilizadas</w:t>
        </w:r>
        <w:r w:rsidR="00DD1521" w:rsidRPr="0001434C">
          <w:rPr>
            <w:webHidden/>
          </w:rPr>
          <w:tab/>
        </w:r>
        <w:r w:rsidR="00DD1521" w:rsidRPr="0001434C">
          <w:rPr>
            <w:webHidden/>
          </w:rPr>
          <w:fldChar w:fldCharType="begin"/>
        </w:r>
        <w:r w:rsidR="00DD1521" w:rsidRPr="0001434C">
          <w:rPr>
            <w:webHidden/>
          </w:rPr>
          <w:instrText xml:space="preserve"> PAGEREF _Toc5793754 \h </w:instrText>
        </w:r>
        <w:r w:rsidR="00DD1521" w:rsidRPr="0001434C">
          <w:rPr>
            <w:webHidden/>
          </w:rPr>
        </w:r>
        <w:r w:rsidR="00DD1521" w:rsidRPr="0001434C">
          <w:rPr>
            <w:webHidden/>
          </w:rPr>
          <w:fldChar w:fldCharType="separate"/>
        </w:r>
        <w:r w:rsidR="00CA0E55">
          <w:rPr>
            <w:webHidden/>
          </w:rPr>
          <w:t>22</w:t>
        </w:r>
        <w:r w:rsidR="00DD1521" w:rsidRPr="0001434C">
          <w:rPr>
            <w:webHidden/>
          </w:rPr>
          <w:fldChar w:fldCharType="end"/>
        </w:r>
      </w:hyperlink>
    </w:p>
    <w:p w:rsidR="00DD1521" w:rsidRPr="0001434C" w:rsidRDefault="00CB346C" w:rsidP="0001434C">
      <w:pPr>
        <w:pStyle w:val="TDC2"/>
      </w:pPr>
      <w:hyperlink w:anchor="_Toc5793755" w:history="1">
        <w:r w:rsidR="00DD1521" w:rsidRPr="0001434C">
          <w:rPr>
            <w:rStyle w:val="Hipervnculo"/>
            <w:rFonts w:cs="Arial"/>
          </w:rPr>
          <w:t>5.3 Revisiones sistemáticas publicadas, comparaciones indirectas y sus conclusiones</w:t>
        </w:r>
        <w:r w:rsidR="00DD1521" w:rsidRPr="0001434C">
          <w:rPr>
            <w:webHidden/>
          </w:rPr>
          <w:tab/>
        </w:r>
        <w:r w:rsidR="00DD1521" w:rsidRPr="0001434C">
          <w:rPr>
            <w:webHidden/>
          </w:rPr>
          <w:fldChar w:fldCharType="begin"/>
        </w:r>
        <w:r w:rsidR="00DD1521" w:rsidRPr="0001434C">
          <w:rPr>
            <w:webHidden/>
          </w:rPr>
          <w:instrText xml:space="preserve"> PAGEREF _Toc5793755 \h </w:instrText>
        </w:r>
        <w:r w:rsidR="00DD1521" w:rsidRPr="0001434C">
          <w:rPr>
            <w:webHidden/>
          </w:rPr>
        </w:r>
        <w:r w:rsidR="00DD1521" w:rsidRPr="0001434C">
          <w:rPr>
            <w:webHidden/>
          </w:rPr>
          <w:fldChar w:fldCharType="separate"/>
        </w:r>
        <w:r w:rsidR="00CA0E55">
          <w:rPr>
            <w:webHidden/>
          </w:rPr>
          <w:t>22</w:t>
        </w:r>
        <w:r w:rsidR="00DD1521" w:rsidRPr="0001434C">
          <w:rPr>
            <w:webHidden/>
          </w:rPr>
          <w:fldChar w:fldCharType="end"/>
        </w:r>
      </w:hyperlink>
    </w:p>
    <w:p w:rsidR="00DD1521" w:rsidRPr="0001434C" w:rsidRDefault="00CB346C" w:rsidP="0001434C">
      <w:pPr>
        <w:pStyle w:val="TDC2"/>
      </w:pPr>
      <w:hyperlink w:anchor="_Toc5793756" w:history="1">
        <w:r w:rsidR="00DD1521" w:rsidRPr="0001434C">
          <w:rPr>
            <w:rStyle w:val="Hipervnculo"/>
            <w:rFonts w:cs="Arial"/>
          </w:rPr>
          <w:t>5.3.a Revisiones sistemáticas publicadas</w:t>
        </w:r>
        <w:r w:rsidR="00DD1521" w:rsidRPr="0001434C">
          <w:rPr>
            <w:webHidden/>
          </w:rPr>
          <w:tab/>
        </w:r>
        <w:r w:rsidR="00DD1521" w:rsidRPr="0001434C">
          <w:rPr>
            <w:webHidden/>
          </w:rPr>
          <w:fldChar w:fldCharType="begin"/>
        </w:r>
        <w:r w:rsidR="00DD1521" w:rsidRPr="0001434C">
          <w:rPr>
            <w:webHidden/>
          </w:rPr>
          <w:instrText xml:space="preserve"> PAGEREF _Toc5793756 \h </w:instrText>
        </w:r>
        <w:r w:rsidR="00DD1521" w:rsidRPr="0001434C">
          <w:rPr>
            <w:webHidden/>
          </w:rPr>
        </w:r>
        <w:r w:rsidR="00DD1521" w:rsidRPr="0001434C">
          <w:rPr>
            <w:webHidden/>
          </w:rPr>
          <w:fldChar w:fldCharType="separate"/>
        </w:r>
        <w:r w:rsidR="00CA0E55">
          <w:rPr>
            <w:webHidden/>
          </w:rPr>
          <w:t>22</w:t>
        </w:r>
        <w:r w:rsidR="00DD1521" w:rsidRPr="0001434C">
          <w:rPr>
            <w:webHidden/>
          </w:rPr>
          <w:fldChar w:fldCharType="end"/>
        </w:r>
      </w:hyperlink>
    </w:p>
    <w:p w:rsidR="00DD1521" w:rsidRPr="0001434C" w:rsidRDefault="00CB346C" w:rsidP="0001434C">
      <w:pPr>
        <w:pStyle w:val="TDC2"/>
      </w:pPr>
      <w:hyperlink w:anchor="_Toc5793757" w:history="1">
        <w:r w:rsidR="00DD1521" w:rsidRPr="0001434C">
          <w:rPr>
            <w:rStyle w:val="Hipervnculo"/>
            <w:rFonts w:cs="Arial"/>
          </w:rPr>
          <w:t>5.3.b Comparaciones indirectas (CI)</w:t>
        </w:r>
        <w:r w:rsidR="00DD1521" w:rsidRPr="0001434C">
          <w:rPr>
            <w:webHidden/>
          </w:rPr>
          <w:tab/>
        </w:r>
        <w:r w:rsidR="00DD1521" w:rsidRPr="0001434C">
          <w:rPr>
            <w:webHidden/>
          </w:rPr>
          <w:fldChar w:fldCharType="begin"/>
        </w:r>
        <w:r w:rsidR="00DD1521" w:rsidRPr="0001434C">
          <w:rPr>
            <w:webHidden/>
          </w:rPr>
          <w:instrText xml:space="preserve"> PAGEREF _Toc5793757 \h </w:instrText>
        </w:r>
        <w:r w:rsidR="00DD1521" w:rsidRPr="0001434C">
          <w:rPr>
            <w:webHidden/>
          </w:rPr>
        </w:r>
        <w:r w:rsidR="00DD1521" w:rsidRPr="0001434C">
          <w:rPr>
            <w:webHidden/>
          </w:rPr>
          <w:fldChar w:fldCharType="separate"/>
        </w:r>
        <w:r w:rsidR="00CA0E55">
          <w:rPr>
            <w:webHidden/>
          </w:rPr>
          <w:t>23</w:t>
        </w:r>
        <w:r w:rsidR="00DD1521" w:rsidRPr="0001434C">
          <w:rPr>
            <w:webHidden/>
          </w:rPr>
          <w:fldChar w:fldCharType="end"/>
        </w:r>
      </w:hyperlink>
    </w:p>
    <w:p w:rsidR="00DD1521" w:rsidRPr="0001434C" w:rsidRDefault="00CB346C" w:rsidP="0001434C">
      <w:pPr>
        <w:pStyle w:val="TDC2"/>
      </w:pPr>
      <w:hyperlink w:anchor="_Toc5793758" w:history="1">
        <w:r w:rsidR="00DD1521" w:rsidRPr="0001434C">
          <w:rPr>
            <w:rStyle w:val="Hipervnculo"/>
            <w:rFonts w:cs="Arial"/>
          </w:rPr>
          <w:t>5.3.b.1 Comparaciones indirectas de elaboración propia</w:t>
        </w:r>
        <w:r w:rsidR="00DD1521" w:rsidRPr="0001434C">
          <w:rPr>
            <w:webHidden/>
          </w:rPr>
          <w:tab/>
        </w:r>
        <w:r w:rsidR="00DD1521" w:rsidRPr="0001434C">
          <w:rPr>
            <w:webHidden/>
          </w:rPr>
          <w:fldChar w:fldCharType="begin"/>
        </w:r>
        <w:r w:rsidR="00DD1521" w:rsidRPr="0001434C">
          <w:rPr>
            <w:webHidden/>
          </w:rPr>
          <w:instrText xml:space="preserve"> PAGEREF _Toc5793758 \h </w:instrText>
        </w:r>
        <w:r w:rsidR="00DD1521" w:rsidRPr="0001434C">
          <w:rPr>
            <w:webHidden/>
          </w:rPr>
        </w:r>
        <w:r w:rsidR="00DD1521" w:rsidRPr="0001434C">
          <w:rPr>
            <w:webHidden/>
          </w:rPr>
          <w:fldChar w:fldCharType="separate"/>
        </w:r>
        <w:r w:rsidR="00CA0E55">
          <w:rPr>
            <w:webHidden/>
          </w:rPr>
          <w:t>23</w:t>
        </w:r>
        <w:r w:rsidR="00DD1521" w:rsidRPr="0001434C">
          <w:rPr>
            <w:webHidden/>
          </w:rPr>
          <w:fldChar w:fldCharType="end"/>
        </w:r>
      </w:hyperlink>
    </w:p>
    <w:p w:rsidR="00DD1521" w:rsidRPr="0001434C" w:rsidRDefault="00CB346C" w:rsidP="0001434C">
      <w:pPr>
        <w:pStyle w:val="TDC2"/>
      </w:pPr>
      <w:hyperlink w:anchor="_Toc5793759" w:history="1">
        <w:r w:rsidR="00DD1521" w:rsidRPr="0001434C">
          <w:rPr>
            <w:rStyle w:val="Hipervnculo"/>
            <w:rFonts w:cs="Arial"/>
          </w:rPr>
          <w:t>5.4 Evaluación de fuentes secundarias</w:t>
        </w:r>
        <w:r w:rsidR="00DD1521" w:rsidRPr="0001434C">
          <w:rPr>
            <w:webHidden/>
          </w:rPr>
          <w:tab/>
        </w:r>
        <w:r w:rsidR="00DD1521" w:rsidRPr="0001434C">
          <w:rPr>
            <w:webHidden/>
          </w:rPr>
          <w:fldChar w:fldCharType="begin"/>
        </w:r>
        <w:r w:rsidR="00DD1521" w:rsidRPr="0001434C">
          <w:rPr>
            <w:webHidden/>
          </w:rPr>
          <w:instrText xml:space="preserve"> PAGEREF _Toc5793759 \h </w:instrText>
        </w:r>
        <w:r w:rsidR="00DD1521" w:rsidRPr="0001434C">
          <w:rPr>
            <w:webHidden/>
          </w:rPr>
        </w:r>
        <w:r w:rsidR="00DD1521" w:rsidRPr="0001434C">
          <w:rPr>
            <w:webHidden/>
          </w:rPr>
          <w:fldChar w:fldCharType="separate"/>
        </w:r>
        <w:r w:rsidR="00CA0E55">
          <w:rPr>
            <w:webHidden/>
          </w:rPr>
          <w:t>24</w:t>
        </w:r>
        <w:r w:rsidR="00DD1521" w:rsidRPr="0001434C">
          <w:rPr>
            <w:webHidden/>
          </w:rPr>
          <w:fldChar w:fldCharType="end"/>
        </w:r>
      </w:hyperlink>
    </w:p>
    <w:p w:rsidR="00DD1521" w:rsidRPr="0001434C" w:rsidRDefault="00CB346C" w:rsidP="0001434C">
      <w:pPr>
        <w:pStyle w:val="TDC2"/>
      </w:pPr>
      <w:hyperlink w:anchor="_Toc5793760" w:history="1">
        <w:r w:rsidR="00DD1521" w:rsidRPr="0001434C">
          <w:rPr>
            <w:rStyle w:val="Hipervnculo"/>
            <w:rFonts w:cs="Arial"/>
          </w:rPr>
          <w:t>5.4.1 Guías de Práctica clínica</w:t>
        </w:r>
        <w:r w:rsidR="00DD1521" w:rsidRPr="0001434C">
          <w:rPr>
            <w:webHidden/>
          </w:rPr>
          <w:tab/>
        </w:r>
        <w:r w:rsidR="00DD1521" w:rsidRPr="0001434C">
          <w:rPr>
            <w:webHidden/>
          </w:rPr>
          <w:fldChar w:fldCharType="begin"/>
        </w:r>
        <w:r w:rsidR="00DD1521" w:rsidRPr="0001434C">
          <w:rPr>
            <w:webHidden/>
          </w:rPr>
          <w:instrText xml:space="preserve"> PAGEREF _Toc5793760 \h </w:instrText>
        </w:r>
        <w:r w:rsidR="00DD1521" w:rsidRPr="0001434C">
          <w:rPr>
            <w:webHidden/>
          </w:rPr>
        </w:r>
        <w:r w:rsidR="00DD1521" w:rsidRPr="0001434C">
          <w:rPr>
            <w:webHidden/>
          </w:rPr>
          <w:fldChar w:fldCharType="separate"/>
        </w:r>
        <w:r w:rsidR="00CA0E55">
          <w:rPr>
            <w:webHidden/>
          </w:rPr>
          <w:t>24</w:t>
        </w:r>
        <w:r w:rsidR="00DD1521" w:rsidRPr="0001434C">
          <w:rPr>
            <w:webHidden/>
          </w:rPr>
          <w:fldChar w:fldCharType="end"/>
        </w:r>
      </w:hyperlink>
    </w:p>
    <w:p w:rsidR="00DD1521" w:rsidRPr="0001434C" w:rsidRDefault="00CB346C" w:rsidP="0001434C">
      <w:pPr>
        <w:pStyle w:val="TDC2"/>
      </w:pPr>
      <w:hyperlink w:anchor="_Toc5793761" w:history="1">
        <w:r w:rsidR="00DD1521" w:rsidRPr="0001434C">
          <w:rPr>
            <w:rStyle w:val="Hipervnculo"/>
            <w:rFonts w:cs="Arial"/>
          </w:rPr>
          <w:t>5.4.2 Evaluaciones previas por organismos independientes</w:t>
        </w:r>
        <w:r w:rsidR="00DD1521" w:rsidRPr="0001434C">
          <w:rPr>
            <w:webHidden/>
          </w:rPr>
          <w:tab/>
        </w:r>
        <w:r w:rsidR="00DD1521" w:rsidRPr="0001434C">
          <w:rPr>
            <w:webHidden/>
          </w:rPr>
          <w:fldChar w:fldCharType="begin"/>
        </w:r>
        <w:r w:rsidR="00DD1521" w:rsidRPr="0001434C">
          <w:rPr>
            <w:webHidden/>
          </w:rPr>
          <w:instrText xml:space="preserve"> PAGEREF _Toc5793761 \h </w:instrText>
        </w:r>
        <w:r w:rsidR="00DD1521" w:rsidRPr="0001434C">
          <w:rPr>
            <w:webHidden/>
          </w:rPr>
        </w:r>
        <w:r w:rsidR="00DD1521" w:rsidRPr="0001434C">
          <w:rPr>
            <w:webHidden/>
          </w:rPr>
          <w:fldChar w:fldCharType="separate"/>
        </w:r>
        <w:r w:rsidR="00CA0E55">
          <w:rPr>
            <w:webHidden/>
          </w:rPr>
          <w:t>25</w:t>
        </w:r>
        <w:r w:rsidR="00DD1521" w:rsidRPr="0001434C">
          <w:rPr>
            <w:webHidden/>
          </w:rPr>
          <w:fldChar w:fldCharType="end"/>
        </w:r>
      </w:hyperlink>
    </w:p>
    <w:p w:rsidR="00DD1521" w:rsidRPr="0001434C" w:rsidRDefault="00CB346C" w:rsidP="0001434C">
      <w:pPr>
        <w:pStyle w:val="TDC2"/>
      </w:pPr>
      <w:hyperlink w:anchor="_Toc5793762" w:history="1">
        <w:r w:rsidR="00DD1521" w:rsidRPr="0001434C">
          <w:rPr>
            <w:rStyle w:val="Hipervnculo"/>
            <w:rFonts w:cs="Arial"/>
          </w:rPr>
          <w:t>5.4.3 Opiniones de expertos</w:t>
        </w:r>
        <w:r w:rsidR="00DD1521" w:rsidRPr="0001434C">
          <w:rPr>
            <w:webHidden/>
          </w:rPr>
          <w:tab/>
        </w:r>
        <w:r w:rsidR="00DD1521" w:rsidRPr="0001434C">
          <w:rPr>
            <w:webHidden/>
          </w:rPr>
          <w:fldChar w:fldCharType="begin"/>
        </w:r>
        <w:r w:rsidR="00DD1521" w:rsidRPr="0001434C">
          <w:rPr>
            <w:webHidden/>
          </w:rPr>
          <w:instrText xml:space="preserve"> PAGEREF _Toc5793762 \h </w:instrText>
        </w:r>
        <w:r w:rsidR="00DD1521" w:rsidRPr="0001434C">
          <w:rPr>
            <w:webHidden/>
          </w:rPr>
        </w:r>
        <w:r w:rsidR="00DD1521" w:rsidRPr="0001434C">
          <w:rPr>
            <w:webHidden/>
          </w:rPr>
          <w:fldChar w:fldCharType="separate"/>
        </w:r>
        <w:r w:rsidR="00CA0E55">
          <w:rPr>
            <w:webHidden/>
          </w:rPr>
          <w:t>26</w:t>
        </w:r>
        <w:r w:rsidR="00DD1521" w:rsidRPr="0001434C">
          <w:rPr>
            <w:webHidden/>
          </w:rPr>
          <w:fldChar w:fldCharType="end"/>
        </w:r>
      </w:hyperlink>
    </w:p>
    <w:p w:rsidR="00DD1521" w:rsidRPr="0001434C" w:rsidRDefault="00CB346C" w:rsidP="0001434C">
      <w:pPr>
        <w:pStyle w:val="TDC2"/>
      </w:pPr>
      <w:hyperlink w:anchor="_Toc5793763" w:history="1">
        <w:r w:rsidR="00DD1521" w:rsidRPr="0001434C">
          <w:rPr>
            <w:rStyle w:val="Hipervnculo"/>
            <w:rFonts w:cs="Arial"/>
          </w:rPr>
          <w:t>5.4.4 Otras fuentes.</w:t>
        </w:r>
        <w:r w:rsidR="00DD1521" w:rsidRPr="0001434C">
          <w:rPr>
            <w:webHidden/>
          </w:rPr>
          <w:tab/>
        </w:r>
        <w:r w:rsidR="00DD1521" w:rsidRPr="0001434C">
          <w:rPr>
            <w:webHidden/>
          </w:rPr>
          <w:fldChar w:fldCharType="begin"/>
        </w:r>
        <w:r w:rsidR="00DD1521" w:rsidRPr="0001434C">
          <w:rPr>
            <w:webHidden/>
          </w:rPr>
          <w:instrText xml:space="preserve"> PAGEREF _Toc5793763 \h </w:instrText>
        </w:r>
        <w:r w:rsidR="00DD1521" w:rsidRPr="0001434C">
          <w:rPr>
            <w:webHidden/>
          </w:rPr>
        </w:r>
        <w:r w:rsidR="00DD1521" w:rsidRPr="0001434C">
          <w:rPr>
            <w:webHidden/>
          </w:rPr>
          <w:fldChar w:fldCharType="separate"/>
        </w:r>
        <w:r w:rsidR="00CA0E55">
          <w:rPr>
            <w:webHidden/>
          </w:rPr>
          <w:t>26</w:t>
        </w:r>
        <w:r w:rsidR="00DD1521" w:rsidRPr="0001434C">
          <w:rPr>
            <w:webHidden/>
          </w:rPr>
          <w:fldChar w:fldCharType="end"/>
        </w:r>
      </w:hyperlink>
    </w:p>
    <w:p w:rsidR="00DD1521" w:rsidRPr="0001434C" w:rsidRDefault="00CB346C" w:rsidP="0001434C">
      <w:pPr>
        <w:pStyle w:val="TDC1"/>
        <w:tabs>
          <w:tab w:val="right" w:leader="dot" w:pos="8729"/>
        </w:tabs>
        <w:spacing w:after="0" w:line="240" w:lineRule="auto"/>
        <w:rPr>
          <w:rFonts w:ascii="Arial" w:hAnsi="Arial" w:cs="Arial"/>
          <w:noProof/>
          <w:sz w:val="18"/>
          <w:szCs w:val="18"/>
        </w:rPr>
      </w:pPr>
      <w:hyperlink w:anchor="_Toc5793764" w:history="1">
        <w:r w:rsidR="00DD1521" w:rsidRPr="0001434C">
          <w:rPr>
            <w:rStyle w:val="Hipervnculo"/>
            <w:rFonts w:ascii="Arial" w:hAnsi="Arial" w:cs="Arial"/>
            <w:noProof/>
            <w:sz w:val="18"/>
            <w:szCs w:val="18"/>
          </w:rPr>
          <w:t>6. EVALUACIÓN DE LA SEGURIDAD.</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_Toc5793764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26</w:t>
        </w:r>
        <w:r w:rsidR="00DD1521" w:rsidRPr="0001434C">
          <w:rPr>
            <w:rFonts w:ascii="Arial" w:hAnsi="Arial" w:cs="Arial"/>
            <w:noProof/>
            <w:webHidden/>
            <w:sz w:val="18"/>
            <w:szCs w:val="18"/>
          </w:rPr>
          <w:fldChar w:fldCharType="end"/>
        </w:r>
      </w:hyperlink>
    </w:p>
    <w:p w:rsidR="00DD1521" w:rsidRPr="0001434C" w:rsidRDefault="00CB346C" w:rsidP="0001434C">
      <w:pPr>
        <w:pStyle w:val="TDC2"/>
      </w:pPr>
      <w:hyperlink w:anchor="_Toc5793765" w:history="1">
        <w:r w:rsidR="00DD1521" w:rsidRPr="0001434C">
          <w:rPr>
            <w:rStyle w:val="Hipervnculo"/>
            <w:rFonts w:cs="Arial"/>
          </w:rPr>
          <w:t>6.1.a Descripción de la búsqueda bibliográfica</w:t>
        </w:r>
        <w:r w:rsidR="00DD1521" w:rsidRPr="0001434C">
          <w:rPr>
            <w:webHidden/>
          </w:rPr>
          <w:tab/>
        </w:r>
        <w:r w:rsidR="00DD1521" w:rsidRPr="0001434C">
          <w:rPr>
            <w:webHidden/>
          </w:rPr>
          <w:fldChar w:fldCharType="begin"/>
        </w:r>
        <w:r w:rsidR="00DD1521" w:rsidRPr="0001434C">
          <w:rPr>
            <w:webHidden/>
          </w:rPr>
          <w:instrText xml:space="preserve"> PAGEREF _Toc5793765 \h </w:instrText>
        </w:r>
        <w:r w:rsidR="00DD1521" w:rsidRPr="0001434C">
          <w:rPr>
            <w:webHidden/>
          </w:rPr>
        </w:r>
        <w:r w:rsidR="00DD1521" w:rsidRPr="0001434C">
          <w:rPr>
            <w:webHidden/>
          </w:rPr>
          <w:fldChar w:fldCharType="separate"/>
        </w:r>
        <w:r w:rsidR="00CA0E55">
          <w:rPr>
            <w:webHidden/>
          </w:rPr>
          <w:t>26</w:t>
        </w:r>
        <w:r w:rsidR="00DD1521" w:rsidRPr="0001434C">
          <w:rPr>
            <w:webHidden/>
          </w:rPr>
          <w:fldChar w:fldCharType="end"/>
        </w:r>
      </w:hyperlink>
    </w:p>
    <w:p w:rsidR="00DD1521" w:rsidRPr="0001434C" w:rsidRDefault="00CB346C" w:rsidP="0001434C">
      <w:pPr>
        <w:pStyle w:val="TDC2"/>
      </w:pPr>
      <w:hyperlink w:anchor="_Toc5793766" w:history="1">
        <w:r w:rsidR="00DD1521" w:rsidRPr="0001434C">
          <w:rPr>
            <w:rStyle w:val="Hipervnculo"/>
            <w:rFonts w:cs="Arial"/>
          </w:rPr>
          <w:t>6.1.b Descripción de los efectos</w:t>
        </w:r>
        <w:r w:rsidR="00DD1521">
          <w:rPr>
            <w:rStyle w:val="Hipervnculo"/>
            <w:rFonts w:cs="Arial"/>
          </w:rPr>
          <w:t xml:space="preserve"> adversos más significativos </w:t>
        </w:r>
        <w:r w:rsidR="00DD1521" w:rsidRPr="0001434C">
          <w:rPr>
            <w:webHidden/>
          </w:rPr>
          <w:tab/>
        </w:r>
        <w:r w:rsidR="00DD1521" w:rsidRPr="0001434C">
          <w:rPr>
            <w:webHidden/>
          </w:rPr>
          <w:fldChar w:fldCharType="begin"/>
        </w:r>
        <w:r w:rsidR="00DD1521" w:rsidRPr="0001434C">
          <w:rPr>
            <w:webHidden/>
          </w:rPr>
          <w:instrText xml:space="preserve"> PAGEREF _Toc5793766 \h </w:instrText>
        </w:r>
        <w:r w:rsidR="00DD1521" w:rsidRPr="0001434C">
          <w:rPr>
            <w:webHidden/>
          </w:rPr>
        </w:r>
        <w:r w:rsidR="00DD1521" w:rsidRPr="0001434C">
          <w:rPr>
            <w:webHidden/>
          </w:rPr>
          <w:fldChar w:fldCharType="separate"/>
        </w:r>
        <w:r w:rsidR="00CA0E55">
          <w:rPr>
            <w:webHidden/>
          </w:rPr>
          <w:t>26</w:t>
        </w:r>
        <w:r w:rsidR="00DD1521" w:rsidRPr="0001434C">
          <w:rPr>
            <w:webHidden/>
          </w:rPr>
          <w:fldChar w:fldCharType="end"/>
        </w:r>
      </w:hyperlink>
    </w:p>
    <w:p w:rsidR="00DD1521" w:rsidRPr="0001434C" w:rsidRDefault="00CB346C" w:rsidP="0001434C">
      <w:pPr>
        <w:pStyle w:val="TDC2"/>
      </w:pPr>
      <w:hyperlink w:anchor="_Toc5793767" w:history="1">
        <w:r w:rsidR="00DD1521" w:rsidRPr="0001434C">
          <w:rPr>
            <w:rStyle w:val="Hipervnculo"/>
            <w:rFonts w:cs="Arial"/>
          </w:rPr>
          <w:t>6.2 Ensayos Clínicos comparativos.</w:t>
        </w:r>
        <w:r w:rsidR="00DD1521" w:rsidRPr="0001434C">
          <w:rPr>
            <w:webHidden/>
          </w:rPr>
          <w:tab/>
        </w:r>
        <w:r w:rsidR="00DD1521" w:rsidRPr="0001434C">
          <w:rPr>
            <w:webHidden/>
          </w:rPr>
          <w:fldChar w:fldCharType="begin"/>
        </w:r>
        <w:r w:rsidR="00DD1521" w:rsidRPr="0001434C">
          <w:rPr>
            <w:webHidden/>
          </w:rPr>
          <w:instrText xml:space="preserve"> PAGEREF _Toc5793767 \h </w:instrText>
        </w:r>
        <w:r w:rsidR="00DD1521" w:rsidRPr="0001434C">
          <w:rPr>
            <w:webHidden/>
          </w:rPr>
        </w:r>
        <w:r w:rsidR="00DD1521" w:rsidRPr="0001434C">
          <w:rPr>
            <w:webHidden/>
          </w:rPr>
          <w:fldChar w:fldCharType="separate"/>
        </w:r>
        <w:r w:rsidR="00CA0E55">
          <w:rPr>
            <w:webHidden/>
          </w:rPr>
          <w:t>29</w:t>
        </w:r>
        <w:r w:rsidR="00DD1521" w:rsidRPr="0001434C">
          <w:rPr>
            <w:webHidden/>
          </w:rPr>
          <w:fldChar w:fldCharType="end"/>
        </w:r>
      </w:hyperlink>
    </w:p>
    <w:p w:rsidR="00DD1521" w:rsidRPr="0001434C" w:rsidRDefault="00CB346C" w:rsidP="0001434C">
      <w:pPr>
        <w:pStyle w:val="TDC2"/>
      </w:pPr>
      <w:hyperlink w:anchor="_Toc5793768" w:history="1">
        <w:r w:rsidR="00DD1521" w:rsidRPr="0001434C">
          <w:rPr>
            <w:rStyle w:val="Hipervnculo"/>
            <w:rFonts w:cs="Arial"/>
          </w:rPr>
          <w:t>6.3 Fuentes secundarias sobre seguridad</w:t>
        </w:r>
        <w:r w:rsidR="00DD1521" w:rsidRPr="0001434C">
          <w:rPr>
            <w:webHidden/>
          </w:rPr>
          <w:tab/>
        </w:r>
        <w:r w:rsidR="00DD1521" w:rsidRPr="0001434C">
          <w:rPr>
            <w:webHidden/>
          </w:rPr>
          <w:fldChar w:fldCharType="begin"/>
        </w:r>
        <w:r w:rsidR="00DD1521" w:rsidRPr="0001434C">
          <w:rPr>
            <w:webHidden/>
          </w:rPr>
          <w:instrText xml:space="preserve"> PAGEREF _Toc5793768 \h </w:instrText>
        </w:r>
        <w:r w:rsidR="00DD1521" w:rsidRPr="0001434C">
          <w:rPr>
            <w:webHidden/>
          </w:rPr>
        </w:r>
        <w:r w:rsidR="00DD1521" w:rsidRPr="0001434C">
          <w:rPr>
            <w:webHidden/>
          </w:rPr>
          <w:fldChar w:fldCharType="separate"/>
        </w:r>
        <w:r w:rsidR="00CA0E55">
          <w:rPr>
            <w:webHidden/>
          </w:rPr>
          <w:t>29</w:t>
        </w:r>
        <w:r w:rsidR="00DD1521" w:rsidRPr="0001434C">
          <w:rPr>
            <w:webHidden/>
          </w:rPr>
          <w:fldChar w:fldCharType="end"/>
        </w:r>
      </w:hyperlink>
    </w:p>
    <w:p w:rsidR="00DD1521" w:rsidRPr="0001434C" w:rsidRDefault="00CB346C" w:rsidP="0001434C">
      <w:pPr>
        <w:pStyle w:val="TDC2"/>
      </w:pPr>
      <w:hyperlink w:anchor="_Toc5793769" w:history="1">
        <w:r w:rsidR="00DD1521" w:rsidRPr="0001434C">
          <w:rPr>
            <w:rStyle w:val="Hipervnculo"/>
            <w:rFonts w:cs="Arial"/>
          </w:rPr>
          <w:t>6.4 Precauciones de empleo en caso</w:t>
        </w:r>
        <w:r w:rsidR="00DD1521">
          <w:rPr>
            <w:rStyle w:val="Hipervnculo"/>
            <w:rFonts w:cs="Arial"/>
          </w:rPr>
          <w:t xml:space="preserve">s especiales </w:t>
        </w:r>
        <w:r w:rsidR="00DD1521" w:rsidRPr="0001434C">
          <w:rPr>
            <w:webHidden/>
          </w:rPr>
          <w:tab/>
        </w:r>
        <w:r w:rsidR="00DD1521" w:rsidRPr="0001434C">
          <w:rPr>
            <w:webHidden/>
          </w:rPr>
          <w:fldChar w:fldCharType="begin"/>
        </w:r>
        <w:r w:rsidR="00DD1521" w:rsidRPr="0001434C">
          <w:rPr>
            <w:webHidden/>
          </w:rPr>
          <w:instrText xml:space="preserve"> PAGEREF _Toc5793769 \h </w:instrText>
        </w:r>
        <w:r w:rsidR="00DD1521" w:rsidRPr="0001434C">
          <w:rPr>
            <w:webHidden/>
          </w:rPr>
        </w:r>
        <w:r w:rsidR="00DD1521" w:rsidRPr="0001434C">
          <w:rPr>
            <w:webHidden/>
          </w:rPr>
          <w:fldChar w:fldCharType="separate"/>
        </w:r>
        <w:r w:rsidR="00CA0E55">
          <w:rPr>
            <w:webHidden/>
          </w:rPr>
          <w:t>30</w:t>
        </w:r>
        <w:r w:rsidR="00DD1521" w:rsidRPr="0001434C">
          <w:rPr>
            <w:webHidden/>
          </w:rPr>
          <w:fldChar w:fldCharType="end"/>
        </w:r>
      </w:hyperlink>
    </w:p>
    <w:p w:rsidR="00DD1521" w:rsidRPr="0001434C" w:rsidRDefault="00CB346C" w:rsidP="0001434C">
      <w:pPr>
        <w:pStyle w:val="TDC1"/>
        <w:tabs>
          <w:tab w:val="right" w:leader="dot" w:pos="8729"/>
        </w:tabs>
        <w:spacing w:after="0" w:line="240" w:lineRule="auto"/>
        <w:rPr>
          <w:rFonts w:ascii="Arial" w:hAnsi="Arial" w:cs="Arial"/>
          <w:noProof/>
          <w:sz w:val="18"/>
          <w:szCs w:val="18"/>
        </w:rPr>
      </w:pPr>
      <w:hyperlink w:anchor="_Toc5793770" w:history="1">
        <w:r w:rsidR="00DD1521" w:rsidRPr="0001434C">
          <w:rPr>
            <w:rStyle w:val="Hipervnculo"/>
            <w:rFonts w:ascii="Arial" w:hAnsi="Arial" w:cs="Arial"/>
            <w:noProof/>
            <w:sz w:val="18"/>
            <w:szCs w:val="18"/>
          </w:rPr>
          <w:t>7. AREA ECONÓMICA</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_Toc5793770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31</w:t>
        </w:r>
        <w:r w:rsidR="00DD1521" w:rsidRPr="0001434C">
          <w:rPr>
            <w:rFonts w:ascii="Arial" w:hAnsi="Arial" w:cs="Arial"/>
            <w:noProof/>
            <w:webHidden/>
            <w:sz w:val="18"/>
            <w:szCs w:val="18"/>
          </w:rPr>
          <w:fldChar w:fldCharType="end"/>
        </w:r>
      </w:hyperlink>
    </w:p>
    <w:p w:rsidR="00DD1521" w:rsidRPr="0001434C" w:rsidRDefault="00CB346C" w:rsidP="0001434C">
      <w:pPr>
        <w:pStyle w:val="TDC2"/>
      </w:pPr>
      <w:hyperlink w:anchor="_Toc5793771" w:history="1">
        <w:r w:rsidR="00DD1521" w:rsidRPr="0001434C">
          <w:rPr>
            <w:rStyle w:val="Hipervnculo"/>
            <w:rFonts w:cs="Arial"/>
          </w:rPr>
          <w:t>7.1 Costes. Coste incremental</w:t>
        </w:r>
        <w:r w:rsidR="00DD1521" w:rsidRPr="0001434C">
          <w:rPr>
            <w:webHidden/>
          </w:rPr>
          <w:tab/>
        </w:r>
        <w:r w:rsidR="00DD1521" w:rsidRPr="0001434C">
          <w:rPr>
            <w:webHidden/>
          </w:rPr>
          <w:fldChar w:fldCharType="begin"/>
        </w:r>
        <w:r w:rsidR="00DD1521" w:rsidRPr="0001434C">
          <w:rPr>
            <w:webHidden/>
          </w:rPr>
          <w:instrText xml:space="preserve"> PAGEREF _Toc5793771 \h </w:instrText>
        </w:r>
        <w:r w:rsidR="00DD1521" w:rsidRPr="0001434C">
          <w:rPr>
            <w:webHidden/>
          </w:rPr>
        </w:r>
        <w:r w:rsidR="00DD1521" w:rsidRPr="0001434C">
          <w:rPr>
            <w:webHidden/>
          </w:rPr>
          <w:fldChar w:fldCharType="separate"/>
        </w:r>
        <w:r w:rsidR="00CA0E55">
          <w:rPr>
            <w:webHidden/>
          </w:rPr>
          <w:t>32</w:t>
        </w:r>
        <w:r w:rsidR="00DD1521" w:rsidRPr="0001434C">
          <w:rPr>
            <w:webHidden/>
          </w:rPr>
          <w:fldChar w:fldCharType="end"/>
        </w:r>
      </w:hyperlink>
    </w:p>
    <w:p w:rsidR="00DD1521" w:rsidRPr="0001434C" w:rsidRDefault="00CB346C" w:rsidP="0001434C">
      <w:pPr>
        <w:pStyle w:val="TDC2"/>
      </w:pPr>
      <w:hyperlink w:anchor="_Toc5793772" w:history="1">
        <w:r w:rsidR="00DD1521" w:rsidRPr="0001434C">
          <w:rPr>
            <w:rStyle w:val="Hipervnculo"/>
            <w:rFonts w:cs="Arial"/>
          </w:rPr>
          <w:t>7.2 Evaluaciones económicas publicadas</w:t>
        </w:r>
        <w:r w:rsidR="00DD1521" w:rsidRPr="0001434C">
          <w:rPr>
            <w:webHidden/>
          </w:rPr>
          <w:tab/>
        </w:r>
        <w:r w:rsidR="00DD1521" w:rsidRPr="0001434C">
          <w:rPr>
            <w:webHidden/>
          </w:rPr>
          <w:fldChar w:fldCharType="begin"/>
        </w:r>
        <w:r w:rsidR="00DD1521" w:rsidRPr="0001434C">
          <w:rPr>
            <w:webHidden/>
          </w:rPr>
          <w:instrText xml:space="preserve"> PAGEREF _Toc5793772 \h </w:instrText>
        </w:r>
        <w:r w:rsidR="00DD1521" w:rsidRPr="0001434C">
          <w:rPr>
            <w:webHidden/>
          </w:rPr>
        </w:r>
        <w:r w:rsidR="00DD1521" w:rsidRPr="0001434C">
          <w:rPr>
            <w:webHidden/>
          </w:rPr>
          <w:fldChar w:fldCharType="separate"/>
        </w:r>
        <w:r w:rsidR="00CA0E55">
          <w:rPr>
            <w:webHidden/>
          </w:rPr>
          <w:t>33</w:t>
        </w:r>
        <w:r w:rsidR="00DD1521" w:rsidRPr="0001434C">
          <w:rPr>
            <w:webHidden/>
          </w:rPr>
          <w:fldChar w:fldCharType="end"/>
        </w:r>
      </w:hyperlink>
    </w:p>
    <w:p w:rsidR="00DD1521" w:rsidRPr="0001434C" w:rsidRDefault="00CB346C" w:rsidP="0001434C">
      <w:pPr>
        <w:pStyle w:val="TDC2"/>
      </w:pPr>
      <w:hyperlink w:anchor="_Toc5793773" w:history="1">
        <w:r w:rsidR="00DD1521" w:rsidRPr="0001434C">
          <w:rPr>
            <w:rStyle w:val="Hipervnculo"/>
            <w:rFonts w:cs="Arial"/>
          </w:rPr>
          <w:t>7.3 Evaluación económica de elaboración propia</w:t>
        </w:r>
        <w:r w:rsidR="00DD1521" w:rsidRPr="0001434C">
          <w:rPr>
            <w:webHidden/>
          </w:rPr>
          <w:tab/>
        </w:r>
        <w:r w:rsidR="00DD1521" w:rsidRPr="0001434C">
          <w:rPr>
            <w:webHidden/>
          </w:rPr>
          <w:fldChar w:fldCharType="begin"/>
        </w:r>
        <w:r w:rsidR="00DD1521" w:rsidRPr="0001434C">
          <w:rPr>
            <w:webHidden/>
          </w:rPr>
          <w:instrText xml:space="preserve"> PAGEREF _Toc5793773 \h </w:instrText>
        </w:r>
        <w:r w:rsidR="00DD1521" w:rsidRPr="0001434C">
          <w:rPr>
            <w:webHidden/>
          </w:rPr>
        </w:r>
        <w:r w:rsidR="00DD1521" w:rsidRPr="0001434C">
          <w:rPr>
            <w:webHidden/>
          </w:rPr>
          <w:fldChar w:fldCharType="separate"/>
        </w:r>
        <w:r w:rsidR="00CA0E55">
          <w:rPr>
            <w:webHidden/>
          </w:rPr>
          <w:t>39</w:t>
        </w:r>
        <w:r w:rsidR="00DD1521" w:rsidRPr="0001434C">
          <w:rPr>
            <w:webHidden/>
          </w:rPr>
          <w:fldChar w:fldCharType="end"/>
        </w:r>
      </w:hyperlink>
    </w:p>
    <w:p w:rsidR="00DD1521" w:rsidRPr="0001434C" w:rsidRDefault="00CB346C" w:rsidP="0001434C">
      <w:pPr>
        <w:pStyle w:val="TDC2"/>
      </w:pPr>
      <w:hyperlink w:anchor="_Toc5793774" w:history="1">
        <w:r w:rsidR="00DD1521" w:rsidRPr="0001434C">
          <w:rPr>
            <w:rStyle w:val="Hipervnculo"/>
            <w:rFonts w:cs="Arial"/>
          </w:rPr>
          <w:t>7.3.3 Coste-utilidad. Estudios propios</w:t>
        </w:r>
        <w:r w:rsidR="00DD1521" w:rsidRPr="0001434C">
          <w:rPr>
            <w:webHidden/>
          </w:rPr>
          <w:tab/>
        </w:r>
        <w:r w:rsidR="00DD1521" w:rsidRPr="0001434C">
          <w:rPr>
            <w:webHidden/>
          </w:rPr>
          <w:fldChar w:fldCharType="begin"/>
        </w:r>
        <w:r w:rsidR="00DD1521" w:rsidRPr="0001434C">
          <w:rPr>
            <w:webHidden/>
          </w:rPr>
          <w:instrText xml:space="preserve"> PAGEREF _Toc5793774 \h </w:instrText>
        </w:r>
        <w:r w:rsidR="00DD1521" w:rsidRPr="0001434C">
          <w:rPr>
            <w:webHidden/>
          </w:rPr>
        </w:r>
        <w:r w:rsidR="00DD1521" w:rsidRPr="0001434C">
          <w:rPr>
            <w:webHidden/>
          </w:rPr>
          <w:fldChar w:fldCharType="separate"/>
        </w:r>
        <w:r w:rsidR="00CA0E55">
          <w:rPr>
            <w:webHidden/>
          </w:rPr>
          <w:t>40</w:t>
        </w:r>
        <w:r w:rsidR="00DD1521" w:rsidRPr="0001434C">
          <w:rPr>
            <w:webHidden/>
          </w:rPr>
          <w:fldChar w:fldCharType="end"/>
        </w:r>
      </w:hyperlink>
    </w:p>
    <w:p w:rsidR="00DD1521" w:rsidRPr="0001434C" w:rsidRDefault="00CB346C" w:rsidP="0001434C">
      <w:pPr>
        <w:pStyle w:val="TDC1"/>
        <w:tabs>
          <w:tab w:val="right" w:leader="dot" w:pos="8729"/>
        </w:tabs>
        <w:spacing w:after="0" w:line="240" w:lineRule="auto"/>
        <w:rPr>
          <w:rFonts w:ascii="Arial" w:hAnsi="Arial" w:cs="Arial"/>
          <w:noProof/>
          <w:sz w:val="18"/>
          <w:szCs w:val="18"/>
        </w:rPr>
      </w:pPr>
      <w:hyperlink w:anchor="_Toc5793775" w:history="1">
        <w:r w:rsidR="00DD1521" w:rsidRPr="0001434C">
          <w:rPr>
            <w:rStyle w:val="Hipervnculo"/>
            <w:rFonts w:ascii="Arial" w:hAnsi="Arial" w:cs="Arial"/>
            <w:noProof/>
            <w:sz w:val="18"/>
            <w:szCs w:val="18"/>
          </w:rPr>
          <w:t>8. EVALUACIÓN DE LA CONVENIENCIA.</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_Toc5793775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43</w:t>
        </w:r>
        <w:r w:rsidR="00DD1521" w:rsidRPr="0001434C">
          <w:rPr>
            <w:rFonts w:ascii="Arial" w:hAnsi="Arial" w:cs="Arial"/>
            <w:noProof/>
            <w:webHidden/>
            <w:sz w:val="18"/>
            <w:szCs w:val="18"/>
          </w:rPr>
          <w:fldChar w:fldCharType="end"/>
        </w:r>
      </w:hyperlink>
    </w:p>
    <w:p w:rsidR="00DD1521" w:rsidRPr="0001434C" w:rsidRDefault="00CB346C" w:rsidP="0001434C">
      <w:pPr>
        <w:pStyle w:val="TDC2"/>
      </w:pPr>
      <w:hyperlink w:anchor="_Toc5793776" w:history="1">
        <w:r w:rsidR="00DD1521" w:rsidRPr="0001434C">
          <w:rPr>
            <w:rStyle w:val="Hipervnculo"/>
            <w:rFonts w:cs="Arial"/>
          </w:rPr>
          <w:t>8.1 Descripción de la conveniencia</w:t>
        </w:r>
        <w:r w:rsidR="00DD1521" w:rsidRPr="0001434C">
          <w:rPr>
            <w:webHidden/>
          </w:rPr>
          <w:tab/>
        </w:r>
        <w:r w:rsidR="00DD1521" w:rsidRPr="0001434C">
          <w:rPr>
            <w:webHidden/>
          </w:rPr>
          <w:fldChar w:fldCharType="begin"/>
        </w:r>
        <w:r w:rsidR="00DD1521" w:rsidRPr="0001434C">
          <w:rPr>
            <w:webHidden/>
          </w:rPr>
          <w:instrText xml:space="preserve"> PAGEREF _Toc5793776 \h </w:instrText>
        </w:r>
        <w:r w:rsidR="00DD1521" w:rsidRPr="0001434C">
          <w:rPr>
            <w:webHidden/>
          </w:rPr>
        </w:r>
        <w:r w:rsidR="00DD1521" w:rsidRPr="0001434C">
          <w:rPr>
            <w:webHidden/>
          </w:rPr>
          <w:fldChar w:fldCharType="separate"/>
        </w:r>
        <w:r w:rsidR="00CA0E55">
          <w:rPr>
            <w:webHidden/>
          </w:rPr>
          <w:t>43</w:t>
        </w:r>
        <w:r w:rsidR="00DD1521" w:rsidRPr="0001434C">
          <w:rPr>
            <w:webHidden/>
          </w:rPr>
          <w:fldChar w:fldCharType="end"/>
        </w:r>
      </w:hyperlink>
    </w:p>
    <w:p w:rsidR="00DD1521" w:rsidRPr="0001434C" w:rsidRDefault="00CB346C" w:rsidP="0001434C">
      <w:pPr>
        <w:pStyle w:val="TDC2"/>
      </w:pPr>
      <w:hyperlink w:anchor="_Toc5793777" w:history="1">
        <w:r w:rsidR="00DD1521" w:rsidRPr="0001434C">
          <w:rPr>
            <w:rStyle w:val="Hipervnculo"/>
            <w:rFonts w:cs="Arial"/>
          </w:rPr>
          <w:t>8.2 Influencia de la conveniencia en la efectividad del tratamiento</w:t>
        </w:r>
        <w:r w:rsidR="00DD1521" w:rsidRPr="0001434C">
          <w:rPr>
            <w:webHidden/>
          </w:rPr>
          <w:tab/>
        </w:r>
        <w:r w:rsidR="00DD1521" w:rsidRPr="0001434C">
          <w:rPr>
            <w:webHidden/>
          </w:rPr>
          <w:fldChar w:fldCharType="begin"/>
        </w:r>
        <w:r w:rsidR="00DD1521" w:rsidRPr="0001434C">
          <w:rPr>
            <w:webHidden/>
          </w:rPr>
          <w:instrText xml:space="preserve"> PAGEREF _Toc5793777 \h </w:instrText>
        </w:r>
        <w:r w:rsidR="00DD1521" w:rsidRPr="0001434C">
          <w:rPr>
            <w:webHidden/>
          </w:rPr>
        </w:r>
        <w:r w:rsidR="00DD1521" w:rsidRPr="0001434C">
          <w:rPr>
            <w:webHidden/>
          </w:rPr>
          <w:fldChar w:fldCharType="separate"/>
        </w:r>
        <w:r w:rsidR="00CA0E55">
          <w:rPr>
            <w:webHidden/>
          </w:rPr>
          <w:t>43</w:t>
        </w:r>
        <w:r w:rsidR="00DD1521" w:rsidRPr="0001434C">
          <w:rPr>
            <w:webHidden/>
          </w:rPr>
          <w:fldChar w:fldCharType="end"/>
        </w:r>
      </w:hyperlink>
    </w:p>
    <w:p w:rsidR="00DD1521" w:rsidRPr="0001434C" w:rsidRDefault="00CB346C" w:rsidP="0001434C">
      <w:pPr>
        <w:pStyle w:val="TDC1"/>
        <w:tabs>
          <w:tab w:val="right" w:leader="dot" w:pos="8729"/>
        </w:tabs>
        <w:spacing w:after="0" w:line="240" w:lineRule="auto"/>
        <w:rPr>
          <w:rFonts w:ascii="Arial" w:hAnsi="Arial" w:cs="Arial"/>
          <w:noProof/>
          <w:sz w:val="18"/>
          <w:szCs w:val="18"/>
        </w:rPr>
      </w:pPr>
      <w:hyperlink w:anchor="_Toc5793778" w:history="1">
        <w:r w:rsidR="00DD1521" w:rsidRPr="0001434C">
          <w:rPr>
            <w:rStyle w:val="Hipervnculo"/>
            <w:rFonts w:ascii="Arial" w:hAnsi="Arial" w:cs="Arial"/>
            <w:noProof/>
            <w:sz w:val="18"/>
            <w:szCs w:val="18"/>
          </w:rPr>
          <w:t>9. AREA DE CONCLUSIONES.</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_Toc5793778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43</w:t>
        </w:r>
        <w:r w:rsidR="00DD1521" w:rsidRPr="0001434C">
          <w:rPr>
            <w:rFonts w:ascii="Arial" w:hAnsi="Arial" w:cs="Arial"/>
            <w:noProof/>
            <w:webHidden/>
            <w:sz w:val="18"/>
            <w:szCs w:val="18"/>
          </w:rPr>
          <w:fldChar w:fldCharType="end"/>
        </w:r>
      </w:hyperlink>
    </w:p>
    <w:p w:rsidR="00DD1521" w:rsidRPr="0001434C" w:rsidRDefault="00CB346C" w:rsidP="0001434C">
      <w:pPr>
        <w:pStyle w:val="TDC2"/>
      </w:pPr>
      <w:hyperlink w:anchor="_Toc5793779" w:history="1">
        <w:r w:rsidR="00DD1521" w:rsidRPr="0001434C">
          <w:rPr>
            <w:rStyle w:val="Hipervnculo"/>
            <w:rFonts w:cs="Arial"/>
          </w:rPr>
          <w:t>9.2 Decisión</w:t>
        </w:r>
        <w:r w:rsidR="00DD1521" w:rsidRPr="0001434C">
          <w:rPr>
            <w:webHidden/>
          </w:rPr>
          <w:tab/>
        </w:r>
        <w:r w:rsidR="00DD1521" w:rsidRPr="0001434C">
          <w:rPr>
            <w:webHidden/>
          </w:rPr>
          <w:fldChar w:fldCharType="begin"/>
        </w:r>
        <w:r w:rsidR="00DD1521" w:rsidRPr="0001434C">
          <w:rPr>
            <w:webHidden/>
          </w:rPr>
          <w:instrText xml:space="preserve"> PAGEREF _Toc5793779 \h </w:instrText>
        </w:r>
        <w:r w:rsidR="00DD1521" w:rsidRPr="0001434C">
          <w:rPr>
            <w:webHidden/>
          </w:rPr>
        </w:r>
        <w:r w:rsidR="00DD1521" w:rsidRPr="0001434C">
          <w:rPr>
            <w:webHidden/>
          </w:rPr>
          <w:fldChar w:fldCharType="separate"/>
        </w:r>
        <w:r w:rsidR="00CA0E55">
          <w:rPr>
            <w:webHidden/>
          </w:rPr>
          <w:t>45</w:t>
        </w:r>
        <w:r w:rsidR="00DD1521" w:rsidRPr="0001434C">
          <w:rPr>
            <w:webHidden/>
          </w:rPr>
          <w:fldChar w:fldCharType="end"/>
        </w:r>
      </w:hyperlink>
    </w:p>
    <w:p w:rsidR="00DD1521" w:rsidRPr="0001434C" w:rsidRDefault="00CB346C" w:rsidP="0001434C">
      <w:pPr>
        <w:pStyle w:val="TDC2"/>
      </w:pPr>
      <w:hyperlink w:anchor="_Toc5793780" w:history="1">
        <w:r w:rsidR="00DD1521" w:rsidRPr="0001434C">
          <w:rPr>
            <w:rStyle w:val="Hipervnculo"/>
            <w:rFonts w:cs="Arial"/>
          </w:rPr>
          <w:t>9.3 Condiciones de uso (Solo en caso de clasificación D-E de la guía GINF)</w:t>
        </w:r>
        <w:r w:rsidR="00DD1521" w:rsidRPr="0001434C">
          <w:rPr>
            <w:webHidden/>
          </w:rPr>
          <w:tab/>
        </w:r>
        <w:r w:rsidR="00DD1521" w:rsidRPr="0001434C">
          <w:rPr>
            <w:webHidden/>
          </w:rPr>
          <w:fldChar w:fldCharType="begin"/>
        </w:r>
        <w:r w:rsidR="00DD1521" w:rsidRPr="0001434C">
          <w:rPr>
            <w:webHidden/>
          </w:rPr>
          <w:instrText xml:space="preserve"> PAGEREF _Toc5793780 \h </w:instrText>
        </w:r>
        <w:r w:rsidR="00DD1521" w:rsidRPr="0001434C">
          <w:rPr>
            <w:webHidden/>
          </w:rPr>
        </w:r>
        <w:r w:rsidR="00DD1521" w:rsidRPr="0001434C">
          <w:rPr>
            <w:webHidden/>
          </w:rPr>
          <w:fldChar w:fldCharType="separate"/>
        </w:r>
        <w:r w:rsidR="00CA0E55">
          <w:rPr>
            <w:webHidden/>
          </w:rPr>
          <w:t>45</w:t>
        </w:r>
        <w:r w:rsidR="00DD1521" w:rsidRPr="0001434C">
          <w:rPr>
            <w:webHidden/>
          </w:rPr>
          <w:fldChar w:fldCharType="end"/>
        </w:r>
      </w:hyperlink>
    </w:p>
    <w:p w:rsidR="00DD1521" w:rsidRPr="0001434C" w:rsidRDefault="00CB346C" w:rsidP="0001434C">
      <w:pPr>
        <w:pStyle w:val="TDC2"/>
      </w:pPr>
      <w:hyperlink w:anchor="_Toc5793781" w:history="1">
        <w:r w:rsidR="00DD1521" w:rsidRPr="0001434C">
          <w:rPr>
            <w:rStyle w:val="Hipervnculo"/>
            <w:rFonts w:cs="Arial"/>
          </w:rPr>
          <w:t>9.4 Plan de seguimiento</w:t>
        </w:r>
        <w:r w:rsidR="00DD1521" w:rsidRPr="0001434C">
          <w:rPr>
            <w:webHidden/>
          </w:rPr>
          <w:tab/>
        </w:r>
        <w:r w:rsidR="00DD1521" w:rsidRPr="0001434C">
          <w:rPr>
            <w:webHidden/>
          </w:rPr>
          <w:fldChar w:fldCharType="begin"/>
        </w:r>
        <w:r w:rsidR="00DD1521" w:rsidRPr="0001434C">
          <w:rPr>
            <w:webHidden/>
          </w:rPr>
          <w:instrText xml:space="preserve"> PAGEREF _Toc5793781 \h </w:instrText>
        </w:r>
        <w:r w:rsidR="00DD1521" w:rsidRPr="0001434C">
          <w:rPr>
            <w:webHidden/>
          </w:rPr>
        </w:r>
        <w:r w:rsidR="00DD1521" w:rsidRPr="0001434C">
          <w:rPr>
            <w:webHidden/>
          </w:rPr>
          <w:fldChar w:fldCharType="separate"/>
        </w:r>
        <w:r w:rsidR="00CA0E55">
          <w:rPr>
            <w:webHidden/>
          </w:rPr>
          <w:t>46</w:t>
        </w:r>
        <w:r w:rsidR="00DD1521" w:rsidRPr="0001434C">
          <w:rPr>
            <w:webHidden/>
          </w:rPr>
          <w:fldChar w:fldCharType="end"/>
        </w:r>
      </w:hyperlink>
    </w:p>
    <w:p w:rsidR="00DD1521" w:rsidRPr="0001434C" w:rsidRDefault="00CB346C" w:rsidP="0001434C">
      <w:pPr>
        <w:pStyle w:val="TDC1"/>
        <w:tabs>
          <w:tab w:val="right" w:leader="dot" w:pos="8729"/>
        </w:tabs>
        <w:spacing w:after="0" w:line="240" w:lineRule="auto"/>
        <w:rPr>
          <w:rFonts w:ascii="Arial" w:hAnsi="Arial" w:cs="Arial"/>
          <w:noProof/>
          <w:sz w:val="18"/>
          <w:szCs w:val="18"/>
        </w:rPr>
      </w:pPr>
      <w:hyperlink w:anchor="_Toc5793782" w:history="1">
        <w:r w:rsidR="00DD1521" w:rsidRPr="0001434C">
          <w:rPr>
            <w:rStyle w:val="Hipervnculo"/>
            <w:rFonts w:ascii="Arial" w:hAnsi="Arial" w:cs="Arial"/>
            <w:noProof/>
            <w:sz w:val="18"/>
            <w:szCs w:val="18"/>
          </w:rPr>
          <w:t>10. BIBLIOGRAFÍA</w:t>
        </w:r>
        <w:r w:rsidR="00DD1521" w:rsidRPr="0001434C">
          <w:rPr>
            <w:rFonts w:ascii="Arial" w:hAnsi="Arial" w:cs="Arial"/>
            <w:noProof/>
            <w:webHidden/>
            <w:sz w:val="18"/>
            <w:szCs w:val="18"/>
          </w:rPr>
          <w:tab/>
        </w:r>
        <w:r w:rsidR="00DD1521" w:rsidRPr="0001434C">
          <w:rPr>
            <w:rFonts w:ascii="Arial" w:hAnsi="Arial" w:cs="Arial"/>
            <w:noProof/>
            <w:webHidden/>
            <w:sz w:val="18"/>
            <w:szCs w:val="18"/>
          </w:rPr>
          <w:fldChar w:fldCharType="begin"/>
        </w:r>
        <w:r w:rsidR="00DD1521" w:rsidRPr="0001434C">
          <w:rPr>
            <w:rFonts w:ascii="Arial" w:hAnsi="Arial" w:cs="Arial"/>
            <w:noProof/>
            <w:webHidden/>
            <w:sz w:val="18"/>
            <w:szCs w:val="18"/>
          </w:rPr>
          <w:instrText xml:space="preserve"> PAGEREF _Toc5793782 \h </w:instrText>
        </w:r>
        <w:r w:rsidR="00DD1521" w:rsidRPr="0001434C">
          <w:rPr>
            <w:rFonts w:ascii="Arial" w:hAnsi="Arial" w:cs="Arial"/>
            <w:noProof/>
            <w:webHidden/>
            <w:sz w:val="18"/>
            <w:szCs w:val="18"/>
          </w:rPr>
        </w:r>
        <w:r w:rsidR="00DD1521" w:rsidRPr="0001434C">
          <w:rPr>
            <w:rFonts w:ascii="Arial" w:hAnsi="Arial" w:cs="Arial"/>
            <w:noProof/>
            <w:webHidden/>
            <w:sz w:val="18"/>
            <w:szCs w:val="18"/>
          </w:rPr>
          <w:fldChar w:fldCharType="separate"/>
        </w:r>
        <w:r w:rsidR="00CA0E55">
          <w:rPr>
            <w:rFonts w:ascii="Arial" w:hAnsi="Arial" w:cs="Arial"/>
            <w:noProof/>
            <w:webHidden/>
            <w:sz w:val="18"/>
            <w:szCs w:val="18"/>
          </w:rPr>
          <w:t>46</w:t>
        </w:r>
        <w:r w:rsidR="00DD1521" w:rsidRPr="0001434C">
          <w:rPr>
            <w:rFonts w:ascii="Arial" w:hAnsi="Arial" w:cs="Arial"/>
            <w:noProof/>
            <w:webHidden/>
            <w:sz w:val="18"/>
            <w:szCs w:val="18"/>
          </w:rPr>
          <w:fldChar w:fldCharType="end"/>
        </w:r>
      </w:hyperlink>
    </w:p>
    <w:p w:rsidR="00DD1521" w:rsidRPr="0001434C" w:rsidRDefault="00CB346C" w:rsidP="0001434C">
      <w:pPr>
        <w:pStyle w:val="TDC2"/>
      </w:pPr>
      <w:hyperlink w:anchor="_Toc5793783" w:history="1">
        <w:r w:rsidR="00DD1521" w:rsidRPr="0001434C">
          <w:rPr>
            <w:rStyle w:val="Hipervnculo"/>
            <w:rFonts w:cs="Arial"/>
            <w:bCs w:val="0"/>
          </w:rPr>
          <w:t>Anexos.</w:t>
        </w:r>
        <w:r w:rsidR="00DD1521" w:rsidRPr="0001434C">
          <w:rPr>
            <w:webHidden/>
          </w:rPr>
          <w:tab/>
        </w:r>
        <w:r w:rsidR="00DD1521" w:rsidRPr="0001434C">
          <w:rPr>
            <w:webHidden/>
          </w:rPr>
          <w:fldChar w:fldCharType="begin"/>
        </w:r>
        <w:r w:rsidR="00DD1521" w:rsidRPr="0001434C">
          <w:rPr>
            <w:webHidden/>
          </w:rPr>
          <w:instrText xml:space="preserve"> PAGEREF _Toc5793783 \h </w:instrText>
        </w:r>
        <w:r w:rsidR="00DD1521" w:rsidRPr="0001434C">
          <w:rPr>
            <w:webHidden/>
          </w:rPr>
        </w:r>
        <w:r w:rsidR="00DD1521" w:rsidRPr="0001434C">
          <w:rPr>
            <w:webHidden/>
          </w:rPr>
          <w:fldChar w:fldCharType="separate"/>
        </w:r>
        <w:r w:rsidR="00CA0E55">
          <w:rPr>
            <w:webHidden/>
          </w:rPr>
          <w:t>50</w:t>
        </w:r>
        <w:r w:rsidR="00DD1521" w:rsidRPr="0001434C">
          <w:rPr>
            <w:webHidden/>
          </w:rPr>
          <w:fldChar w:fldCharType="end"/>
        </w:r>
      </w:hyperlink>
    </w:p>
    <w:p w:rsidR="00DD1521" w:rsidRDefault="00DD1521" w:rsidP="0001434C">
      <w:pPr>
        <w:spacing w:after="0" w:line="240" w:lineRule="auto"/>
        <w:rPr>
          <w:rFonts w:ascii="Arial" w:hAnsi="Arial" w:cs="Arial"/>
          <w:sz w:val="18"/>
          <w:szCs w:val="18"/>
        </w:rPr>
      </w:pPr>
      <w:r w:rsidRPr="0001434C">
        <w:rPr>
          <w:rFonts w:ascii="Arial" w:hAnsi="Arial" w:cs="Arial"/>
          <w:sz w:val="18"/>
          <w:szCs w:val="18"/>
        </w:rPr>
        <w:fldChar w:fldCharType="end"/>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0"/>
          <w:szCs w:val="20"/>
        </w:rPr>
      </w:pPr>
      <w:r>
        <w:rPr>
          <w:rFonts w:ascii="Arial" w:hAnsi="Arial" w:cs="Arial"/>
          <w:b/>
          <w:bCs/>
          <w:sz w:val="20"/>
          <w:szCs w:val="20"/>
        </w:rPr>
        <w:t xml:space="preserve">Glosario: </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AEMPS: Agencia Española de Medicamentos y Productos Sanitarios.</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ALT: alanina aminotransferasa.</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ASCO: American Society of Clinical Oncology.</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AST: aspartato aminotransferasa.</w:t>
      </w:r>
    </w:p>
    <w:p w:rsidR="00DD1521" w:rsidRDefault="00DD1521" w:rsidP="006C3682">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AV: años de vida</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AVGLP: años de vida ganados libre de progresión</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AVG: años de vida ganados.</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AVAC: años de vida ajustados por calidad.</w:t>
      </w:r>
    </w:p>
    <w:p w:rsidR="00DD1521" w:rsidRPr="008641AF"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8641AF">
        <w:rPr>
          <w:rFonts w:ascii="Arial" w:hAnsi="Arial" w:cs="Arial"/>
          <w:sz w:val="20"/>
          <w:szCs w:val="20"/>
        </w:rPr>
        <w:t>CADTH: Canadian Agency for Drugs and Technologies in Health.</w:t>
      </w:r>
    </w:p>
    <w:p w:rsidR="00DD1521" w:rsidRPr="008641AF"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8641AF">
        <w:rPr>
          <w:rFonts w:ascii="Arial" w:hAnsi="Arial" w:cs="Arial"/>
          <w:sz w:val="20"/>
          <w:szCs w:val="20"/>
        </w:rPr>
        <w:t>CPM: cáncer de pulmón microcítico.</w:t>
      </w:r>
    </w:p>
    <w:p w:rsidR="00DD1521" w:rsidRPr="00060AE7"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pt-BR"/>
        </w:rPr>
      </w:pPr>
      <w:r w:rsidRPr="00060AE7">
        <w:rPr>
          <w:rFonts w:ascii="Arial" w:hAnsi="Arial" w:cs="Arial"/>
          <w:sz w:val="20"/>
          <w:szCs w:val="20"/>
          <w:lang w:val="pt-BR"/>
        </w:rPr>
        <w:t>CPNM: cáncer de pulmón no microcítico.</w:t>
      </w:r>
    </w:p>
    <w:p w:rsidR="00DD1521" w:rsidRPr="00060AE7"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pt-BR"/>
        </w:rPr>
      </w:pPr>
      <w:r w:rsidRPr="00060AE7">
        <w:rPr>
          <w:rFonts w:ascii="Arial" w:hAnsi="Arial" w:cs="Arial"/>
          <w:sz w:val="20"/>
          <w:szCs w:val="20"/>
          <w:lang w:val="pt-BR"/>
        </w:rPr>
        <w:t>CRI: comité revisor independiente.</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CVRS: calidad de vida relacionada con la salud.</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CYP3A: citocromo P450 3A.</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DRO: duración de la respuesta objetiva.</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ECOG: Eastern Cooperative Oncology Group performance status.</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EGFR: receptor del factor de crecimiento epidérmico (epidermal growth factor receptor).</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EMA: European Medicines Agency.</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 xml:space="preserve">EORTC QLQ-C30: European Organization for Research and Treatment of Cancer Quality of Life Questionnaire - Core Questionnaire. </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EORTC QLQ-LC13: European Organization for Research and Treatment of Cancer Quality of Life Questionnaire - Module for Lung Cancer.</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EPAR: European Public Assessment Report.</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EPI: Enfermedad pulmonar intersticial.</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EQ-5D: European Quality of Life-5 Dimensions.</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EQ-5D-3L: European Quality of Life-5 Dimensions-3 Levels.</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ESMO: European Society for Medical Oncology.</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FDA: Food and Drug Administration.</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HR: hazard ratio.</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IC95%: intervalo de confianza al 95%.</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ITK: Inhibidor de tirosina quinasa</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LSN: límite superior de la normalidad.</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NCCN: National Comprehensive Cancer Network.</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ND: No disponible</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val="en-US"/>
        </w:rPr>
      </w:pPr>
      <w:r>
        <w:rPr>
          <w:rFonts w:ascii="Arial" w:hAnsi="Arial" w:cs="Arial"/>
          <w:sz w:val="20"/>
          <w:szCs w:val="20"/>
          <w:lang w:val="en-US"/>
        </w:rPr>
        <w:t>NICE: National Institute for Care Excellence.</w:t>
      </w:r>
    </w:p>
    <w:p w:rsidR="00DD1521" w:rsidRPr="00544BAC"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544BAC">
        <w:rPr>
          <w:rFonts w:ascii="Arial" w:hAnsi="Arial" w:cs="Arial"/>
          <w:sz w:val="20"/>
          <w:szCs w:val="20"/>
        </w:rPr>
        <w:t>QTc: intervalo QT corregido.</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RCEI: ratio coste-efectividad incremental.</w:t>
      </w:r>
    </w:p>
    <w:p w:rsidR="00DD1521" w:rsidRPr="00B85537"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B85537">
        <w:rPr>
          <w:rFonts w:ascii="Arial" w:hAnsi="Arial" w:cs="Arial"/>
          <w:sz w:val="20"/>
          <w:szCs w:val="20"/>
        </w:rPr>
        <w:t>RECIST: Response Evaluation Criteria In Solid Tumors.</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SEOM: Sociedad Española de Oncología Médica.</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SG: supervivencia global.</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lastRenderedPageBreak/>
        <w:t>SLP: supervivencia libre de progresión.</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SNC: sistema nervioso central.</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SNS: Sistema Nacional de Salud.</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TCE: tasa de control de la enfermedad.</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TNM: tumour-node-metastasis.</w:t>
      </w:r>
    </w:p>
    <w:p w:rsidR="00DD1521" w:rsidRDefault="00DD152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TRO: tasa de respuesta objetiva.</w:t>
      </w:r>
    </w:p>
    <w:p w:rsidR="00DD1521" w:rsidRDefault="00DD1521">
      <w:pPr>
        <w:spacing w:after="0" w:line="240" w:lineRule="auto"/>
        <w:rPr>
          <w:rFonts w:ascii="Arial" w:hAnsi="Arial" w:cs="Arial"/>
          <w:b/>
          <w:bCs/>
          <w:sz w:val="20"/>
          <w:szCs w:val="20"/>
        </w:rPr>
      </w:pPr>
    </w:p>
    <w:p w:rsidR="00DD1521" w:rsidRPr="00C027D7" w:rsidRDefault="00DD1521">
      <w:pPr>
        <w:spacing w:after="0" w:line="240" w:lineRule="auto"/>
        <w:jc w:val="both"/>
        <w:rPr>
          <w:rFonts w:ascii="Arial" w:hAnsi="Arial" w:cs="Arial"/>
          <w:b/>
          <w:bCs/>
          <w:sz w:val="20"/>
          <w:szCs w:val="20"/>
        </w:rPr>
      </w:pPr>
      <w:r w:rsidRPr="00C027D7">
        <w:rPr>
          <w:rFonts w:ascii="Arial" w:hAnsi="Arial" w:cs="Arial"/>
          <w:b/>
          <w:bCs/>
          <w:sz w:val="20"/>
          <w:szCs w:val="20"/>
        </w:rPr>
        <w:t xml:space="preserve">Citar este informe como: </w:t>
      </w:r>
    </w:p>
    <w:p w:rsidR="00CA0E55" w:rsidRPr="00C027D7" w:rsidRDefault="00CA0E55">
      <w:pPr>
        <w:spacing w:after="0" w:line="240" w:lineRule="auto"/>
        <w:jc w:val="both"/>
        <w:rPr>
          <w:rFonts w:ascii="Arial" w:hAnsi="Arial" w:cs="Arial"/>
          <w:b/>
          <w:bCs/>
          <w:sz w:val="20"/>
          <w:szCs w:val="20"/>
        </w:rPr>
      </w:pPr>
    </w:p>
    <w:p w:rsidR="00CA0E55" w:rsidRPr="00C027D7" w:rsidRDefault="00A66246" w:rsidP="00A66246">
      <w:pPr>
        <w:spacing w:after="0" w:line="240" w:lineRule="auto"/>
        <w:rPr>
          <w:rFonts w:ascii="Arial" w:hAnsi="Arial" w:cs="Arial"/>
          <w:sz w:val="20"/>
          <w:szCs w:val="20"/>
        </w:rPr>
      </w:pPr>
      <w:r w:rsidRPr="00C027D7">
        <w:rPr>
          <w:rFonts w:ascii="Arial" w:hAnsi="Arial" w:cs="Arial"/>
          <w:sz w:val="20"/>
          <w:szCs w:val="20"/>
        </w:rPr>
        <w:t>García Muñiz C</w:t>
      </w:r>
      <w:r w:rsidR="00CA0E55" w:rsidRPr="00C027D7">
        <w:rPr>
          <w:rFonts w:ascii="Arial" w:hAnsi="Arial" w:cs="Arial"/>
          <w:sz w:val="20"/>
          <w:szCs w:val="20"/>
        </w:rPr>
        <w:t>,</w:t>
      </w:r>
      <w:r w:rsidRPr="00C027D7">
        <w:rPr>
          <w:rFonts w:ascii="Arial" w:hAnsi="Arial" w:cs="Arial"/>
          <w:sz w:val="20"/>
          <w:szCs w:val="20"/>
        </w:rPr>
        <w:t xml:space="preserve"> Jiménez Galán R, Arocas Casañ V, Clopés Estela A.</w:t>
      </w:r>
      <w:r w:rsidR="00CA0E55" w:rsidRPr="00C027D7">
        <w:rPr>
          <w:rFonts w:ascii="Arial" w:hAnsi="Arial" w:cs="Arial"/>
          <w:sz w:val="20"/>
          <w:szCs w:val="20"/>
        </w:rPr>
        <w:t xml:space="preserve"> </w:t>
      </w:r>
      <w:r w:rsidRPr="00C027D7">
        <w:rPr>
          <w:rFonts w:ascii="Arial" w:hAnsi="Arial" w:cs="Arial"/>
          <w:sz w:val="20"/>
          <w:szCs w:val="20"/>
        </w:rPr>
        <w:t>OSIMERTINIB</w:t>
      </w:r>
      <w:r w:rsidR="00C027D7" w:rsidRPr="00C027D7">
        <w:rPr>
          <w:rFonts w:ascii="Arial" w:hAnsi="Arial" w:cs="Arial"/>
          <w:sz w:val="20"/>
          <w:szCs w:val="20"/>
        </w:rPr>
        <w:t xml:space="preserve"> e</w:t>
      </w:r>
      <w:r w:rsidRPr="00C027D7">
        <w:rPr>
          <w:rFonts w:ascii="Arial" w:hAnsi="Arial" w:cs="Arial"/>
          <w:sz w:val="20"/>
          <w:szCs w:val="20"/>
        </w:rPr>
        <w:t>n cáncer de pulmón no microcítico con mutación EGFR.</w:t>
      </w:r>
      <w:r w:rsidR="0022455A">
        <w:rPr>
          <w:rFonts w:ascii="Arial" w:hAnsi="Arial" w:cs="Arial"/>
          <w:sz w:val="20"/>
          <w:szCs w:val="20"/>
        </w:rPr>
        <w:t xml:space="preserve"> Noviembre 2018.</w:t>
      </w:r>
      <w:r w:rsidR="00CA0E55" w:rsidRPr="00C027D7">
        <w:rPr>
          <w:rFonts w:ascii="Arial" w:hAnsi="Arial" w:cs="Arial"/>
          <w:sz w:val="20"/>
          <w:szCs w:val="20"/>
        </w:rPr>
        <w:t xml:space="preserve"> Informe compartido del grupo Génesis-SEFH. (revisor). MADRID: SEFH (ed.) </w:t>
      </w:r>
      <w:r w:rsidR="00A76134" w:rsidRPr="00A76134">
        <w:rPr>
          <w:rFonts w:ascii="Arial" w:hAnsi="Arial" w:cs="Arial"/>
          <w:sz w:val="20"/>
          <w:szCs w:val="20"/>
        </w:rPr>
        <w:t>(ed.), [2019]. ISBN. [Fecha de la consulta].</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Disponible en: </w:t>
      </w:r>
      <w:hyperlink r:id="rId7" w:history="1">
        <w:r>
          <w:rPr>
            <w:rStyle w:val="Hipervnculo"/>
            <w:rFonts w:ascii="Arial" w:hAnsi="Arial" w:cs="Arial"/>
            <w:sz w:val="20"/>
            <w:szCs w:val="20"/>
          </w:rPr>
          <w:t>http://gruposdetrabajo.sefh.es/genesis/genesis/Enlaces/InformesHosp_abc.htm</w:t>
        </w:r>
      </w:hyperlink>
    </w:p>
    <w:p w:rsidR="00DD1521" w:rsidRDefault="00DD1521">
      <w:pPr>
        <w:spacing w:after="0" w:line="240" w:lineRule="auto"/>
        <w:jc w:val="both"/>
        <w:rPr>
          <w:rFonts w:ascii="Arial" w:hAnsi="Arial" w:cs="Arial"/>
          <w:sz w:val="20"/>
          <w:szCs w:val="20"/>
        </w:rPr>
      </w:pPr>
      <w:r>
        <w:rPr>
          <w:rFonts w:ascii="Arial" w:hAnsi="Arial" w:cs="Arial"/>
          <w:sz w:val="20"/>
          <w:szCs w:val="20"/>
        </w:rPr>
        <w:t xml:space="preserve">También en: </w:t>
      </w:r>
      <w:hyperlink r:id="rId8" w:history="1">
        <w:r>
          <w:rPr>
            <w:rStyle w:val="Hipervnculo"/>
            <w:rFonts w:ascii="Arial" w:hAnsi="Arial" w:cs="Arial"/>
            <w:sz w:val="20"/>
            <w:szCs w:val="20"/>
          </w:rPr>
          <w:t>http://gruposdetrabajo.sefh.es/genesis/</w:t>
        </w:r>
      </w:hyperlink>
    </w:p>
    <w:p w:rsidR="00DD1521" w:rsidRDefault="00DD1521">
      <w:pPr>
        <w:spacing w:after="0" w:line="240" w:lineRule="auto"/>
        <w:rPr>
          <w:rFonts w:ascii="Arial" w:hAnsi="Arial" w:cs="Arial"/>
          <w:b/>
          <w:bCs/>
          <w:sz w:val="20"/>
          <w:szCs w:val="20"/>
        </w:rPr>
      </w:pPr>
    </w:p>
    <w:p w:rsidR="00DD1521" w:rsidRDefault="00DD1521">
      <w:pPr>
        <w:spacing w:after="0" w:line="240" w:lineRule="auto"/>
        <w:rPr>
          <w:rFonts w:ascii="Arial" w:hAnsi="Arial" w:cs="Arial"/>
          <w:b/>
          <w:bCs/>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DD1521">
        <w:trPr>
          <w:trHeight w:val="131"/>
        </w:trPr>
        <w:tc>
          <w:tcPr>
            <w:tcW w:w="8890" w:type="dxa"/>
            <w:shd w:val="clear" w:color="auto" w:fill="BFBFBF"/>
          </w:tcPr>
          <w:p w:rsidR="00DD1521" w:rsidRPr="00E23D29" w:rsidRDefault="00DD1521">
            <w:pPr>
              <w:pStyle w:val="Ttulo1"/>
              <w:shd w:val="clear" w:color="auto" w:fill="A6A6A6"/>
              <w:spacing w:after="0" w:line="240" w:lineRule="auto"/>
              <w:rPr>
                <w:rFonts w:ascii="Arial" w:hAnsi="Arial" w:cs="Arial"/>
                <w:kern w:val="0"/>
                <w:sz w:val="20"/>
                <w:szCs w:val="20"/>
              </w:rPr>
            </w:pPr>
            <w:bookmarkStart w:id="1" w:name="_Toc348931345"/>
            <w:bookmarkStart w:id="2" w:name="_Toc344399618"/>
            <w:bookmarkStart w:id="3" w:name="_Toc5793729"/>
            <w:r w:rsidRPr="00E23D29">
              <w:rPr>
                <w:rFonts w:ascii="Arial" w:hAnsi="Arial" w:cs="Arial"/>
                <w:kern w:val="0"/>
                <w:sz w:val="20"/>
                <w:szCs w:val="20"/>
              </w:rPr>
              <w:t>1.- IDENTIFICACIÓN DEL FÁRMACO Y AUTORES DEL INFORME</w:t>
            </w:r>
            <w:bookmarkEnd w:id="1"/>
            <w:bookmarkEnd w:id="2"/>
            <w:bookmarkEnd w:id="3"/>
          </w:p>
        </w:tc>
      </w:tr>
    </w:tbl>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b/>
          <w:bCs/>
          <w:sz w:val="20"/>
          <w:szCs w:val="20"/>
        </w:rPr>
        <w:t>Fármaco</w:t>
      </w:r>
      <w:r>
        <w:rPr>
          <w:rFonts w:ascii="Arial" w:hAnsi="Arial" w:cs="Arial"/>
          <w:sz w:val="20"/>
          <w:szCs w:val="20"/>
        </w:rPr>
        <w:t>: Osimertinib.</w:t>
      </w:r>
    </w:p>
    <w:p w:rsidR="00DD1521" w:rsidRDefault="00DD1521">
      <w:pPr>
        <w:spacing w:after="0" w:line="240" w:lineRule="auto"/>
        <w:jc w:val="both"/>
        <w:rPr>
          <w:rFonts w:ascii="Arial" w:hAnsi="Arial" w:cs="Arial"/>
          <w:sz w:val="20"/>
          <w:szCs w:val="20"/>
        </w:rPr>
      </w:pPr>
      <w:r>
        <w:rPr>
          <w:rFonts w:ascii="Arial" w:hAnsi="Arial" w:cs="Arial"/>
          <w:b/>
          <w:bCs/>
          <w:sz w:val="20"/>
          <w:szCs w:val="20"/>
        </w:rPr>
        <w:t>Indicaciones clínicas solicitadas:</w:t>
      </w:r>
      <w:r>
        <w:rPr>
          <w:rFonts w:ascii="Arial" w:hAnsi="Arial" w:cs="Arial"/>
          <w:sz w:val="20"/>
          <w:szCs w:val="20"/>
        </w:rPr>
        <w:t xml:space="preserve"> </w:t>
      </w:r>
    </w:p>
    <w:p w:rsidR="00DD1521" w:rsidRDefault="00DD1521">
      <w:pPr>
        <w:numPr>
          <w:ilvl w:val="0"/>
          <w:numId w:val="1"/>
        </w:numPr>
        <w:spacing w:after="0" w:line="240" w:lineRule="auto"/>
        <w:jc w:val="both"/>
        <w:rPr>
          <w:rFonts w:ascii="Arial" w:hAnsi="Arial" w:cs="Arial"/>
          <w:sz w:val="20"/>
          <w:szCs w:val="20"/>
        </w:rPr>
      </w:pPr>
      <w:r>
        <w:rPr>
          <w:rFonts w:ascii="Arial" w:hAnsi="Arial" w:cs="Arial"/>
          <w:sz w:val="20"/>
          <w:szCs w:val="20"/>
        </w:rPr>
        <w:t>Tratamiento de pacientes adultos con CPNM localmente avanzado o metastásico con mutación positiva del EGFR T790M.</w:t>
      </w:r>
    </w:p>
    <w:p w:rsidR="00DD1521" w:rsidRDefault="00DD1521">
      <w:pPr>
        <w:numPr>
          <w:ilvl w:val="0"/>
          <w:numId w:val="1"/>
        </w:numPr>
        <w:spacing w:after="0" w:line="240" w:lineRule="auto"/>
        <w:jc w:val="both"/>
        <w:textAlignment w:val="baseline"/>
        <w:rPr>
          <w:rFonts w:ascii="Noto Sans Symbols" w:hAnsi="Noto Sans Symbols" w:cs="Noto Sans Symbols"/>
          <w:color w:val="000000"/>
          <w:sz w:val="20"/>
          <w:szCs w:val="20"/>
        </w:rPr>
      </w:pPr>
      <w:r>
        <w:rPr>
          <w:rFonts w:ascii="Arial" w:hAnsi="Arial" w:cs="Arial"/>
          <w:color w:val="000000"/>
          <w:sz w:val="20"/>
          <w:szCs w:val="20"/>
        </w:rPr>
        <w:t>Tratamiento de primera línea de pacientes adultos con cáncer de pulmón no microcítico (CPNM) localmente avanzado o metastásico con mutaciones activadoras del receptor del factor de crecimiento epidérmico (EGFR).</w:t>
      </w:r>
    </w:p>
    <w:p w:rsidR="00CA0E55" w:rsidRDefault="00CA0E55" w:rsidP="00CA0E55">
      <w:pPr>
        <w:spacing w:after="0" w:line="240" w:lineRule="auto"/>
        <w:jc w:val="both"/>
        <w:rPr>
          <w:rFonts w:ascii="Arial" w:hAnsi="Arial" w:cs="Arial"/>
          <w:sz w:val="20"/>
          <w:szCs w:val="20"/>
        </w:rPr>
      </w:pPr>
      <w:r w:rsidRPr="00CA0E55">
        <w:rPr>
          <w:rFonts w:ascii="Arial" w:hAnsi="Arial" w:cs="Arial"/>
          <w:b/>
          <w:bCs/>
          <w:sz w:val="20"/>
          <w:szCs w:val="20"/>
        </w:rPr>
        <w:t xml:space="preserve">Autores / Revisores: </w:t>
      </w:r>
      <w:r>
        <w:rPr>
          <w:rFonts w:ascii="Arial" w:hAnsi="Arial" w:cs="Arial"/>
          <w:sz w:val="20"/>
          <w:szCs w:val="20"/>
        </w:rPr>
        <w:t>Carmen García Muñoz*, Rocío Jiménez Galán**, Vicente Arocas Casañ***, Ana Clopés Estela****</w:t>
      </w:r>
    </w:p>
    <w:p w:rsidR="00CA0E55" w:rsidRDefault="00CA0E55" w:rsidP="00CA0E55">
      <w:pPr>
        <w:spacing w:after="0" w:line="240" w:lineRule="auto"/>
        <w:jc w:val="both"/>
        <w:rPr>
          <w:rFonts w:ascii="Arial" w:hAnsi="Arial" w:cs="Arial"/>
          <w:sz w:val="20"/>
          <w:szCs w:val="20"/>
        </w:rPr>
      </w:pPr>
    </w:p>
    <w:p w:rsidR="00CA0E55" w:rsidRDefault="00CA0E55" w:rsidP="00CA0E55">
      <w:pPr>
        <w:autoSpaceDE w:val="0"/>
        <w:spacing w:after="0"/>
        <w:jc w:val="both"/>
        <w:rPr>
          <w:rFonts w:ascii="Arial" w:hAnsi="Arial" w:cs="Arial"/>
          <w:sz w:val="20"/>
          <w:szCs w:val="20"/>
        </w:rPr>
      </w:pPr>
      <w:r>
        <w:rPr>
          <w:rFonts w:ascii="Arial" w:hAnsi="Arial" w:cs="Arial"/>
          <w:sz w:val="20"/>
          <w:szCs w:val="20"/>
        </w:rPr>
        <w:t>** Servicio de Farmacia. Hospital Universitario 12 de octubre. Madrid.</w:t>
      </w:r>
    </w:p>
    <w:p w:rsidR="00CA0E55" w:rsidRDefault="00CA0E55" w:rsidP="00CA0E55">
      <w:pPr>
        <w:autoSpaceDE w:val="0"/>
        <w:spacing w:after="0"/>
        <w:jc w:val="both"/>
        <w:rPr>
          <w:rFonts w:ascii="Arial" w:hAnsi="Arial" w:cs="Arial"/>
          <w:sz w:val="20"/>
          <w:szCs w:val="20"/>
        </w:rPr>
      </w:pPr>
      <w:r>
        <w:rPr>
          <w:rFonts w:ascii="Arial" w:hAnsi="Arial" w:cs="Arial"/>
          <w:sz w:val="20"/>
          <w:szCs w:val="20"/>
        </w:rPr>
        <w:t>*** Servicio de farmacia Hospital Universitario Virgen del Rocío. Sevilla.</w:t>
      </w:r>
    </w:p>
    <w:p w:rsidR="00CA0E55" w:rsidRDefault="00CA0E55" w:rsidP="00CA0E55">
      <w:pPr>
        <w:autoSpaceDE w:val="0"/>
        <w:spacing w:after="0"/>
        <w:jc w:val="both"/>
        <w:rPr>
          <w:rFonts w:ascii="Arial" w:hAnsi="Arial" w:cs="Arial"/>
          <w:sz w:val="20"/>
          <w:szCs w:val="20"/>
        </w:rPr>
      </w:pPr>
      <w:r>
        <w:rPr>
          <w:rFonts w:ascii="Arial" w:hAnsi="Arial" w:cs="Arial"/>
          <w:sz w:val="20"/>
          <w:szCs w:val="20"/>
        </w:rPr>
        <w:t>*** Servicio de Farmacia. Hospital Clínico Universitario Virgen de la Arrixaca. Murcia.</w:t>
      </w:r>
    </w:p>
    <w:p w:rsidR="00CA0E55" w:rsidRPr="00DF0A71" w:rsidRDefault="00CA0E55" w:rsidP="00CA0E55">
      <w:pPr>
        <w:autoSpaceDE w:val="0"/>
        <w:spacing w:after="0"/>
        <w:jc w:val="both"/>
        <w:rPr>
          <w:rFonts w:ascii="Arial" w:hAnsi="Arial" w:cs="Arial"/>
          <w:sz w:val="20"/>
          <w:szCs w:val="20"/>
        </w:rPr>
      </w:pPr>
      <w:r>
        <w:rPr>
          <w:rFonts w:ascii="Arial" w:hAnsi="Arial" w:cs="Arial"/>
          <w:sz w:val="20"/>
          <w:szCs w:val="20"/>
        </w:rPr>
        <w:t xml:space="preserve">**** </w:t>
      </w:r>
      <w:r w:rsidRPr="00382A6C">
        <w:rPr>
          <w:rFonts w:ascii="Arial" w:hAnsi="Arial" w:cs="Arial"/>
          <w:sz w:val="20"/>
          <w:szCs w:val="20"/>
        </w:rPr>
        <w:t>Institut Català d'Oncologia</w:t>
      </w:r>
      <w:r w:rsidRPr="00DF0A71">
        <w:rPr>
          <w:rFonts w:ascii="Arial" w:hAnsi="Arial" w:cs="Arial"/>
          <w:sz w:val="20"/>
          <w:szCs w:val="20"/>
        </w:rPr>
        <w:t>. Barcelona.</w:t>
      </w:r>
    </w:p>
    <w:p w:rsidR="00CA0E55" w:rsidRDefault="00CA0E55" w:rsidP="00CA0E55">
      <w:pPr>
        <w:autoSpaceDE w:val="0"/>
        <w:spacing w:after="0"/>
        <w:jc w:val="both"/>
        <w:rPr>
          <w:rFonts w:ascii="Arial" w:hAnsi="Arial" w:cs="Arial"/>
          <w:sz w:val="20"/>
          <w:szCs w:val="20"/>
        </w:rPr>
      </w:pPr>
    </w:p>
    <w:p w:rsidR="00CA0E55" w:rsidRPr="00CA0E55" w:rsidRDefault="00CA0E55" w:rsidP="00CA0E55">
      <w:pPr>
        <w:spacing w:after="0" w:line="240" w:lineRule="auto"/>
        <w:jc w:val="both"/>
        <w:rPr>
          <w:rFonts w:ascii="Arial" w:hAnsi="Arial" w:cs="Arial"/>
          <w:bCs/>
          <w:sz w:val="20"/>
          <w:szCs w:val="20"/>
        </w:rPr>
      </w:pPr>
      <w:r w:rsidRPr="00CA0E55">
        <w:rPr>
          <w:rFonts w:ascii="Arial" w:hAnsi="Arial" w:cs="Arial"/>
          <w:b/>
          <w:bCs/>
          <w:sz w:val="20"/>
          <w:szCs w:val="20"/>
        </w:rPr>
        <w:t xml:space="preserve">Revisores: </w:t>
      </w:r>
      <w:r w:rsidRPr="00CA0E55">
        <w:rPr>
          <w:rFonts w:ascii="Arial" w:hAnsi="Arial" w:cs="Arial"/>
          <w:bCs/>
          <w:sz w:val="20"/>
          <w:szCs w:val="20"/>
        </w:rPr>
        <w:t>Revisión por el grupo Coordinador del grupo GENESIS de la SEFH.</w:t>
      </w:r>
    </w:p>
    <w:p w:rsidR="00CA0E55" w:rsidRPr="00CA0E55" w:rsidRDefault="00CA0E55">
      <w:pPr>
        <w:spacing w:after="0" w:line="240" w:lineRule="auto"/>
        <w:jc w:val="both"/>
        <w:rPr>
          <w:rFonts w:ascii="Arial" w:hAnsi="Arial" w:cs="Arial"/>
          <w:sz w:val="20"/>
          <w:szCs w:val="20"/>
        </w:rPr>
      </w:pPr>
      <w:r>
        <w:rPr>
          <w:rFonts w:ascii="Arial" w:hAnsi="Arial" w:cs="Arial"/>
          <w:b/>
          <w:bCs/>
          <w:sz w:val="20"/>
          <w:szCs w:val="20"/>
        </w:rPr>
        <w:t xml:space="preserve">Tipo de informe: </w:t>
      </w:r>
      <w:r>
        <w:rPr>
          <w:rFonts w:ascii="Arial" w:hAnsi="Arial" w:cs="Arial"/>
          <w:sz w:val="20"/>
          <w:szCs w:val="20"/>
        </w:rPr>
        <w:t>definitivo.</w:t>
      </w:r>
    </w:p>
    <w:p w:rsidR="00DD1521" w:rsidRDefault="00DD1521" w:rsidP="008641AF">
      <w:pPr>
        <w:spacing w:after="0" w:line="240" w:lineRule="auto"/>
        <w:jc w:val="both"/>
        <w:rPr>
          <w:rFonts w:ascii="Arial" w:hAnsi="Arial" w:cs="Arial"/>
          <w:sz w:val="20"/>
          <w:szCs w:val="20"/>
        </w:rPr>
      </w:pPr>
      <w:r>
        <w:rPr>
          <w:rFonts w:ascii="Arial" w:hAnsi="Arial" w:cs="Arial"/>
          <w:b/>
          <w:bCs/>
          <w:sz w:val="20"/>
          <w:szCs w:val="20"/>
        </w:rPr>
        <w:t>Alegaciones</w:t>
      </w:r>
      <w:r>
        <w:rPr>
          <w:rFonts w:ascii="Arial" w:hAnsi="Arial" w:cs="Arial"/>
          <w:b/>
          <w:bCs/>
          <w:color w:val="002060"/>
          <w:sz w:val="20"/>
          <w:szCs w:val="20"/>
        </w:rPr>
        <w:t xml:space="preserve">: </w:t>
      </w:r>
      <w:r>
        <w:rPr>
          <w:rFonts w:ascii="Arial" w:hAnsi="Arial" w:cs="Arial"/>
          <w:sz w:val="20"/>
          <w:szCs w:val="20"/>
        </w:rPr>
        <w:t>Un borrador de este informe fue presentado como borrador público en la Web del grupo Génesis de la SEFH, con la posibilidad de presentar propuestas al mismo. Se recibieron alegaciones de:</w:t>
      </w:r>
    </w:p>
    <w:p w:rsidR="00DD1521" w:rsidRDefault="00DD1521" w:rsidP="00233997">
      <w:pPr>
        <w:numPr>
          <w:ilvl w:val="0"/>
          <w:numId w:val="31"/>
        </w:numPr>
        <w:spacing w:after="0"/>
        <w:jc w:val="both"/>
        <w:rPr>
          <w:rFonts w:ascii="Arial" w:hAnsi="Arial" w:cs="Arial"/>
          <w:sz w:val="20"/>
          <w:szCs w:val="20"/>
        </w:rPr>
      </w:pPr>
      <w:r>
        <w:rPr>
          <w:rFonts w:ascii="Arial" w:hAnsi="Arial" w:cs="Arial"/>
          <w:sz w:val="20"/>
          <w:szCs w:val="20"/>
        </w:rPr>
        <w:t>Grupo GEDEFO (SEFH)</w:t>
      </w:r>
    </w:p>
    <w:p w:rsidR="00DD1521" w:rsidRPr="00233997" w:rsidRDefault="00233997" w:rsidP="00233997">
      <w:pPr>
        <w:pStyle w:val="Prrafodelista"/>
        <w:numPr>
          <w:ilvl w:val="0"/>
          <w:numId w:val="31"/>
        </w:numPr>
        <w:spacing w:after="0" w:line="240" w:lineRule="auto"/>
        <w:jc w:val="both"/>
        <w:outlineLvl w:val="0"/>
        <w:rPr>
          <w:rFonts w:ascii="Arial" w:hAnsi="Arial" w:cs="Arial"/>
          <w:sz w:val="20"/>
          <w:szCs w:val="20"/>
        </w:rPr>
      </w:pPr>
      <w:r w:rsidRPr="00233997">
        <w:rPr>
          <w:rFonts w:ascii="Arial" w:hAnsi="Arial" w:cs="Arial"/>
          <w:sz w:val="20"/>
          <w:szCs w:val="20"/>
        </w:rPr>
        <w:t xml:space="preserve">Arancha Martín Salazar (Market Access Manager) de </w:t>
      </w:r>
      <w:r w:rsidR="00DD1521" w:rsidRPr="00233997">
        <w:rPr>
          <w:rFonts w:ascii="Arial" w:hAnsi="Arial" w:cs="Arial"/>
          <w:sz w:val="20"/>
          <w:szCs w:val="20"/>
        </w:rPr>
        <w:t>Astra-Zeneca</w:t>
      </w:r>
    </w:p>
    <w:p w:rsidR="00DD1521" w:rsidRPr="00233997" w:rsidRDefault="00233997" w:rsidP="00233997">
      <w:pPr>
        <w:pStyle w:val="Prrafodelista"/>
        <w:numPr>
          <w:ilvl w:val="0"/>
          <w:numId w:val="31"/>
        </w:numPr>
        <w:spacing w:after="0" w:line="240" w:lineRule="auto"/>
        <w:outlineLvl w:val="0"/>
        <w:rPr>
          <w:rFonts w:ascii="Arial" w:hAnsi="Arial" w:cs="Arial"/>
          <w:sz w:val="20"/>
          <w:szCs w:val="20"/>
        </w:rPr>
      </w:pPr>
      <w:r w:rsidRPr="00233997">
        <w:rPr>
          <w:rFonts w:ascii="Arial" w:hAnsi="Arial" w:cs="Arial"/>
          <w:sz w:val="20"/>
          <w:szCs w:val="20"/>
        </w:rPr>
        <w:t>Mariona Massana y Núria Paladio (Medical Affairs y Market Access) de Boehringer</w:t>
      </w:r>
      <w:r>
        <w:rPr>
          <w:rFonts w:ascii="Arial" w:hAnsi="Arial" w:cs="Arial"/>
          <w:sz w:val="20"/>
          <w:szCs w:val="20"/>
        </w:rPr>
        <w:t xml:space="preserve">- </w:t>
      </w:r>
      <w:r w:rsidR="00DD1521" w:rsidRPr="00233997">
        <w:rPr>
          <w:rFonts w:ascii="Arial" w:hAnsi="Arial" w:cs="Arial"/>
          <w:sz w:val="20"/>
          <w:szCs w:val="20"/>
        </w:rPr>
        <w:t>Ingelheim</w:t>
      </w:r>
    </w:p>
    <w:p w:rsidR="00DD1521" w:rsidRPr="00233997" w:rsidRDefault="00233997" w:rsidP="00233997">
      <w:pPr>
        <w:pStyle w:val="Prrafodelista"/>
        <w:numPr>
          <w:ilvl w:val="0"/>
          <w:numId w:val="31"/>
        </w:numPr>
        <w:spacing w:after="0" w:line="240" w:lineRule="auto"/>
        <w:outlineLvl w:val="0"/>
        <w:rPr>
          <w:rFonts w:ascii="Arial" w:hAnsi="Arial" w:cs="Arial"/>
          <w:sz w:val="20"/>
          <w:szCs w:val="20"/>
        </w:rPr>
      </w:pPr>
      <w:r w:rsidRPr="00233997">
        <w:rPr>
          <w:rFonts w:ascii="Arial" w:hAnsi="Arial" w:cs="Arial"/>
          <w:sz w:val="20"/>
          <w:szCs w:val="20"/>
        </w:rPr>
        <w:t xml:space="preserve">Marina De Salas Cansado (Market Access Manager) de </w:t>
      </w:r>
      <w:r w:rsidR="00DD1521" w:rsidRPr="00233997">
        <w:rPr>
          <w:rFonts w:ascii="Arial" w:hAnsi="Arial" w:cs="Arial"/>
          <w:sz w:val="20"/>
          <w:szCs w:val="20"/>
        </w:rPr>
        <w:t>Roche Farma</w:t>
      </w:r>
    </w:p>
    <w:p w:rsidR="00CA0E55" w:rsidRDefault="00CA0E55" w:rsidP="00CA0E55">
      <w:pPr>
        <w:spacing w:after="0" w:line="240" w:lineRule="auto"/>
        <w:jc w:val="both"/>
        <w:rPr>
          <w:rFonts w:ascii="Arial" w:hAnsi="Arial" w:cs="Arial"/>
          <w:b/>
          <w:bCs/>
          <w:sz w:val="20"/>
          <w:szCs w:val="20"/>
        </w:rPr>
      </w:pPr>
    </w:p>
    <w:p w:rsidR="00CA0E55" w:rsidRPr="00CA0E55" w:rsidRDefault="00CA0E55" w:rsidP="00CA0E55">
      <w:pPr>
        <w:spacing w:after="0" w:line="240" w:lineRule="auto"/>
        <w:jc w:val="both"/>
        <w:rPr>
          <w:rFonts w:ascii="Arial" w:hAnsi="Arial" w:cs="Arial"/>
          <w:sz w:val="20"/>
          <w:szCs w:val="20"/>
        </w:rPr>
      </w:pPr>
      <w:r w:rsidRPr="00CA0E55">
        <w:rPr>
          <w:rFonts w:ascii="Arial" w:hAnsi="Arial" w:cs="Arial"/>
          <w:b/>
          <w:bCs/>
          <w:sz w:val="20"/>
          <w:szCs w:val="20"/>
        </w:rPr>
        <w:t xml:space="preserve">Declaración de conflicto de Intereses de los autores: </w:t>
      </w:r>
      <w:r w:rsidRPr="00CA0E55">
        <w:rPr>
          <w:rFonts w:ascii="Arial" w:hAnsi="Arial" w:cs="Arial"/>
          <w:sz w:val="20"/>
          <w:szCs w:val="20"/>
        </w:rPr>
        <w:t>Ver declaración en anexo al final del informe.</w:t>
      </w:r>
    </w:p>
    <w:p w:rsidR="00CA0E55" w:rsidRDefault="00CA0E55" w:rsidP="00CA0E55">
      <w:pPr>
        <w:spacing w:after="0"/>
        <w:ind w:left="720"/>
        <w:jc w:val="both"/>
        <w:rPr>
          <w:rFonts w:ascii="Arial" w:hAnsi="Arial" w:cs="Arial"/>
          <w:sz w:val="20"/>
          <w:szCs w:val="20"/>
        </w:rPr>
      </w:pPr>
    </w:p>
    <w:p w:rsidR="00DD1521" w:rsidRDefault="00DD1521">
      <w:pPr>
        <w:tabs>
          <w:tab w:val="left" w:pos="3343"/>
        </w:tabs>
        <w:spacing w:after="0" w:line="240" w:lineRule="auto"/>
        <w:jc w:val="both"/>
        <w:rPr>
          <w:rFonts w:ascii="Arial" w:hAnsi="Arial" w:cs="Arial"/>
          <w:sz w:val="20"/>
          <w:szCs w:val="20"/>
        </w:rPr>
      </w:pPr>
      <w:r>
        <w:rPr>
          <w:rFonts w:ascii="Arial" w:hAnsi="Arial" w:cs="Arial"/>
          <w:sz w:val="20"/>
          <w:szCs w:val="20"/>
        </w:rPr>
        <w:lastRenderedPageBreak/>
        <w:t>Para la elaboración del informe se ha utilizado el Programa MADRE versión 4.0</w:t>
      </w:r>
      <w:r>
        <w:rPr>
          <w:rStyle w:val="Refdenotaalpie"/>
          <w:rFonts w:ascii="Arial" w:hAnsi="Arial" w:cs="Arial"/>
          <w:sz w:val="20"/>
          <w:szCs w:val="20"/>
        </w:rPr>
        <w:footnoteReference w:id="1"/>
      </w:r>
      <w:r>
        <w:rPr>
          <w:rFonts w:ascii="Arial" w:hAnsi="Arial" w:cs="Arial"/>
          <w:sz w:val="20"/>
          <w:szCs w:val="20"/>
        </w:rPr>
        <w:t xml:space="preserve"> y Guía EE e IP</w:t>
      </w:r>
      <w:r>
        <w:rPr>
          <w:rStyle w:val="Refdenotaalpie"/>
          <w:rFonts w:ascii="Arial" w:hAnsi="Arial" w:cs="Arial"/>
          <w:sz w:val="20"/>
          <w:szCs w:val="20"/>
        </w:rPr>
        <w:footnoteReference w:id="2"/>
      </w:r>
    </w:p>
    <w:p w:rsidR="00DD1521" w:rsidRDefault="00DD1521">
      <w:pPr>
        <w:spacing w:after="0" w:line="240" w:lineRule="auto"/>
        <w:jc w:val="both"/>
        <w:rPr>
          <w:rFonts w:ascii="Arial" w:hAnsi="Arial" w:cs="Arial"/>
          <w:color w:val="0000FF"/>
          <w:sz w:val="20"/>
          <w:szCs w:val="20"/>
        </w:rPr>
      </w:pPr>
    </w:p>
    <w:p w:rsidR="00DD1521" w:rsidRDefault="00DD1521">
      <w:pPr>
        <w:spacing w:after="0" w:line="240" w:lineRule="auto"/>
        <w:jc w:val="both"/>
        <w:rPr>
          <w:rFonts w:ascii="Arial" w:hAnsi="Arial" w:cs="Arial"/>
          <w:color w:val="0000FF"/>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DD1521">
        <w:trPr>
          <w:trHeight w:val="90"/>
        </w:trPr>
        <w:tc>
          <w:tcPr>
            <w:tcW w:w="8890" w:type="dxa"/>
            <w:shd w:val="clear" w:color="auto" w:fill="B3B3B3"/>
          </w:tcPr>
          <w:p w:rsidR="00DD1521" w:rsidRPr="00E23D29" w:rsidRDefault="00DD1521">
            <w:pPr>
              <w:pStyle w:val="Ttulo1"/>
              <w:shd w:val="clear" w:color="auto" w:fill="A6A6A6"/>
              <w:spacing w:after="0" w:line="240" w:lineRule="auto"/>
              <w:rPr>
                <w:rFonts w:ascii="Arial" w:hAnsi="Arial" w:cs="Arial"/>
                <w:kern w:val="0"/>
                <w:sz w:val="20"/>
                <w:szCs w:val="20"/>
              </w:rPr>
            </w:pPr>
            <w:bookmarkStart w:id="4" w:name="_Toc344399619"/>
            <w:bookmarkStart w:id="5" w:name="_Toc348931346"/>
            <w:bookmarkStart w:id="6" w:name="_Toc5793730"/>
            <w:r w:rsidRPr="00E23D29">
              <w:rPr>
                <w:rFonts w:ascii="Arial" w:hAnsi="Arial" w:cs="Arial"/>
                <w:kern w:val="0"/>
                <w:sz w:val="20"/>
                <w:szCs w:val="20"/>
              </w:rPr>
              <w:t>2.- SOLICITUD Y DATOS DEL PROCESO DE EVALUACIÓN</w:t>
            </w:r>
            <w:bookmarkEnd w:id="4"/>
            <w:bookmarkEnd w:id="5"/>
            <w:bookmarkEnd w:id="6"/>
          </w:p>
        </w:tc>
      </w:tr>
    </w:tbl>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sz w:val="20"/>
          <w:szCs w:val="20"/>
        </w:rPr>
      </w:pPr>
      <w:r>
        <w:rPr>
          <w:rFonts w:ascii="Arial" w:hAnsi="Arial" w:cs="Arial"/>
          <w:b/>
          <w:bCs/>
          <w:sz w:val="20"/>
          <w:szCs w:val="20"/>
        </w:rPr>
        <w:t xml:space="preserve">Justificación de la solicitud: </w:t>
      </w:r>
      <w:r>
        <w:rPr>
          <w:rFonts w:ascii="Arial" w:hAnsi="Arial" w:cs="Arial"/>
          <w:sz w:val="20"/>
          <w:szCs w:val="20"/>
        </w:rPr>
        <w:t>Este informe técnico se realiza a demanda del grupo GENESIS, por tratarse de un fármaco novedoso, cuyo lugar en terapéutica precisa evaluación.</w:t>
      </w:r>
    </w:p>
    <w:p w:rsidR="00DD1521" w:rsidRDefault="00DD1521">
      <w:pPr>
        <w:spacing w:after="0" w:line="240" w:lineRule="auto"/>
        <w:jc w:val="both"/>
        <w:rPr>
          <w:rFonts w:ascii="Arial" w:hAnsi="Arial" w:cs="Arial"/>
          <w:sz w:val="20"/>
          <w:szCs w:val="20"/>
        </w:rPr>
      </w:pPr>
    </w:p>
    <w:tbl>
      <w:tblPr>
        <w:tblW w:w="885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59"/>
      </w:tblGrid>
      <w:tr w:rsidR="00DD1521">
        <w:tc>
          <w:tcPr>
            <w:tcW w:w="8859" w:type="dxa"/>
            <w:shd w:val="clear" w:color="auto" w:fill="B3B3B3"/>
          </w:tcPr>
          <w:p w:rsidR="00DD1521" w:rsidRPr="00E23D29" w:rsidRDefault="00DD1521">
            <w:pPr>
              <w:pStyle w:val="Ttulo1"/>
              <w:shd w:val="clear" w:color="auto" w:fill="A6A6A6"/>
              <w:spacing w:after="0" w:line="240" w:lineRule="auto"/>
              <w:rPr>
                <w:rFonts w:ascii="Arial" w:hAnsi="Arial" w:cs="Arial"/>
                <w:kern w:val="0"/>
                <w:sz w:val="20"/>
                <w:szCs w:val="20"/>
              </w:rPr>
            </w:pPr>
            <w:bookmarkStart w:id="7" w:name="_Toc344399620"/>
            <w:bookmarkStart w:id="8" w:name="_Toc348931347"/>
            <w:bookmarkStart w:id="9" w:name="_Toc5793731"/>
            <w:r w:rsidRPr="00E23D29">
              <w:rPr>
                <w:rFonts w:ascii="Arial" w:hAnsi="Arial" w:cs="Arial"/>
                <w:kern w:val="0"/>
                <w:sz w:val="20"/>
                <w:szCs w:val="20"/>
              </w:rPr>
              <w:t>3.- AREA DESCRIPTIVA DEL MEDICAMENTO Y DEL PROBLEMA DE SALUD</w:t>
            </w:r>
            <w:bookmarkEnd w:id="7"/>
            <w:bookmarkEnd w:id="8"/>
            <w:bookmarkEnd w:id="9"/>
          </w:p>
        </w:tc>
      </w:tr>
    </w:tbl>
    <w:p w:rsidR="00DD1521" w:rsidRDefault="00DD1521">
      <w:pPr>
        <w:spacing w:after="0" w:line="240" w:lineRule="auto"/>
        <w:rPr>
          <w:rFonts w:ascii="Arial" w:hAnsi="Arial" w:cs="Arial"/>
          <w:b/>
          <w:bCs/>
          <w:sz w:val="20"/>
          <w:szCs w:val="20"/>
        </w:rPr>
      </w:pPr>
    </w:p>
    <w:p w:rsidR="00DD1521" w:rsidRDefault="00DD1521">
      <w:pPr>
        <w:pStyle w:val="Ttulo2"/>
        <w:pBdr>
          <w:top w:val="single" w:sz="4" w:space="1" w:color="auto"/>
          <w:left w:val="single" w:sz="4" w:space="4" w:color="auto"/>
          <w:bottom w:val="single" w:sz="4" w:space="1" w:color="auto"/>
          <w:right w:val="single" w:sz="4" w:space="2" w:color="auto"/>
        </w:pBdr>
        <w:shd w:val="clear" w:color="auto" w:fill="D9D9D9"/>
        <w:spacing w:after="0" w:line="240" w:lineRule="auto"/>
        <w:rPr>
          <w:rFonts w:ascii="Arial" w:hAnsi="Arial" w:cs="Arial"/>
          <w:sz w:val="20"/>
          <w:szCs w:val="20"/>
        </w:rPr>
      </w:pPr>
      <w:bookmarkStart w:id="10" w:name="_Toc344399621"/>
      <w:bookmarkStart w:id="11" w:name="_Toc348931348"/>
      <w:bookmarkStart w:id="12" w:name="_Toc5793732"/>
      <w:r>
        <w:rPr>
          <w:rFonts w:ascii="Arial" w:hAnsi="Arial" w:cs="Arial"/>
          <w:sz w:val="20"/>
          <w:szCs w:val="20"/>
        </w:rPr>
        <w:t>3.1 Área descriptiva del medicamento</w:t>
      </w:r>
      <w:bookmarkEnd w:id="10"/>
      <w:bookmarkEnd w:id="11"/>
      <w:bookmarkEnd w:id="12"/>
    </w:p>
    <w:p w:rsidR="00DD1521" w:rsidRDefault="00DD1521">
      <w:pPr>
        <w:spacing w:after="0" w:line="240" w:lineRule="auto"/>
        <w:rPr>
          <w:rFonts w:ascii="Arial" w:hAnsi="Arial" w:cs="Arial"/>
          <w:b/>
          <w:bCs/>
          <w:sz w:val="20"/>
          <w:szCs w:val="20"/>
        </w:rPr>
      </w:pPr>
    </w:p>
    <w:p w:rsidR="00DD1521" w:rsidRDefault="00DD1521">
      <w:pPr>
        <w:spacing w:after="0" w:line="240" w:lineRule="auto"/>
        <w:rPr>
          <w:rFonts w:ascii="Arial" w:hAnsi="Arial" w:cs="Arial"/>
          <w:sz w:val="20"/>
          <w:szCs w:val="20"/>
        </w:rPr>
      </w:pPr>
      <w:r>
        <w:rPr>
          <w:rFonts w:ascii="Arial" w:hAnsi="Arial" w:cs="Arial"/>
          <w:b/>
          <w:bCs/>
          <w:sz w:val="20"/>
          <w:szCs w:val="20"/>
        </w:rPr>
        <w:t>Nombre genérico</w:t>
      </w:r>
      <w:r>
        <w:rPr>
          <w:rFonts w:ascii="Arial" w:hAnsi="Arial" w:cs="Arial"/>
          <w:sz w:val="20"/>
          <w:szCs w:val="20"/>
        </w:rPr>
        <w:t>: Osimertinib.</w:t>
      </w:r>
    </w:p>
    <w:p w:rsidR="00DD1521" w:rsidRDefault="00DD1521">
      <w:pPr>
        <w:spacing w:after="0" w:line="240" w:lineRule="auto"/>
        <w:rPr>
          <w:rFonts w:ascii="Arial" w:hAnsi="Arial" w:cs="Arial"/>
          <w:sz w:val="20"/>
          <w:szCs w:val="20"/>
        </w:rPr>
      </w:pPr>
      <w:r>
        <w:rPr>
          <w:rFonts w:ascii="Arial" w:hAnsi="Arial" w:cs="Arial"/>
          <w:b/>
          <w:bCs/>
          <w:sz w:val="20"/>
          <w:szCs w:val="20"/>
        </w:rPr>
        <w:t>Nombre comercial</w:t>
      </w:r>
      <w:r>
        <w:rPr>
          <w:rFonts w:ascii="Arial" w:hAnsi="Arial" w:cs="Arial"/>
          <w:sz w:val="20"/>
          <w:szCs w:val="20"/>
        </w:rPr>
        <w:t>: Tagrisso</w:t>
      </w:r>
      <w:r>
        <w:rPr>
          <w:rFonts w:ascii="Arial" w:hAnsi="Arial" w:cs="Arial"/>
          <w:sz w:val="20"/>
          <w:szCs w:val="20"/>
          <w:vertAlign w:val="superscript"/>
        </w:rPr>
        <w:t>®</w:t>
      </w:r>
      <w:r>
        <w:rPr>
          <w:rFonts w:ascii="Arial" w:hAnsi="Arial" w:cs="Arial"/>
          <w:sz w:val="20"/>
          <w:szCs w:val="20"/>
        </w:rPr>
        <w:t>.</w:t>
      </w:r>
    </w:p>
    <w:p w:rsidR="00DD1521" w:rsidRDefault="00DD1521">
      <w:pPr>
        <w:spacing w:after="0" w:line="240" w:lineRule="auto"/>
        <w:rPr>
          <w:rFonts w:ascii="Arial" w:hAnsi="Arial" w:cs="Arial"/>
          <w:sz w:val="20"/>
          <w:szCs w:val="20"/>
        </w:rPr>
      </w:pPr>
      <w:r>
        <w:rPr>
          <w:rFonts w:ascii="Arial" w:hAnsi="Arial" w:cs="Arial"/>
          <w:b/>
          <w:bCs/>
          <w:sz w:val="20"/>
          <w:szCs w:val="20"/>
        </w:rPr>
        <w:t>Laboratorio</w:t>
      </w:r>
      <w:r>
        <w:rPr>
          <w:rFonts w:ascii="Arial" w:hAnsi="Arial" w:cs="Arial"/>
          <w:sz w:val="20"/>
          <w:szCs w:val="20"/>
        </w:rPr>
        <w:t>: Astrazeneca.</w:t>
      </w:r>
    </w:p>
    <w:p w:rsidR="00DD1521" w:rsidRDefault="00DD1521" w:rsidP="008641AF">
      <w:pPr>
        <w:spacing w:after="0" w:line="240" w:lineRule="auto"/>
        <w:jc w:val="both"/>
        <w:rPr>
          <w:rFonts w:ascii="Arial" w:hAnsi="Arial" w:cs="Arial"/>
          <w:sz w:val="20"/>
          <w:szCs w:val="20"/>
        </w:rPr>
      </w:pPr>
      <w:r>
        <w:rPr>
          <w:rFonts w:ascii="Arial" w:hAnsi="Arial" w:cs="Arial"/>
          <w:b/>
          <w:bCs/>
          <w:sz w:val="20"/>
          <w:szCs w:val="20"/>
        </w:rPr>
        <w:t>Grupo terapéutico</w:t>
      </w:r>
      <w:r>
        <w:rPr>
          <w:rFonts w:ascii="Arial" w:hAnsi="Arial" w:cs="Arial"/>
          <w:sz w:val="20"/>
          <w:szCs w:val="20"/>
        </w:rPr>
        <w:t xml:space="preserve">. Denominación: agentes antineoplásicos, inhibidores de la proteín quinasa.                               Código ATC: L01XE35                               </w:t>
      </w:r>
    </w:p>
    <w:p w:rsidR="00DD1521" w:rsidRDefault="00DD1521">
      <w:pPr>
        <w:spacing w:after="0" w:line="240" w:lineRule="auto"/>
        <w:rPr>
          <w:rFonts w:ascii="Arial" w:hAnsi="Arial" w:cs="Arial"/>
          <w:sz w:val="20"/>
          <w:szCs w:val="20"/>
        </w:rPr>
      </w:pPr>
      <w:r>
        <w:rPr>
          <w:rFonts w:ascii="Arial" w:hAnsi="Arial" w:cs="Arial"/>
          <w:b/>
          <w:bCs/>
          <w:sz w:val="20"/>
          <w:szCs w:val="20"/>
        </w:rPr>
        <w:t>Vía de administración</w:t>
      </w:r>
      <w:r>
        <w:rPr>
          <w:rFonts w:ascii="Arial" w:hAnsi="Arial" w:cs="Arial"/>
          <w:sz w:val="20"/>
          <w:szCs w:val="20"/>
        </w:rPr>
        <w:t>: oral.</w:t>
      </w:r>
    </w:p>
    <w:p w:rsidR="00DD1521" w:rsidRDefault="00DD1521">
      <w:pPr>
        <w:spacing w:after="0" w:line="240" w:lineRule="auto"/>
        <w:jc w:val="both"/>
        <w:rPr>
          <w:rFonts w:ascii="Arial" w:hAnsi="Arial" w:cs="Arial"/>
          <w:sz w:val="20"/>
          <w:szCs w:val="20"/>
        </w:rPr>
      </w:pPr>
      <w:r>
        <w:rPr>
          <w:rFonts w:ascii="Arial" w:hAnsi="Arial" w:cs="Arial"/>
          <w:b/>
          <w:bCs/>
          <w:sz w:val="20"/>
          <w:szCs w:val="20"/>
        </w:rPr>
        <w:t>Tipo de dispensación</w:t>
      </w:r>
      <w:r>
        <w:rPr>
          <w:rFonts w:ascii="Arial" w:hAnsi="Arial" w:cs="Arial"/>
          <w:sz w:val="20"/>
          <w:szCs w:val="20"/>
        </w:rPr>
        <w:t>: Dispensación hospitalaria sin cupón precinto.</w:t>
      </w:r>
    </w:p>
    <w:p w:rsidR="00DD1521" w:rsidRDefault="00DD1521">
      <w:pPr>
        <w:pStyle w:val="Encabezado"/>
        <w:tabs>
          <w:tab w:val="clear" w:pos="4252"/>
          <w:tab w:val="clear" w:pos="8504"/>
        </w:tabs>
        <w:spacing w:after="0" w:line="240" w:lineRule="auto"/>
        <w:jc w:val="both"/>
        <w:rPr>
          <w:rFonts w:ascii="Arial" w:hAnsi="Arial" w:cs="Arial"/>
          <w:sz w:val="20"/>
        </w:rPr>
      </w:pPr>
      <w:r>
        <w:rPr>
          <w:rFonts w:ascii="Arial" w:hAnsi="Arial" w:cs="Arial"/>
          <w:b/>
          <w:bCs/>
          <w:sz w:val="20"/>
        </w:rPr>
        <w:t>Información de registro</w:t>
      </w:r>
      <w:r>
        <w:rPr>
          <w:rFonts w:ascii="Arial" w:hAnsi="Arial" w:cs="Arial"/>
          <w:sz w:val="20"/>
        </w:rPr>
        <w:t xml:space="preserve">: Procedimiento centralizado. </w:t>
      </w:r>
    </w:p>
    <w:p w:rsidR="00DD1521" w:rsidRDefault="00DD1521">
      <w:pPr>
        <w:pStyle w:val="Encabezado"/>
        <w:tabs>
          <w:tab w:val="clear" w:pos="4252"/>
          <w:tab w:val="clear" w:pos="8504"/>
        </w:tabs>
        <w:spacing w:after="0" w:line="240" w:lineRule="auto"/>
        <w:jc w:val="both"/>
        <w:rPr>
          <w:rFonts w:ascii="Arial" w:hAnsi="Arial" w:cs="Arial"/>
          <w:sz w:val="20"/>
        </w:rPr>
      </w:pPr>
    </w:p>
    <w:tbl>
      <w:tblPr>
        <w:tblW w:w="881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136"/>
        <w:gridCol w:w="1238"/>
        <w:gridCol w:w="965"/>
        <w:gridCol w:w="2475"/>
      </w:tblGrid>
      <w:tr w:rsidR="00DD1521">
        <w:trPr>
          <w:cantSplit/>
        </w:trPr>
        <w:tc>
          <w:tcPr>
            <w:tcW w:w="8814" w:type="dxa"/>
            <w:gridSpan w:val="4"/>
          </w:tcPr>
          <w:p w:rsidR="00DD1521" w:rsidRDefault="00DD1521">
            <w:pPr>
              <w:spacing w:after="0" w:line="240" w:lineRule="auto"/>
              <w:rPr>
                <w:rFonts w:ascii="Arial" w:hAnsi="Arial" w:cs="Arial"/>
                <w:b/>
                <w:bCs/>
                <w:sz w:val="18"/>
                <w:szCs w:val="18"/>
              </w:rPr>
            </w:pPr>
            <w:r>
              <w:rPr>
                <w:rFonts w:ascii="Arial" w:hAnsi="Arial" w:cs="Arial"/>
                <w:b/>
                <w:bCs/>
                <w:sz w:val="18"/>
                <w:szCs w:val="18"/>
              </w:rPr>
              <w:t>Tabla 1. Presentaciones y precio</w:t>
            </w:r>
          </w:p>
        </w:tc>
      </w:tr>
      <w:tr w:rsidR="00DD1521">
        <w:trPr>
          <w:cantSplit/>
        </w:trPr>
        <w:tc>
          <w:tcPr>
            <w:tcW w:w="4136" w:type="dxa"/>
          </w:tcPr>
          <w:p w:rsidR="00DD1521" w:rsidRDefault="00DD1521">
            <w:pPr>
              <w:spacing w:after="0" w:line="240" w:lineRule="auto"/>
              <w:jc w:val="both"/>
              <w:rPr>
                <w:rFonts w:ascii="Arial" w:hAnsi="Arial" w:cs="Arial"/>
                <w:sz w:val="16"/>
                <w:szCs w:val="16"/>
              </w:rPr>
            </w:pPr>
            <w:r>
              <w:rPr>
                <w:rFonts w:ascii="Arial" w:hAnsi="Arial" w:cs="Arial"/>
                <w:sz w:val="16"/>
                <w:szCs w:val="16"/>
              </w:rPr>
              <w:t>Forma farmacéutica y dosis</w:t>
            </w:r>
          </w:p>
        </w:tc>
        <w:tc>
          <w:tcPr>
            <w:tcW w:w="1238" w:type="dxa"/>
          </w:tcPr>
          <w:p w:rsidR="00DD1521" w:rsidRDefault="00DD1521">
            <w:pPr>
              <w:spacing w:after="0" w:line="240" w:lineRule="auto"/>
              <w:jc w:val="both"/>
              <w:rPr>
                <w:rFonts w:ascii="Arial" w:hAnsi="Arial" w:cs="Arial"/>
                <w:sz w:val="16"/>
                <w:szCs w:val="16"/>
                <w:lang w:val="pt-BR"/>
              </w:rPr>
            </w:pPr>
            <w:r>
              <w:rPr>
                <w:rFonts w:ascii="Arial" w:hAnsi="Arial" w:cs="Arial"/>
                <w:sz w:val="16"/>
                <w:szCs w:val="16"/>
                <w:lang w:val="pt-BR"/>
              </w:rPr>
              <w:t>Nº de unidades por envase</w:t>
            </w:r>
          </w:p>
        </w:tc>
        <w:tc>
          <w:tcPr>
            <w:tcW w:w="965" w:type="dxa"/>
          </w:tcPr>
          <w:p w:rsidR="00DD1521" w:rsidRDefault="00DD1521">
            <w:pPr>
              <w:spacing w:after="0" w:line="240" w:lineRule="auto"/>
              <w:jc w:val="both"/>
              <w:rPr>
                <w:rFonts w:ascii="Arial" w:hAnsi="Arial" w:cs="Arial"/>
                <w:sz w:val="16"/>
                <w:szCs w:val="16"/>
              </w:rPr>
            </w:pPr>
            <w:r>
              <w:rPr>
                <w:rFonts w:ascii="Arial" w:hAnsi="Arial" w:cs="Arial"/>
                <w:sz w:val="16"/>
                <w:szCs w:val="16"/>
              </w:rPr>
              <w:t>Código</w:t>
            </w:r>
          </w:p>
        </w:tc>
        <w:tc>
          <w:tcPr>
            <w:tcW w:w="2475" w:type="dxa"/>
          </w:tcPr>
          <w:p w:rsidR="00DD1521" w:rsidRDefault="00DD1521">
            <w:pPr>
              <w:spacing w:after="0" w:line="240" w:lineRule="auto"/>
              <w:jc w:val="both"/>
              <w:rPr>
                <w:rFonts w:ascii="Arial" w:hAnsi="Arial" w:cs="Arial"/>
                <w:sz w:val="16"/>
                <w:szCs w:val="16"/>
              </w:rPr>
            </w:pPr>
            <w:r>
              <w:rPr>
                <w:rFonts w:ascii="Arial" w:hAnsi="Arial" w:cs="Arial"/>
                <w:sz w:val="16"/>
                <w:szCs w:val="16"/>
              </w:rPr>
              <w:t xml:space="preserve">Coste por unidad PVL + IVA* </w:t>
            </w:r>
          </w:p>
        </w:tc>
      </w:tr>
      <w:tr w:rsidR="00DD1521">
        <w:trPr>
          <w:cantSplit/>
        </w:trPr>
        <w:tc>
          <w:tcPr>
            <w:tcW w:w="4136"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Tagrisso® 40 mg comprimidos recubiertos con película</w:t>
            </w:r>
          </w:p>
        </w:tc>
        <w:tc>
          <w:tcPr>
            <w:tcW w:w="1238"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30</w:t>
            </w:r>
          </w:p>
        </w:tc>
        <w:tc>
          <w:tcPr>
            <w:tcW w:w="965"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709993</w:t>
            </w:r>
          </w:p>
        </w:tc>
        <w:tc>
          <w:tcPr>
            <w:tcW w:w="2475"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6.309,68 €</w:t>
            </w:r>
          </w:p>
        </w:tc>
      </w:tr>
      <w:tr w:rsidR="00DD1521">
        <w:trPr>
          <w:cantSplit/>
          <w:trHeight w:val="98"/>
        </w:trPr>
        <w:tc>
          <w:tcPr>
            <w:tcW w:w="4136"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Tagrisso® 80 mg comprimidos recubiertos con película</w:t>
            </w:r>
          </w:p>
        </w:tc>
        <w:tc>
          <w:tcPr>
            <w:tcW w:w="1238"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30</w:t>
            </w:r>
          </w:p>
        </w:tc>
        <w:tc>
          <w:tcPr>
            <w:tcW w:w="965"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709994</w:t>
            </w:r>
          </w:p>
        </w:tc>
        <w:tc>
          <w:tcPr>
            <w:tcW w:w="2475"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6.309,68 €</w:t>
            </w:r>
          </w:p>
        </w:tc>
      </w:tr>
    </w:tbl>
    <w:p w:rsidR="00DD1521" w:rsidRDefault="00DD1521">
      <w:pPr>
        <w:pStyle w:val="Encabezado"/>
        <w:tabs>
          <w:tab w:val="clear" w:pos="4252"/>
          <w:tab w:val="clear" w:pos="8504"/>
        </w:tabs>
        <w:spacing w:after="0" w:line="240" w:lineRule="auto"/>
        <w:rPr>
          <w:rFonts w:ascii="Arial" w:hAnsi="Arial" w:cs="Arial"/>
          <w:sz w:val="16"/>
          <w:szCs w:val="16"/>
        </w:rPr>
      </w:pPr>
      <w:r>
        <w:rPr>
          <w:rFonts w:ascii="Arial" w:hAnsi="Arial" w:cs="Arial"/>
          <w:sz w:val="16"/>
          <w:szCs w:val="16"/>
        </w:rPr>
        <w:t>*Precio notificado</w:t>
      </w:r>
    </w:p>
    <w:p w:rsidR="00DD1521" w:rsidRDefault="00DD1521">
      <w:pPr>
        <w:spacing w:after="0" w:line="240" w:lineRule="auto"/>
        <w:rPr>
          <w:rFonts w:ascii="Arial" w:hAnsi="Arial" w:cs="Arial"/>
          <w:color w:val="0000FF"/>
          <w:sz w:val="20"/>
          <w:szCs w:val="20"/>
          <w:u w:val="single"/>
        </w:rPr>
      </w:pPr>
    </w:p>
    <w:p w:rsidR="00DD1521" w:rsidRDefault="00DD1521">
      <w:pPr>
        <w:spacing w:after="0" w:line="240" w:lineRule="auto"/>
        <w:jc w:val="right"/>
        <w:rPr>
          <w:rFonts w:ascii="Arial" w:hAnsi="Arial" w:cs="Arial"/>
          <w:color w:val="0000FF"/>
          <w:sz w:val="20"/>
          <w:szCs w:val="20"/>
          <w:u w:val="single"/>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3" w:name="_Toc344399622"/>
      <w:bookmarkStart w:id="14" w:name="_Toc348931349"/>
      <w:bookmarkStart w:id="15" w:name="_Toc5793733"/>
      <w:r>
        <w:rPr>
          <w:rFonts w:ascii="Arial" w:hAnsi="Arial" w:cs="Arial"/>
          <w:sz w:val="20"/>
          <w:szCs w:val="20"/>
        </w:rPr>
        <w:t>3.2 Área descriptiva del problema de salud</w:t>
      </w:r>
      <w:bookmarkEnd w:id="13"/>
      <w:bookmarkEnd w:id="14"/>
      <w:bookmarkEnd w:id="15"/>
    </w:p>
    <w:p w:rsidR="00DD1521" w:rsidRDefault="00DD1521">
      <w:pPr>
        <w:spacing w:after="0" w:line="240" w:lineRule="auto"/>
        <w:jc w:val="both"/>
        <w:rPr>
          <w:rFonts w:ascii="Arial" w:hAnsi="Arial" w:cs="Arial"/>
          <w:color w:val="000080"/>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6" w:name="_Toc344399623"/>
      <w:bookmarkStart w:id="17" w:name="_Toc348931350"/>
      <w:bookmarkStart w:id="18" w:name="_Toc5793734"/>
      <w:r>
        <w:rPr>
          <w:rFonts w:ascii="Arial" w:hAnsi="Arial" w:cs="Arial"/>
          <w:sz w:val="20"/>
          <w:szCs w:val="20"/>
        </w:rPr>
        <w:t>3.2.a Descripción estructurada del problema de salud</w:t>
      </w:r>
      <w:bookmarkEnd w:id="16"/>
      <w:bookmarkEnd w:id="17"/>
      <w:bookmarkEnd w:id="18"/>
    </w:p>
    <w:p w:rsidR="00DD1521" w:rsidRDefault="00DD1521">
      <w:pPr>
        <w:spacing w:after="0" w:line="240" w:lineRule="auto"/>
        <w:jc w:val="both"/>
        <w:rPr>
          <w:rFonts w:ascii="Arial" w:hAnsi="Arial" w:cs="Arial"/>
          <w:b/>
          <w:bCs/>
          <w:color w:val="FF0000"/>
          <w:sz w:val="20"/>
          <w:szCs w:val="20"/>
        </w:rPr>
      </w:pPr>
    </w:p>
    <w:tbl>
      <w:tblPr>
        <w:tblW w:w="895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18"/>
        <w:gridCol w:w="7533"/>
      </w:tblGrid>
      <w:tr w:rsidR="00DD1521" w:rsidTr="006C3682">
        <w:tc>
          <w:tcPr>
            <w:tcW w:w="8951" w:type="dxa"/>
            <w:gridSpan w:val="2"/>
            <w:shd w:val="clear" w:color="auto" w:fill="CCFFCC"/>
          </w:tcPr>
          <w:p w:rsidR="00DD1521" w:rsidRDefault="00DD1521">
            <w:pPr>
              <w:spacing w:after="0" w:line="240" w:lineRule="auto"/>
              <w:rPr>
                <w:rFonts w:ascii="Arial" w:hAnsi="Arial" w:cs="Arial"/>
                <w:b/>
                <w:bCs/>
                <w:sz w:val="18"/>
                <w:szCs w:val="18"/>
              </w:rPr>
            </w:pPr>
            <w:r>
              <w:rPr>
                <w:rFonts w:ascii="Arial" w:hAnsi="Arial" w:cs="Arial"/>
                <w:b/>
                <w:bCs/>
                <w:sz w:val="18"/>
                <w:szCs w:val="18"/>
              </w:rPr>
              <w:t>Tabla 2. Descripción del problema de salud</w:t>
            </w:r>
          </w:p>
        </w:tc>
      </w:tr>
      <w:tr w:rsidR="00DD1521" w:rsidTr="006C3682">
        <w:tc>
          <w:tcPr>
            <w:tcW w:w="1418" w:type="dxa"/>
            <w:shd w:val="clear" w:color="auto" w:fill="E6E6E6"/>
          </w:tcPr>
          <w:p w:rsidR="00DD1521" w:rsidRDefault="00DD1521">
            <w:pPr>
              <w:spacing w:after="0" w:line="240" w:lineRule="auto"/>
              <w:rPr>
                <w:rFonts w:ascii="Arial" w:hAnsi="Arial" w:cs="Arial"/>
                <w:sz w:val="16"/>
                <w:szCs w:val="16"/>
              </w:rPr>
            </w:pPr>
            <w:r>
              <w:rPr>
                <w:rFonts w:ascii="Arial" w:hAnsi="Arial" w:cs="Arial"/>
                <w:sz w:val="16"/>
                <w:szCs w:val="16"/>
              </w:rPr>
              <w:t>Definición</w:t>
            </w:r>
          </w:p>
        </w:tc>
        <w:tc>
          <w:tcPr>
            <w:tcW w:w="7533" w:type="dxa"/>
          </w:tcPr>
          <w:p w:rsidR="00DD1521" w:rsidRDefault="00DD1521">
            <w:pPr>
              <w:spacing w:after="0" w:line="240" w:lineRule="auto"/>
              <w:jc w:val="both"/>
              <w:rPr>
                <w:rFonts w:ascii="Arial" w:hAnsi="Arial" w:cs="Arial"/>
              </w:rPr>
            </w:pPr>
            <w:r>
              <w:rPr>
                <w:rFonts w:ascii="Arial" w:hAnsi="Arial" w:cs="Arial"/>
                <w:sz w:val="18"/>
                <w:szCs w:val="18"/>
              </w:rPr>
              <w:t xml:space="preserve">El término cáncer de pulmón hace referencia a las neoplasias malignas originadas en las vías áreas o en el parénquima pulmonar. En función de su histología, se distinguen dos tipos: cáncer de pulmón microcítico (CPM) o de células pequeñas, y CPNM, representando este último aproximadamente el 85% de todos los casos. Dentro del CPNM se diferencian a su vez tres subtipos: carcinoma epidermoide o de células escamosas, adenocarcinoma y carcinoma de células grandes. La mutación activadora de EGFR es un factor importante en el crecimiento de la célula tumoral en el bloqueo de la apoptosis, aumento de producción de factores angiogénicos y facilitación de metástasis. La frecuencia de mutaciones sobre EGFR aproximadamente del 10% en la población caucásica y del 30% en la asiática. También son más frecuentes en mujeres y en no fumadores </w:t>
            </w:r>
            <w:r>
              <w:rPr>
                <w:rFonts w:ascii="Arial" w:hAnsi="Arial" w:cs="Arial"/>
                <w:sz w:val="18"/>
                <w:szCs w:val="18"/>
              </w:rPr>
              <w:fldChar w:fldCharType="begin"/>
            </w:r>
            <w:r>
              <w:rPr>
                <w:rFonts w:ascii="Arial" w:hAnsi="Arial" w:cs="Arial"/>
                <w:sz w:val="18"/>
                <w:szCs w:val="18"/>
              </w:rPr>
              <w:instrText xml:space="preserve"> ADDIN ZOTERO_ITEM CSL_CITATION {"citationID":"1Sldrg2P","properties":{"formattedCitation":"(2)","plainCitation":"(2)"},"citationItems":[{"id":953,"uris":["http://zotero.org/users/local/zrSbuHrK/items/IVBA727S"],"uri":["http://zotero.org/users/local/zrSbuHrK/items/IVBA727S"],"itemData":{"id":953,"type":"webpage","URL":"https://www.ema.europa.eu/documents/variation-report/tagrisso-h-c-4124-ii-0019-epar-assessment-report-variation_en.pdf","accessed":{"date-parts":[["2018",12,5]]}}}],"schema":"https://github.com/citation-style-language/schema/raw/master/csl-citation.json"} </w:instrText>
            </w:r>
            <w:r>
              <w:rPr>
                <w:rFonts w:ascii="Arial" w:hAnsi="Arial" w:cs="Arial"/>
                <w:sz w:val="18"/>
                <w:szCs w:val="18"/>
              </w:rPr>
              <w:fldChar w:fldCharType="separate"/>
            </w:r>
            <w:r>
              <w:rPr>
                <w:rFonts w:ascii="Arial" w:hAnsi="Arial" w:cs="Arial"/>
                <w:sz w:val="18"/>
                <w:szCs w:val="18"/>
              </w:rPr>
              <w:t>(2)</w:t>
            </w:r>
            <w:r>
              <w:rPr>
                <w:rFonts w:ascii="Arial" w:hAnsi="Arial" w:cs="Arial"/>
                <w:sz w:val="18"/>
                <w:szCs w:val="18"/>
              </w:rPr>
              <w:fldChar w:fldCharType="end"/>
            </w:r>
            <w:r>
              <w:rPr>
                <w:rFonts w:ascii="Arial" w:hAnsi="Arial" w:cs="Arial"/>
                <w:sz w:val="18"/>
                <w:szCs w:val="18"/>
              </w:rPr>
              <w:t xml:space="preserve">. Se han descrito varios mecanismos de resistencia a ITK-EGFR, siendo el más común la sustitución de metionina por treonina en la posición 790 (T790M). Se ha descrito esta mutación como la responsable del 50% de los casos de resistencia a ITK-EGFR. En casos raros (aproximadamente 1%), la mutación T790M se encuentra en el momento del diagnóstico </w:t>
            </w:r>
            <w:r>
              <w:rPr>
                <w:rFonts w:ascii="Arial" w:hAnsi="Arial" w:cs="Arial"/>
                <w:sz w:val="18"/>
                <w:szCs w:val="18"/>
              </w:rPr>
              <w:fldChar w:fldCharType="begin"/>
            </w:r>
            <w:r>
              <w:rPr>
                <w:rFonts w:ascii="Arial" w:hAnsi="Arial" w:cs="Arial"/>
                <w:sz w:val="18"/>
                <w:szCs w:val="18"/>
              </w:rPr>
              <w:instrText xml:space="preserve"> ADDIN ZOTERO_ITEM CSL_CITATION {"citationID":"unTpzSb6","properties":{"formattedCitation":"(3)","plainCitation":"(3)"},"citationItems":[{"id":957,"uris":["http://zotero.org/users/local/zrSbuHrK/items/XVRDFRV6"],"uri":["http://zotero.org/users/local/zrSbuHrK/items/XVRDFRV6"],"itemData":{"id":957,"type":"webpage","title":"Overview of the initial evaluation, treatment and prognosis of lung cancer - UpToDate","URL":"https://ws003.juntadeandalucia.es:2060/contents/overview-of-the-initial-evaluation-treatment-and-prognosis-of-lung-cancer?search=Overview%20of%20the%20initial%20evaluation,%20treatment%20and%20prognosis%20of%20lung%20cancer&amp;source=search_result&amp;selectedTitle=1~150&amp;usage_type=default&amp;display_rank=1","accessed":{"date-parts":[["2018",12,5]]}}}],"schema":"https://github.com/citation-style-language/schema/raw/master/csl-citation.json"} </w:instrText>
            </w:r>
            <w:r>
              <w:rPr>
                <w:rFonts w:ascii="Arial" w:hAnsi="Arial" w:cs="Arial"/>
                <w:sz w:val="18"/>
                <w:szCs w:val="18"/>
              </w:rPr>
              <w:fldChar w:fldCharType="separate"/>
            </w:r>
            <w:r>
              <w:rPr>
                <w:rFonts w:ascii="Arial" w:hAnsi="Arial" w:cs="Arial"/>
                <w:sz w:val="18"/>
                <w:szCs w:val="18"/>
              </w:rPr>
              <w:t>(1)</w:t>
            </w:r>
            <w:r>
              <w:rPr>
                <w:rFonts w:ascii="Arial" w:hAnsi="Arial" w:cs="Arial"/>
                <w:sz w:val="18"/>
                <w:szCs w:val="18"/>
              </w:rPr>
              <w:fldChar w:fldCharType="end"/>
            </w:r>
            <w:r>
              <w:rPr>
                <w:rFonts w:ascii="Arial" w:hAnsi="Arial" w:cs="Arial"/>
                <w:sz w:val="18"/>
                <w:szCs w:val="18"/>
              </w:rPr>
              <w:t>.</w:t>
            </w:r>
          </w:p>
        </w:tc>
      </w:tr>
      <w:tr w:rsidR="00DD1521" w:rsidTr="006C3682">
        <w:tc>
          <w:tcPr>
            <w:tcW w:w="1418" w:type="dxa"/>
            <w:shd w:val="clear" w:color="auto" w:fill="E6E6E6"/>
          </w:tcPr>
          <w:p w:rsidR="00DD1521" w:rsidRDefault="00DD1521">
            <w:pPr>
              <w:spacing w:after="0" w:line="240" w:lineRule="auto"/>
              <w:rPr>
                <w:rFonts w:ascii="Arial" w:hAnsi="Arial" w:cs="Arial"/>
                <w:sz w:val="16"/>
                <w:szCs w:val="16"/>
              </w:rPr>
            </w:pPr>
            <w:r>
              <w:rPr>
                <w:rFonts w:ascii="Arial" w:hAnsi="Arial" w:cs="Arial"/>
                <w:sz w:val="16"/>
                <w:szCs w:val="16"/>
              </w:rPr>
              <w:lastRenderedPageBreak/>
              <w:t>Principales manifestaciones clínicas</w:t>
            </w:r>
          </w:p>
        </w:tc>
        <w:tc>
          <w:tcPr>
            <w:tcW w:w="7533" w:type="dxa"/>
          </w:tcPr>
          <w:p w:rsidR="00DD1521" w:rsidRDefault="00DD1521">
            <w:pPr>
              <w:spacing w:after="0" w:line="240" w:lineRule="auto"/>
              <w:jc w:val="both"/>
              <w:rPr>
                <w:rFonts w:ascii="Arial" w:hAnsi="Arial" w:cs="Arial"/>
                <w:sz w:val="20"/>
                <w:szCs w:val="20"/>
              </w:rPr>
            </w:pPr>
            <w:r>
              <w:rPr>
                <w:rFonts w:ascii="Arial" w:hAnsi="Arial" w:cs="Arial"/>
                <w:sz w:val="18"/>
                <w:szCs w:val="18"/>
              </w:rPr>
              <w:t xml:space="preserve">La mayoría de los pacientes con cáncer de pulmón presentan enfermedad avanzada en el momento del diagnóstico, lo que demuestra, por un lado, la agresividad de la enfermedad y, por otro lado, lo frecuente de la ausencia de síntomas hasta el desarrollo de enfermedad localmente avanzada o metastásica. Estos síntomas pueden ser el resultado de los efectos del tumor a nivel local, de la diseminación del mismo a otras localizaciones, o de efectos distantes no relacionados con las metástasis (síndromes paraneoplásicos). Los más frecuentemente descritos en el momento de presentación de la enfermedad son: tos, disnea, dolor y pérdida de peso. Otros síntomas comunes en pacientes con cáncer de pulmón son: hemoptisis, malestar y pérdida de voz </w:t>
            </w:r>
            <w:r>
              <w:rPr>
                <w:rFonts w:ascii="Arial" w:hAnsi="Arial" w:cs="Arial"/>
                <w:sz w:val="18"/>
                <w:szCs w:val="18"/>
              </w:rPr>
              <w:fldChar w:fldCharType="begin"/>
            </w:r>
            <w:r>
              <w:rPr>
                <w:rFonts w:ascii="Arial" w:hAnsi="Arial" w:cs="Arial"/>
                <w:sz w:val="18"/>
                <w:szCs w:val="18"/>
              </w:rPr>
              <w:instrText xml:space="preserve"> ADDIN ZOTERO_ITEM CSL_CITATION {"citationID":"IPp1uxtP","properties":{"formattedCitation":"(4)","plainCitation":"(4)"},"citationItems":[{"id":995,"uris":["http://zotero.org/users/local/zrSbuHrK/items/TZGV8KHN"],"uri":["http://zotero.org/users/local/zrSbuHrK/items/TZGV8KHN"],"itemData":{"id":995,"type":"webpage","title":"Las cifras del cáncer en España 2018","URL":"https://seom.org/ultimas-noticias/106525-las-cifras-del-cancer-en-espana-2018","accessed":{"date-parts":[["2018",12,5]]}}}],"schema":"https://github.com/citation-style-language/schema/raw/master/csl-citation.json"} </w:instrText>
            </w:r>
            <w:r>
              <w:rPr>
                <w:rFonts w:ascii="Arial" w:hAnsi="Arial" w:cs="Arial"/>
                <w:sz w:val="18"/>
                <w:szCs w:val="18"/>
              </w:rPr>
              <w:fldChar w:fldCharType="separate"/>
            </w:r>
            <w:r>
              <w:rPr>
                <w:rFonts w:ascii="Arial" w:hAnsi="Arial" w:cs="Arial"/>
                <w:sz w:val="18"/>
                <w:szCs w:val="18"/>
              </w:rPr>
              <w:t>(2)</w:t>
            </w:r>
            <w:r>
              <w:rPr>
                <w:rFonts w:ascii="Arial" w:hAnsi="Arial" w:cs="Arial"/>
                <w:sz w:val="18"/>
                <w:szCs w:val="18"/>
              </w:rPr>
              <w:fldChar w:fldCharType="end"/>
            </w:r>
            <w:r>
              <w:rPr>
                <w:rFonts w:ascii="Arial" w:hAnsi="Arial" w:cs="Arial"/>
                <w:sz w:val="18"/>
                <w:szCs w:val="18"/>
              </w:rPr>
              <w:t>.</w:t>
            </w:r>
          </w:p>
        </w:tc>
      </w:tr>
      <w:tr w:rsidR="00DD1521" w:rsidTr="006C3682">
        <w:tc>
          <w:tcPr>
            <w:tcW w:w="1418" w:type="dxa"/>
            <w:shd w:val="clear" w:color="auto" w:fill="E6E6E6"/>
          </w:tcPr>
          <w:p w:rsidR="00DD1521" w:rsidRDefault="00DD1521">
            <w:pPr>
              <w:spacing w:after="0" w:line="240" w:lineRule="auto"/>
              <w:rPr>
                <w:rFonts w:ascii="Arial" w:hAnsi="Arial" w:cs="Arial"/>
                <w:sz w:val="16"/>
                <w:szCs w:val="16"/>
              </w:rPr>
            </w:pPr>
            <w:r>
              <w:rPr>
                <w:rFonts w:ascii="Arial" w:hAnsi="Arial" w:cs="Arial"/>
                <w:sz w:val="16"/>
                <w:szCs w:val="16"/>
              </w:rPr>
              <w:t>Incidencia y prevalencia</w:t>
            </w:r>
          </w:p>
        </w:tc>
        <w:tc>
          <w:tcPr>
            <w:tcW w:w="7533" w:type="dxa"/>
          </w:tcPr>
          <w:p w:rsidR="00DD1521" w:rsidRDefault="00DD1521">
            <w:pPr>
              <w:spacing w:after="0" w:line="240" w:lineRule="auto"/>
              <w:jc w:val="both"/>
              <w:rPr>
                <w:rFonts w:ascii="Arial" w:hAnsi="Arial" w:cs="Arial"/>
                <w:sz w:val="18"/>
                <w:szCs w:val="18"/>
              </w:rPr>
            </w:pPr>
            <w:r>
              <w:rPr>
                <w:rFonts w:ascii="Arial" w:hAnsi="Arial" w:cs="Arial"/>
                <w:sz w:val="18"/>
                <w:szCs w:val="18"/>
              </w:rPr>
              <w:t xml:space="preserve">El cáncer de pulmón fue el cáncer con más incidencia en el mundo en 2012 (1.824.701 casos nuevos). En España el cáncer de pulmón fue el más incidente en 2017 (28.645 casos nuevos) por detrás del colorrectal y de próstata (informe SEOM) </w:t>
            </w:r>
            <w:hyperlink r:id="rId9" w:history="1">
              <w:r>
                <w:rPr>
                  <w:rStyle w:val="Hipervnculo"/>
                  <w:rFonts w:ascii="Arial" w:hAnsi="Arial" w:cs="Arial"/>
                  <w:sz w:val="18"/>
                  <w:szCs w:val="18"/>
                </w:rPr>
                <w:t>https://seom.org/seomcms/images/stories/recursos/Las_Cifras_del_cancer_en_Espana2018.pdf</w:t>
              </w:r>
            </w:hyperlink>
            <w:r>
              <w:rPr>
                <w:rStyle w:val="Hipervnculo"/>
                <w:rFonts w:ascii="Arial" w:hAnsi="Arial" w:cs="Arial"/>
                <w:color w:val="auto"/>
                <w:sz w:val="18"/>
                <w:szCs w:val="18"/>
                <w:u w:val="none"/>
              </w:rPr>
              <w:t xml:space="preserve">. </w:t>
            </w:r>
            <w:r>
              <w:rPr>
                <w:rFonts w:ascii="Arial" w:hAnsi="Arial" w:cs="Arial"/>
                <w:sz w:val="18"/>
                <w:szCs w:val="18"/>
              </w:rPr>
              <w:t xml:space="preserve">Datos recientes indican que en 2017 el cáncer de pulmón ha seguido constituyendo la principal causa de muerte por tumores a nivel europeo (tasa de 33,3/100.000; 183.400 fallecimientos; 24% de las muertes en varones), aunque ha experimentado un descenso del 10,7% desde 2012; mientras que en mujeres la tasa fue de 14,6/100.000 habitantes, correspondiendo a 92.300 fallecimientos (15% de muertes en mujeres), lo cual refleja una elevación del 5,1% desde 2012 </w:t>
            </w:r>
            <w:r>
              <w:rPr>
                <w:rFonts w:ascii="Arial" w:hAnsi="Arial" w:cs="Arial"/>
                <w:sz w:val="18"/>
                <w:szCs w:val="18"/>
              </w:rPr>
              <w:fldChar w:fldCharType="begin"/>
            </w:r>
            <w:r>
              <w:rPr>
                <w:rFonts w:ascii="Arial" w:hAnsi="Arial" w:cs="Arial"/>
                <w:sz w:val="18"/>
                <w:szCs w:val="18"/>
              </w:rPr>
              <w:instrText xml:space="preserve"> ADDIN ZOTERO_ITEM CSL_CITATION {"citationID":"y2e3xLLt","properties":{"formattedCitation":"(5)","plainCitation":"(5)"},"citationItems":[{"id":997,"uris":["http://zotero.org/users/local/zrSbuHrK/items/UHHZJ9DS"],"uri":["http://zotero.org/users/local/zrSbuHrK/items/UHHZJ9DS"],"itemData":{"id":997,"type":"webpage","URL":"file:///Users/rociojimenezgalan/Library/Application%20Support/Zotero/Profiles/20tdnr54.default/zotero/storage/J7BUM7MC/omakase-lab-3-2018--burden-of-cancer-in-spain.html","accessed":{"date-parts":[["2018",12,5]]}}}],"schema":"https://github.com/citation-style-language/schema/raw/master/csl-citation.json"} </w:instrText>
            </w:r>
            <w:r>
              <w:rPr>
                <w:rFonts w:ascii="Arial" w:hAnsi="Arial" w:cs="Arial"/>
                <w:sz w:val="18"/>
                <w:szCs w:val="18"/>
              </w:rPr>
              <w:fldChar w:fldCharType="separate"/>
            </w:r>
            <w:r>
              <w:rPr>
                <w:rFonts w:ascii="Arial" w:hAnsi="Arial" w:cs="Arial"/>
                <w:sz w:val="18"/>
                <w:szCs w:val="18"/>
              </w:rPr>
              <w:t>(2)</w:t>
            </w:r>
            <w:r>
              <w:rPr>
                <w:rFonts w:ascii="Arial" w:hAnsi="Arial" w:cs="Arial"/>
                <w:sz w:val="18"/>
                <w:szCs w:val="18"/>
              </w:rPr>
              <w:fldChar w:fldCharType="end"/>
            </w:r>
            <w:r>
              <w:rPr>
                <w:rFonts w:ascii="Arial" w:hAnsi="Arial" w:cs="Arial"/>
                <w:sz w:val="18"/>
                <w:szCs w:val="18"/>
              </w:rPr>
              <w:t>.</w:t>
            </w:r>
          </w:p>
        </w:tc>
      </w:tr>
      <w:tr w:rsidR="00DD1521" w:rsidTr="006C3682">
        <w:tc>
          <w:tcPr>
            <w:tcW w:w="1418" w:type="dxa"/>
            <w:shd w:val="clear" w:color="auto" w:fill="E6E6E6"/>
          </w:tcPr>
          <w:p w:rsidR="00DD1521" w:rsidRDefault="00DD1521">
            <w:pPr>
              <w:spacing w:after="0" w:line="240" w:lineRule="auto"/>
              <w:rPr>
                <w:rFonts w:ascii="Arial" w:hAnsi="Arial" w:cs="Arial"/>
                <w:sz w:val="16"/>
                <w:szCs w:val="16"/>
              </w:rPr>
            </w:pPr>
            <w:r>
              <w:rPr>
                <w:rFonts w:ascii="Arial" w:hAnsi="Arial" w:cs="Arial"/>
                <w:sz w:val="16"/>
                <w:szCs w:val="16"/>
              </w:rPr>
              <w:t>Evolución / Pronóstico</w:t>
            </w:r>
          </w:p>
        </w:tc>
        <w:tc>
          <w:tcPr>
            <w:tcW w:w="7533" w:type="dxa"/>
          </w:tcPr>
          <w:p w:rsidR="00DD1521" w:rsidRDefault="00DD1521">
            <w:pPr>
              <w:spacing w:after="0" w:line="240" w:lineRule="auto"/>
              <w:jc w:val="both"/>
              <w:rPr>
                <w:rFonts w:ascii="Arial" w:hAnsi="Arial" w:cs="Arial"/>
                <w:sz w:val="18"/>
                <w:szCs w:val="18"/>
              </w:rPr>
            </w:pPr>
            <w:r>
              <w:rPr>
                <w:rFonts w:ascii="Arial" w:hAnsi="Arial" w:cs="Arial"/>
                <w:sz w:val="18"/>
                <w:szCs w:val="18"/>
              </w:rPr>
              <w:t>El cáncer de pulmón es la principal causa de muerte relacionada con el cáncer a nivel mundial, y supone la tercera causa de mortalidad en población global en nuestro medio. El 85% de los casos son diagnosticados en los estadios finales de la enfermedad, por lo que su pronóstico es muy desfavorable, siendo la tasa de supervivencia a los 5 años en pacientes con metástasis a distancia inferior al 5%.</w:t>
            </w:r>
          </w:p>
        </w:tc>
      </w:tr>
      <w:tr w:rsidR="00DD1521" w:rsidTr="006C3682">
        <w:tc>
          <w:tcPr>
            <w:tcW w:w="1418" w:type="dxa"/>
            <w:shd w:val="clear" w:color="auto" w:fill="E6E6E6"/>
          </w:tcPr>
          <w:p w:rsidR="00DD1521" w:rsidRDefault="00DD1521">
            <w:pPr>
              <w:spacing w:after="0" w:line="240" w:lineRule="auto"/>
              <w:rPr>
                <w:rFonts w:ascii="Arial" w:hAnsi="Arial" w:cs="Arial"/>
                <w:sz w:val="16"/>
                <w:szCs w:val="16"/>
              </w:rPr>
            </w:pPr>
            <w:r>
              <w:rPr>
                <w:rFonts w:ascii="Arial" w:hAnsi="Arial" w:cs="Arial"/>
                <w:sz w:val="16"/>
                <w:szCs w:val="16"/>
              </w:rPr>
              <w:t>Grados de gravedad / Estadiaje</w:t>
            </w:r>
          </w:p>
        </w:tc>
        <w:tc>
          <w:tcPr>
            <w:tcW w:w="7533" w:type="dxa"/>
          </w:tcPr>
          <w:p w:rsidR="00DD1521" w:rsidRDefault="00DD1521">
            <w:pPr>
              <w:spacing w:after="0" w:line="240" w:lineRule="auto"/>
              <w:jc w:val="both"/>
              <w:rPr>
                <w:rFonts w:ascii="Arial" w:hAnsi="Arial" w:cs="Arial"/>
                <w:sz w:val="20"/>
                <w:szCs w:val="20"/>
              </w:rPr>
            </w:pPr>
            <w:r>
              <w:rPr>
                <w:rFonts w:ascii="Arial" w:hAnsi="Arial" w:cs="Arial"/>
                <w:sz w:val="18"/>
                <w:szCs w:val="18"/>
              </w:rPr>
              <w:t>Para estratificar el cáncer de pulmón en función de su gravedad se utiliza el sistema de estadificación TNM vigente para el CPNM, desarrollado por la American Joint Committee on Cancer (AJCC) - Union for International Cancer Control (UICC), basado en el tamaño, localización y extensión del tumor primario (T), la presencia y situación de metástasis ganglionares (N), y la presencia o ausencia de metástasis a distancia (M).</w:t>
            </w:r>
          </w:p>
        </w:tc>
      </w:tr>
      <w:tr w:rsidR="00DD1521" w:rsidTr="006C3682">
        <w:tc>
          <w:tcPr>
            <w:tcW w:w="1418" w:type="dxa"/>
            <w:shd w:val="clear" w:color="auto" w:fill="E6E6E6"/>
          </w:tcPr>
          <w:p w:rsidR="00DD1521" w:rsidRDefault="00DD1521">
            <w:pPr>
              <w:spacing w:after="0" w:line="240" w:lineRule="auto"/>
              <w:rPr>
                <w:rFonts w:ascii="Arial" w:hAnsi="Arial" w:cs="Arial"/>
                <w:sz w:val="16"/>
                <w:szCs w:val="16"/>
              </w:rPr>
            </w:pPr>
            <w:r>
              <w:rPr>
                <w:rFonts w:ascii="Arial" w:hAnsi="Arial" w:cs="Arial"/>
                <w:sz w:val="16"/>
                <w:szCs w:val="16"/>
              </w:rPr>
              <w:t>Carga de la enfermedad</w:t>
            </w:r>
          </w:p>
        </w:tc>
        <w:tc>
          <w:tcPr>
            <w:tcW w:w="7533" w:type="dxa"/>
          </w:tcPr>
          <w:p w:rsidR="00DD1521" w:rsidRDefault="00DD1521">
            <w:pPr>
              <w:spacing w:after="0" w:line="240" w:lineRule="auto"/>
              <w:jc w:val="both"/>
              <w:rPr>
                <w:rFonts w:ascii="Arial" w:hAnsi="Arial" w:cs="Arial"/>
                <w:sz w:val="18"/>
                <w:szCs w:val="18"/>
              </w:rPr>
            </w:pPr>
            <w:r>
              <w:rPr>
                <w:rFonts w:ascii="Arial" w:hAnsi="Arial" w:cs="Arial"/>
                <w:sz w:val="18"/>
                <w:szCs w:val="18"/>
              </w:rPr>
              <w:t>Se estima que en España, los costes totales del cáncer fueron de 7.168 millones de euros en 2015. Los costes directos del cáncer se estimaron en 4.818 millones de euros en 2015, de los cuales un 94% recayó directamente sobre los hospitales y sólo un 6% sobre la atención primaria. El cáncer produjo 411.735 años potenciales de vida perdidos y 279.833 años potenciales de vida laboral perdidos en 2015. Los costes indirectos del cáncer derivados de la pérdida de productividad y del cuidado informal se estimaron en 2.350 millones de euros. El cáncer fue la segunda enfermedad que más años de vida saludable perdidos produjo. El cáncer de pulmón en hombres y el de mama en mujeres fueron los tumores que más años de vida saludable perdidos produjeron. El coste total del cáncer en 2015 representó un 10,93% del gasto sanitario público, un 0,66% del PIB lo que supone 154,34 € por persona.(3)</w:t>
            </w:r>
          </w:p>
          <w:p w:rsidR="00DD1521" w:rsidRDefault="00CB346C">
            <w:pPr>
              <w:spacing w:after="0" w:line="240" w:lineRule="auto"/>
              <w:jc w:val="both"/>
              <w:rPr>
                <w:rFonts w:ascii="Arial" w:hAnsi="Arial" w:cs="Arial"/>
                <w:sz w:val="18"/>
                <w:szCs w:val="18"/>
              </w:rPr>
            </w:pPr>
            <w:hyperlink r:id="rId10" w:history="1">
              <w:r w:rsidR="00DD1521">
                <w:rPr>
                  <w:rStyle w:val="Hipervnculo"/>
                  <w:rFonts w:ascii="Arial" w:hAnsi="Arial" w:cs="Arial"/>
                  <w:sz w:val="18"/>
                  <w:szCs w:val="18"/>
                </w:rPr>
                <w:t>https://www.aimfa.es/wp-content/uploads/2018/06/omakase-lab-3-2018-burden-of-cancer-in-spain.pdf</w:t>
              </w:r>
            </w:hyperlink>
          </w:p>
        </w:tc>
      </w:tr>
    </w:tbl>
    <w:p w:rsidR="00DD1521" w:rsidRDefault="00DD1521">
      <w:pPr>
        <w:spacing w:after="0" w:line="240" w:lineRule="auto"/>
        <w:jc w:val="both"/>
        <w:rPr>
          <w:rFonts w:ascii="Arial" w:hAnsi="Arial" w:cs="Arial"/>
          <w:b/>
          <w:bCs/>
          <w:color w:val="FF0000"/>
          <w:sz w:val="20"/>
          <w:szCs w:val="20"/>
        </w:rPr>
      </w:pPr>
    </w:p>
    <w:p w:rsidR="00DD1521" w:rsidRDefault="00DD1521">
      <w:pPr>
        <w:spacing w:after="0" w:line="240" w:lineRule="auto"/>
        <w:jc w:val="both"/>
        <w:rPr>
          <w:rFonts w:ascii="Arial" w:hAnsi="Arial" w:cs="Arial"/>
          <w:b/>
          <w:bCs/>
          <w:color w:val="FF0000"/>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9" w:name="_Toc348931351"/>
      <w:bookmarkStart w:id="20" w:name="_Toc344399624"/>
      <w:bookmarkStart w:id="21" w:name="_Toc5793735"/>
      <w:r>
        <w:rPr>
          <w:rFonts w:ascii="Arial" w:hAnsi="Arial" w:cs="Arial"/>
          <w:sz w:val="20"/>
          <w:szCs w:val="20"/>
        </w:rPr>
        <w:t>3.2.b Tratamiento actual de la enfermedad: evidencias</w:t>
      </w:r>
      <w:bookmarkEnd w:id="19"/>
      <w:bookmarkEnd w:id="20"/>
      <w:bookmarkEnd w:id="21"/>
      <w:r>
        <w:rPr>
          <w:rFonts w:ascii="Arial" w:hAnsi="Arial" w:cs="Arial"/>
          <w:sz w:val="20"/>
          <w:szCs w:val="20"/>
        </w:rPr>
        <w:t xml:space="preserve"> </w:t>
      </w:r>
    </w:p>
    <w:p w:rsidR="00DD1521" w:rsidRDefault="00DD1521">
      <w:pPr>
        <w:spacing w:after="0" w:line="240" w:lineRule="auto"/>
        <w:rPr>
          <w:rFonts w:ascii="Arial" w:hAnsi="Arial" w:cs="Arial"/>
          <w:color w:val="FF0000"/>
          <w:sz w:val="20"/>
          <w:szCs w:val="20"/>
        </w:rPr>
      </w:pPr>
    </w:p>
    <w:p w:rsidR="00DD1521" w:rsidRDefault="00DD1521">
      <w:pPr>
        <w:spacing w:after="0" w:line="240" w:lineRule="auto"/>
        <w:jc w:val="both"/>
      </w:pPr>
      <w:r>
        <w:rPr>
          <w:rFonts w:ascii="Arial" w:hAnsi="Arial" w:cs="Arial"/>
          <w:sz w:val="20"/>
          <w:szCs w:val="20"/>
        </w:rPr>
        <w:t xml:space="preserve">El objetivo del tratamiento es prolongar la supervivencia de los pacientes, mejorar su calidad de vida y controlar los síntomas relacionados con la enfermedad. </w:t>
      </w:r>
    </w:p>
    <w:p w:rsidR="00DD1521" w:rsidRDefault="00DD1521">
      <w:pPr>
        <w:spacing w:after="0" w:line="240" w:lineRule="auto"/>
        <w:jc w:val="both"/>
        <w:rPr>
          <w:rFonts w:ascii="Arial" w:hAnsi="Arial" w:cs="Arial"/>
          <w:sz w:val="20"/>
          <w:szCs w:val="20"/>
          <w:highlight w:val="yellow"/>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El tratamiento de </w:t>
      </w:r>
      <w:r>
        <w:rPr>
          <w:rFonts w:ascii="Arial" w:hAnsi="Arial" w:cs="Arial"/>
          <w:b/>
          <w:bCs/>
          <w:sz w:val="20"/>
          <w:szCs w:val="20"/>
        </w:rPr>
        <w:t>primera línea</w:t>
      </w:r>
      <w:r>
        <w:rPr>
          <w:rFonts w:ascii="Arial" w:hAnsi="Arial" w:cs="Arial"/>
          <w:sz w:val="20"/>
          <w:szCs w:val="20"/>
        </w:rPr>
        <w:t xml:space="preserve"> universalmente aceptado en pacientes con CPNM avanzado o metastásico consiste en la administración de dobletes de quimioterapia basados en el platino (cisplatino o carboplatino en combinación con otros quimioterápicos), salvo que existan determinadas mutaciones que los hagan candidatos a recibir terapias dirigidas </w:t>
      </w:r>
      <w:r w:rsidRPr="006D5C82">
        <w:rPr>
          <w:rFonts w:ascii="Arial" w:hAnsi="Arial" w:cs="Arial"/>
          <w:sz w:val="20"/>
          <w:szCs w:val="20"/>
        </w:rPr>
        <w:t>(EGFR, ALK/ROS, BRAF y NTRK)</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8Z86J7TC","properties":{"formattedCitation":"(1)","plainCitation":"(1)"},"citationItems":[{"id":951,"uris":["http://zotero.org/users/local/zrSbuHrK/items/RKRQZEJB"],"uri":["http://zotero.org/users/local/zrSbuHrK/items/RKRQZEJB"],"itemData":{"id":951,"type":"webpage","title":"Overview of the initial treatment of advanced non-small cell lung cancer - UpToDate","URL":"https://ws003.juntadeandalucia.es:2060/contents/overview-of-the-initial-treatment-of-advanced-non-small-cell-lung-cancer?search=Overview%20of%20the%20initial%20treatment%20of%20advanced%20non-small%20cell%20lung%20cancer.&amp;source=search_result&amp;selectedTitle=1~150&amp;usage_type=default&amp;display_rank=1","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(1)</w:t>
      </w:r>
      <w:r>
        <w:rPr>
          <w:rFonts w:ascii="Arial" w:hAnsi="Arial" w:cs="Arial"/>
          <w:sz w:val="20"/>
          <w:szCs w:val="20"/>
        </w:rPr>
        <w:fldChar w:fldCharType="end"/>
      </w:r>
      <w:r>
        <w:rPr>
          <w:rFonts w:ascii="Arial" w:hAnsi="Arial" w:cs="Arial"/>
          <w:sz w:val="20"/>
          <w:szCs w:val="20"/>
        </w:rPr>
        <w:t xml:space="preserve">. En presencia de una </w:t>
      </w:r>
      <w:r w:rsidRPr="008641AF">
        <w:rPr>
          <w:rFonts w:ascii="Arial" w:hAnsi="Arial" w:cs="Arial"/>
          <w:b/>
          <w:sz w:val="20"/>
          <w:szCs w:val="20"/>
        </w:rPr>
        <w:t>mutación del EGFR</w:t>
      </w:r>
      <w:r>
        <w:rPr>
          <w:rFonts w:ascii="Arial" w:hAnsi="Arial" w:cs="Arial"/>
          <w:sz w:val="20"/>
          <w:szCs w:val="20"/>
        </w:rPr>
        <w:t>, se recomienda en primera línea un inhibidor de tirosina quinasa (ITK) anti-EGFR (gefitinib, erlotinib +/- bevacizumab, afatinib). Las guías NCCN ya incluyen osimertinib en la primera línea de pacientes EGFR mutados con categoría 1, junto a los otros anti-EGFR (34). La FDA ha aprobado un nuevo fármaco anti-EGFR (dacomitinib) para el tratamiento de primera línea de pacientes EGFR con mutaciones activadoras, basándose en un estudio que demuestra superioridad frente a gefitinib prolongando la SLP. Este fármaco todavía no está disponible en Europa.</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b/>
          <w:bCs/>
          <w:sz w:val="20"/>
          <w:szCs w:val="20"/>
        </w:rPr>
      </w:pPr>
      <w:r>
        <w:rPr>
          <w:rFonts w:ascii="Arial" w:hAnsi="Arial" w:cs="Arial"/>
          <w:sz w:val="20"/>
          <w:szCs w:val="20"/>
        </w:rPr>
        <w:lastRenderedPageBreak/>
        <w:t xml:space="preserve">La mayoría de los pacientes desarrollarán </w:t>
      </w:r>
      <w:r>
        <w:rPr>
          <w:rFonts w:ascii="Arial" w:hAnsi="Arial" w:cs="Arial"/>
          <w:b/>
          <w:bCs/>
          <w:sz w:val="20"/>
          <w:szCs w:val="20"/>
        </w:rPr>
        <w:t>resistencia</w:t>
      </w:r>
      <w:r>
        <w:rPr>
          <w:rFonts w:ascii="Arial" w:hAnsi="Arial" w:cs="Arial"/>
          <w:sz w:val="20"/>
          <w:szCs w:val="20"/>
        </w:rPr>
        <w:t xml:space="preserve"> a estas terapias debido a la aparición frecuente de nuevas mutaciones en el gen que codifica el EGFR. La mutación T790M se encuentra, por lo tanto, en un 50 a 60% de los pacientes que desarrollan resistencia a los ITK anti-EGFR. Esta mutación impide la unión de los ITK en el lugar de acción, restaurando la afinidad del EGFR por el ATP </w:t>
      </w:r>
      <w:r>
        <w:rPr>
          <w:rFonts w:ascii="Arial" w:hAnsi="Arial" w:cs="Arial"/>
          <w:sz w:val="20"/>
          <w:szCs w:val="20"/>
        </w:rPr>
        <w:fldChar w:fldCharType="begin"/>
      </w:r>
      <w:r>
        <w:rPr>
          <w:rFonts w:ascii="Arial" w:hAnsi="Arial" w:cs="Arial"/>
          <w:sz w:val="20"/>
          <w:szCs w:val="20"/>
        </w:rPr>
        <w:instrText xml:space="preserve"> ADDIN ZOTERO_TEMP </w:instrText>
      </w:r>
      <w:r>
        <w:rPr>
          <w:rFonts w:ascii="Arial" w:hAnsi="Arial" w:cs="Arial"/>
          <w:sz w:val="20"/>
          <w:szCs w:val="20"/>
        </w:rPr>
        <w:fldChar w:fldCharType="separate"/>
      </w:r>
      <w:r>
        <w:rPr>
          <w:rFonts w:ascii="Arial" w:hAnsi="Arial" w:cs="Arial"/>
          <w:sz w:val="20"/>
          <w:szCs w:val="20"/>
        </w:rPr>
        <w:t>(1)</w:t>
      </w:r>
      <w:r>
        <w:rPr>
          <w:rFonts w:ascii="Arial" w:hAnsi="Arial" w:cs="Arial"/>
          <w:sz w:val="20"/>
          <w:szCs w:val="20"/>
        </w:rPr>
        <w:fldChar w:fldCharType="end"/>
      </w:r>
      <w:r>
        <w:rPr>
          <w:rFonts w:ascii="Arial" w:hAnsi="Arial" w:cs="Arial"/>
          <w:sz w:val="20"/>
          <w:szCs w:val="20"/>
        </w:rPr>
        <w:t xml:space="preserve">.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b/>
          <w:bCs/>
          <w:sz w:val="20"/>
          <w:szCs w:val="20"/>
        </w:rPr>
        <w:t>Tras la progresión</w:t>
      </w:r>
      <w:r>
        <w:rPr>
          <w:rFonts w:ascii="Arial" w:hAnsi="Arial" w:cs="Arial"/>
          <w:sz w:val="20"/>
          <w:szCs w:val="20"/>
        </w:rPr>
        <w:t xml:space="preserve"> de la enfermedad después de administrar un ITK, las opciones disponibles serían quimioterapia estándar basada en una a sal de platino (cisplatino o carboplatino en caso de contraindicación) asociado con una de las siguientes moléculas: pemetrexed, gemcitabina, vinorelbina, taxanos (paclitaxel y docetaxel). También se pueden considerar docetaxel o pemetrexed en monoterapia (en adenocarcinoma y con posterior terapia de mantenimiento con el mismo) o bien la readministración de un ITK.  La adición de bevacizumab se puede recomendar en ausencia de contraindicación y en pacientes con estado funcional 0-1.  La elección de la terapia depende del estatus del paciente, los síntomas, la respuesta al tratamiento previo y la extensión de la enfermedad </w:t>
      </w:r>
      <w:r>
        <w:rPr>
          <w:rFonts w:ascii="Arial" w:hAnsi="Arial" w:cs="Arial"/>
          <w:sz w:val="20"/>
          <w:szCs w:val="20"/>
        </w:rPr>
        <w:fldChar w:fldCharType="begin"/>
      </w:r>
      <w:r>
        <w:rPr>
          <w:rFonts w:ascii="Arial" w:hAnsi="Arial" w:cs="Arial"/>
          <w:sz w:val="20"/>
          <w:szCs w:val="20"/>
        </w:rPr>
        <w:instrText xml:space="preserve"> ADDIN ZOTERO_ITEM CSL_CITATION {"citationID":"fRbwIkQC","properties":{"formattedCitation":"(7)","plainCitation":"(7)"},"citationItems":[{"id":1003,"uris":["http://zotero.org/users/local/zrSbuHrK/items/DQ9W8PG2"],"uri":["http://zotero.org/users/local/zrSbuHrK/items/DQ9W8PG2"],"itemData":{"id":1003,"type":"webpage","title":"nscl.pdf","URL":"https://www.nccn.org/professionals/physician_gls/pdf/nscl.pdf","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(5)</w:t>
      </w:r>
      <w:r>
        <w:rPr>
          <w:rFonts w:ascii="Arial" w:hAnsi="Arial" w:cs="Arial"/>
          <w:sz w:val="20"/>
          <w:szCs w:val="20"/>
        </w:rPr>
        <w:fldChar w:fldCharType="end"/>
      </w:r>
      <w:r>
        <w:rPr>
          <w:rFonts w:ascii="Arial" w:hAnsi="Arial" w:cs="Arial"/>
          <w:sz w:val="20"/>
          <w:szCs w:val="20"/>
        </w:rPr>
        <w:t>, (34).</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Organismos evaluadores de referencia como la Commission de la Transparence francesa (CT) (6), el </w:t>
      </w:r>
      <w:r>
        <w:rPr>
          <w:rFonts w:ascii="Arial" w:hAnsi="Arial" w:cs="Arial"/>
          <w:i/>
          <w:iCs/>
          <w:sz w:val="20"/>
          <w:szCs w:val="20"/>
        </w:rPr>
        <w:t>National Institute for Care Excellence</w:t>
      </w:r>
      <w:r>
        <w:rPr>
          <w:rFonts w:ascii="Arial" w:hAnsi="Arial" w:cs="Arial"/>
          <w:sz w:val="20"/>
          <w:szCs w:val="20"/>
        </w:rPr>
        <w:t xml:space="preserve"> (NICE) </w:t>
      </w:r>
      <w:r>
        <w:rPr>
          <w:rFonts w:ascii="Arial" w:hAnsi="Arial" w:cs="Arial"/>
          <w:sz w:val="20"/>
          <w:szCs w:val="20"/>
        </w:rPr>
        <w:fldChar w:fldCharType="begin"/>
      </w:r>
      <w:r>
        <w:rPr>
          <w:rFonts w:ascii="Arial" w:hAnsi="Arial" w:cs="Arial"/>
          <w:sz w:val="20"/>
          <w:szCs w:val="20"/>
        </w:rPr>
        <w:instrText xml:space="preserve"> ADDIN ZOTERO_ITEM CSL_CITATION {"citationID":"QXq9iMDK","properties":{"formattedCitation":"(9)","plainCitation":"(9)"},"citationItems":[{"id":969,"uris":["http://zotero.org/users/local/zrSbuHrK/items/AWXNH3Q3"],"uri":["http://zotero.org/users/local/zrSbuHrK/items/AWXNH3Q3"],"itemData":{"id":969,"type":"webpage","title":"Osimertinib for treating locally advanced or metastatic EGFR T790M mutation-positive non-small-cell lung cancer | Guidance and guidelines | NICE","URL":"https://www.nice.org.uk/guidance/TA416/chapter/1-Recommendations","language":"eng","accessed":{"date-parts":[["2018",12,5]]}}}],"schema":"https://github.com/citation-style-language/schema/raw/master/csl-citation.json"}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(7)</w:t>
      </w:r>
      <w:r>
        <w:rPr>
          <w:rFonts w:ascii="Arial" w:hAnsi="Arial" w:cs="Arial"/>
          <w:sz w:val="20"/>
          <w:szCs w:val="20"/>
        </w:rPr>
        <w:fldChar w:fldCharType="end"/>
      </w:r>
      <w:r>
        <w:rPr>
          <w:rFonts w:ascii="Arial" w:hAnsi="Arial" w:cs="Arial"/>
          <w:sz w:val="20"/>
          <w:szCs w:val="20"/>
        </w:rPr>
        <w:t xml:space="preserve"> y el </w:t>
      </w:r>
      <w:r>
        <w:rPr>
          <w:rFonts w:ascii="Arial" w:hAnsi="Arial" w:cs="Arial"/>
          <w:i/>
          <w:iCs/>
          <w:sz w:val="20"/>
          <w:szCs w:val="20"/>
        </w:rPr>
        <w:t>Canadian</w:t>
      </w:r>
      <w:r>
        <w:rPr>
          <w:rFonts w:ascii="Arial" w:hAnsi="Arial" w:cs="Arial"/>
          <w:sz w:val="20"/>
          <w:szCs w:val="20"/>
        </w:rPr>
        <w:t xml:space="preserve"> </w:t>
      </w:r>
      <w:r>
        <w:rPr>
          <w:rFonts w:ascii="Arial" w:hAnsi="Arial" w:cs="Arial"/>
          <w:i/>
          <w:iCs/>
          <w:sz w:val="20"/>
          <w:szCs w:val="20"/>
        </w:rPr>
        <w:t>Agency for Drugs and Technologies in Health</w:t>
      </w:r>
      <w:r>
        <w:rPr>
          <w:rFonts w:ascii="Arial" w:hAnsi="Arial" w:cs="Arial"/>
          <w:sz w:val="20"/>
          <w:szCs w:val="20"/>
        </w:rPr>
        <w:t xml:space="preserve"> (CADTH) </w:t>
      </w:r>
      <w:r>
        <w:rPr>
          <w:rFonts w:ascii="Arial" w:hAnsi="Arial" w:cs="Arial"/>
          <w:sz w:val="20"/>
          <w:szCs w:val="20"/>
        </w:rPr>
        <w:fldChar w:fldCharType="begin"/>
      </w:r>
      <w:r>
        <w:rPr>
          <w:rFonts w:ascii="Arial" w:hAnsi="Arial" w:cs="Arial"/>
          <w:sz w:val="20"/>
          <w:szCs w:val="20"/>
        </w:rPr>
        <w:instrText xml:space="preserve"> ADDIN ZOTERO_ITEM CSL_CITATION {"citationID":"RRrjfCuZ","properties":{"formattedCitation":"(10)","plainCitation":"(10)"},"citationItems":[{"id":973,"uris":["http://zotero.org/users/local/zrSbuHrK/items/ZEXDRQX5"],"uri":["http://zotero.org/users/local/zrSbuHrK/items/ZEXDRQX5"],"itemData":{"id":973,"type":"webpage","title":"Tagrisso for Non-Small Cell Lung Cancer – Details | CADTH.ca","URL":"https://www.cadth.ca/tagrisso-non-small-cell-lung-cancer-details","accessed":{"date-parts":[["2018",12,5]]}}}],"schema":"https://github.com/citation-style-language/schema/raw/master/csl-citation.json"}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(8)</w:t>
      </w:r>
      <w:r>
        <w:rPr>
          <w:rFonts w:ascii="Arial" w:hAnsi="Arial" w:cs="Arial"/>
          <w:sz w:val="20"/>
          <w:szCs w:val="20"/>
        </w:rPr>
        <w:fldChar w:fldCharType="end"/>
      </w:r>
      <w:r>
        <w:rPr>
          <w:rFonts w:ascii="Arial" w:hAnsi="Arial" w:cs="Arial"/>
          <w:sz w:val="20"/>
          <w:szCs w:val="20"/>
        </w:rPr>
        <w:t xml:space="preserve"> reconocen los dobletes de quimioterapia basada en platino como alternativas a osimertinib.</w:t>
      </w:r>
    </w:p>
    <w:p w:rsidR="00DD1521" w:rsidRDefault="00DD1521">
      <w:pPr>
        <w:spacing w:after="0" w:line="240" w:lineRule="auto"/>
        <w:jc w:val="both"/>
        <w:rPr>
          <w:rFonts w:ascii="Arial" w:hAnsi="Arial" w:cs="Arial"/>
          <w:sz w:val="20"/>
          <w:szCs w:val="20"/>
        </w:rPr>
      </w:pPr>
    </w:p>
    <w:p w:rsidR="00DD1521" w:rsidRDefault="00DD1521">
      <w:pPr>
        <w:pStyle w:val="NormalWeb"/>
        <w:spacing w:before="0" w:beforeAutospacing="0" w:after="0" w:afterAutospacing="0" w:line="240" w:lineRule="auto"/>
        <w:jc w:val="both"/>
        <w:rPr>
          <w:sz w:val="20"/>
          <w:szCs w:val="20"/>
        </w:rPr>
      </w:pPr>
      <w:r>
        <w:rPr>
          <w:rFonts w:ascii="Arial" w:hAnsi="Arial" w:cs="Arial"/>
          <w:sz w:val="20"/>
          <w:szCs w:val="20"/>
        </w:rPr>
        <w:t xml:space="preserve">La inmunoterapia con nivolumab y pembrolizumab, a pesar de tener indicación tras quimioterapia previa (incluyendo un ITK anti-EGFR en pacientes con mutación EGFR) en el CPNM, no es reconocido como un comparador de osimertinib por ninguna agencia evaluadora. Las guías NCCN contemplan la quimioterapia basada en platino como terapia de referencia tras progresión a ITK anti-EGFR, preferentemente cisplatino-pemetrexed en la histología no escamosa y </w:t>
      </w:r>
      <w:r w:rsidRPr="006F027A">
        <w:rPr>
          <w:rFonts w:ascii="Arial" w:hAnsi="Arial" w:cs="Arial"/>
          <w:sz w:val="20"/>
          <w:szCs w:val="20"/>
        </w:rPr>
        <w:t>cispla</w:t>
      </w:r>
      <w:r>
        <w:rPr>
          <w:rFonts w:ascii="Arial" w:hAnsi="Arial" w:cs="Arial"/>
          <w:sz w:val="20"/>
          <w:szCs w:val="20"/>
        </w:rPr>
        <w:t>tino-gemcitabina en la escamosa</w:t>
      </w:r>
      <w:r w:rsidRPr="006F027A">
        <w:rPr>
          <w:rFonts w:ascii="Arial" w:hAnsi="Arial" w:cs="Arial"/>
          <w:sz w:val="20"/>
          <w:szCs w:val="20"/>
        </w:rPr>
        <w:t xml:space="preserve"> </w:t>
      </w:r>
      <w:r w:rsidRPr="006F027A">
        <w:rPr>
          <w:rFonts w:ascii="Arial" w:hAnsi="Arial" w:cs="Arial"/>
          <w:sz w:val="20"/>
          <w:szCs w:val="20"/>
        </w:rPr>
        <w:fldChar w:fldCharType="begin"/>
      </w:r>
      <w:r w:rsidRPr="006F027A">
        <w:rPr>
          <w:rFonts w:ascii="Arial" w:hAnsi="Arial" w:cs="Arial"/>
          <w:sz w:val="20"/>
          <w:szCs w:val="20"/>
        </w:rPr>
        <w:instrText xml:space="preserve"> ADDIN ZOTERO_ITEM CSL_CITATION {"citationID":"BQyH2y5R","properties":{"formattedCitation":"(10)","plainCitation":"(10)"},"citationItems":[{"id":973,"uris":["http://zotero.org/users/local/zrSbuHrK/items/ZEXDRQX5"],"uri":["http://zotero.org/users/local/zrSbuHrK/items/ZEXDRQX5"],"itemData":{"id":973,"type":"webpage","title":"Tagrisso for Non-Small Cell Lung Cancer – Details | CADTH.ca","URL":"https://www.cadth.ca/tagrisso-non-small-cell-lung-cancer-details","accessed":{"date-parts":[["2018",12,5]]}}}],"schema":"https://github.com/citation-style-language/schema/raw/master/csl-citation.json"} </w:instrText>
      </w:r>
      <w:r w:rsidRPr="006F027A">
        <w:rPr>
          <w:rFonts w:ascii="Arial" w:hAnsi="Arial" w:cs="Arial"/>
          <w:sz w:val="20"/>
          <w:szCs w:val="20"/>
        </w:rPr>
        <w:fldChar w:fldCharType="separate"/>
      </w:r>
      <w:r w:rsidRPr="006F027A">
        <w:rPr>
          <w:rFonts w:ascii="Arial" w:hAnsi="Arial" w:cs="Arial"/>
          <w:sz w:val="20"/>
          <w:szCs w:val="20"/>
        </w:rPr>
        <w:t>(8)</w:t>
      </w:r>
      <w:r w:rsidRPr="006F027A">
        <w:rPr>
          <w:rFonts w:ascii="Arial" w:hAnsi="Arial" w:cs="Arial"/>
          <w:sz w:val="20"/>
          <w:szCs w:val="20"/>
        </w:rPr>
        <w:fldChar w:fldCharType="end"/>
      </w:r>
      <w:r w:rsidRPr="006F027A">
        <w:rPr>
          <w:rFonts w:ascii="Arial" w:hAnsi="Arial" w:cs="Arial"/>
          <w:sz w:val="20"/>
          <w:szCs w:val="20"/>
        </w:rPr>
        <w:t>. La guía ESMO considera que la c</w:t>
      </w:r>
      <w:r w:rsidRPr="006F027A">
        <w:rPr>
          <w:rStyle w:val="tlid-translationtranslation"/>
          <w:rFonts w:ascii="Arial" w:hAnsi="Arial" w:cs="Arial"/>
          <w:sz w:val="20"/>
          <w:szCs w:val="20"/>
        </w:rPr>
        <w:t>ombinación de atezolizumab y bevacizumab con carboplatino y paclitaxel</w:t>
      </w:r>
      <w:r>
        <w:rPr>
          <w:rStyle w:val="tlid-translationtranslation"/>
          <w:rFonts w:ascii="Arial" w:hAnsi="Arial" w:cs="Arial"/>
          <w:sz w:val="20"/>
          <w:szCs w:val="20"/>
        </w:rPr>
        <w:t xml:space="preserve"> </w:t>
      </w:r>
      <w:r w:rsidRPr="006F027A">
        <w:rPr>
          <w:rStyle w:val="tlid-translationtranslation"/>
          <w:rFonts w:ascii="Arial" w:hAnsi="Arial" w:cs="Arial"/>
          <w:sz w:val="20"/>
          <w:szCs w:val="20"/>
        </w:rPr>
        <w:t>podría</w:t>
      </w:r>
      <w:r>
        <w:rPr>
          <w:rStyle w:val="tlid-translationtranslation"/>
          <w:rFonts w:ascii="Arial" w:hAnsi="Arial" w:cs="Arial"/>
          <w:sz w:val="20"/>
          <w:szCs w:val="20"/>
        </w:rPr>
        <w:t xml:space="preserve"> </w:t>
      </w:r>
      <w:r w:rsidRPr="006F027A">
        <w:rPr>
          <w:rStyle w:val="tlid-translationtranslation"/>
          <w:rFonts w:ascii="Arial" w:hAnsi="Arial" w:cs="Arial"/>
          <w:sz w:val="20"/>
          <w:szCs w:val="20"/>
        </w:rPr>
        <w:t>ser considerada como una</w:t>
      </w:r>
      <w:r>
        <w:rPr>
          <w:rStyle w:val="tlid-translationtranslation"/>
          <w:rFonts w:ascii="Arial" w:hAnsi="Arial" w:cs="Arial"/>
          <w:sz w:val="20"/>
          <w:szCs w:val="20"/>
        </w:rPr>
        <w:t xml:space="preserve"> opción </w:t>
      </w:r>
      <w:r w:rsidRPr="006F027A">
        <w:rPr>
          <w:rStyle w:val="tlid-translationtranslation"/>
          <w:rFonts w:ascii="Arial" w:hAnsi="Arial" w:cs="Arial"/>
          <w:sz w:val="20"/>
          <w:szCs w:val="20"/>
        </w:rPr>
        <w:t>en pacientes con</w:t>
      </w:r>
      <w:r>
        <w:rPr>
          <w:rStyle w:val="tlid-translationtranslation"/>
          <w:rFonts w:ascii="Arial" w:hAnsi="Arial" w:cs="Arial"/>
          <w:sz w:val="20"/>
          <w:szCs w:val="20"/>
        </w:rPr>
        <w:t xml:space="preserve"> tumores EGFR mutados, y EC</w:t>
      </w:r>
      <w:r w:rsidRPr="006F027A">
        <w:rPr>
          <w:rStyle w:val="tlid-translationtranslation"/>
          <w:rFonts w:ascii="Arial" w:hAnsi="Arial" w:cs="Arial"/>
          <w:sz w:val="20"/>
          <w:szCs w:val="20"/>
        </w:rPr>
        <w:t>OG PS 0-1, en ausencia de</w:t>
      </w:r>
      <w:r>
        <w:rPr>
          <w:rStyle w:val="tlid-translationtranslation"/>
          <w:rFonts w:ascii="Arial" w:hAnsi="Arial" w:cs="Arial"/>
          <w:sz w:val="20"/>
          <w:szCs w:val="20"/>
        </w:rPr>
        <w:t xml:space="preserve"> </w:t>
      </w:r>
      <w:r w:rsidRPr="006F027A">
        <w:rPr>
          <w:rStyle w:val="tlid-translationtranslation"/>
          <w:rFonts w:ascii="Arial" w:hAnsi="Arial" w:cs="Arial"/>
          <w:sz w:val="20"/>
          <w:szCs w:val="20"/>
        </w:rPr>
        <w:t xml:space="preserve">contraindicaciones para el uso de inmunoterapia, después de que se hayan explotado </w:t>
      </w:r>
      <w:r>
        <w:rPr>
          <w:rStyle w:val="tlid-translationtranslation"/>
          <w:rFonts w:ascii="Arial" w:hAnsi="Arial" w:cs="Arial"/>
          <w:sz w:val="20"/>
          <w:szCs w:val="20"/>
        </w:rPr>
        <w:t xml:space="preserve">las </w:t>
      </w:r>
      <w:r w:rsidRPr="006F027A">
        <w:rPr>
          <w:rStyle w:val="tlid-translationtranslation"/>
          <w:rFonts w:ascii="Arial" w:hAnsi="Arial" w:cs="Arial"/>
          <w:sz w:val="20"/>
          <w:szCs w:val="20"/>
        </w:rPr>
        <w:t>terapias</w:t>
      </w:r>
      <w:r>
        <w:rPr>
          <w:rStyle w:val="tlid-translationtranslation"/>
          <w:rFonts w:ascii="Arial" w:hAnsi="Arial" w:cs="Arial"/>
          <w:sz w:val="20"/>
          <w:szCs w:val="20"/>
        </w:rPr>
        <w:t xml:space="preserve"> </w:t>
      </w:r>
      <w:r w:rsidRPr="006F027A">
        <w:rPr>
          <w:rStyle w:val="tlid-translationtranslation"/>
          <w:rFonts w:ascii="Arial" w:hAnsi="Arial" w:cs="Arial"/>
          <w:sz w:val="20"/>
          <w:szCs w:val="20"/>
        </w:rPr>
        <w:t>dirigidas (34).</w:t>
      </w:r>
    </w:p>
    <w:p w:rsidR="00DD1521" w:rsidRDefault="00DD1521">
      <w:pPr>
        <w:spacing w:after="0" w:line="240" w:lineRule="auto"/>
        <w:rPr>
          <w:rFonts w:ascii="Arial" w:hAnsi="Arial" w:cs="Arial"/>
          <w:color w:val="000080"/>
          <w:sz w:val="20"/>
          <w:szCs w:val="20"/>
        </w:rPr>
      </w:pPr>
    </w:p>
    <w:p w:rsidR="00DD1521" w:rsidRDefault="00DD1521">
      <w:pPr>
        <w:spacing w:after="0" w:line="240" w:lineRule="auto"/>
        <w:rPr>
          <w:rFonts w:ascii="Arial" w:hAnsi="Arial" w:cs="Arial"/>
          <w:color w:val="000080"/>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22" w:name="_Toc348931352"/>
      <w:bookmarkStart w:id="23" w:name="_Toc344399625"/>
      <w:bookmarkStart w:id="24" w:name="_Toc5793736"/>
      <w:r>
        <w:rPr>
          <w:rFonts w:ascii="Arial" w:hAnsi="Arial" w:cs="Arial"/>
          <w:sz w:val="20"/>
          <w:szCs w:val="20"/>
        </w:rPr>
        <w:t>3.3 Características comparadas con otras alternativas similares</w:t>
      </w:r>
      <w:bookmarkEnd w:id="22"/>
      <w:bookmarkEnd w:id="23"/>
      <w:bookmarkEnd w:id="24"/>
      <w:r>
        <w:rPr>
          <w:rFonts w:ascii="Arial" w:hAnsi="Arial" w:cs="Arial"/>
          <w:sz w:val="20"/>
          <w:szCs w:val="20"/>
        </w:rPr>
        <w:t xml:space="preserve"> </w:t>
      </w:r>
    </w:p>
    <w:p w:rsidR="00DD1521" w:rsidRDefault="00DD1521">
      <w:pPr>
        <w:spacing w:after="0" w:line="240" w:lineRule="auto"/>
        <w:rPr>
          <w:rFonts w:ascii="Arial" w:hAnsi="Arial" w:cs="Arial"/>
          <w:sz w:val="20"/>
          <w:szCs w:val="20"/>
        </w:rPr>
      </w:pPr>
    </w:p>
    <w:tbl>
      <w:tblPr>
        <w:tblW w:w="92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04"/>
        <w:gridCol w:w="1560"/>
        <w:gridCol w:w="2551"/>
        <w:gridCol w:w="1985"/>
        <w:gridCol w:w="1969"/>
      </w:tblGrid>
      <w:tr w:rsidR="00DD1521">
        <w:trPr>
          <w:cantSplit/>
        </w:trPr>
        <w:tc>
          <w:tcPr>
            <w:tcW w:w="9269" w:type="dxa"/>
            <w:gridSpan w:val="5"/>
            <w:shd w:val="clear" w:color="auto" w:fill="CCFFCC"/>
          </w:tcPr>
          <w:p w:rsidR="00DD1521" w:rsidRPr="00BA51E1" w:rsidRDefault="00DD1521" w:rsidP="004D27B6">
            <w:pPr>
              <w:pStyle w:val="Encabezado"/>
              <w:tabs>
                <w:tab w:val="clear" w:pos="4252"/>
                <w:tab w:val="clear" w:pos="8504"/>
              </w:tabs>
              <w:spacing w:after="0" w:line="240" w:lineRule="auto"/>
              <w:jc w:val="both"/>
              <w:rPr>
                <w:rFonts w:ascii="Arial" w:hAnsi="Arial" w:cs="Arial"/>
                <w:b/>
                <w:bCs/>
                <w:sz w:val="16"/>
                <w:szCs w:val="16"/>
              </w:rPr>
            </w:pPr>
            <w:r w:rsidRPr="00BA51E1">
              <w:rPr>
                <w:rFonts w:ascii="Arial" w:hAnsi="Arial" w:cs="Arial"/>
                <w:b/>
                <w:bCs/>
                <w:sz w:val="16"/>
                <w:szCs w:val="16"/>
              </w:rPr>
              <w:t>Tabla 3. Características diferenciales comparadas con otras alternativas similares</w:t>
            </w:r>
            <w:r>
              <w:rPr>
                <w:rFonts w:ascii="Arial" w:hAnsi="Arial" w:cs="Arial"/>
                <w:b/>
                <w:bCs/>
                <w:sz w:val="16"/>
                <w:szCs w:val="16"/>
                <w:lang w:val="zh-CN" w:eastAsia="zh-CN"/>
              </w:rPr>
              <w:t xml:space="preserve"> para el tratamiento de </w:t>
            </w:r>
            <w:r w:rsidRPr="004D27B6">
              <w:rPr>
                <w:rFonts w:ascii="Arial" w:hAnsi="Arial" w:cs="Arial"/>
                <w:b/>
                <w:bCs/>
                <w:caps/>
                <w:sz w:val="16"/>
                <w:szCs w:val="16"/>
                <w:lang w:val="zh-CN" w:eastAsia="zh-CN"/>
              </w:rPr>
              <w:t>segunda línea</w:t>
            </w:r>
            <w:r>
              <w:rPr>
                <w:rFonts w:ascii="Arial" w:hAnsi="Arial" w:cs="Arial"/>
                <w:b/>
                <w:bCs/>
                <w:sz w:val="16"/>
                <w:szCs w:val="16"/>
                <w:lang w:val="zh-CN" w:eastAsia="zh-CN"/>
              </w:rPr>
              <w:t xml:space="preserve"> del CPNM avanzado o metastásico con mutación positiva del EGFR T790M</w:t>
            </w:r>
          </w:p>
        </w:tc>
      </w:tr>
      <w:tr w:rsidR="00DD1521">
        <w:tc>
          <w:tcPr>
            <w:tcW w:w="1204" w:type="dxa"/>
          </w:tcPr>
          <w:p w:rsidR="00DD1521" w:rsidRPr="00BA51E1" w:rsidRDefault="00DD1521">
            <w:pPr>
              <w:pStyle w:val="Encabezado"/>
              <w:tabs>
                <w:tab w:val="clear" w:pos="4252"/>
                <w:tab w:val="clear" w:pos="8504"/>
              </w:tabs>
              <w:spacing w:after="0" w:line="240" w:lineRule="auto"/>
              <w:rPr>
                <w:rFonts w:ascii="Arial" w:hAnsi="Arial" w:cs="Arial"/>
                <w:b/>
                <w:bCs/>
                <w:sz w:val="16"/>
                <w:szCs w:val="16"/>
              </w:rPr>
            </w:pPr>
            <w:r w:rsidRPr="00BA51E1">
              <w:rPr>
                <w:rFonts w:ascii="Arial" w:hAnsi="Arial" w:cs="Arial"/>
                <w:b/>
                <w:bCs/>
                <w:sz w:val="16"/>
                <w:szCs w:val="16"/>
              </w:rPr>
              <w:t>Nombre</w:t>
            </w:r>
          </w:p>
        </w:tc>
        <w:tc>
          <w:tcPr>
            <w:tcW w:w="1560" w:type="dxa"/>
          </w:tcPr>
          <w:p w:rsidR="00DD1521" w:rsidRPr="00BA51E1" w:rsidRDefault="00DD1521">
            <w:pPr>
              <w:pStyle w:val="Encabezado"/>
              <w:tabs>
                <w:tab w:val="clear" w:pos="4252"/>
                <w:tab w:val="clear" w:pos="8504"/>
              </w:tabs>
              <w:spacing w:after="0" w:line="240" w:lineRule="auto"/>
              <w:rPr>
                <w:rFonts w:ascii="Arial" w:hAnsi="Arial" w:cs="Arial"/>
                <w:b/>
                <w:bCs/>
                <w:sz w:val="16"/>
                <w:szCs w:val="16"/>
              </w:rPr>
            </w:pPr>
            <w:r w:rsidRPr="00BA51E1">
              <w:rPr>
                <w:rFonts w:ascii="Arial" w:hAnsi="Arial" w:cs="Arial"/>
                <w:b/>
                <w:bCs/>
                <w:sz w:val="16"/>
                <w:szCs w:val="16"/>
              </w:rPr>
              <w:t>Osimertinib (4)</w:t>
            </w:r>
          </w:p>
        </w:tc>
        <w:tc>
          <w:tcPr>
            <w:tcW w:w="2551" w:type="dxa"/>
          </w:tcPr>
          <w:p w:rsidR="00DD1521" w:rsidRPr="00BA51E1" w:rsidRDefault="00DD1521">
            <w:pPr>
              <w:pStyle w:val="Encabezado"/>
              <w:tabs>
                <w:tab w:val="clear" w:pos="4252"/>
                <w:tab w:val="clear" w:pos="8504"/>
              </w:tabs>
              <w:spacing w:after="0" w:line="240" w:lineRule="auto"/>
              <w:rPr>
                <w:rFonts w:ascii="Arial" w:hAnsi="Arial" w:cs="Arial"/>
                <w:b/>
                <w:bCs/>
                <w:sz w:val="16"/>
                <w:szCs w:val="16"/>
              </w:rPr>
            </w:pPr>
            <w:r w:rsidRPr="00BA51E1">
              <w:rPr>
                <w:rFonts w:ascii="Arial" w:hAnsi="Arial" w:cs="Arial"/>
                <w:b/>
                <w:bCs/>
                <w:sz w:val="16"/>
                <w:szCs w:val="16"/>
              </w:rPr>
              <w:t>Cisplatino/Carboplatino + pemetrexed/docetaxel (13,14)</w:t>
            </w:r>
          </w:p>
        </w:tc>
        <w:tc>
          <w:tcPr>
            <w:tcW w:w="1985" w:type="dxa"/>
          </w:tcPr>
          <w:p w:rsidR="00DD1521" w:rsidRPr="00BA51E1" w:rsidRDefault="00DD1521">
            <w:pPr>
              <w:pStyle w:val="Encabezado"/>
              <w:tabs>
                <w:tab w:val="clear" w:pos="4252"/>
                <w:tab w:val="clear" w:pos="8504"/>
              </w:tabs>
              <w:spacing w:after="0" w:line="240" w:lineRule="auto"/>
              <w:rPr>
                <w:rFonts w:ascii="Arial" w:hAnsi="Arial" w:cs="Arial"/>
                <w:b/>
                <w:bCs/>
                <w:sz w:val="16"/>
                <w:szCs w:val="16"/>
              </w:rPr>
            </w:pPr>
            <w:r w:rsidRPr="00BA51E1">
              <w:rPr>
                <w:rFonts w:ascii="Arial" w:hAnsi="Arial" w:cs="Arial"/>
                <w:b/>
                <w:bCs/>
                <w:sz w:val="16"/>
                <w:szCs w:val="16"/>
              </w:rPr>
              <w:t xml:space="preserve">Pemetrexed </w:t>
            </w:r>
            <w:r w:rsidRPr="00BA51E1">
              <w:rPr>
                <w:rFonts w:ascii="Arial" w:hAnsi="Arial" w:cs="Arial"/>
                <w:b/>
                <w:bCs/>
                <w:sz w:val="16"/>
                <w:szCs w:val="16"/>
              </w:rPr>
              <w:fldChar w:fldCharType="begin"/>
            </w:r>
            <w:r w:rsidRPr="00BA51E1">
              <w:rPr>
                <w:rFonts w:ascii="Arial" w:hAnsi="Arial" w:cs="Arial"/>
                <w:b/>
                <w:bCs/>
                <w:sz w:val="16"/>
                <w:szCs w:val="16"/>
              </w:rPr>
              <w:instrText xml:space="preserve"> ADDIN ZOTERO_ITEM CSL_CITATION {"citationID":"IFS5D91O","properties":{"formattedCitation":"(11)","plainCitation":"(11)"},"citationItems":[{"id":1005,"uris":["http://zotero.org/users/local/zrSbuHrK/items/DWW3PDRE"],"uri":["http://zotero.org/users/local/zrSbuHrK/items/DWW3PDRE"],"itemData":{"id":1005,"type":"webpage","title":"ALIMTA, INN-Pemetrexed - FT_04290002.pdf","URL":"https://cima.aemps.es/cima/pdfs/ft/04290002/FT_04290002.pdf","accessed":{"date-parts":[["2018",12,5]]}}}],"schema":"https://github.com/citation-style-language/schema/raw/master/csl-citation.json"} </w:instrText>
            </w:r>
            <w:r w:rsidRPr="00BA51E1">
              <w:rPr>
                <w:rFonts w:ascii="Arial" w:hAnsi="Arial" w:cs="Arial"/>
                <w:b/>
                <w:bCs/>
                <w:sz w:val="16"/>
                <w:szCs w:val="16"/>
              </w:rPr>
              <w:fldChar w:fldCharType="separate"/>
            </w:r>
            <w:r w:rsidRPr="00BA51E1">
              <w:rPr>
                <w:rFonts w:ascii="Arial" w:hAnsi="Arial" w:cs="Arial"/>
                <w:b/>
                <w:bCs/>
                <w:sz w:val="16"/>
                <w:szCs w:val="16"/>
              </w:rPr>
              <w:t>(9,11)</w:t>
            </w:r>
            <w:r w:rsidRPr="00BA51E1">
              <w:rPr>
                <w:rFonts w:ascii="Arial" w:hAnsi="Arial" w:cs="Arial"/>
                <w:b/>
                <w:bCs/>
                <w:sz w:val="16"/>
                <w:szCs w:val="16"/>
              </w:rPr>
              <w:fldChar w:fldCharType="end"/>
            </w:r>
          </w:p>
        </w:tc>
        <w:tc>
          <w:tcPr>
            <w:tcW w:w="1969" w:type="dxa"/>
          </w:tcPr>
          <w:p w:rsidR="00DD1521" w:rsidRPr="00BA51E1" w:rsidRDefault="00DD1521">
            <w:pPr>
              <w:pStyle w:val="Encabezado"/>
              <w:tabs>
                <w:tab w:val="clear" w:pos="4252"/>
                <w:tab w:val="clear" w:pos="8504"/>
              </w:tabs>
              <w:spacing w:after="0" w:line="240" w:lineRule="auto"/>
              <w:rPr>
                <w:rFonts w:ascii="Arial" w:hAnsi="Arial" w:cs="Arial"/>
                <w:b/>
                <w:bCs/>
                <w:sz w:val="16"/>
                <w:szCs w:val="16"/>
              </w:rPr>
            </w:pPr>
            <w:r w:rsidRPr="00BA51E1">
              <w:rPr>
                <w:rFonts w:ascii="Arial" w:hAnsi="Arial" w:cs="Arial"/>
                <w:b/>
                <w:bCs/>
                <w:sz w:val="16"/>
                <w:szCs w:val="16"/>
              </w:rPr>
              <w:t xml:space="preserve">Docetaxel </w:t>
            </w:r>
            <w:r w:rsidRPr="00BA51E1">
              <w:rPr>
                <w:rFonts w:ascii="Arial" w:hAnsi="Arial" w:cs="Arial"/>
                <w:b/>
                <w:bCs/>
                <w:sz w:val="16"/>
                <w:szCs w:val="16"/>
              </w:rPr>
              <w:fldChar w:fldCharType="begin"/>
            </w:r>
            <w:r w:rsidRPr="00BA51E1">
              <w:rPr>
                <w:rFonts w:ascii="Arial" w:hAnsi="Arial" w:cs="Arial"/>
                <w:b/>
                <w:bCs/>
                <w:sz w:val="16"/>
                <w:szCs w:val="16"/>
              </w:rPr>
              <w:instrText xml:space="preserve"> ADDIN ZOTERO_ITEM CSL_CITATION {"citationID":"d4tYXhGx","properties":{"formattedCitation":"(12)","plainCitation":"(12)"},"citationItems":[{"id":1007,"uris":["http://zotero.org/users/local/zrSbuHrK/items/3IJ9CA5X"],"uri":["http://zotero.org/users/local/zrSbuHrK/items/3IJ9CA5X"],"itemData":{"id":1007,"type":"webpage","title":"FICHA TECNICA TAXOTERE 20 mg/1 ml CONCENTRADO PARA SOLUCION PARA PERFUSION","URL":"https://cima.aemps.es/cima/dochtml/ft/95002003/FT_95002003.html","accessed":{"date-parts":[["2018",12,5]]}}}],"schema":"https://github.com/citation-style-language/schema/raw/master/csl-citation.json"} </w:instrText>
            </w:r>
            <w:r w:rsidRPr="00BA51E1">
              <w:rPr>
                <w:rFonts w:ascii="Arial" w:hAnsi="Arial" w:cs="Arial"/>
                <w:b/>
                <w:bCs/>
                <w:sz w:val="16"/>
                <w:szCs w:val="16"/>
              </w:rPr>
              <w:fldChar w:fldCharType="separate"/>
            </w:r>
            <w:r w:rsidRPr="00BA51E1">
              <w:rPr>
                <w:rFonts w:ascii="Arial" w:hAnsi="Arial" w:cs="Arial"/>
                <w:b/>
                <w:bCs/>
                <w:sz w:val="16"/>
                <w:szCs w:val="16"/>
              </w:rPr>
              <w:t>(10,12)</w:t>
            </w:r>
            <w:r w:rsidRPr="00BA51E1">
              <w:rPr>
                <w:rFonts w:ascii="Arial" w:hAnsi="Arial" w:cs="Arial"/>
                <w:b/>
                <w:bCs/>
                <w:sz w:val="16"/>
                <w:szCs w:val="16"/>
              </w:rPr>
              <w:fldChar w:fldCharType="end"/>
            </w:r>
          </w:p>
        </w:tc>
      </w:tr>
      <w:tr w:rsidR="00DD1521">
        <w:tc>
          <w:tcPr>
            <w:tcW w:w="1204" w:type="dxa"/>
          </w:tcPr>
          <w:p w:rsidR="00DD1521" w:rsidRDefault="00DD1521">
            <w:pPr>
              <w:spacing w:after="0" w:line="240" w:lineRule="auto"/>
              <w:rPr>
                <w:rFonts w:ascii="Arial" w:hAnsi="Arial" w:cs="Arial"/>
                <w:sz w:val="16"/>
                <w:szCs w:val="16"/>
              </w:rPr>
            </w:pPr>
            <w:r>
              <w:rPr>
                <w:rFonts w:ascii="Arial" w:hAnsi="Arial" w:cs="Arial"/>
                <w:sz w:val="16"/>
                <w:szCs w:val="16"/>
              </w:rPr>
              <w:t>Presentación</w:t>
            </w:r>
          </w:p>
        </w:tc>
        <w:tc>
          <w:tcPr>
            <w:tcW w:w="1560" w:type="dxa"/>
          </w:tcPr>
          <w:p w:rsidR="00DD1521" w:rsidRDefault="00DD1521">
            <w:pPr>
              <w:spacing w:after="0" w:line="240" w:lineRule="auto"/>
              <w:rPr>
                <w:rFonts w:ascii="Arial" w:hAnsi="Arial" w:cs="Arial"/>
                <w:sz w:val="16"/>
                <w:szCs w:val="16"/>
              </w:rPr>
            </w:pPr>
            <w:r>
              <w:rPr>
                <w:rFonts w:ascii="Arial" w:hAnsi="Arial" w:cs="Arial"/>
                <w:sz w:val="16"/>
                <w:szCs w:val="16"/>
              </w:rPr>
              <w:t>Comprimidos de 40 y 80 mg</w:t>
            </w:r>
          </w:p>
        </w:tc>
        <w:tc>
          <w:tcPr>
            <w:tcW w:w="2551" w:type="dxa"/>
          </w:tcPr>
          <w:p w:rsidR="00DD1521" w:rsidRDefault="00DD1521">
            <w:pPr>
              <w:spacing w:after="0" w:line="240" w:lineRule="auto"/>
              <w:rPr>
                <w:rFonts w:ascii="Arial" w:hAnsi="Arial" w:cs="Arial"/>
                <w:sz w:val="16"/>
                <w:szCs w:val="16"/>
              </w:rPr>
            </w:pPr>
            <w:r>
              <w:rPr>
                <w:rFonts w:ascii="Arial" w:hAnsi="Arial" w:cs="Arial"/>
                <w:sz w:val="16"/>
                <w:szCs w:val="16"/>
              </w:rPr>
              <w:t>Cisplatino 100 mg vial 100 ml Carboplatino 450 mg vial 45 ml</w:t>
            </w:r>
          </w:p>
          <w:p w:rsidR="00DD1521" w:rsidRDefault="00DD1521">
            <w:pPr>
              <w:spacing w:after="0" w:line="240" w:lineRule="auto"/>
              <w:rPr>
                <w:rFonts w:ascii="Arial" w:hAnsi="Arial" w:cs="Arial"/>
                <w:sz w:val="16"/>
                <w:szCs w:val="16"/>
              </w:rPr>
            </w:pPr>
            <w:r>
              <w:rPr>
                <w:rFonts w:ascii="Arial" w:hAnsi="Arial" w:cs="Arial"/>
                <w:sz w:val="16"/>
                <w:szCs w:val="16"/>
              </w:rPr>
              <w:t>Pemetrexed 100 y 500 mg vial</w:t>
            </w:r>
          </w:p>
          <w:p w:rsidR="00DD1521" w:rsidRDefault="00DD1521">
            <w:pPr>
              <w:spacing w:after="0" w:line="240" w:lineRule="auto"/>
              <w:rPr>
                <w:rFonts w:ascii="Arial" w:hAnsi="Arial" w:cs="Arial"/>
                <w:sz w:val="16"/>
                <w:szCs w:val="16"/>
              </w:rPr>
            </w:pPr>
            <w:r>
              <w:rPr>
                <w:rFonts w:ascii="Arial" w:hAnsi="Arial" w:cs="Arial"/>
                <w:sz w:val="16"/>
                <w:szCs w:val="16"/>
              </w:rPr>
              <w:t>Docetaxel Viales de 10 mg/ml y 2, 8 y 16 ml</w:t>
            </w:r>
          </w:p>
        </w:tc>
        <w:tc>
          <w:tcPr>
            <w:tcW w:w="1985" w:type="dxa"/>
          </w:tcPr>
          <w:p w:rsidR="00DD1521" w:rsidRDefault="00DD1521">
            <w:pPr>
              <w:spacing w:after="0" w:line="240" w:lineRule="auto"/>
              <w:rPr>
                <w:rFonts w:ascii="Arial" w:hAnsi="Arial" w:cs="Arial"/>
                <w:sz w:val="16"/>
                <w:szCs w:val="16"/>
              </w:rPr>
            </w:pPr>
            <w:r>
              <w:rPr>
                <w:rFonts w:ascii="Arial" w:hAnsi="Arial" w:cs="Arial"/>
                <w:sz w:val="16"/>
                <w:szCs w:val="16"/>
              </w:rPr>
              <w:t>viales de 100 y 500 mg.</w:t>
            </w:r>
          </w:p>
        </w:tc>
        <w:tc>
          <w:tcPr>
            <w:tcW w:w="1969" w:type="dxa"/>
          </w:tcPr>
          <w:p w:rsidR="00DD1521" w:rsidRDefault="00DD1521">
            <w:pPr>
              <w:spacing w:after="0" w:line="240" w:lineRule="auto"/>
              <w:rPr>
                <w:rFonts w:ascii="Arial" w:hAnsi="Arial" w:cs="Arial"/>
                <w:sz w:val="16"/>
                <w:szCs w:val="16"/>
              </w:rPr>
            </w:pPr>
            <w:r>
              <w:rPr>
                <w:rFonts w:ascii="Arial" w:hAnsi="Arial" w:cs="Arial"/>
                <w:sz w:val="16"/>
                <w:szCs w:val="16"/>
              </w:rPr>
              <w:t>Viales de 10 mg/ml y 2, 8 y 16 ml</w:t>
            </w:r>
          </w:p>
        </w:tc>
      </w:tr>
      <w:tr w:rsidR="00DD1521">
        <w:tc>
          <w:tcPr>
            <w:tcW w:w="1204" w:type="dxa"/>
          </w:tcPr>
          <w:p w:rsidR="00DD1521" w:rsidRDefault="00DD1521">
            <w:pPr>
              <w:spacing w:after="0" w:line="240" w:lineRule="auto"/>
              <w:rPr>
                <w:rFonts w:ascii="Arial" w:hAnsi="Arial" w:cs="Arial"/>
                <w:sz w:val="16"/>
                <w:szCs w:val="16"/>
              </w:rPr>
            </w:pPr>
            <w:r>
              <w:rPr>
                <w:rFonts w:ascii="Arial" w:hAnsi="Arial" w:cs="Arial"/>
                <w:sz w:val="16"/>
                <w:szCs w:val="16"/>
              </w:rPr>
              <w:t>Posología</w:t>
            </w:r>
          </w:p>
        </w:tc>
        <w:tc>
          <w:tcPr>
            <w:tcW w:w="1560" w:type="dxa"/>
          </w:tcPr>
          <w:p w:rsidR="00DD1521" w:rsidRDefault="00DD1521">
            <w:pPr>
              <w:spacing w:after="0" w:line="240" w:lineRule="auto"/>
              <w:rPr>
                <w:rFonts w:ascii="Arial" w:hAnsi="Arial" w:cs="Arial"/>
                <w:sz w:val="16"/>
                <w:szCs w:val="16"/>
              </w:rPr>
            </w:pPr>
            <w:r>
              <w:rPr>
                <w:rFonts w:ascii="Arial" w:hAnsi="Arial" w:cs="Arial"/>
                <w:sz w:val="16"/>
                <w:szCs w:val="16"/>
              </w:rPr>
              <w:t>80 mg/día</w:t>
            </w:r>
          </w:p>
        </w:tc>
        <w:tc>
          <w:tcPr>
            <w:tcW w:w="2551" w:type="dxa"/>
          </w:tcPr>
          <w:p w:rsidR="00DD1521" w:rsidRDefault="00DD1521">
            <w:pPr>
              <w:spacing w:after="0" w:line="240" w:lineRule="auto"/>
              <w:rPr>
                <w:rFonts w:ascii="Arial" w:hAnsi="Arial" w:cs="Arial"/>
                <w:sz w:val="16"/>
                <w:szCs w:val="16"/>
              </w:rPr>
            </w:pPr>
            <w:r>
              <w:rPr>
                <w:rFonts w:ascii="Arial" w:hAnsi="Arial" w:cs="Arial"/>
                <w:sz w:val="16"/>
                <w:szCs w:val="16"/>
              </w:rPr>
              <w:t>Cisplatino: 75 mg/m</w:t>
            </w:r>
            <w:r>
              <w:rPr>
                <w:rFonts w:ascii="Arial" w:hAnsi="Arial" w:cs="Arial"/>
                <w:sz w:val="16"/>
                <w:szCs w:val="16"/>
                <w:vertAlign w:val="superscript"/>
              </w:rPr>
              <w:t xml:space="preserve">2 </w:t>
            </w:r>
            <w:r>
              <w:rPr>
                <w:rFonts w:ascii="Arial" w:hAnsi="Arial" w:cs="Arial"/>
                <w:sz w:val="16"/>
                <w:szCs w:val="16"/>
              </w:rPr>
              <w:t>cada 3 semanas</w:t>
            </w:r>
          </w:p>
          <w:p w:rsidR="00DD1521" w:rsidRDefault="00DD1521">
            <w:pPr>
              <w:spacing w:after="0" w:line="240" w:lineRule="auto"/>
              <w:rPr>
                <w:rFonts w:ascii="Arial" w:hAnsi="Arial" w:cs="Arial"/>
                <w:sz w:val="16"/>
                <w:szCs w:val="16"/>
              </w:rPr>
            </w:pPr>
            <w:r>
              <w:rPr>
                <w:rFonts w:ascii="Arial" w:hAnsi="Arial" w:cs="Arial"/>
                <w:sz w:val="16"/>
                <w:szCs w:val="16"/>
              </w:rPr>
              <w:t>Pemetrexed 500 mg/m</w:t>
            </w:r>
            <w:r>
              <w:rPr>
                <w:rFonts w:ascii="Arial" w:hAnsi="Arial" w:cs="Arial"/>
                <w:sz w:val="16"/>
                <w:szCs w:val="16"/>
                <w:vertAlign w:val="superscript"/>
              </w:rPr>
              <w:t>2</w:t>
            </w:r>
            <w:r>
              <w:rPr>
                <w:rFonts w:ascii="Arial" w:hAnsi="Arial" w:cs="Arial"/>
                <w:sz w:val="16"/>
                <w:szCs w:val="16"/>
              </w:rPr>
              <w:t xml:space="preserve"> cada tres semanas, en perfusión iv</w:t>
            </w:r>
          </w:p>
          <w:p w:rsidR="00DD1521" w:rsidRDefault="00DD1521">
            <w:pPr>
              <w:spacing w:after="0" w:line="240" w:lineRule="auto"/>
              <w:rPr>
                <w:rFonts w:ascii="Arial" w:hAnsi="Arial" w:cs="Arial"/>
                <w:sz w:val="16"/>
                <w:szCs w:val="16"/>
              </w:rPr>
            </w:pPr>
            <w:r>
              <w:rPr>
                <w:rFonts w:ascii="Arial" w:hAnsi="Arial" w:cs="Arial"/>
                <w:sz w:val="16"/>
                <w:szCs w:val="16"/>
              </w:rPr>
              <w:t>Docetaxel 75 mg/m</w:t>
            </w:r>
            <w:r>
              <w:rPr>
                <w:rFonts w:ascii="Arial" w:hAnsi="Arial" w:cs="Arial"/>
                <w:sz w:val="16"/>
                <w:szCs w:val="16"/>
                <w:vertAlign w:val="superscript"/>
              </w:rPr>
              <w:t>2</w:t>
            </w:r>
            <w:r>
              <w:rPr>
                <w:rFonts w:ascii="Arial" w:hAnsi="Arial" w:cs="Arial"/>
                <w:sz w:val="16"/>
                <w:szCs w:val="16"/>
              </w:rPr>
              <w:t xml:space="preserve"> cada tres semanas, en perfusión iv</w:t>
            </w:r>
          </w:p>
        </w:tc>
        <w:tc>
          <w:tcPr>
            <w:tcW w:w="1985" w:type="dxa"/>
          </w:tcPr>
          <w:p w:rsidR="00DD1521" w:rsidRDefault="00DD1521">
            <w:pPr>
              <w:spacing w:after="0" w:line="240" w:lineRule="auto"/>
              <w:rPr>
                <w:rFonts w:ascii="Arial" w:hAnsi="Arial" w:cs="Arial"/>
                <w:sz w:val="16"/>
                <w:szCs w:val="16"/>
              </w:rPr>
            </w:pPr>
            <w:r>
              <w:rPr>
                <w:rFonts w:ascii="Arial" w:hAnsi="Arial" w:cs="Arial"/>
                <w:sz w:val="16"/>
                <w:szCs w:val="16"/>
              </w:rPr>
              <w:t>500 mg/m</w:t>
            </w:r>
            <w:r>
              <w:rPr>
                <w:rFonts w:ascii="Arial" w:hAnsi="Arial" w:cs="Arial"/>
                <w:sz w:val="16"/>
                <w:szCs w:val="16"/>
                <w:vertAlign w:val="superscript"/>
              </w:rPr>
              <w:t>2</w:t>
            </w:r>
            <w:r>
              <w:rPr>
                <w:rFonts w:ascii="Arial" w:hAnsi="Arial" w:cs="Arial"/>
                <w:sz w:val="16"/>
                <w:szCs w:val="16"/>
              </w:rPr>
              <w:t xml:space="preserve"> cada tres semanas, en perfusión iv</w:t>
            </w:r>
          </w:p>
        </w:tc>
        <w:tc>
          <w:tcPr>
            <w:tcW w:w="1969" w:type="dxa"/>
          </w:tcPr>
          <w:p w:rsidR="00DD1521" w:rsidRDefault="00DD1521">
            <w:pPr>
              <w:spacing w:after="0" w:line="240" w:lineRule="auto"/>
              <w:rPr>
                <w:rFonts w:ascii="Arial" w:hAnsi="Arial" w:cs="Arial"/>
                <w:sz w:val="16"/>
                <w:szCs w:val="16"/>
              </w:rPr>
            </w:pPr>
            <w:r>
              <w:rPr>
                <w:rFonts w:ascii="Arial" w:hAnsi="Arial" w:cs="Arial"/>
                <w:sz w:val="16"/>
                <w:szCs w:val="16"/>
              </w:rPr>
              <w:t>75 mg/m</w:t>
            </w:r>
            <w:r>
              <w:rPr>
                <w:rFonts w:ascii="Arial" w:hAnsi="Arial" w:cs="Arial"/>
                <w:sz w:val="16"/>
                <w:szCs w:val="16"/>
                <w:vertAlign w:val="superscript"/>
              </w:rPr>
              <w:t>2</w:t>
            </w:r>
            <w:r>
              <w:rPr>
                <w:rFonts w:ascii="Arial" w:hAnsi="Arial" w:cs="Arial"/>
                <w:sz w:val="16"/>
                <w:szCs w:val="16"/>
              </w:rPr>
              <w:t xml:space="preserve"> cada tres semanas, en perfusión iv</w:t>
            </w:r>
          </w:p>
        </w:tc>
      </w:tr>
      <w:tr w:rsidR="00DD1521">
        <w:tc>
          <w:tcPr>
            <w:tcW w:w="1204" w:type="dxa"/>
          </w:tcPr>
          <w:p w:rsidR="00DD1521" w:rsidRDefault="00DD1521">
            <w:pPr>
              <w:spacing w:after="0" w:line="240" w:lineRule="auto"/>
              <w:rPr>
                <w:rFonts w:ascii="Arial" w:hAnsi="Arial" w:cs="Arial"/>
                <w:sz w:val="16"/>
                <w:szCs w:val="16"/>
              </w:rPr>
            </w:pPr>
            <w:r>
              <w:rPr>
                <w:rFonts w:ascii="Arial" w:hAnsi="Arial" w:cs="Arial"/>
                <w:sz w:val="16"/>
                <w:szCs w:val="16"/>
              </w:rPr>
              <w:t>Indicación aprobada en FT</w:t>
            </w:r>
          </w:p>
        </w:tc>
        <w:tc>
          <w:tcPr>
            <w:tcW w:w="1560" w:type="dxa"/>
          </w:tcPr>
          <w:p w:rsidR="00DD1521" w:rsidRDefault="00DD1521">
            <w:pPr>
              <w:spacing w:after="0" w:line="240" w:lineRule="auto"/>
              <w:rPr>
                <w:rFonts w:ascii="Arial" w:hAnsi="Arial" w:cs="Arial"/>
                <w:sz w:val="16"/>
                <w:szCs w:val="16"/>
              </w:rPr>
            </w:pPr>
            <w:r>
              <w:rPr>
                <w:rFonts w:ascii="Arial" w:hAnsi="Arial" w:cs="Arial"/>
                <w:sz w:val="16"/>
                <w:szCs w:val="16"/>
              </w:rPr>
              <w:t>CPNM localmente avanzado o metastásico con mutación positiva del EGFR T790M</w:t>
            </w:r>
          </w:p>
        </w:tc>
        <w:tc>
          <w:tcPr>
            <w:tcW w:w="2551" w:type="dxa"/>
          </w:tcPr>
          <w:p w:rsidR="00DD1521" w:rsidRDefault="00DD1521">
            <w:pPr>
              <w:spacing w:after="0" w:line="240" w:lineRule="auto"/>
              <w:rPr>
                <w:rFonts w:ascii="Arial" w:hAnsi="Arial" w:cs="Arial"/>
                <w:sz w:val="16"/>
                <w:szCs w:val="16"/>
              </w:rPr>
            </w:pPr>
            <w:r>
              <w:rPr>
                <w:rFonts w:ascii="Arial" w:hAnsi="Arial" w:cs="Arial"/>
                <w:sz w:val="16"/>
                <w:szCs w:val="16"/>
              </w:rPr>
              <w:t>Cisplatino: CPNM y CPM</w:t>
            </w:r>
          </w:p>
          <w:p w:rsidR="00DD1521" w:rsidRDefault="00DD1521">
            <w:pPr>
              <w:spacing w:after="0" w:line="240" w:lineRule="auto"/>
              <w:rPr>
                <w:rFonts w:ascii="Arial" w:hAnsi="Arial" w:cs="Arial"/>
                <w:sz w:val="16"/>
                <w:szCs w:val="16"/>
              </w:rPr>
            </w:pPr>
            <w:r>
              <w:rPr>
                <w:rFonts w:ascii="Arial" w:hAnsi="Arial" w:cs="Arial"/>
                <w:sz w:val="16"/>
                <w:szCs w:val="16"/>
              </w:rPr>
              <w:t>Carboplatino: CPM</w:t>
            </w:r>
          </w:p>
          <w:p w:rsidR="00DD1521" w:rsidRDefault="00DD1521">
            <w:pPr>
              <w:spacing w:after="0" w:line="240" w:lineRule="auto"/>
              <w:rPr>
                <w:rFonts w:ascii="Arial" w:hAnsi="Arial" w:cs="Arial"/>
                <w:sz w:val="16"/>
                <w:szCs w:val="16"/>
              </w:rPr>
            </w:pPr>
            <w:r>
              <w:rPr>
                <w:rFonts w:ascii="Arial" w:hAnsi="Arial" w:cs="Arial"/>
                <w:sz w:val="16"/>
                <w:szCs w:val="16"/>
              </w:rPr>
              <w:t>Pemetrexed: CPNM (doblete con platino en 1ª línea y en monoterapia para mantenimiento y 2ª línea).</w:t>
            </w:r>
          </w:p>
          <w:p w:rsidR="00DD1521" w:rsidRDefault="00DD1521">
            <w:pPr>
              <w:spacing w:after="0" w:line="240" w:lineRule="auto"/>
              <w:rPr>
                <w:rFonts w:ascii="Arial" w:hAnsi="Arial" w:cs="Arial"/>
                <w:sz w:val="16"/>
                <w:szCs w:val="16"/>
              </w:rPr>
            </w:pPr>
            <w:r>
              <w:rPr>
                <w:rFonts w:ascii="Arial" w:hAnsi="Arial" w:cs="Arial"/>
                <w:sz w:val="16"/>
                <w:szCs w:val="16"/>
              </w:rPr>
              <w:t>Docetaxel (doblete con platino en 1ª línea y en monoterapia para 2ª línea).</w:t>
            </w:r>
          </w:p>
          <w:p w:rsidR="00DD1521" w:rsidRDefault="00DD1521">
            <w:pPr>
              <w:spacing w:after="0" w:line="240" w:lineRule="auto"/>
              <w:rPr>
                <w:rFonts w:ascii="Arial" w:hAnsi="Arial" w:cs="Arial"/>
                <w:sz w:val="16"/>
                <w:szCs w:val="16"/>
              </w:rPr>
            </w:pPr>
          </w:p>
        </w:tc>
        <w:tc>
          <w:tcPr>
            <w:tcW w:w="1985" w:type="dxa"/>
          </w:tcPr>
          <w:p w:rsidR="00DD1521" w:rsidRDefault="00DD1521">
            <w:pPr>
              <w:spacing w:after="0" w:line="240" w:lineRule="auto"/>
              <w:rPr>
                <w:rFonts w:ascii="Arial" w:hAnsi="Arial" w:cs="Arial"/>
                <w:b/>
                <w:bCs/>
                <w:sz w:val="16"/>
                <w:szCs w:val="16"/>
              </w:rPr>
            </w:pPr>
            <w:r>
              <w:rPr>
                <w:rFonts w:ascii="Arial" w:hAnsi="Arial" w:cs="Arial"/>
                <w:b/>
                <w:bCs/>
                <w:sz w:val="16"/>
                <w:szCs w:val="16"/>
              </w:rPr>
              <w:t xml:space="preserve">En monoterapia: </w:t>
            </w:r>
          </w:p>
          <w:p w:rsidR="00DD1521" w:rsidRDefault="00DD1521">
            <w:pPr>
              <w:spacing w:after="0" w:line="240" w:lineRule="auto"/>
              <w:rPr>
                <w:rFonts w:ascii="Arial" w:hAnsi="Arial" w:cs="Arial"/>
                <w:sz w:val="16"/>
                <w:szCs w:val="16"/>
              </w:rPr>
            </w:pPr>
            <w:r>
              <w:rPr>
                <w:rFonts w:ascii="Arial" w:hAnsi="Arial" w:cs="Arial"/>
                <w:sz w:val="16"/>
                <w:szCs w:val="16"/>
              </w:rPr>
              <w:t>-Tratamiento de 2ª línea de pacientes con CPNM localmente avanzado o metastásico, de histología no escamosa</w:t>
            </w:r>
          </w:p>
        </w:tc>
        <w:tc>
          <w:tcPr>
            <w:tcW w:w="1969" w:type="dxa"/>
          </w:tcPr>
          <w:p w:rsidR="00DD1521" w:rsidRDefault="00DD1521">
            <w:pPr>
              <w:spacing w:after="0" w:line="240" w:lineRule="auto"/>
              <w:rPr>
                <w:rFonts w:ascii="Arial" w:hAnsi="Arial" w:cs="Arial"/>
                <w:b/>
                <w:bCs/>
                <w:sz w:val="16"/>
                <w:szCs w:val="16"/>
              </w:rPr>
            </w:pPr>
            <w:r>
              <w:rPr>
                <w:rFonts w:ascii="Arial" w:hAnsi="Arial" w:cs="Arial"/>
                <w:b/>
                <w:bCs/>
                <w:sz w:val="16"/>
                <w:szCs w:val="16"/>
              </w:rPr>
              <w:t>En monoterapia:</w:t>
            </w:r>
          </w:p>
          <w:p w:rsidR="00DD1521" w:rsidRDefault="00DD1521">
            <w:pPr>
              <w:spacing w:after="0" w:line="240" w:lineRule="auto"/>
              <w:rPr>
                <w:rFonts w:ascii="Arial" w:hAnsi="Arial" w:cs="Arial"/>
                <w:sz w:val="16"/>
                <w:szCs w:val="16"/>
              </w:rPr>
            </w:pPr>
            <w:r>
              <w:rPr>
                <w:rFonts w:ascii="Arial" w:hAnsi="Arial" w:cs="Arial"/>
                <w:b/>
                <w:bCs/>
                <w:sz w:val="16"/>
                <w:szCs w:val="16"/>
              </w:rPr>
              <w:t>-</w:t>
            </w:r>
            <w:r>
              <w:rPr>
                <w:rFonts w:ascii="Arial" w:hAnsi="Arial" w:cs="Arial"/>
                <w:sz w:val="16"/>
                <w:szCs w:val="16"/>
              </w:rPr>
              <w:t>Tratamiento de pacientes con cáncer de pulmón no microcítico, metastásico o localmente avanzado, tras el fracaso de la quimioterapia previa</w:t>
            </w:r>
          </w:p>
          <w:p w:rsidR="00DD1521" w:rsidRDefault="00DD1521">
            <w:pPr>
              <w:spacing w:after="0" w:line="240" w:lineRule="auto"/>
              <w:rPr>
                <w:rFonts w:ascii="Arial" w:hAnsi="Arial" w:cs="Arial"/>
                <w:sz w:val="16"/>
                <w:szCs w:val="16"/>
              </w:rPr>
            </w:pPr>
          </w:p>
        </w:tc>
      </w:tr>
      <w:tr w:rsidR="00DD1521">
        <w:tc>
          <w:tcPr>
            <w:tcW w:w="1204" w:type="dxa"/>
          </w:tcPr>
          <w:p w:rsidR="00DD1521" w:rsidRDefault="00DD1521">
            <w:pPr>
              <w:spacing w:after="0" w:line="240" w:lineRule="auto"/>
              <w:rPr>
                <w:rFonts w:ascii="Arial" w:hAnsi="Arial" w:cs="Arial"/>
                <w:sz w:val="16"/>
                <w:szCs w:val="16"/>
              </w:rPr>
            </w:pPr>
            <w:r>
              <w:rPr>
                <w:rFonts w:ascii="Arial" w:hAnsi="Arial" w:cs="Arial"/>
                <w:sz w:val="16"/>
                <w:szCs w:val="16"/>
              </w:rPr>
              <w:t>Efectos adversos</w:t>
            </w:r>
          </w:p>
        </w:tc>
        <w:tc>
          <w:tcPr>
            <w:tcW w:w="1560" w:type="dxa"/>
          </w:tcPr>
          <w:p w:rsidR="00DD1521" w:rsidRDefault="00DD1521">
            <w:pPr>
              <w:spacing w:after="0" w:line="240" w:lineRule="auto"/>
              <w:rPr>
                <w:rFonts w:ascii="Arial" w:hAnsi="Arial" w:cs="Arial"/>
                <w:sz w:val="16"/>
                <w:szCs w:val="16"/>
              </w:rPr>
            </w:pPr>
            <w:r>
              <w:rPr>
                <w:rFonts w:ascii="Arial" w:hAnsi="Arial" w:cs="Arial"/>
                <w:sz w:val="16"/>
                <w:szCs w:val="16"/>
              </w:rPr>
              <w:t xml:space="preserve">Diarrea, sequedad de la piel, </w:t>
            </w:r>
            <w:r>
              <w:rPr>
                <w:rFonts w:ascii="Arial" w:hAnsi="Arial" w:cs="Arial"/>
                <w:sz w:val="16"/>
                <w:szCs w:val="16"/>
              </w:rPr>
              <w:lastRenderedPageBreak/>
              <w:t>paroniquia, estomatitis, dermatitis acneiforme, disminución del apetito, prolongación del intervalo QT…</w:t>
            </w:r>
          </w:p>
        </w:tc>
        <w:tc>
          <w:tcPr>
            <w:tcW w:w="2551" w:type="dxa"/>
          </w:tcPr>
          <w:p w:rsidR="00DD1521" w:rsidRDefault="00DD1521">
            <w:pPr>
              <w:spacing w:after="0" w:line="240" w:lineRule="auto"/>
              <w:rPr>
                <w:rFonts w:ascii="Arial" w:hAnsi="Arial" w:cs="Arial"/>
                <w:sz w:val="16"/>
                <w:szCs w:val="16"/>
              </w:rPr>
            </w:pPr>
            <w:r>
              <w:rPr>
                <w:rFonts w:ascii="Arial" w:hAnsi="Arial" w:cs="Arial"/>
                <w:b/>
                <w:bCs/>
                <w:sz w:val="16"/>
                <w:szCs w:val="16"/>
              </w:rPr>
              <w:lastRenderedPageBreak/>
              <w:t>Cisplatino</w:t>
            </w:r>
            <w:r>
              <w:rPr>
                <w:rFonts w:ascii="Arial" w:hAnsi="Arial" w:cs="Arial"/>
                <w:sz w:val="16"/>
                <w:szCs w:val="16"/>
              </w:rPr>
              <w:t xml:space="preserve">: leucopenia, trombocitopenia, anemia, </w:t>
            </w:r>
            <w:r>
              <w:rPr>
                <w:rFonts w:ascii="Arial" w:hAnsi="Arial" w:cs="Arial"/>
                <w:sz w:val="16"/>
                <w:szCs w:val="16"/>
              </w:rPr>
              <w:lastRenderedPageBreak/>
              <w:t xml:space="preserve">anorexia, náuseas, vómitos, diarrea, trastornos auditivos, insuficiencia renal, nefrotoxicidad, hiperuricemia y fiebre. </w:t>
            </w:r>
          </w:p>
          <w:p w:rsidR="00DD1521" w:rsidRDefault="00DD1521">
            <w:pPr>
              <w:spacing w:after="0" w:line="240" w:lineRule="auto"/>
              <w:rPr>
                <w:rFonts w:ascii="Arial" w:hAnsi="Arial" w:cs="Arial"/>
                <w:sz w:val="16"/>
                <w:szCs w:val="16"/>
              </w:rPr>
            </w:pPr>
            <w:r>
              <w:rPr>
                <w:rFonts w:ascii="Arial" w:hAnsi="Arial" w:cs="Arial"/>
                <w:b/>
                <w:bCs/>
                <w:sz w:val="16"/>
                <w:szCs w:val="16"/>
              </w:rPr>
              <w:t>Carboplatino:</w:t>
            </w:r>
            <w:r>
              <w:rPr>
                <w:rFonts w:ascii="Arial" w:hAnsi="Arial" w:cs="Arial"/>
                <w:sz w:val="16"/>
                <w:szCs w:val="16"/>
              </w:rPr>
              <w:t xml:space="preserve"> mielosupresión, trastornos auditivos, trastornos gastrointestinales, nefrotoxicidad, alteración de electrolitos, hiperuricemia, y alteraciones de las pruebas de función hepática.</w:t>
            </w:r>
          </w:p>
          <w:p w:rsidR="00DD1521" w:rsidRDefault="00DD1521">
            <w:pPr>
              <w:spacing w:after="0" w:line="240" w:lineRule="auto"/>
              <w:rPr>
                <w:rFonts w:ascii="Arial" w:hAnsi="Arial" w:cs="Arial"/>
                <w:sz w:val="16"/>
                <w:szCs w:val="16"/>
              </w:rPr>
            </w:pPr>
            <w:r>
              <w:rPr>
                <w:rFonts w:ascii="Arial" w:hAnsi="Arial" w:cs="Arial"/>
                <w:sz w:val="16"/>
                <w:szCs w:val="16"/>
              </w:rPr>
              <w:t>A los efectos adversos descritos habría que añadir los relacionados con el fármaco administrado de forma concomitante.</w:t>
            </w:r>
          </w:p>
          <w:p w:rsidR="00DD1521" w:rsidRDefault="00DD1521">
            <w:pPr>
              <w:spacing w:after="0" w:line="240" w:lineRule="auto"/>
              <w:rPr>
                <w:rFonts w:ascii="Arial" w:hAnsi="Arial" w:cs="Arial"/>
                <w:sz w:val="16"/>
                <w:szCs w:val="16"/>
              </w:rPr>
            </w:pPr>
          </w:p>
        </w:tc>
        <w:tc>
          <w:tcPr>
            <w:tcW w:w="1985" w:type="dxa"/>
          </w:tcPr>
          <w:p w:rsidR="00DD1521" w:rsidRDefault="00DD1521">
            <w:pPr>
              <w:spacing w:after="0" w:line="240" w:lineRule="auto"/>
              <w:rPr>
                <w:rFonts w:ascii="Arial" w:hAnsi="Arial" w:cs="Arial"/>
                <w:sz w:val="16"/>
                <w:szCs w:val="16"/>
              </w:rPr>
            </w:pPr>
            <w:r>
              <w:rPr>
                <w:rFonts w:ascii="Arial" w:hAnsi="Arial" w:cs="Arial"/>
                <w:sz w:val="16"/>
                <w:szCs w:val="16"/>
              </w:rPr>
              <w:lastRenderedPageBreak/>
              <w:t xml:space="preserve">Anemia, neutropenia, leucopenia, </w:t>
            </w:r>
            <w:r>
              <w:rPr>
                <w:rFonts w:ascii="Arial" w:hAnsi="Arial" w:cs="Arial"/>
                <w:sz w:val="16"/>
                <w:szCs w:val="16"/>
              </w:rPr>
              <w:lastRenderedPageBreak/>
              <w:t>trombocitopenia, náuseas, vómitos, diarrea, estomatitis/faringitis, anorexia, exantema/descamación, y astenia.</w:t>
            </w:r>
          </w:p>
        </w:tc>
        <w:tc>
          <w:tcPr>
            <w:tcW w:w="1969" w:type="dxa"/>
          </w:tcPr>
          <w:p w:rsidR="00DD1521" w:rsidRDefault="00DD1521">
            <w:pPr>
              <w:spacing w:after="0" w:line="240" w:lineRule="auto"/>
              <w:rPr>
                <w:rFonts w:ascii="Arial" w:hAnsi="Arial" w:cs="Arial"/>
                <w:sz w:val="16"/>
                <w:szCs w:val="16"/>
              </w:rPr>
            </w:pPr>
            <w:r>
              <w:rPr>
                <w:rFonts w:ascii="Arial" w:hAnsi="Arial" w:cs="Arial"/>
                <w:sz w:val="16"/>
                <w:szCs w:val="16"/>
              </w:rPr>
              <w:lastRenderedPageBreak/>
              <w:t xml:space="preserve">Infecciones, neutropenia, anemia, trombocitopenia, </w:t>
            </w:r>
            <w:r>
              <w:rPr>
                <w:rFonts w:ascii="Arial" w:hAnsi="Arial" w:cs="Arial"/>
                <w:sz w:val="16"/>
                <w:szCs w:val="16"/>
              </w:rPr>
              <w:lastRenderedPageBreak/>
              <w:t>anorexia, neuropatía sensorial periférica, náuseas, vómitos, diarrea, estomatitis, alopecia, reacciones cutáneas, astenia, retención de líquidos y dolor.</w:t>
            </w:r>
          </w:p>
        </w:tc>
      </w:tr>
      <w:tr w:rsidR="00DD1521">
        <w:tc>
          <w:tcPr>
            <w:tcW w:w="1204" w:type="dxa"/>
          </w:tcPr>
          <w:p w:rsidR="00DD1521" w:rsidRDefault="00DD1521">
            <w:pPr>
              <w:spacing w:after="0" w:line="240" w:lineRule="auto"/>
              <w:rPr>
                <w:rFonts w:ascii="Arial" w:hAnsi="Arial" w:cs="Arial"/>
                <w:sz w:val="16"/>
                <w:szCs w:val="16"/>
              </w:rPr>
            </w:pPr>
            <w:r>
              <w:rPr>
                <w:rFonts w:ascii="Arial" w:hAnsi="Arial" w:cs="Arial"/>
                <w:sz w:val="16"/>
                <w:szCs w:val="16"/>
              </w:rPr>
              <w:lastRenderedPageBreak/>
              <w:t>Utilización de recursos</w:t>
            </w:r>
          </w:p>
        </w:tc>
        <w:tc>
          <w:tcPr>
            <w:tcW w:w="1560" w:type="dxa"/>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Dispensación hospitalaria</w:t>
            </w:r>
          </w:p>
          <w:p w:rsidR="00DD1521" w:rsidRDefault="00DD1521">
            <w:pPr>
              <w:spacing w:after="0" w:line="240" w:lineRule="auto"/>
              <w:rPr>
                <w:rFonts w:ascii="Times" w:hAnsi="Times" w:cs="Times"/>
                <w:sz w:val="20"/>
                <w:szCs w:val="20"/>
              </w:rPr>
            </w:pPr>
          </w:p>
        </w:tc>
        <w:tc>
          <w:tcPr>
            <w:tcW w:w="2551" w:type="dxa"/>
          </w:tcPr>
          <w:p w:rsidR="00DD1521" w:rsidRDefault="00DD1521">
            <w:pPr>
              <w:spacing w:after="0" w:line="240" w:lineRule="auto"/>
              <w:rPr>
                <w:rFonts w:ascii="Arial" w:hAnsi="Arial" w:cs="Arial"/>
                <w:sz w:val="16"/>
                <w:szCs w:val="16"/>
              </w:rPr>
            </w:pPr>
            <w:r>
              <w:rPr>
                <w:rFonts w:ascii="Arial" w:hAnsi="Arial" w:cs="Arial"/>
                <w:sz w:val="16"/>
                <w:szCs w:val="16"/>
              </w:rPr>
              <w:t>Administración en Hospital de día</w:t>
            </w:r>
          </w:p>
          <w:p w:rsidR="00DD1521" w:rsidRDefault="00DD1521">
            <w:pPr>
              <w:spacing w:after="0" w:line="240" w:lineRule="auto"/>
              <w:rPr>
                <w:rFonts w:ascii="Arial" w:hAnsi="Arial" w:cs="Arial"/>
                <w:sz w:val="16"/>
                <w:szCs w:val="16"/>
              </w:rPr>
            </w:pPr>
          </w:p>
        </w:tc>
        <w:tc>
          <w:tcPr>
            <w:tcW w:w="1985" w:type="dxa"/>
          </w:tcPr>
          <w:p w:rsidR="00DD1521" w:rsidRDefault="00DD1521">
            <w:pPr>
              <w:spacing w:after="0" w:line="240" w:lineRule="auto"/>
              <w:rPr>
                <w:rFonts w:ascii="Arial" w:hAnsi="Arial" w:cs="Arial"/>
                <w:sz w:val="16"/>
                <w:szCs w:val="16"/>
              </w:rPr>
            </w:pPr>
            <w:r>
              <w:rPr>
                <w:rFonts w:ascii="Arial" w:hAnsi="Arial" w:cs="Arial"/>
                <w:sz w:val="16"/>
                <w:szCs w:val="16"/>
              </w:rPr>
              <w:t>Administración en Hospital de día.</w:t>
            </w:r>
          </w:p>
        </w:tc>
        <w:tc>
          <w:tcPr>
            <w:tcW w:w="1969" w:type="dxa"/>
          </w:tcPr>
          <w:p w:rsidR="00DD1521" w:rsidRDefault="00DD1521">
            <w:pPr>
              <w:spacing w:after="0" w:line="240" w:lineRule="auto"/>
              <w:rPr>
                <w:rFonts w:ascii="Arial" w:hAnsi="Arial" w:cs="Arial"/>
                <w:sz w:val="16"/>
                <w:szCs w:val="16"/>
              </w:rPr>
            </w:pPr>
            <w:r>
              <w:rPr>
                <w:rFonts w:ascii="Arial" w:hAnsi="Arial" w:cs="Arial"/>
                <w:sz w:val="16"/>
                <w:szCs w:val="16"/>
              </w:rPr>
              <w:t>Administración en Hospital de día.</w:t>
            </w:r>
          </w:p>
        </w:tc>
      </w:tr>
      <w:tr w:rsidR="00DD1521">
        <w:tc>
          <w:tcPr>
            <w:tcW w:w="1204" w:type="dxa"/>
          </w:tcPr>
          <w:p w:rsidR="00DD1521" w:rsidRDefault="00DD1521">
            <w:pPr>
              <w:spacing w:after="0" w:line="240" w:lineRule="auto"/>
              <w:rPr>
                <w:rFonts w:ascii="Arial" w:hAnsi="Arial" w:cs="Arial"/>
                <w:sz w:val="16"/>
                <w:szCs w:val="16"/>
              </w:rPr>
            </w:pPr>
            <w:r>
              <w:rPr>
                <w:rFonts w:ascii="Arial" w:hAnsi="Arial" w:cs="Arial"/>
                <w:sz w:val="16"/>
                <w:szCs w:val="16"/>
              </w:rPr>
              <w:t>Conveniencia</w:t>
            </w:r>
          </w:p>
        </w:tc>
        <w:tc>
          <w:tcPr>
            <w:tcW w:w="1560" w:type="dxa"/>
          </w:tcPr>
          <w:p w:rsidR="00DD1521" w:rsidRDefault="00DD1521">
            <w:pPr>
              <w:spacing w:after="0" w:line="240" w:lineRule="auto"/>
              <w:rPr>
                <w:rFonts w:ascii="Times" w:hAnsi="Times" w:cs="Times"/>
                <w:sz w:val="20"/>
                <w:szCs w:val="20"/>
              </w:rPr>
            </w:pPr>
            <w:r>
              <w:rPr>
                <w:rFonts w:ascii="Arial" w:hAnsi="Arial" w:cs="Arial"/>
                <w:color w:val="000000"/>
                <w:sz w:val="16"/>
                <w:szCs w:val="16"/>
              </w:rPr>
              <w:t>Administración oral una vez al día</w:t>
            </w:r>
          </w:p>
        </w:tc>
        <w:tc>
          <w:tcPr>
            <w:tcW w:w="2551" w:type="dxa"/>
          </w:tcPr>
          <w:p w:rsidR="00DD1521" w:rsidRDefault="00DD1521">
            <w:pPr>
              <w:spacing w:after="0" w:line="240" w:lineRule="auto"/>
              <w:rPr>
                <w:rFonts w:ascii="Arial" w:hAnsi="Arial" w:cs="Arial"/>
                <w:sz w:val="16"/>
                <w:szCs w:val="16"/>
              </w:rPr>
            </w:pPr>
            <w:r>
              <w:rPr>
                <w:rFonts w:ascii="Arial" w:hAnsi="Arial" w:cs="Arial"/>
                <w:sz w:val="16"/>
                <w:szCs w:val="16"/>
              </w:rPr>
              <w:t xml:space="preserve">Administración en perfusión iv cada tres semanas. </w:t>
            </w:r>
          </w:p>
          <w:p w:rsidR="00DD1521" w:rsidRDefault="00DD1521">
            <w:pPr>
              <w:spacing w:after="0" w:line="240" w:lineRule="auto"/>
              <w:rPr>
                <w:rFonts w:ascii="Arial" w:hAnsi="Arial" w:cs="Arial"/>
                <w:sz w:val="16"/>
                <w:szCs w:val="16"/>
              </w:rPr>
            </w:pPr>
            <w:r>
              <w:rPr>
                <w:rFonts w:ascii="Arial" w:hAnsi="Arial" w:cs="Arial"/>
                <w:sz w:val="16"/>
                <w:szCs w:val="16"/>
              </w:rPr>
              <w:t>Estas combinaciones en segunda línea no están aprobadas en ficha técnica.</w:t>
            </w:r>
          </w:p>
        </w:tc>
        <w:tc>
          <w:tcPr>
            <w:tcW w:w="1985" w:type="dxa"/>
          </w:tcPr>
          <w:p w:rsidR="00DD1521" w:rsidRDefault="00DD1521">
            <w:pPr>
              <w:spacing w:after="0" w:line="240" w:lineRule="auto"/>
              <w:rPr>
                <w:rFonts w:ascii="Arial" w:hAnsi="Arial" w:cs="Arial"/>
                <w:sz w:val="16"/>
                <w:szCs w:val="16"/>
              </w:rPr>
            </w:pPr>
            <w:r>
              <w:rPr>
                <w:rFonts w:ascii="Arial" w:hAnsi="Arial" w:cs="Arial"/>
                <w:sz w:val="16"/>
                <w:szCs w:val="16"/>
              </w:rPr>
              <w:t>Administración en perfusión iv de diez minutos cada 3 semanas</w:t>
            </w:r>
          </w:p>
        </w:tc>
        <w:tc>
          <w:tcPr>
            <w:tcW w:w="1969" w:type="dxa"/>
          </w:tcPr>
          <w:p w:rsidR="00DD1521" w:rsidRDefault="00DD1521">
            <w:pPr>
              <w:spacing w:after="0" w:line="240" w:lineRule="auto"/>
              <w:rPr>
                <w:rFonts w:ascii="Arial" w:hAnsi="Arial" w:cs="Arial"/>
                <w:sz w:val="16"/>
                <w:szCs w:val="16"/>
              </w:rPr>
            </w:pPr>
            <w:r>
              <w:rPr>
                <w:rFonts w:ascii="Arial" w:hAnsi="Arial" w:cs="Arial"/>
                <w:sz w:val="16"/>
                <w:szCs w:val="16"/>
              </w:rPr>
              <w:t>Administración en perfusión iv de una hora cada tres semanas</w:t>
            </w:r>
          </w:p>
        </w:tc>
      </w:tr>
      <w:tr w:rsidR="00DD1521">
        <w:tc>
          <w:tcPr>
            <w:tcW w:w="1204" w:type="dxa"/>
          </w:tcPr>
          <w:p w:rsidR="00DD1521" w:rsidRDefault="00DD1521">
            <w:pPr>
              <w:spacing w:after="0" w:line="240" w:lineRule="auto"/>
              <w:rPr>
                <w:rFonts w:ascii="Arial" w:hAnsi="Arial" w:cs="Arial"/>
                <w:sz w:val="16"/>
                <w:szCs w:val="16"/>
              </w:rPr>
            </w:pPr>
            <w:r>
              <w:rPr>
                <w:rFonts w:ascii="Arial" w:hAnsi="Arial" w:cs="Arial"/>
                <w:sz w:val="16"/>
                <w:szCs w:val="16"/>
              </w:rPr>
              <w:t>Otras características diferenciales</w:t>
            </w:r>
          </w:p>
        </w:tc>
        <w:tc>
          <w:tcPr>
            <w:tcW w:w="1560" w:type="dxa"/>
          </w:tcPr>
          <w:p w:rsidR="00DD1521" w:rsidRDefault="00DD1521">
            <w:pPr>
              <w:spacing w:after="0" w:line="240" w:lineRule="auto"/>
              <w:rPr>
                <w:rFonts w:ascii="Arial" w:hAnsi="Arial" w:cs="Arial"/>
                <w:sz w:val="16"/>
                <w:szCs w:val="16"/>
              </w:rPr>
            </w:pPr>
          </w:p>
        </w:tc>
        <w:tc>
          <w:tcPr>
            <w:tcW w:w="2551" w:type="dxa"/>
          </w:tcPr>
          <w:p w:rsidR="00DD1521" w:rsidRDefault="00DD1521">
            <w:pPr>
              <w:shd w:val="clear" w:color="auto" w:fill="FFFFFF"/>
              <w:spacing w:after="0" w:line="240" w:lineRule="auto"/>
              <w:rPr>
                <w:rFonts w:ascii="Arial" w:hAnsi="Arial" w:cs="Arial"/>
                <w:color w:val="333333"/>
                <w:sz w:val="16"/>
                <w:szCs w:val="16"/>
                <w:shd w:val="clear" w:color="auto" w:fill="FFFFFF"/>
              </w:rPr>
            </w:pPr>
            <w:r>
              <w:rPr>
                <w:rFonts w:ascii="Arial" w:hAnsi="Arial" w:cs="Arial"/>
                <w:sz w:val="16"/>
                <w:szCs w:val="16"/>
              </w:rPr>
              <w:t xml:space="preserve">Antes, durante y después de la administración de cisplatino, deben determinarse: función renal; función hepática; función hematopoyética y electrolitos en suero. </w:t>
            </w:r>
            <w:r>
              <w:rPr>
                <w:rFonts w:ascii="Arial" w:hAnsi="Arial" w:cs="Arial"/>
                <w:color w:val="333333"/>
                <w:sz w:val="16"/>
                <w:szCs w:val="16"/>
                <w:shd w:val="clear" w:color="auto" w:fill="FFFFFF"/>
              </w:rPr>
              <w:t>Debe mantenerse una adecuada hidratación de 2 a 12 horas antes de la administración hasta un mínimo de seis horas después de la administración de cisplatino</w:t>
            </w:r>
          </w:p>
          <w:p w:rsidR="00DD1521" w:rsidRDefault="00DD1521">
            <w:pPr>
              <w:shd w:val="clear" w:color="auto" w:fill="FFFFFF"/>
              <w:spacing w:after="0" w:line="240" w:lineRule="auto"/>
              <w:rPr>
                <w:rFonts w:ascii="Arial" w:hAnsi="Arial" w:cs="Arial"/>
                <w:sz w:val="16"/>
                <w:szCs w:val="16"/>
              </w:rPr>
            </w:pPr>
          </w:p>
        </w:tc>
        <w:tc>
          <w:tcPr>
            <w:tcW w:w="1985" w:type="dxa"/>
          </w:tcPr>
          <w:p w:rsidR="00DD1521" w:rsidRDefault="00DD1521">
            <w:pPr>
              <w:spacing w:after="0" w:line="240" w:lineRule="auto"/>
              <w:rPr>
                <w:rFonts w:ascii="Arial" w:hAnsi="Arial" w:cs="Arial"/>
                <w:sz w:val="16"/>
                <w:szCs w:val="16"/>
              </w:rPr>
            </w:pPr>
            <w:r>
              <w:rPr>
                <w:rFonts w:ascii="Arial" w:hAnsi="Arial" w:cs="Arial"/>
                <w:sz w:val="16"/>
                <w:szCs w:val="16"/>
              </w:rPr>
              <w:t>Realizar recuento de células blancas, plaquetas, bioquímica y función hepática y renal antes de cada administración.</w:t>
            </w:r>
          </w:p>
        </w:tc>
        <w:tc>
          <w:tcPr>
            <w:tcW w:w="1969" w:type="dxa"/>
          </w:tcPr>
          <w:p w:rsidR="00DD1521" w:rsidRDefault="00DD1521">
            <w:pPr>
              <w:spacing w:after="0" w:line="240" w:lineRule="auto"/>
              <w:rPr>
                <w:rFonts w:ascii="Arial" w:hAnsi="Arial" w:cs="Arial"/>
                <w:sz w:val="16"/>
                <w:szCs w:val="16"/>
              </w:rPr>
            </w:pPr>
            <w:r>
              <w:rPr>
                <w:rFonts w:ascii="Arial" w:hAnsi="Arial" w:cs="Arial"/>
                <w:sz w:val="16"/>
                <w:szCs w:val="16"/>
              </w:rPr>
              <w:t>Debe administrarse cuando el recuento de neutrófilos es ≥1.500 células/mm</w:t>
            </w:r>
            <w:r>
              <w:rPr>
                <w:rFonts w:ascii="Arial" w:hAnsi="Arial" w:cs="Arial"/>
                <w:sz w:val="16"/>
                <w:szCs w:val="16"/>
                <w:vertAlign w:val="superscript"/>
              </w:rPr>
              <w:t>3</w:t>
            </w:r>
          </w:p>
        </w:tc>
      </w:tr>
    </w:tbl>
    <w:p w:rsidR="00DD1521" w:rsidRDefault="00DD1521">
      <w:pPr>
        <w:spacing w:after="0" w:line="240" w:lineRule="auto"/>
        <w:rPr>
          <w:rFonts w:ascii="Arial" w:hAnsi="Arial" w:cs="Arial"/>
          <w:b/>
          <w:bCs/>
          <w:sz w:val="20"/>
          <w:szCs w:val="20"/>
        </w:rPr>
      </w:pPr>
    </w:p>
    <w:p w:rsidR="00DD1521" w:rsidRDefault="00DD1521">
      <w:pPr>
        <w:spacing w:after="0" w:line="240" w:lineRule="auto"/>
        <w:rPr>
          <w:rFonts w:ascii="Arial" w:hAnsi="Arial" w:cs="Arial"/>
          <w:b/>
          <w:bCs/>
          <w:sz w:val="20"/>
          <w:szCs w:val="20"/>
        </w:rPr>
      </w:pPr>
    </w:p>
    <w:tbl>
      <w:tblPr>
        <w:tblW w:w="9313" w:type="dxa"/>
        <w:tblInd w:w="-13" w:type="dxa"/>
        <w:tblLayout w:type="fixed"/>
        <w:tblCellMar>
          <w:top w:w="15" w:type="dxa"/>
          <w:left w:w="15" w:type="dxa"/>
          <w:bottom w:w="15" w:type="dxa"/>
          <w:right w:w="15" w:type="dxa"/>
        </w:tblCellMar>
        <w:tblLook w:val="00A0" w:firstRow="1" w:lastRow="0" w:firstColumn="1" w:lastColumn="0" w:noHBand="0" w:noVBand="0"/>
      </w:tblPr>
      <w:tblGrid>
        <w:gridCol w:w="1171"/>
        <w:gridCol w:w="1572"/>
        <w:gridCol w:w="1856"/>
        <w:gridCol w:w="1714"/>
        <w:gridCol w:w="1714"/>
        <w:gridCol w:w="1286"/>
      </w:tblGrid>
      <w:tr w:rsidR="00DD1521">
        <w:trPr>
          <w:trHeight w:val="351"/>
        </w:trPr>
        <w:tc>
          <w:tcPr>
            <w:tcW w:w="9313" w:type="dxa"/>
            <w:gridSpan w:val="6"/>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spacing w:after="0" w:line="240" w:lineRule="auto"/>
              <w:rPr>
                <w:rFonts w:ascii="Arial" w:hAnsi="Arial" w:cs="Arial"/>
                <w:b/>
                <w:bCs/>
                <w:color w:val="000000"/>
                <w:sz w:val="16"/>
                <w:szCs w:val="16"/>
              </w:rPr>
            </w:pPr>
            <w:r>
              <w:rPr>
                <w:rFonts w:ascii="Arial" w:hAnsi="Arial" w:cs="Arial"/>
                <w:b/>
                <w:bCs/>
                <w:color w:val="000000"/>
                <w:sz w:val="16"/>
                <w:szCs w:val="16"/>
              </w:rPr>
              <w:t>Tabla 4. Características diferenciales comparadas con otras alternativas similares</w:t>
            </w:r>
            <w:r>
              <w:rPr>
                <w:rFonts w:ascii="Arial" w:hAnsi="Arial" w:cs="Arial"/>
                <w:b/>
                <w:bCs/>
                <w:sz w:val="16"/>
                <w:szCs w:val="16"/>
              </w:rPr>
              <w:t xml:space="preserve"> para el tratamiento de </w:t>
            </w:r>
            <w:r w:rsidRPr="004D27B6">
              <w:rPr>
                <w:rFonts w:ascii="Arial" w:hAnsi="Arial" w:cs="Arial"/>
                <w:b/>
                <w:bCs/>
                <w:caps/>
                <w:sz w:val="16"/>
                <w:szCs w:val="16"/>
              </w:rPr>
              <w:t>primera línea</w:t>
            </w:r>
            <w:r>
              <w:rPr>
                <w:rFonts w:ascii="Arial" w:hAnsi="Arial" w:cs="Arial"/>
                <w:b/>
                <w:bCs/>
                <w:sz w:val="16"/>
                <w:szCs w:val="16"/>
              </w:rPr>
              <w:t xml:space="preserve"> del CPNM avanzado o metastásico con mutaciones activadoras del EGFR</w:t>
            </w:r>
          </w:p>
        </w:tc>
      </w:tr>
      <w:tr w:rsidR="00DD1521">
        <w:trPr>
          <w:trHeight w:val="180"/>
        </w:trPr>
        <w:tc>
          <w:tcPr>
            <w:tcW w:w="1171"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Times" w:hAnsi="Times" w:cs="Times"/>
                <w:sz w:val="20"/>
                <w:szCs w:val="20"/>
              </w:rPr>
            </w:pPr>
            <w:r>
              <w:rPr>
                <w:rFonts w:ascii="Arial" w:hAnsi="Arial" w:cs="Arial"/>
                <w:b/>
                <w:bCs/>
                <w:color w:val="000000"/>
                <w:sz w:val="16"/>
                <w:szCs w:val="16"/>
              </w:rPr>
              <w:t>Nombre</w:t>
            </w:r>
          </w:p>
        </w:tc>
        <w:tc>
          <w:tcPr>
            <w:tcW w:w="1572" w:type="dxa"/>
            <w:tcBorders>
              <w:top w:val="single" w:sz="4" w:space="0" w:color="000000"/>
              <w:left w:val="single" w:sz="4" w:space="0" w:color="000000"/>
              <w:bottom w:val="single" w:sz="4" w:space="0" w:color="000000"/>
              <w:right w:val="single" w:sz="4" w:space="0" w:color="000000"/>
            </w:tcBorders>
          </w:tcPr>
          <w:p w:rsidR="00DD1521" w:rsidRPr="00BA51E1" w:rsidRDefault="00DD1521">
            <w:pPr>
              <w:pStyle w:val="Encabezado"/>
              <w:tabs>
                <w:tab w:val="clear" w:pos="4252"/>
                <w:tab w:val="clear" w:pos="8504"/>
              </w:tabs>
              <w:spacing w:after="0" w:line="240" w:lineRule="auto"/>
              <w:rPr>
                <w:rFonts w:ascii="Arial" w:hAnsi="Arial" w:cs="Arial"/>
                <w:b/>
                <w:bCs/>
                <w:sz w:val="16"/>
                <w:szCs w:val="16"/>
              </w:rPr>
            </w:pPr>
            <w:r w:rsidRPr="00BA51E1">
              <w:rPr>
                <w:rFonts w:ascii="Arial" w:hAnsi="Arial" w:cs="Arial"/>
                <w:b/>
                <w:bCs/>
                <w:sz w:val="16"/>
                <w:szCs w:val="16"/>
              </w:rPr>
              <w:t>Osimertinib (4)</w:t>
            </w:r>
          </w:p>
        </w:tc>
        <w:tc>
          <w:tcPr>
            <w:tcW w:w="1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b/>
                <w:bCs/>
                <w:color w:val="000000"/>
                <w:sz w:val="16"/>
                <w:szCs w:val="16"/>
              </w:rPr>
              <w:t xml:space="preserve">Erlotinib </w:t>
            </w:r>
            <w:r>
              <w:rPr>
                <w:rFonts w:ascii="Arial" w:hAnsi="Arial" w:cs="Arial"/>
                <w:b/>
                <w:bCs/>
                <w:color w:val="000000"/>
                <w:sz w:val="16"/>
                <w:szCs w:val="16"/>
              </w:rPr>
              <w:fldChar w:fldCharType="begin"/>
            </w:r>
            <w:r>
              <w:rPr>
                <w:rFonts w:ascii="Arial" w:hAnsi="Arial" w:cs="Arial"/>
                <w:b/>
                <w:bCs/>
                <w:color w:val="000000"/>
                <w:sz w:val="16"/>
                <w:szCs w:val="16"/>
              </w:rPr>
              <w:instrText xml:space="preserve"> ADDIN ZOTERO_ITEM CSL_CITATION {"citationID":"gY5452mF","properties":{"formattedCitation":"(15)","plainCitation":"(15)"},"citationItems":[{"id":1009,"uris":["http://zotero.org/users/local/zrSbuHrK/items/37U36AQD"],"uri":["http://zotero.org/users/local/zrSbuHrK/items/37U36AQD"],"itemData":{"id":1009,"type":"webpage","title":"Tarceva, INN-erlotinib - FT_05311003.pdf","URL":"https://cima.aemps.es/cima/pdfs/ft/05311003/FT_05311003.pdf","accessed":{"date-parts":[["2018",12,5]]}}}],"schema":"https://github.com/citation-style-language/schema/raw/master/csl-citation.json"} </w:instrText>
            </w:r>
            <w:r>
              <w:rPr>
                <w:rFonts w:ascii="Arial" w:hAnsi="Arial" w:cs="Arial"/>
                <w:b/>
                <w:bCs/>
                <w:color w:val="000000"/>
                <w:sz w:val="16"/>
                <w:szCs w:val="16"/>
              </w:rPr>
              <w:fldChar w:fldCharType="separate"/>
            </w:r>
            <w:r>
              <w:rPr>
                <w:rFonts w:ascii="Arial" w:hAnsi="Arial" w:cs="Arial"/>
                <w:b/>
                <w:bCs/>
                <w:color w:val="000000"/>
                <w:sz w:val="16"/>
                <w:szCs w:val="16"/>
              </w:rPr>
              <w:t>(15)</w:t>
            </w:r>
            <w:r>
              <w:rPr>
                <w:rFonts w:ascii="Arial" w:hAnsi="Arial" w:cs="Arial"/>
                <w:b/>
                <w:bCs/>
                <w:color w:val="000000"/>
                <w:sz w:val="16"/>
                <w:szCs w:val="16"/>
              </w:rPr>
              <w:fldChar w:fldCharType="end"/>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b/>
                <w:bCs/>
                <w:color w:val="000000"/>
                <w:sz w:val="16"/>
                <w:szCs w:val="16"/>
              </w:rPr>
              <w:t xml:space="preserve">Gefitinib </w:t>
            </w:r>
            <w:r>
              <w:rPr>
                <w:rFonts w:ascii="Arial" w:hAnsi="Arial" w:cs="Arial"/>
                <w:b/>
                <w:bCs/>
                <w:color w:val="000000"/>
                <w:sz w:val="16"/>
                <w:szCs w:val="16"/>
              </w:rPr>
              <w:fldChar w:fldCharType="begin"/>
            </w:r>
            <w:r>
              <w:rPr>
                <w:rFonts w:ascii="Arial" w:hAnsi="Arial" w:cs="Arial"/>
                <w:b/>
                <w:bCs/>
                <w:color w:val="000000"/>
                <w:sz w:val="16"/>
                <w:szCs w:val="16"/>
              </w:rPr>
              <w:instrText xml:space="preserve"> ADDIN ZOTERO_ITEM CSL_CITATION {"citationID":"VK2r35lg","properties":{"formattedCitation":"(16)","plainCitation":"(16)"},"citationItems":[{"id":1011,"uris":["http://zotero.org/users/local/zrSbuHrK/items/FARMCCNG"],"uri":["http://zotero.org/users/local/zrSbuHrK/items/FARMCCNG"],"itemData":{"id":1011,"type":"webpage","title":"FICHA TECNICA IRESSA 250 mg COMPRIMIDOS RECUBIERTOS CON PELICULA","URL":"https://cima.aemps.es/cima/dochtml/ft/09526001/FT_09526001.html","accessed":{"date-parts":[["2018",12,5]]}}}],"schema":"https://github.com/citation-style-language/schema/raw/master/csl-citation.json"} </w:instrText>
            </w:r>
            <w:r>
              <w:rPr>
                <w:rFonts w:ascii="Arial" w:hAnsi="Arial" w:cs="Arial"/>
                <w:b/>
                <w:bCs/>
                <w:color w:val="000000"/>
                <w:sz w:val="16"/>
                <w:szCs w:val="16"/>
              </w:rPr>
              <w:fldChar w:fldCharType="separate"/>
            </w:r>
            <w:r>
              <w:rPr>
                <w:rFonts w:ascii="Arial" w:hAnsi="Arial" w:cs="Arial"/>
                <w:b/>
                <w:bCs/>
                <w:color w:val="000000"/>
                <w:sz w:val="16"/>
                <w:szCs w:val="16"/>
              </w:rPr>
              <w:t>(16)</w:t>
            </w:r>
            <w:r>
              <w:rPr>
                <w:rFonts w:ascii="Arial" w:hAnsi="Arial" w:cs="Arial"/>
                <w:b/>
                <w:bCs/>
                <w:color w:val="000000"/>
                <w:sz w:val="16"/>
                <w:szCs w:val="16"/>
              </w:rPr>
              <w:fldChar w:fldCharType="end"/>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b/>
                <w:bCs/>
                <w:color w:val="000000"/>
                <w:sz w:val="16"/>
                <w:szCs w:val="16"/>
              </w:rPr>
              <w:t xml:space="preserve">Afatinib </w:t>
            </w:r>
            <w:r>
              <w:rPr>
                <w:rFonts w:ascii="Arial" w:hAnsi="Arial" w:cs="Arial"/>
                <w:b/>
                <w:bCs/>
                <w:color w:val="000000"/>
                <w:sz w:val="16"/>
                <w:szCs w:val="16"/>
              </w:rPr>
              <w:fldChar w:fldCharType="begin"/>
            </w:r>
            <w:r>
              <w:rPr>
                <w:rFonts w:ascii="Arial" w:hAnsi="Arial" w:cs="Arial"/>
                <w:b/>
                <w:bCs/>
                <w:color w:val="000000"/>
                <w:sz w:val="16"/>
                <w:szCs w:val="16"/>
              </w:rPr>
              <w:instrText xml:space="preserve"> ADDIN ZOTERO_ITEM CSL_CITATION {"citationID":"kEE1o1XH","properties":{"formattedCitation":"(17)","plainCitation":"(17)"},"citationItems":[{"id":1013,"uris":["http://zotero.org/users/local/zrSbuHrK/items/2FRX26QG"],"uri":["http://zotero.org/users/local/zrSbuHrK/items/2FRX26QG"],"itemData":{"id":1013,"type":"webpage","title":"FICHA TECNICA GIOTRIF 40 mg comprimidos recubiertos con pelicula","URL":"https://cima.aemps.es/cima/dochtml/ft/113879009/FT_113879009.html","accessed":{"date-parts":[["2018",12,5]]}}}],"schema":"https://github.com/citation-style-language/schema/raw/master/csl-citation.json"} </w:instrText>
            </w:r>
            <w:r>
              <w:rPr>
                <w:rFonts w:ascii="Arial" w:hAnsi="Arial" w:cs="Arial"/>
                <w:b/>
                <w:bCs/>
                <w:color w:val="000000"/>
                <w:sz w:val="16"/>
                <w:szCs w:val="16"/>
              </w:rPr>
              <w:fldChar w:fldCharType="separate"/>
            </w:r>
            <w:r>
              <w:rPr>
                <w:rFonts w:ascii="Arial" w:hAnsi="Arial" w:cs="Arial"/>
                <w:b/>
                <w:bCs/>
                <w:color w:val="000000"/>
                <w:sz w:val="16"/>
                <w:szCs w:val="16"/>
              </w:rPr>
              <w:t>(17)</w:t>
            </w:r>
            <w:r>
              <w:rPr>
                <w:rFonts w:ascii="Arial" w:hAnsi="Arial" w:cs="Arial"/>
                <w:b/>
                <w:bCs/>
                <w:color w:val="000000"/>
                <w:sz w:val="16"/>
                <w:szCs w:val="16"/>
              </w:rPr>
              <w:fldChar w:fldCharType="end"/>
            </w:r>
          </w:p>
        </w:tc>
        <w:tc>
          <w:tcPr>
            <w:tcW w:w="1286"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b/>
                <w:bCs/>
                <w:color w:val="000000"/>
                <w:sz w:val="16"/>
                <w:szCs w:val="16"/>
              </w:rPr>
            </w:pPr>
            <w:r>
              <w:rPr>
                <w:rFonts w:ascii="Arial" w:hAnsi="Arial" w:cs="Arial"/>
                <w:b/>
                <w:bCs/>
                <w:color w:val="000000"/>
                <w:sz w:val="16"/>
                <w:szCs w:val="16"/>
              </w:rPr>
              <w:t>Dacomitinib (18)</w:t>
            </w:r>
          </w:p>
        </w:tc>
      </w:tr>
      <w:tr w:rsidR="00DD1521">
        <w:trPr>
          <w:trHeight w:val="692"/>
        </w:trPr>
        <w:tc>
          <w:tcPr>
            <w:tcW w:w="1171"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Times" w:hAnsi="Times" w:cs="Times"/>
                <w:sz w:val="20"/>
                <w:szCs w:val="20"/>
              </w:rPr>
            </w:pPr>
            <w:r>
              <w:rPr>
                <w:rFonts w:ascii="Arial" w:hAnsi="Arial" w:cs="Arial"/>
                <w:color w:val="000000"/>
                <w:sz w:val="16"/>
                <w:szCs w:val="16"/>
              </w:rPr>
              <w:t>Presentación</w:t>
            </w:r>
          </w:p>
        </w:tc>
        <w:tc>
          <w:tcPr>
            <w:tcW w:w="1572"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sz w:val="16"/>
                <w:szCs w:val="16"/>
              </w:rPr>
            </w:pPr>
            <w:r>
              <w:rPr>
                <w:rFonts w:ascii="Arial" w:hAnsi="Arial" w:cs="Arial"/>
                <w:sz w:val="16"/>
                <w:szCs w:val="16"/>
              </w:rPr>
              <w:t>Comprimidos de 40 y 80 mg</w:t>
            </w:r>
          </w:p>
        </w:tc>
        <w:tc>
          <w:tcPr>
            <w:tcW w:w="1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Tarceva® comprimidos  recubiertos con película de 25, 100 y 150 mg</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color w:val="000000"/>
                <w:sz w:val="16"/>
                <w:szCs w:val="16"/>
              </w:rPr>
              <w:t>Iressa® 250 mg comprimidos recubiertos con película</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color w:val="000000"/>
                <w:sz w:val="16"/>
                <w:szCs w:val="16"/>
              </w:rPr>
              <w:t>Giotrif® comprimidos recubiertos con película de 20 mg, 30 mg, 40 mg y 50 mg</w:t>
            </w:r>
          </w:p>
        </w:tc>
        <w:tc>
          <w:tcPr>
            <w:tcW w:w="1286"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Vizimpro® comprimidos de 15, 30 y 45 mg</w:t>
            </w:r>
          </w:p>
        </w:tc>
      </w:tr>
      <w:tr w:rsidR="00DD1521">
        <w:trPr>
          <w:trHeight w:val="1300"/>
        </w:trPr>
        <w:tc>
          <w:tcPr>
            <w:tcW w:w="1171"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Times" w:hAnsi="Times" w:cs="Times"/>
                <w:sz w:val="20"/>
                <w:szCs w:val="20"/>
              </w:rPr>
            </w:pPr>
            <w:r>
              <w:rPr>
                <w:rFonts w:ascii="Arial" w:hAnsi="Arial" w:cs="Arial"/>
                <w:color w:val="000000"/>
                <w:sz w:val="16"/>
                <w:szCs w:val="16"/>
              </w:rPr>
              <w:t>Posología</w:t>
            </w:r>
          </w:p>
        </w:tc>
        <w:tc>
          <w:tcPr>
            <w:tcW w:w="1572"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sz w:val="16"/>
                <w:szCs w:val="16"/>
              </w:rPr>
            </w:pPr>
            <w:r>
              <w:rPr>
                <w:rFonts w:ascii="Arial" w:hAnsi="Arial" w:cs="Arial"/>
                <w:sz w:val="16"/>
                <w:szCs w:val="16"/>
              </w:rPr>
              <w:t>80 mg/día</w:t>
            </w:r>
          </w:p>
        </w:tc>
        <w:tc>
          <w:tcPr>
            <w:tcW w:w="1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color w:val="000000"/>
                <w:sz w:val="16"/>
                <w:szCs w:val="16"/>
              </w:rPr>
              <w:t>150 mg una vez al día</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color w:val="000000"/>
                <w:sz w:val="16"/>
                <w:szCs w:val="16"/>
              </w:rPr>
              <w:t>250 mg una vez al día</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40 mg una vez al día. Se puede considerar aumentar la dosis hasta 50 mg/día en pacientes que toleraron la dosis inicial</w:t>
            </w:r>
          </w:p>
        </w:tc>
        <w:tc>
          <w:tcPr>
            <w:tcW w:w="1286"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45 mg una vez al día</w:t>
            </w:r>
          </w:p>
        </w:tc>
      </w:tr>
      <w:tr w:rsidR="00DD1521">
        <w:trPr>
          <w:trHeight w:val="1384"/>
        </w:trPr>
        <w:tc>
          <w:tcPr>
            <w:tcW w:w="1171"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Times" w:hAnsi="Times" w:cs="Times"/>
                <w:sz w:val="20"/>
                <w:szCs w:val="20"/>
              </w:rPr>
            </w:pPr>
            <w:r>
              <w:rPr>
                <w:rFonts w:ascii="Arial" w:hAnsi="Arial" w:cs="Arial"/>
                <w:color w:val="000000"/>
                <w:sz w:val="16"/>
                <w:szCs w:val="16"/>
              </w:rPr>
              <w:t>Indicación aprobada en FT</w:t>
            </w:r>
          </w:p>
        </w:tc>
        <w:tc>
          <w:tcPr>
            <w:tcW w:w="1572"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sz w:val="16"/>
                <w:szCs w:val="16"/>
              </w:rPr>
            </w:pPr>
            <w:r>
              <w:rPr>
                <w:rFonts w:ascii="Arial" w:hAnsi="Arial" w:cs="Arial"/>
                <w:sz w:val="16"/>
                <w:szCs w:val="16"/>
              </w:rPr>
              <w:t>Tratamiento de primera línea del CPNM avanzado o metastásico con mutaciones activadoras de EGFR</w:t>
            </w:r>
          </w:p>
        </w:tc>
        <w:tc>
          <w:tcPr>
            <w:tcW w:w="1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color w:val="000000"/>
                <w:sz w:val="16"/>
                <w:szCs w:val="16"/>
              </w:rPr>
              <w:t xml:space="preserve">- Tratamiento de primera línea de pacientes con </w:t>
            </w:r>
          </w:p>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CPNM localmente avanzado o metastásico con mutaciones activadoras de EGFR.</w:t>
            </w:r>
          </w:p>
          <w:p w:rsidR="00DD1521" w:rsidRDefault="00DD1521">
            <w:pPr>
              <w:spacing w:after="0" w:line="240" w:lineRule="auto"/>
              <w:rPr>
                <w:rFonts w:ascii="Times" w:hAnsi="Times" w:cs="Times"/>
                <w:sz w:val="20"/>
                <w:szCs w:val="20"/>
              </w:rPr>
            </w:pPr>
            <w:r>
              <w:rPr>
                <w:rFonts w:ascii="Arial" w:hAnsi="Arial" w:cs="Arial"/>
                <w:color w:val="000000"/>
                <w:sz w:val="16"/>
                <w:szCs w:val="16"/>
              </w:rPr>
              <w:t>- 2ª línea en CPNM sin mutaciones activadoras EGFR</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Jacques Francois Shadow" w:hAnsi="Jacques Francois Shadow" w:cs="Jacques Francois Shadow"/>
                <w:color w:val="000000"/>
                <w:sz w:val="16"/>
                <w:szCs w:val="16"/>
              </w:rPr>
            </w:pPr>
            <w:r>
              <w:rPr>
                <w:rFonts w:ascii="Arial" w:hAnsi="Arial" w:cs="Arial"/>
                <w:color w:val="000000"/>
                <w:sz w:val="16"/>
                <w:szCs w:val="16"/>
              </w:rPr>
              <w:t>En monoterapia para el tratamiento de pacientes adultos con CPNM localmente avanzado o metastásico con mutaciones activadoras de EGFR</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color w:val="000000"/>
                <w:sz w:val="16"/>
                <w:szCs w:val="16"/>
              </w:rPr>
              <w:t>Pacientes adultos sin tratamiento previo con ITK anti-EGFR con CPNM localmente avanzado o metastásico con mutaciones activadoras del EGFR</w:t>
            </w:r>
          </w:p>
        </w:tc>
        <w:tc>
          <w:tcPr>
            <w:tcW w:w="1286"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color w:val="000000"/>
                <w:sz w:val="16"/>
                <w:szCs w:val="16"/>
              </w:rPr>
            </w:pPr>
            <w:r>
              <w:rPr>
                <w:rFonts w:ascii="Arial" w:hAnsi="Arial" w:cs="Arial"/>
                <w:sz w:val="16"/>
                <w:szCs w:val="16"/>
              </w:rPr>
              <w:t>Tratamiento de primera línea del CPNM avanzado o metastásico con mutaciones activadoras del EGFR</w:t>
            </w:r>
          </w:p>
        </w:tc>
      </w:tr>
      <w:tr w:rsidR="00DD1521">
        <w:trPr>
          <w:trHeight w:val="1393"/>
        </w:trPr>
        <w:tc>
          <w:tcPr>
            <w:tcW w:w="1171"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Times" w:hAnsi="Times" w:cs="Times"/>
                <w:sz w:val="20"/>
                <w:szCs w:val="20"/>
              </w:rPr>
            </w:pPr>
            <w:r>
              <w:rPr>
                <w:rFonts w:ascii="Arial" w:hAnsi="Arial" w:cs="Arial"/>
                <w:color w:val="000000"/>
                <w:sz w:val="16"/>
                <w:szCs w:val="16"/>
              </w:rPr>
              <w:lastRenderedPageBreak/>
              <w:t>Efectos adversos muy frecuentes</w:t>
            </w:r>
          </w:p>
        </w:tc>
        <w:tc>
          <w:tcPr>
            <w:tcW w:w="1572"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sz w:val="16"/>
                <w:szCs w:val="16"/>
              </w:rPr>
            </w:pPr>
            <w:r>
              <w:rPr>
                <w:rFonts w:ascii="Arial" w:hAnsi="Arial" w:cs="Arial"/>
                <w:sz w:val="16"/>
                <w:szCs w:val="16"/>
              </w:rPr>
              <w:t>Diarrea, sequedad de la piel, paroniquia, estomatitis, dermatitis acneiforme, disminución del apetito, prolongación del intervalo QT…</w:t>
            </w:r>
          </w:p>
        </w:tc>
        <w:tc>
          <w:tcPr>
            <w:tcW w:w="1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Pr="00060AE7" w:rsidRDefault="00DD1521">
            <w:pPr>
              <w:spacing w:after="0" w:line="240" w:lineRule="auto"/>
              <w:rPr>
                <w:rFonts w:ascii="Times" w:hAnsi="Times" w:cs="Times"/>
                <w:sz w:val="20"/>
                <w:szCs w:val="20"/>
                <w:lang w:val="pt-BR"/>
              </w:rPr>
            </w:pPr>
            <w:r w:rsidRPr="00060AE7">
              <w:rPr>
                <w:rFonts w:ascii="Arial" w:hAnsi="Arial" w:cs="Arial"/>
                <w:color w:val="000000"/>
                <w:sz w:val="16"/>
                <w:szCs w:val="16"/>
                <w:lang w:val="pt-BR"/>
              </w:rPr>
              <w:t>Diarrea, náuseas, vómitos, estomatitis, rash, fatiga</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Diarrea, náuseas, vómitos, estomatitis, reacciones cutáneas (principalmente rash pustuloso picor y sequedad cutánea), elevaciones de la ALT, astenia</w:t>
            </w:r>
          </w:p>
          <w:p w:rsidR="00DD1521" w:rsidRDefault="00DD1521">
            <w:pPr>
              <w:spacing w:after="0" w:line="240" w:lineRule="auto"/>
              <w:rPr>
                <w:rFonts w:ascii="Arial" w:hAnsi="Arial" w:cs="Arial"/>
                <w:color w:val="000000"/>
                <w:sz w:val="16"/>
                <w:szCs w:val="16"/>
              </w:rPr>
            </w:pP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Times" w:hAnsi="Times" w:cs="Times"/>
                <w:sz w:val="20"/>
                <w:szCs w:val="20"/>
              </w:rPr>
            </w:pPr>
            <w:r>
              <w:rPr>
                <w:rFonts w:ascii="Arial" w:hAnsi="Arial" w:cs="Arial"/>
                <w:color w:val="000000"/>
                <w:sz w:val="16"/>
                <w:szCs w:val="16"/>
              </w:rPr>
              <w:t>Diarrea, estomatitis, paroniquia, disminución del apetito y reacciones cutáneas (incluyendo rash, acné, sequedad cutánea y prurito).</w:t>
            </w:r>
          </w:p>
        </w:tc>
        <w:tc>
          <w:tcPr>
            <w:tcW w:w="1286"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 xml:space="preserve">Diarrea, rash, paroniquia, estomatitis, disminución de apetito, piel seca, pérdida de peso, alopecia, tos y prurito. </w:t>
            </w:r>
          </w:p>
        </w:tc>
      </w:tr>
      <w:tr w:rsidR="00DD1521">
        <w:trPr>
          <w:trHeight w:val="460"/>
        </w:trPr>
        <w:tc>
          <w:tcPr>
            <w:tcW w:w="1171"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Times" w:hAnsi="Times" w:cs="Times"/>
                <w:sz w:val="20"/>
                <w:szCs w:val="20"/>
              </w:rPr>
            </w:pPr>
            <w:r>
              <w:rPr>
                <w:rFonts w:ascii="Arial" w:hAnsi="Arial" w:cs="Arial"/>
                <w:color w:val="000000"/>
                <w:sz w:val="16"/>
                <w:szCs w:val="16"/>
              </w:rPr>
              <w:t>Utilización de recursos</w:t>
            </w:r>
          </w:p>
        </w:tc>
        <w:tc>
          <w:tcPr>
            <w:tcW w:w="1572"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Times" w:hAnsi="Times" w:cs="Times"/>
                <w:sz w:val="20"/>
                <w:szCs w:val="20"/>
              </w:rPr>
            </w:pPr>
            <w:r>
              <w:rPr>
                <w:rFonts w:ascii="Arial" w:hAnsi="Arial" w:cs="Arial"/>
                <w:color w:val="000000"/>
                <w:sz w:val="16"/>
                <w:szCs w:val="16"/>
              </w:rPr>
              <w:t>Dispensación hospitalaria</w:t>
            </w:r>
          </w:p>
        </w:tc>
        <w:tc>
          <w:tcPr>
            <w:tcW w:w="1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pPr>
            <w:r>
              <w:rPr>
                <w:rFonts w:ascii="Arial" w:hAnsi="Arial" w:cs="Arial"/>
                <w:color w:val="000000"/>
                <w:sz w:val="16"/>
                <w:szCs w:val="16"/>
              </w:rPr>
              <w:t>Dispensación hospitalaria</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pPr>
            <w:r>
              <w:rPr>
                <w:rFonts w:ascii="Arial" w:hAnsi="Arial" w:cs="Arial"/>
                <w:color w:val="000000"/>
                <w:sz w:val="16"/>
                <w:szCs w:val="16"/>
              </w:rPr>
              <w:t>Dispensación hospitalaria</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pPr>
            <w:r>
              <w:rPr>
                <w:rFonts w:ascii="Arial" w:hAnsi="Arial" w:cs="Arial"/>
                <w:color w:val="000000"/>
                <w:sz w:val="16"/>
                <w:szCs w:val="16"/>
              </w:rPr>
              <w:t>Dispensación hospitalaria</w:t>
            </w:r>
          </w:p>
        </w:tc>
        <w:tc>
          <w:tcPr>
            <w:tcW w:w="1286"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No comercializado en España</w:t>
            </w:r>
          </w:p>
        </w:tc>
      </w:tr>
      <w:tr w:rsidR="00DD1521">
        <w:trPr>
          <w:trHeight w:val="560"/>
        </w:trPr>
        <w:tc>
          <w:tcPr>
            <w:tcW w:w="1171"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Times" w:hAnsi="Times" w:cs="Times"/>
                <w:sz w:val="20"/>
                <w:szCs w:val="20"/>
              </w:rPr>
            </w:pPr>
            <w:r>
              <w:rPr>
                <w:rFonts w:ascii="Arial" w:hAnsi="Arial" w:cs="Arial"/>
                <w:color w:val="000000"/>
                <w:sz w:val="16"/>
                <w:szCs w:val="16"/>
              </w:rPr>
              <w:t>Conveniencia</w:t>
            </w:r>
          </w:p>
        </w:tc>
        <w:tc>
          <w:tcPr>
            <w:tcW w:w="1572"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Times" w:hAnsi="Times" w:cs="Times"/>
                <w:sz w:val="20"/>
                <w:szCs w:val="20"/>
              </w:rPr>
            </w:pPr>
            <w:r>
              <w:rPr>
                <w:rFonts w:ascii="Arial" w:hAnsi="Arial" w:cs="Arial"/>
                <w:color w:val="000000"/>
                <w:sz w:val="16"/>
                <w:szCs w:val="16"/>
              </w:rPr>
              <w:t>Administración oral una vez al día</w:t>
            </w:r>
          </w:p>
        </w:tc>
        <w:tc>
          <w:tcPr>
            <w:tcW w:w="1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pPr>
            <w:r>
              <w:rPr>
                <w:rFonts w:ascii="Arial" w:hAnsi="Arial" w:cs="Arial"/>
                <w:color w:val="000000"/>
                <w:sz w:val="16"/>
                <w:szCs w:val="16"/>
              </w:rPr>
              <w:t>Administración oral una vez al día</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pPr>
            <w:r>
              <w:rPr>
                <w:rFonts w:ascii="Arial" w:hAnsi="Arial" w:cs="Arial"/>
                <w:color w:val="000000"/>
                <w:sz w:val="16"/>
                <w:szCs w:val="16"/>
              </w:rPr>
              <w:t>Administración oral una vez al día</w:t>
            </w: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pPr>
            <w:r>
              <w:rPr>
                <w:rFonts w:ascii="Arial" w:hAnsi="Arial" w:cs="Arial"/>
                <w:color w:val="000000"/>
                <w:sz w:val="16"/>
                <w:szCs w:val="16"/>
              </w:rPr>
              <w:t>Administración oral una vez al día</w:t>
            </w:r>
          </w:p>
        </w:tc>
        <w:tc>
          <w:tcPr>
            <w:tcW w:w="1286"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Administración oral una vez al día</w:t>
            </w:r>
          </w:p>
        </w:tc>
      </w:tr>
      <w:tr w:rsidR="00DD1521">
        <w:trPr>
          <w:trHeight w:val="597"/>
        </w:trPr>
        <w:tc>
          <w:tcPr>
            <w:tcW w:w="1171"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Otras características diferenciales</w:t>
            </w:r>
          </w:p>
        </w:tc>
        <w:tc>
          <w:tcPr>
            <w:tcW w:w="1572"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color w:val="000000"/>
                <w:sz w:val="16"/>
                <w:szCs w:val="16"/>
                <w:highlight w:val="yellow"/>
              </w:rPr>
            </w:pPr>
            <w:r>
              <w:rPr>
                <w:rFonts w:ascii="Arial" w:hAnsi="Arial" w:cs="Arial"/>
                <w:color w:val="000000"/>
                <w:sz w:val="16"/>
                <w:szCs w:val="16"/>
              </w:rPr>
              <w:t>También indicado tras resistencia a otros anti-EGFR</w:t>
            </w:r>
          </w:p>
        </w:tc>
        <w:tc>
          <w:tcPr>
            <w:tcW w:w="1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Arial" w:hAnsi="Arial" w:cs="Arial"/>
                <w:color w:val="000000"/>
                <w:sz w:val="16"/>
                <w:szCs w:val="16"/>
              </w:rPr>
            </w:pPr>
            <w:r>
              <w:rPr>
                <w:rFonts w:ascii="Arial" w:hAnsi="Arial" w:cs="Arial"/>
                <w:color w:val="000000"/>
                <w:sz w:val="16"/>
                <w:szCs w:val="16"/>
              </w:rPr>
              <w:t>También indicado en mantenimiento tras QT en EGFR mutados</w:t>
            </w:r>
          </w:p>
          <w:p w:rsidR="00DD1521" w:rsidRDefault="00DD1521">
            <w:pPr>
              <w:spacing w:after="0" w:line="240" w:lineRule="auto"/>
              <w:rPr>
                <w:rFonts w:ascii="Arial" w:hAnsi="Arial" w:cs="Arial"/>
                <w:color w:val="000000"/>
                <w:sz w:val="16"/>
                <w:szCs w:val="16"/>
              </w:rPr>
            </w:pP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Arial" w:hAnsi="Arial" w:cs="Arial"/>
                <w:color w:val="000000"/>
                <w:sz w:val="16"/>
                <w:szCs w:val="16"/>
              </w:rPr>
            </w:pPr>
          </w:p>
        </w:tc>
        <w:tc>
          <w:tcPr>
            <w:tcW w:w="17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D1521" w:rsidRDefault="00DD1521">
            <w:pPr>
              <w:spacing w:after="0" w:line="240" w:lineRule="auto"/>
              <w:rPr>
                <w:rFonts w:ascii="Arial" w:hAnsi="Arial" w:cs="Arial"/>
                <w:color w:val="000000"/>
                <w:sz w:val="16"/>
                <w:szCs w:val="16"/>
              </w:rPr>
            </w:pPr>
          </w:p>
        </w:tc>
        <w:tc>
          <w:tcPr>
            <w:tcW w:w="1286"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rPr>
                <w:rFonts w:ascii="Arial" w:hAnsi="Arial" w:cs="Arial"/>
                <w:color w:val="000000"/>
                <w:sz w:val="16"/>
                <w:szCs w:val="16"/>
              </w:rPr>
            </w:pPr>
          </w:p>
        </w:tc>
      </w:tr>
    </w:tbl>
    <w:p w:rsidR="00DD1521" w:rsidRPr="00AD75CC" w:rsidRDefault="00DD1521">
      <w:pPr>
        <w:spacing w:after="0" w:line="240" w:lineRule="auto"/>
        <w:rPr>
          <w:rFonts w:ascii="Arial" w:hAnsi="Arial" w:cs="Arial"/>
          <w:sz w:val="20"/>
          <w:szCs w:val="20"/>
        </w:rPr>
      </w:pPr>
    </w:p>
    <w:p w:rsidR="00DD1521" w:rsidRPr="00AD75CC" w:rsidRDefault="00DD1521">
      <w:pPr>
        <w:spacing w:after="0" w:line="240" w:lineRule="auto"/>
        <w:rPr>
          <w:rFonts w:ascii="Arial" w:hAnsi="Arial" w:cs="Arial"/>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DD1521">
        <w:trPr>
          <w:trHeight w:val="90"/>
        </w:trPr>
        <w:tc>
          <w:tcPr>
            <w:tcW w:w="8890" w:type="dxa"/>
            <w:shd w:val="clear" w:color="auto" w:fill="B3B3B3"/>
          </w:tcPr>
          <w:p w:rsidR="00DD1521" w:rsidRPr="00E23D29" w:rsidRDefault="00DD1521">
            <w:pPr>
              <w:pStyle w:val="Ttulo1"/>
              <w:shd w:val="clear" w:color="auto" w:fill="A6A6A6"/>
              <w:spacing w:after="0" w:line="240" w:lineRule="auto"/>
              <w:rPr>
                <w:rFonts w:ascii="Arial" w:hAnsi="Arial" w:cs="Arial"/>
                <w:kern w:val="0"/>
                <w:sz w:val="20"/>
                <w:szCs w:val="20"/>
              </w:rPr>
            </w:pPr>
            <w:bookmarkStart w:id="25" w:name="_Toc348931353"/>
            <w:bookmarkStart w:id="26" w:name="_Toc344399626"/>
            <w:bookmarkStart w:id="27" w:name="_Toc5793737"/>
            <w:r w:rsidRPr="00E23D29">
              <w:rPr>
                <w:rFonts w:ascii="Arial" w:hAnsi="Arial" w:cs="Arial"/>
                <w:kern w:val="0"/>
                <w:sz w:val="20"/>
                <w:szCs w:val="20"/>
              </w:rPr>
              <w:t>4.- AREA DE ACCIÓN FARMACOLÓGICA.</w:t>
            </w:r>
            <w:bookmarkEnd w:id="25"/>
            <w:bookmarkEnd w:id="26"/>
            <w:bookmarkEnd w:id="27"/>
          </w:p>
        </w:tc>
      </w:tr>
    </w:tbl>
    <w:p w:rsidR="00DD1521" w:rsidRDefault="00DD1521">
      <w:pPr>
        <w:spacing w:after="0" w:line="240" w:lineRule="auto"/>
        <w:jc w:val="right"/>
        <w:rPr>
          <w:rFonts w:ascii="Arial" w:hAnsi="Arial" w:cs="Arial"/>
          <w:b/>
          <w:bCs/>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28" w:name="_Toc348931354"/>
      <w:bookmarkStart w:id="29" w:name="_Toc344399627"/>
      <w:bookmarkStart w:id="30" w:name="_Toc5793738"/>
      <w:r>
        <w:rPr>
          <w:rFonts w:ascii="Arial" w:hAnsi="Arial" w:cs="Arial"/>
          <w:sz w:val="20"/>
          <w:szCs w:val="20"/>
        </w:rPr>
        <w:t>4.1 Mecanismo de acción</w:t>
      </w:r>
      <w:bookmarkEnd w:id="28"/>
      <w:bookmarkEnd w:id="29"/>
      <w:r>
        <w:rPr>
          <w:rFonts w:ascii="Arial" w:hAnsi="Arial" w:cs="Arial"/>
          <w:sz w:val="20"/>
          <w:szCs w:val="20"/>
        </w:rPr>
        <w:t>.</w:t>
      </w:r>
      <w:bookmarkEnd w:id="30"/>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Osimertinib es un Inhibidor de la Tirosin Quinasa (TKI) que inhibe de manera irreversible los EGFR, tanto los que albergan mutaciones sensibilizantes (EGFRm) como aquellas que confieren resistencia (mutación T790M de resistencia a los ITK). (4)</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b/>
          <w:bCs/>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31" w:name="_Toc344399628"/>
      <w:bookmarkStart w:id="32" w:name="_Toc348931355"/>
      <w:bookmarkStart w:id="33" w:name="_Toc5793739"/>
      <w:r>
        <w:rPr>
          <w:rFonts w:ascii="Arial" w:hAnsi="Arial" w:cs="Arial"/>
          <w:sz w:val="20"/>
          <w:szCs w:val="20"/>
        </w:rPr>
        <w:t>4.2 Indicaciones clínicas formalmente aprobadas y fecha de aprobación.</w:t>
      </w:r>
      <w:bookmarkEnd w:id="31"/>
      <w:bookmarkEnd w:id="32"/>
      <w:bookmarkEnd w:id="33"/>
    </w:p>
    <w:p w:rsidR="00DD1521" w:rsidRDefault="00DD1521">
      <w:pPr>
        <w:spacing w:after="0" w:line="240" w:lineRule="auto"/>
        <w:jc w:val="both"/>
        <w:rPr>
          <w:rFonts w:ascii="Arial" w:hAnsi="Arial" w:cs="Arial"/>
          <w:b/>
          <w:bCs/>
          <w:sz w:val="20"/>
          <w:szCs w:val="20"/>
        </w:rPr>
      </w:pPr>
    </w:p>
    <w:p w:rsidR="00DD1521" w:rsidRDefault="00DD1521">
      <w:pPr>
        <w:shd w:val="clear" w:color="auto" w:fill="FFFFFF"/>
        <w:spacing w:after="0" w:line="240" w:lineRule="auto"/>
        <w:jc w:val="both"/>
        <w:rPr>
          <w:rFonts w:ascii="Arial" w:hAnsi="Arial" w:cs="Arial"/>
          <w:b/>
          <w:bCs/>
          <w:sz w:val="20"/>
          <w:szCs w:val="20"/>
        </w:rPr>
      </w:pPr>
      <w:r>
        <w:rPr>
          <w:rFonts w:ascii="Arial" w:hAnsi="Arial" w:cs="Arial"/>
          <w:b/>
          <w:bCs/>
          <w:sz w:val="20"/>
          <w:szCs w:val="20"/>
        </w:rPr>
        <w:t>EMA y AEMPS:</w:t>
      </w:r>
    </w:p>
    <w:p w:rsidR="00DD1521" w:rsidRDefault="00DD1521">
      <w:pPr>
        <w:pStyle w:val="Prrafodelista"/>
        <w:numPr>
          <w:ilvl w:val="0"/>
          <w:numId w:val="2"/>
        </w:numPr>
        <w:shd w:val="clear" w:color="auto" w:fill="FFFFFF"/>
        <w:spacing w:after="0" w:line="240" w:lineRule="auto"/>
        <w:jc w:val="both"/>
        <w:rPr>
          <w:rFonts w:ascii="Arial" w:hAnsi="Arial" w:cs="Arial"/>
          <w:sz w:val="20"/>
          <w:szCs w:val="20"/>
        </w:rPr>
      </w:pPr>
      <w:r>
        <w:rPr>
          <w:rFonts w:ascii="Arial" w:hAnsi="Arial" w:cs="Arial"/>
          <w:sz w:val="20"/>
          <w:szCs w:val="20"/>
        </w:rPr>
        <w:t>Tratamiento de pacientes adultos con CPNM localmente avanzado o metastásico con mutación positiva del EGFR T790M. [2/2/2016] (4)</w:t>
      </w:r>
      <w:r>
        <w:rPr>
          <w:rFonts w:ascii="Arial" w:hAnsi="Arial" w:cs="Arial"/>
          <w:sz w:val="20"/>
          <w:szCs w:val="20"/>
        </w:rPr>
        <w:tab/>
      </w:r>
      <w:r>
        <w:rPr>
          <w:rFonts w:ascii="Arial" w:hAnsi="Arial" w:cs="Arial"/>
          <w:sz w:val="20"/>
          <w:szCs w:val="20"/>
        </w:rPr>
        <w:tab/>
        <w:t xml:space="preserve"> </w:t>
      </w:r>
    </w:p>
    <w:p w:rsidR="00DD1521" w:rsidRDefault="00DD1521">
      <w:pPr>
        <w:pStyle w:val="Prrafodelista"/>
        <w:numPr>
          <w:ilvl w:val="0"/>
          <w:numId w:val="2"/>
        </w:numPr>
        <w:shd w:val="clear" w:color="auto" w:fill="FFFFFF"/>
        <w:spacing w:after="0" w:line="240" w:lineRule="auto"/>
        <w:jc w:val="both"/>
        <w:rPr>
          <w:rFonts w:ascii="Arial" w:hAnsi="Arial" w:cs="Arial"/>
          <w:sz w:val="20"/>
          <w:szCs w:val="20"/>
        </w:rPr>
      </w:pPr>
      <w:r>
        <w:rPr>
          <w:rFonts w:ascii="Arial" w:hAnsi="Arial" w:cs="Arial"/>
          <w:sz w:val="20"/>
          <w:szCs w:val="20"/>
        </w:rPr>
        <w:t>Tratamiento de primera línea de pacientes adultos con cáncer de pulmón no microcítico (CPNM) localmente avanzado o metastásico con mutaciones activadoras del receptor del factor de crecimiento epidérmico (EGFR). [24/4/2017] (4)</w:t>
      </w:r>
    </w:p>
    <w:p w:rsidR="00DD1521" w:rsidRDefault="00DD1521">
      <w:pPr>
        <w:shd w:val="clear" w:color="auto" w:fill="FFFFFF"/>
        <w:spacing w:after="0" w:line="240" w:lineRule="auto"/>
        <w:jc w:val="both"/>
        <w:rPr>
          <w:rFonts w:ascii="Arial" w:hAnsi="Arial" w:cs="Arial"/>
          <w:sz w:val="20"/>
          <w:szCs w:val="20"/>
        </w:rPr>
      </w:pPr>
    </w:p>
    <w:p w:rsidR="00DD1521" w:rsidRDefault="00DD1521">
      <w:pPr>
        <w:shd w:val="clear" w:color="auto" w:fill="FFFFFF"/>
        <w:spacing w:after="0" w:line="240" w:lineRule="auto"/>
        <w:jc w:val="both"/>
        <w:rPr>
          <w:rFonts w:ascii="Arial" w:hAnsi="Arial" w:cs="Arial"/>
          <w:b/>
          <w:bCs/>
          <w:sz w:val="20"/>
          <w:szCs w:val="20"/>
        </w:rPr>
      </w:pPr>
      <w:r>
        <w:rPr>
          <w:rFonts w:ascii="Arial" w:hAnsi="Arial" w:cs="Arial"/>
          <w:b/>
          <w:bCs/>
          <w:sz w:val="20"/>
          <w:szCs w:val="20"/>
        </w:rPr>
        <w:t>FDA:</w:t>
      </w:r>
      <w:r>
        <w:rPr>
          <w:rFonts w:ascii="Arial" w:hAnsi="Arial" w:cs="Arial"/>
          <w:b/>
          <w:bCs/>
          <w:sz w:val="20"/>
          <w:szCs w:val="20"/>
        </w:rPr>
        <w:tab/>
      </w:r>
    </w:p>
    <w:p w:rsidR="00DD1521" w:rsidRDefault="00DD1521">
      <w:pPr>
        <w:pStyle w:val="Prrafodelista"/>
        <w:numPr>
          <w:ilvl w:val="0"/>
          <w:numId w:val="2"/>
        </w:numPr>
        <w:shd w:val="clear" w:color="auto" w:fill="FFFFFF"/>
        <w:spacing w:after="0" w:line="240" w:lineRule="auto"/>
        <w:jc w:val="both"/>
        <w:rPr>
          <w:rFonts w:ascii="Arial" w:hAnsi="Arial" w:cs="Arial"/>
          <w:sz w:val="20"/>
          <w:szCs w:val="20"/>
        </w:rPr>
      </w:pPr>
      <w:r>
        <w:rPr>
          <w:rFonts w:ascii="Arial" w:hAnsi="Arial" w:cs="Arial"/>
          <w:sz w:val="20"/>
          <w:szCs w:val="20"/>
        </w:rPr>
        <w:t xml:space="preserve">Indicado para el tratamiento de pacientes con cáncer de pulmón no microcítico metastásico con mutación  (EGFR) T790M, detectado por una prueba aprobada por la FDA, que ha progresado en o después de terapia ITK-EGFR. Medicamento huérfano. [13/11/2015]. </w:t>
      </w:r>
      <w:r>
        <w:rPr>
          <w:rFonts w:ascii="Arial" w:hAnsi="Arial" w:cs="Arial"/>
          <w:sz w:val="20"/>
          <w:szCs w:val="20"/>
        </w:rPr>
        <w:fldChar w:fldCharType="begin"/>
      </w:r>
      <w:r>
        <w:rPr>
          <w:rFonts w:ascii="Arial" w:hAnsi="Arial" w:cs="Arial"/>
          <w:sz w:val="20"/>
          <w:szCs w:val="20"/>
        </w:rPr>
        <w:instrText xml:space="preserve"> ADDIN ZOTERO_ITEM CSL_CITATION {"citationID":"drRQMa6Q","properties":{"formattedCitation":"(20)","plainCitation":"(20)"},"citationItems":[{"id":1017,"uris":["http://zotero.org/users/local/zrSbuHrK/items/AKJTKMQN"],"uri":["http://zotero.org/users/local/zrSbuHrK/items/AKJTKMQN"],"itemData":{"id":1017,"type":"webpage","title":"TAGRISSO (osimertinib) tablet, for oral use - 208065s000lbl.pdf","URL":"https://www.accessdata.fda.gov/drugsatfda_docs/label/2015/208065s000lbl.pdf","accessed":{"date-parts":[["2018",12,5]]}}}],"schema":"https://github.com/citation-style-language/schema/raw/master/csl-citation.json"}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(19)</w:t>
      </w:r>
      <w:r>
        <w:rPr>
          <w:rFonts w:ascii="Arial" w:hAnsi="Arial" w:cs="Arial"/>
          <w:sz w:val="20"/>
          <w:szCs w:val="20"/>
        </w:rPr>
        <w:fldChar w:fldCharType="end"/>
      </w:r>
    </w:p>
    <w:p w:rsidR="00DD1521" w:rsidRDefault="00DD1521">
      <w:pPr>
        <w:pStyle w:val="Prrafodelista"/>
        <w:numPr>
          <w:ilvl w:val="0"/>
          <w:numId w:val="2"/>
        </w:numPr>
        <w:shd w:val="clear" w:color="auto" w:fill="FFFFFF"/>
        <w:spacing w:after="0" w:line="240" w:lineRule="auto"/>
        <w:jc w:val="both"/>
        <w:rPr>
          <w:rFonts w:ascii="Arial" w:hAnsi="Arial" w:cs="Arial"/>
          <w:color w:val="0000FF"/>
          <w:sz w:val="20"/>
          <w:szCs w:val="20"/>
        </w:rPr>
      </w:pPr>
      <w:r>
        <w:rPr>
          <w:rFonts w:ascii="Arial" w:hAnsi="Arial" w:cs="Arial"/>
          <w:sz w:val="20"/>
          <w:szCs w:val="20"/>
        </w:rPr>
        <w:t xml:space="preserve">Para el tratamiento de primera línea de pacientes con cáncer de pulmón no microcítico (CPNM) metastásico cuyos tumores tienen deleciones del exón 19 del EGFR o mutaciones L858R del exón 21, según lo detectado por una prueba aprobada por la FDA [18/4/2018] </w:t>
      </w:r>
      <w:r>
        <w:rPr>
          <w:rFonts w:ascii="Arial" w:hAnsi="Arial" w:cs="Arial"/>
          <w:sz w:val="20"/>
          <w:szCs w:val="20"/>
        </w:rPr>
        <w:fldChar w:fldCharType="begin"/>
      </w:r>
      <w:r>
        <w:rPr>
          <w:rFonts w:ascii="Arial" w:hAnsi="Arial" w:cs="Arial"/>
          <w:sz w:val="20"/>
          <w:szCs w:val="20"/>
        </w:rPr>
        <w:instrText xml:space="preserve"> ADDIN ZOTERO_ITEM CSL_CITATION {"citationID":"drRQMa6Q","properties":{"formattedCitation":"(20)","plainCitation":"(20)"},"citationItems":[{"id":1017,"uris":["http://zotero.org/users/local/zrSbuHrK/items/AKJTKMQN"],"uri":["http://zotero.org/users/local/zrSbuHrK/items/AKJTKMQN"],"itemData":{"id":1017,"type":"webpage","title":"TAGRISSO (osimertinib) tablet, for oral use - 208065s000lbl.pdf","URL":"https://www.accessdata.fda.gov/drugsatfda_docs/label/2015/208065s000lbl.pdf","accessed":{"date-parts":[["2018",12,5]]}}}],"schema":"https://github.com/citation-style-language/schema/raw/master/csl-citation.json"}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(19)</w:t>
      </w:r>
      <w:r>
        <w:rPr>
          <w:rFonts w:ascii="Arial" w:hAnsi="Arial" w:cs="Arial"/>
          <w:sz w:val="20"/>
          <w:szCs w:val="20"/>
        </w:rPr>
        <w:fldChar w:fldCharType="end"/>
      </w:r>
    </w:p>
    <w:p w:rsidR="00DD1521" w:rsidRDefault="00DD1521">
      <w:pPr>
        <w:shd w:val="clear" w:color="auto" w:fill="FFFFFF"/>
        <w:spacing w:after="0" w:line="240" w:lineRule="auto"/>
        <w:jc w:val="both"/>
        <w:rPr>
          <w:rFonts w:ascii="Arial" w:hAnsi="Arial" w:cs="Arial"/>
          <w:color w:val="000080"/>
          <w:sz w:val="20"/>
          <w:szCs w:val="20"/>
        </w:rPr>
      </w:pPr>
    </w:p>
    <w:p w:rsidR="00DD1521" w:rsidRDefault="00DD1521">
      <w:pPr>
        <w:shd w:val="clear" w:color="auto" w:fill="FFFFFF"/>
        <w:spacing w:after="0" w:line="240" w:lineRule="auto"/>
        <w:jc w:val="both"/>
        <w:rPr>
          <w:rFonts w:ascii="Arial" w:hAnsi="Arial" w:cs="Arial"/>
          <w:color w:val="000080"/>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34" w:name="_Toc344399629"/>
      <w:bookmarkStart w:id="35" w:name="_Toc348931356"/>
      <w:bookmarkStart w:id="36" w:name="_Toc5793740"/>
      <w:r>
        <w:rPr>
          <w:rFonts w:ascii="Arial" w:hAnsi="Arial" w:cs="Arial"/>
          <w:sz w:val="20"/>
          <w:szCs w:val="20"/>
        </w:rPr>
        <w:t>4.3 Posología, forma de preparación y administración.</w:t>
      </w:r>
      <w:bookmarkEnd w:id="34"/>
      <w:bookmarkEnd w:id="35"/>
      <w:bookmarkEnd w:id="36"/>
      <w:r>
        <w:rPr>
          <w:rFonts w:ascii="Arial" w:hAnsi="Arial" w:cs="Arial"/>
          <w:sz w:val="20"/>
          <w:szCs w:val="20"/>
        </w:rPr>
        <w:t xml:space="preserve"> </w:t>
      </w: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La dosis recomendada es de 80 mg de osimertinib una vez al día por vía oral, con o sin alimentos, hasta progresión de la enfermedad o toxicidad inaceptable. No dividir, machacar ni masticar. Se puede dispersar en 50 ml de agua sin gas. Si es necesaria reducción de la dosis, ésta se debe reducir a 40 mg tomados una vez al día (20):</w:t>
      </w:r>
    </w:p>
    <w:p w:rsidR="00DD1521" w:rsidRDefault="00DD1521">
      <w:pPr>
        <w:spacing w:after="0" w:line="240" w:lineRule="auto"/>
        <w:jc w:val="both"/>
        <w:rPr>
          <w:rFonts w:ascii="Arial" w:hAnsi="Arial" w:cs="Arial"/>
          <w:sz w:val="20"/>
          <w:szCs w:val="20"/>
        </w:rPr>
      </w:pPr>
    </w:p>
    <w:tbl>
      <w:tblPr>
        <w:tblW w:w="8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7"/>
        <w:gridCol w:w="3451"/>
        <w:gridCol w:w="3969"/>
      </w:tblGrid>
      <w:tr w:rsidR="00DD1521">
        <w:tc>
          <w:tcPr>
            <w:tcW w:w="8897" w:type="dxa"/>
            <w:gridSpan w:val="3"/>
          </w:tcPr>
          <w:p w:rsidR="00DD1521" w:rsidRDefault="00DD1521">
            <w:pPr>
              <w:spacing w:after="0" w:line="240" w:lineRule="auto"/>
              <w:jc w:val="both"/>
              <w:rPr>
                <w:rFonts w:ascii="Arial" w:hAnsi="Arial" w:cs="Arial"/>
                <w:b/>
                <w:bCs/>
                <w:sz w:val="18"/>
                <w:szCs w:val="18"/>
              </w:rPr>
            </w:pPr>
            <w:r>
              <w:rPr>
                <w:rFonts w:ascii="Arial" w:hAnsi="Arial" w:cs="Arial"/>
                <w:b/>
                <w:bCs/>
                <w:sz w:val="18"/>
                <w:szCs w:val="18"/>
              </w:rPr>
              <w:t>Tabla 5. Reducciones de dosis por efectos adversos</w:t>
            </w:r>
          </w:p>
        </w:tc>
      </w:tr>
      <w:tr w:rsidR="00DD1521">
        <w:tc>
          <w:tcPr>
            <w:tcW w:w="1477" w:type="dxa"/>
          </w:tcPr>
          <w:p w:rsidR="00DD1521" w:rsidRDefault="00DD1521">
            <w:pPr>
              <w:spacing w:after="0" w:line="240" w:lineRule="auto"/>
              <w:jc w:val="both"/>
              <w:rPr>
                <w:rFonts w:ascii="Arial" w:hAnsi="Arial" w:cs="Arial"/>
                <w:b/>
                <w:bCs/>
                <w:sz w:val="18"/>
                <w:szCs w:val="18"/>
              </w:rPr>
            </w:pPr>
            <w:r>
              <w:rPr>
                <w:rFonts w:ascii="Arial" w:hAnsi="Arial" w:cs="Arial"/>
                <w:b/>
                <w:bCs/>
                <w:sz w:val="18"/>
                <w:szCs w:val="18"/>
              </w:rPr>
              <w:t>Órgano diana</w:t>
            </w:r>
          </w:p>
        </w:tc>
        <w:tc>
          <w:tcPr>
            <w:tcW w:w="3451" w:type="dxa"/>
          </w:tcPr>
          <w:p w:rsidR="00DD1521" w:rsidRDefault="00DD1521">
            <w:pPr>
              <w:spacing w:after="0" w:line="240" w:lineRule="auto"/>
              <w:jc w:val="both"/>
              <w:rPr>
                <w:rFonts w:ascii="Arial" w:hAnsi="Arial" w:cs="Arial"/>
                <w:b/>
                <w:bCs/>
                <w:sz w:val="18"/>
                <w:szCs w:val="18"/>
              </w:rPr>
            </w:pPr>
            <w:r>
              <w:rPr>
                <w:rFonts w:ascii="Arial" w:hAnsi="Arial" w:cs="Arial"/>
                <w:b/>
                <w:bCs/>
                <w:sz w:val="18"/>
                <w:szCs w:val="18"/>
              </w:rPr>
              <w:t>Reacción adversa</w:t>
            </w:r>
          </w:p>
        </w:tc>
        <w:tc>
          <w:tcPr>
            <w:tcW w:w="3969" w:type="dxa"/>
          </w:tcPr>
          <w:p w:rsidR="00DD1521" w:rsidRDefault="00DD1521">
            <w:pPr>
              <w:spacing w:after="0" w:line="240" w:lineRule="auto"/>
              <w:jc w:val="both"/>
              <w:rPr>
                <w:rFonts w:ascii="Arial" w:hAnsi="Arial" w:cs="Arial"/>
                <w:b/>
                <w:bCs/>
                <w:sz w:val="18"/>
                <w:szCs w:val="18"/>
              </w:rPr>
            </w:pPr>
            <w:r>
              <w:rPr>
                <w:rFonts w:ascii="Arial" w:hAnsi="Arial" w:cs="Arial"/>
                <w:b/>
                <w:bCs/>
                <w:sz w:val="18"/>
                <w:szCs w:val="18"/>
              </w:rPr>
              <w:t>Modificación de dosis</w:t>
            </w:r>
          </w:p>
        </w:tc>
      </w:tr>
      <w:tr w:rsidR="00DD1521">
        <w:tc>
          <w:tcPr>
            <w:tcW w:w="1477" w:type="dxa"/>
          </w:tcPr>
          <w:p w:rsidR="00DD1521" w:rsidRDefault="00DD1521">
            <w:pPr>
              <w:spacing w:after="0" w:line="240" w:lineRule="auto"/>
              <w:jc w:val="both"/>
              <w:rPr>
                <w:rFonts w:ascii="Arial" w:hAnsi="Arial" w:cs="Arial"/>
                <w:sz w:val="18"/>
                <w:szCs w:val="18"/>
              </w:rPr>
            </w:pPr>
            <w:r>
              <w:rPr>
                <w:rFonts w:ascii="Arial" w:hAnsi="Arial" w:cs="Arial"/>
                <w:sz w:val="18"/>
                <w:szCs w:val="18"/>
              </w:rPr>
              <w:lastRenderedPageBreak/>
              <w:t>Pulmonar</w:t>
            </w:r>
          </w:p>
        </w:tc>
        <w:tc>
          <w:tcPr>
            <w:tcW w:w="3451" w:type="dxa"/>
          </w:tcPr>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EPI/neumonitis</w:t>
            </w:r>
          </w:p>
        </w:tc>
        <w:tc>
          <w:tcPr>
            <w:tcW w:w="3969" w:type="dxa"/>
          </w:tcPr>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Suspender definitivamente</w:t>
            </w:r>
          </w:p>
        </w:tc>
      </w:tr>
      <w:tr w:rsidR="00DD1521">
        <w:tc>
          <w:tcPr>
            <w:tcW w:w="1477" w:type="dxa"/>
            <w:vMerge w:val="restart"/>
          </w:tcPr>
          <w:p w:rsidR="00DD1521" w:rsidRDefault="00DD1521">
            <w:pPr>
              <w:spacing w:after="0" w:line="240" w:lineRule="auto"/>
              <w:jc w:val="both"/>
              <w:rPr>
                <w:rFonts w:ascii="Arial" w:hAnsi="Arial" w:cs="Arial"/>
                <w:sz w:val="18"/>
                <w:szCs w:val="18"/>
              </w:rPr>
            </w:pPr>
            <w:r>
              <w:rPr>
                <w:rFonts w:ascii="Arial" w:hAnsi="Arial" w:cs="Arial"/>
                <w:sz w:val="18"/>
                <w:szCs w:val="18"/>
              </w:rPr>
              <w:t>Cardíaco</w:t>
            </w:r>
          </w:p>
          <w:p w:rsidR="00DD1521" w:rsidRDefault="00DD1521">
            <w:pPr>
              <w:autoSpaceDE w:val="0"/>
              <w:autoSpaceDN w:val="0"/>
              <w:adjustRightInd w:val="0"/>
              <w:spacing w:after="0" w:line="240" w:lineRule="auto"/>
              <w:rPr>
                <w:rFonts w:ascii="Arial" w:eastAsia="TimesNewRoman" w:hAnsi="Arial"/>
                <w:sz w:val="18"/>
                <w:szCs w:val="18"/>
              </w:rPr>
            </w:pPr>
          </w:p>
          <w:p w:rsidR="00DD1521" w:rsidRDefault="00DD1521">
            <w:pPr>
              <w:spacing w:after="0" w:line="240" w:lineRule="auto"/>
              <w:jc w:val="both"/>
              <w:rPr>
                <w:rFonts w:ascii="Arial" w:hAnsi="Arial" w:cs="Arial"/>
                <w:sz w:val="18"/>
                <w:szCs w:val="18"/>
              </w:rPr>
            </w:pPr>
          </w:p>
        </w:tc>
        <w:tc>
          <w:tcPr>
            <w:tcW w:w="3451" w:type="dxa"/>
          </w:tcPr>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Intervalo QTc superior a 500 ms en al</w:t>
            </w:r>
          </w:p>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menos 2 ECG independientes</w:t>
            </w:r>
          </w:p>
          <w:p w:rsidR="00DD1521" w:rsidRDefault="00DD1521">
            <w:pPr>
              <w:spacing w:after="0" w:line="240" w:lineRule="auto"/>
              <w:jc w:val="both"/>
              <w:rPr>
                <w:rFonts w:ascii="Arial" w:hAnsi="Arial" w:cs="Arial"/>
                <w:sz w:val="18"/>
                <w:szCs w:val="18"/>
              </w:rPr>
            </w:pPr>
          </w:p>
        </w:tc>
        <w:tc>
          <w:tcPr>
            <w:tcW w:w="3969" w:type="dxa"/>
          </w:tcPr>
          <w:p w:rsidR="00DD1521" w:rsidRDefault="00DD1521">
            <w:pPr>
              <w:autoSpaceDE w:val="0"/>
              <w:autoSpaceDN w:val="0"/>
              <w:adjustRightInd w:val="0"/>
              <w:spacing w:after="0" w:line="240" w:lineRule="auto"/>
              <w:jc w:val="both"/>
              <w:rPr>
                <w:rFonts w:ascii="Arial" w:hAnsi="Arial" w:cs="Arial"/>
                <w:sz w:val="18"/>
                <w:szCs w:val="18"/>
              </w:rPr>
            </w:pPr>
            <w:r>
              <w:rPr>
                <w:rFonts w:ascii="Arial" w:eastAsia="TimesNewRoman" w:hAnsi="Arial" w:cs="Arial"/>
                <w:sz w:val="18"/>
                <w:szCs w:val="18"/>
              </w:rPr>
              <w:t>Suspender hasta que el intervalo QTc sea inferior a 481 ms, o recuperación a la situación basal si el QTc basal es igual o superior a 481 ms, luego reanudar a una dosis reducida (40 mg)</w:t>
            </w:r>
          </w:p>
        </w:tc>
      </w:tr>
      <w:tr w:rsidR="00DD1521">
        <w:tc>
          <w:tcPr>
            <w:tcW w:w="1477" w:type="dxa"/>
            <w:vMerge/>
          </w:tcPr>
          <w:p w:rsidR="00DD1521" w:rsidRDefault="00DD1521">
            <w:pPr>
              <w:spacing w:after="0" w:line="240" w:lineRule="auto"/>
              <w:jc w:val="both"/>
              <w:rPr>
                <w:rFonts w:ascii="Arial" w:hAnsi="Arial" w:cs="Arial"/>
                <w:sz w:val="18"/>
                <w:szCs w:val="18"/>
              </w:rPr>
            </w:pPr>
          </w:p>
        </w:tc>
        <w:tc>
          <w:tcPr>
            <w:tcW w:w="3451" w:type="dxa"/>
          </w:tcPr>
          <w:p w:rsidR="00DD1521" w:rsidRDefault="00DD1521">
            <w:pPr>
              <w:autoSpaceDE w:val="0"/>
              <w:autoSpaceDN w:val="0"/>
              <w:adjustRightInd w:val="0"/>
              <w:spacing w:after="0" w:line="240" w:lineRule="auto"/>
              <w:jc w:val="both"/>
              <w:rPr>
                <w:rFonts w:ascii="Arial" w:hAnsi="Arial" w:cs="Arial"/>
                <w:sz w:val="18"/>
                <w:szCs w:val="18"/>
              </w:rPr>
            </w:pPr>
            <w:r>
              <w:rPr>
                <w:rFonts w:ascii="Arial" w:eastAsia="TimesNewRoman" w:hAnsi="Arial" w:cs="Arial"/>
                <w:sz w:val="18"/>
                <w:szCs w:val="18"/>
              </w:rPr>
              <w:t>Prolongación del intervalo QTc con signos/síntomas de arritmia grave</w:t>
            </w:r>
          </w:p>
        </w:tc>
        <w:tc>
          <w:tcPr>
            <w:tcW w:w="3969" w:type="dxa"/>
          </w:tcPr>
          <w:p w:rsidR="00DD1521" w:rsidRDefault="00DD1521">
            <w:pPr>
              <w:autoSpaceDE w:val="0"/>
              <w:autoSpaceDN w:val="0"/>
              <w:adjustRightInd w:val="0"/>
              <w:spacing w:after="0" w:line="240" w:lineRule="auto"/>
              <w:jc w:val="both"/>
              <w:rPr>
                <w:rFonts w:ascii="Arial" w:hAnsi="Arial" w:cs="Arial"/>
                <w:sz w:val="18"/>
                <w:szCs w:val="18"/>
              </w:rPr>
            </w:pPr>
            <w:r>
              <w:rPr>
                <w:rFonts w:ascii="Arial" w:eastAsia="TimesNewRoman" w:hAnsi="Arial" w:cs="Arial"/>
                <w:sz w:val="18"/>
                <w:szCs w:val="18"/>
              </w:rPr>
              <w:t xml:space="preserve">Suspender definitivamente </w:t>
            </w:r>
          </w:p>
          <w:p w:rsidR="00DD1521" w:rsidRDefault="00DD1521">
            <w:pPr>
              <w:autoSpaceDE w:val="0"/>
              <w:autoSpaceDN w:val="0"/>
              <w:adjustRightInd w:val="0"/>
              <w:spacing w:after="0" w:line="240" w:lineRule="auto"/>
              <w:jc w:val="both"/>
              <w:rPr>
                <w:rFonts w:ascii="Arial" w:hAnsi="Arial" w:cs="Arial"/>
                <w:sz w:val="18"/>
                <w:szCs w:val="18"/>
              </w:rPr>
            </w:pPr>
          </w:p>
        </w:tc>
      </w:tr>
      <w:tr w:rsidR="00DD1521">
        <w:tc>
          <w:tcPr>
            <w:tcW w:w="1477" w:type="dxa"/>
            <w:vMerge w:val="restart"/>
          </w:tcPr>
          <w:p w:rsidR="00DD1521" w:rsidRDefault="00DD1521">
            <w:pPr>
              <w:autoSpaceDE w:val="0"/>
              <w:autoSpaceDN w:val="0"/>
              <w:adjustRightInd w:val="0"/>
              <w:spacing w:after="0" w:line="240" w:lineRule="auto"/>
              <w:rPr>
                <w:rFonts w:ascii="Arial" w:hAnsi="Arial" w:cs="Arial"/>
                <w:i/>
                <w:iCs/>
                <w:sz w:val="18"/>
                <w:szCs w:val="18"/>
              </w:rPr>
            </w:pPr>
            <w:r>
              <w:rPr>
                <w:rFonts w:ascii="Arial" w:hAnsi="Arial" w:cs="Arial"/>
                <w:i/>
                <w:iCs/>
                <w:sz w:val="18"/>
                <w:szCs w:val="18"/>
              </w:rPr>
              <w:t xml:space="preserve">Otros </w:t>
            </w:r>
          </w:p>
        </w:tc>
        <w:tc>
          <w:tcPr>
            <w:tcW w:w="3451" w:type="dxa"/>
          </w:tcPr>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Reacción adversa de grado 3 o superior</w:t>
            </w:r>
          </w:p>
        </w:tc>
        <w:tc>
          <w:tcPr>
            <w:tcW w:w="3969" w:type="dxa"/>
          </w:tcPr>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Suspender durante hasta 3 semanas</w:t>
            </w:r>
          </w:p>
          <w:p w:rsidR="00DD1521" w:rsidRDefault="00DD1521">
            <w:pPr>
              <w:autoSpaceDE w:val="0"/>
              <w:autoSpaceDN w:val="0"/>
              <w:adjustRightInd w:val="0"/>
              <w:spacing w:after="0" w:line="240" w:lineRule="auto"/>
              <w:jc w:val="both"/>
              <w:rPr>
                <w:rFonts w:ascii="Arial" w:eastAsia="TimesNewRoman" w:hAnsi="Arial" w:cs="Arial"/>
                <w:sz w:val="18"/>
                <w:szCs w:val="18"/>
              </w:rPr>
            </w:pPr>
          </w:p>
        </w:tc>
      </w:tr>
      <w:tr w:rsidR="00DD1521">
        <w:tc>
          <w:tcPr>
            <w:tcW w:w="1477" w:type="dxa"/>
            <w:vMerge/>
          </w:tcPr>
          <w:p w:rsidR="00DD1521" w:rsidRDefault="00DD1521">
            <w:pPr>
              <w:autoSpaceDE w:val="0"/>
              <w:autoSpaceDN w:val="0"/>
              <w:adjustRightInd w:val="0"/>
              <w:spacing w:after="0" w:line="240" w:lineRule="auto"/>
              <w:rPr>
                <w:rFonts w:ascii="Arial" w:hAnsi="Arial" w:cs="Arial"/>
                <w:i/>
                <w:iCs/>
                <w:sz w:val="18"/>
                <w:szCs w:val="18"/>
              </w:rPr>
            </w:pPr>
          </w:p>
        </w:tc>
        <w:tc>
          <w:tcPr>
            <w:tcW w:w="3451" w:type="dxa"/>
          </w:tcPr>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Si la reacción adversa de grado 3 o superior mejora a grado 0-2 después de la suspensión durante hasta 3 semanas</w:t>
            </w:r>
          </w:p>
        </w:tc>
        <w:tc>
          <w:tcPr>
            <w:tcW w:w="3969" w:type="dxa"/>
          </w:tcPr>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Puede reanudarse a la misma dosis (80 mg) o a una dosis inferior (40 mg)</w:t>
            </w:r>
          </w:p>
          <w:p w:rsidR="00DD1521" w:rsidRDefault="00DD1521">
            <w:pPr>
              <w:autoSpaceDE w:val="0"/>
              <w:autoSpaceDN w:val="0"/>
              <w:adjustRightInd w:val="0"/>
              <w:spacing w:after="0" w:line="240" w:lineRule="auto"/>
              <w:jc w:val="both"/>
              <w:rPr>
                <w:rFonts w:ascii="Arial" w:eastAsia="TimesNewRoman" w:hAnsi="Arial" w:cs="Arial"/>
                <w:sz w:val="18"/>
                <w:szCs w:val="18"/>
              </w:rPr>
            </w:pPr>
          </w:p>
        </w:tc>
      </w:tr>
      <w:tr w:rsidR="00DD1521">
        <w:tc>
          <w:tcPr>
            <w:tcW w:w="1477" w:type="dxa"/>
            <w:vMerge/>
          </w:tcPr>
          <w:p w:rsidR="00DD1521" w:rsidRDefault="00DD1521">
            <w:pPr>
              <w:autoSpaceDE w:val="0"/>
              <w:autoSpaceDN w:val="0"/>
              <w:adjustRightInd w:val="0"/>
              <w:spacing w:after="0" w:line="240" w:lineRule="auto"/>
              <w:rPr>
                <w:rFonts w:ascii="Arial" w:hAnsi="Arial" w:cs="Arial"/>
                <w:i/>
                <w:iCs/>
                <w:sz w:val="18"/>
                <w:szCs w:val="18"/>
              </w:rPr>
            </w:pPr>
          </w:p>
        </w:tc>
        <w:tc>
          <w:tcPr>
            <w:tcW w:w="3451" w:type="dxa"/>
          </w:tcPr>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Reacción adversa de grado 3 o superior que no mejora a grado 0-2 después de la suspensión durante hasta 3 semanas</w:t>
            </w:r>
          </w:p>
        </w:tc>
        <w:tc>
          <w:tcPr>
            <w:tcW w:w="3969" w:type="dxa"/>
          </w:tcPr>
          <w:p w:rsidR="00DD1521" w:rsidRDefault="00DD1521">
            <w:pPr>
              <w:autoSpaceDE w:val="0"/>
              <w:autoSpaceDN w:val="0"/>
              <w:adjustRightInd w:val="0"/>
              <w:spacing w:after="0" w:line="240" w:lineRule="auto"/>
              <w:jc w:val="both"/>
              <w:rPr>
                <w:rFonts w:ascii="Arial" w:eastAsia="TimesNewRoman" w:hAnsi="Arial" w:cs="Arial"/>
                <w:sz w:val="18"/>
                <w:szCs w:val="18"/>
              </w:rPr>
            </w:pPr>
            <w:r>
              <w:rPr>
                <w:rFonts w:ascii="Arial" w:eastAsia="TimesNewRoman" w:hAnsi="Arial" w:cs="Arial"/>
                <w:sz w:val="18"/>
                <w:szCs w:val="18"/>
              </w:rPr>
              <w:t>Suspender definitivamente</w:t>
            </w:r>
          </w:p>
        </w:tc>
      </w:tr>
    </w:tbl>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37" w:name="_Toc344399630"/>
      <w:bookmarkStart w:id="38" w:name="_Toc348931357"/>
      <w:bookmarkStart w:id="39" w:name="_Toc5793741"/>
      <w:r>
        <w:rPr>
          <w:rFonts w:ascii="Arial" w:hAnsi="Arial" w:cs="Arial"/>
          <w:sz w:val="20"/>
          <w:szCs w:val="20"/>
        </w:rPr>
        <w:t>4.4 Utilización en poblaciones especiales.</w:t>
      </w:r>
      <w:bookmarkEnd w:id="37"/>
      <w:bookmarkEnd w:id="38"/>
      <w:bookmarkEnd w:id="39"/>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sz w:val="20"/>
          <w:szCs w:val="20"/>
        </w:rPr>
      </w:pPr>
      <w:r>
        <w:rPr>
          <w:rFonts w:ascii="Arial" w:hAnsi="Arial" w:cs="Arial"/>
          <w:b/>
          <w:bCs/>
          <w:sz w:val="20"/>
          <w:szCs w:val="20"/>
        </w:rPr>
        <w:t>Pediatría:</w:t>
      </w:r>
      <w:r>
        <w:rPr>
          <w:rFonts w:ascii="Arial" w:hAnsi="Arial" w:cs="Arial"/>
          <w:sz w:val="20"/>
          <w:szCs w:val="20"/>
        </w:rPr>
        <w:t xml:space="preserve"> No se ha establecido seguridad y eficacia en menores de 18 años.</w:t>
      </w:r>
    </w:p>
    <w:p w:rsidR="00DD1521" w:rsidRDefault="00DD1521">
      <w:pPr>
        <w:spacing w:after="0" w:line="240" w:lineRule="auto"/>
        <w:jc w:val="both"/>
        <w:rPr>
          <w:rFonts w:ascii="Arial" w:hAnsi="Arial" w:cs="Arial"/>
          <w:sz w:val="20"/>
          <w:szCs w:val="20"/>
        </w:rPr>
      </w:pPr>
      <w:r>
        <w:rPr>
          <w:rFonts w:ascii="Arial" w:hAnsi="Arial" w:cs="Arial"/>
          <w:b/>
          <w:bCs/>
          <w:sz w:val="20"/>
          <w:szCs w:val="20"/>
        </w:rPr>
        <w:t>Mayores de 65 años:</w:t>
      </w:r>
      <w:r>
        <w:rPr>
          <w:rFonts w:ascii="Arial" w:hAnsi="Arial" w:cs="Arial"/>
          <w:sz w:val="20"/>
          <w:szCs w:val="20"/>
        </w:rPr>
        <w:t xml:space="preserve"> No es necesario ajuste de dosis.</w:t>
      </w:r>
    </w:p>
    <w:p w:rsidR="00DD1521" w:rsidRDefault="00DD1521">
      <w:pPr>
        <w:spacing w:after="0" w:line="240" w:lineRule="auto"/>
        <w:jc w:val="both"/>
        <w:rPr>
          <w:rFonts w:ascii="Arial" w:hAnsi="Arial" w:cs="Arial"/>
          <w:sz w:val="20"/>
          <w:szCs w:val="20"/>
        </w:rPr>
      </w:pPr>
      <w:r>
        <w:rPr>
          <w:rFonts w:ascii="Arial" w:hAnsi="Arial" w:cs="Arial"/>
          <w:b/>
          <w:bCs/>
          <w:sz w:val="20"/>
          <w:szCs w:val="20"/>
        </w:rPr>
        <w:t>Insuficiencia renal:</w:t>
      </w:r>
      <w:r>
        <w:rPr>
          <w:rFonts w:ascii="Arial" w:hAnsi="Arial" w:cs="Arial"/>
          <w:sz w:val="20"/>
          <w:szCs w:val="20"/>
        </w:rPr>
        <w:t xml:space="preserve"> No se han realizado estudios clínicos que evalúen de forma específica el efecto de la insuficiencia renal en la farmacocinética de osimertinib. Se dispone de datos limitados en pacientes con insuficiencia renal grave. No se ha establecido la seguridad y eficacia de este medicamento en pacientes con enfermedad renal terminal [aclaramiento de creatinina (ClCr) &lt;15 ml/min, calculado mediante la ecuación de Cockcroft y Gault] o que estén sometidos a diálisis. No se recomienda ajuste de la dosis en pacientes con insuficiencia renal leve, moderada o grave, aunque se debe tener precaución al tratar a pacientes con insuficiencia renal grave y terminal.</w:t>
      </w:r>
    </w:p>
    <w:p w:rsidR="00DD1521" w:rsidRDefault="00DD1521">
      <w:pPr>
        <w:spacing w:after="0" w:line="240" w:lineRule="auto"/>
        <w:jc w:val="both"/>
        <w:rPr>
          <w:rFonts w:ascii="Arial" w:hAnsi="Arial" w:cs="Arial"/>
          <w:sz w:val="20"/>
          <w:szCs w:val="20"/>
        </w:rPr>
      </w:pPr>
      <w:r>
        <w:rPr>
          <w:rFonts w:ascii="Arial" w:hAnsi="Arial" w:cs="Arial"/>
          <w:b/>
          <w:bCs/>
          <w:sz w:val="20"/>
          <w:szCs w:val="20"/>
        </w:rPr>
        <w:t>Insuficiencia hepática:</w:t>
      </w:r>
      <w:r>
        <w:rPr>
          <w:rFonts w:ascii="Arial" w:hAnsi="Arial" w:cs="Arial"/>
          <w:sz w:val="20"/>
          <w:szCs w:val="20"/>
        </w:rPr>
        <w:t xml:space="preserve"> No se recomienda el ajuste de la dosis en pacientes con insuficiencia hepática leve (bilirrubina total ≤ límite superior de la normalidad (ULN, por sus siglas en inglés) y aspartato aminotransferasa (AST) ≥ ULN o bilirrubina total ≥1,0 a 1,5 x ULN y cualquier AST) o con insuficiencia hepática moderada (bilirrubina total entre 1,5 y 3 veces ULN y cualquier AST), pero se debe tener precaución al administrar osimertinib a estos pacientes. No se ha establecido la seguridad y eficacia de este medicamento en pacientes con insuficiencia hepática grave. Hasta que se disponga de más datos, no se recomienda su uso en pacientes con insuficiencia hepática grave. (20)</w:t>
      </w:r>
    </w:p>
    <w:p w:rsidR="00DD1521" w:rsidRDefault="00DD1521">
      <w:pPr>
        <w:spacing w:after="0" w:line="240" w:lineRule="auto"/>
        <w:jc w:val="both"/>
        <w:rPr>
          <w:rFonts w:ascii="Arial" w:hAnsi="Arial" w:cs="Arial"/>
          <w:color w:val="0000FF"/>
          <w:sz w:val="20"/>
          <w:szCs w:val="20"/>
        </w:rPr>
      </w:pPr>
    </w:p>
    <w:p w:rsidR="00DD1521" w:rsidRDefault="00DD1521">
      <w:pPr>
        <w:spacing w:after="0" w:line="240" w:lineRule="auto"/>
        <w:jc w:val="both"/>
        <w:rPr>
          <w:rFonts w:ascii="Arial" w:hAnsi="Arial" w:cs="Arial"/>
          <w:color w:val="0000FF"/>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40" w:name="_Toc348931358"/>
      <w:bookmarkStart w:id="41" w:name="_Toc344399631"/>
      <w:bookmarkStart w:id="42" w:name="_Toc5793742"/>
      <w:r>
        <w:rPr>
          <w:rFonts w:ascii="Arial" w:hAnsi="Arial" w:cs="Arial"/>
          <w:sz w:val="20"/>
          <w:szCs w:val="20"/>
        </w:rPr>
        <w:t xml:space="preserve">4.5 Farmacocinética </w:t>
      </w:r>
      <w:r>
        <w:rPr>
          <w:rFonts w:ascii="Arial" w:hAnsi="Arial" w:cs="Arial"/>
          <w:sz w:val="20"/>
          <w:szCs w:val="20"/>
        </w:rPr>
        <w:fldChar w:fldCharType="begin"/>
      </w:r>
      <w:r>
        <w:rPr>
          <w:rFonts w:ascii="Arial" w:hAnsi="Arial" w:cs="Arial"/>
          <w:sz w:val="20"/>
          <w:szCs w:val="20"/>
        </w:rPr>
        <w:instrText xml:space="preserve"> ADDIN ZOTERO_ITEM CSL_CITATION {"citationID":"257vo91tgl","properties":{"formattedCitation":"(21)","plainCitation":"(21)"},"citationItems":[{"id":590,"uris":["http://zotero.org/users/3130274/items/EVU8588P"],"uri":["http://zotero.org/users/3130274/items/EVU8588P"],"itemData":{"id":590,"type":"article-magazine","title":"Ficha tecnica Tagrisso","URL":"https://cima.aemps.es/cima/pdfs/es/ft/1161086002/FT_1161086002.pdf","author":[{"family":"CIMA AEMPS","given":""}],"issued":{"date-parts":[["2016"]],"season":"diciembre"},"accessed":{"date-parts":[["2018",9,30]]}}}],"schema":"https://github.com/citation-style-language/schema/raw/master/csl-citation.json"} </w:instrText>
      </w:r>
      <w:r>
        <w:rPr>
          <w:rFonts w:ascii="Arial" w:hAnsi="Arial" w:cs="Arial"/>
          <w:sz w:val="20"/>
          <w:szCs w:val="20"/>
        </w:rPr>
        <w:fldChar w:fldCharType="separate"/>
      </w:r>
      <w:r>
        <w:rPr>
          <w:rFonts w:ascii="Arial" w:hAnsi="Arial" w:cs="Arial"/>
          <w:sz w:val="20"/>
          <w:szCs w:val="20"/>
        </w:rPr>
        <w:t>(20)</w:t>
      </w:r>
      <w:r>
        <w:rPr>
          <w:rFonts w:ascii="Arial" w:hAnsi="Arial" w:cs="Arial"/>
          <w:sz w:val="20"/>
          <w:szCs w:val="20"/>
        </w:rPr>
        <w:fldChar w:fldCharType="end"/>
      </w:r>
      <w:r>
        <w:rPr>
          <w:rFonts w:ascii="Arial" w:hAnsi="Arial" w:cs="Arial"/>
          <w:sz w:val="20"/>
          <w:szCs w:val="20"/>
        </w:rPr>
        <w:t>.</w:t>
      </w:r>
      <w:bookmarkEnd w:id="40"/>
      <w:bookmarkEnd w:id="41"/>
      <w:bookmarkEnd w:id="42"/>
      <w:r>
        <w:rPr>
          <w:rFonts w:ascii="Arial" w:hAnsi="Arial" w:cs="Arial"/>
          <w:sz w:val="20"/>
          <w:szCs w:val="20"/>
        </w:rPr>
        <w:t xml:space="preserve"> </w:t>
      </w:r>
    </w:p>
    <w:p w:rsidR="00DD1521" w:rsidRDefault="00DD1521">
      <w:pPr>
        <w:spacing w:after="0" w:line="240" w:lineRule="auto"/>
        <w:jc w:val="both"/>
        <w:rPr>
          <w:rFonts w:ascii="Arial" w:hAnsi="Arial" w:cs="Arial"/>
          <w:sz w:val="20"/>
          <w:szCs w:val="20"/>
          <w:u w:val="single"/>
        </w:rPr>
      </w:pPr>
    </w:p>
    <w:p w:rsidR="00DD1521" w:rsidRDefault="00DD1521">
      <w:pPr>
        <w:spacing w:after="0" w:line="240" w:lineRule="auto"/>
        <w:jc w:val="both"/>
        <w:rPr>
          <w:rFonts w:ascii="Arial" w:hAnsi="Arial" w:cs="Arial"/>
          <w:sz w:val="20"/>
          <w:szCs w:val="20"/>
          <w:u w:val="single"/>
        </w:rPr>
      </w:pPr>
      <w:r>
        <w:rPr>
          <w:rFonts w:ascii="Arial" w:hAnsi="Arial" w:cs="Arial"/>
          <w:sz w:val="20"/>
          <w:szCs w:val="20"/>
          <w:u w:val="single"/>
        </w:rPr>
        <w:t>Absorción</w:t>
      </w:r>
    </w:p>
    <w:p w:rsidR="00DD1521" w:rsidRDefault="00DD1521">
      <w:pPr>
        <w:spacing w:after="0" w:line="240" w:lineRule="auto"/>
        <w:jc w:val="both"/>
        <w:rPr>
          <w:rFonts w:ascii="Arial" w:hAnsi="Arial" w:cs="Arial"/>
          <w:sz w:val="20"/>
          <w:szCs w:val="20"/>
        </w:rPr>
      </w:pPr>
      <w:r>
        <w:rPr>
          <w:rFonts w:ascii="Arial" w:hAnsi="Arial" w:cs="Arial"/>
          <w:sz w:val="20"/>
          <w:szCs w:val="20"/>
        </w:rPr>
        <w:t>Después de la administración oral, se alcanzaron concentraciones plasmáticas máximas de osimertinib con una mediana de t</w:t>
      </w:r>
      <w:r>
        <w:rPr>
          <w:rFonts w:ascii="Arial" w:hAnsi="Arial" w:cs="Arial"/>
          <w:sz w:val="20"/>
          <w:szCs w:val="20"/>
          <w:vertAlign w:val="subscript"/>
        </w:rPr>
        <w:t>máx</w:t>
      </w:r>
      <w:r>
        <w:rPr>
          <w:rFonts w:ascii="Arial" w:hAnsi="Arial" w:cs="Arial"/>
          <w:sz w:val="20"/>
          <w:szCs w:val="20"/>
        </w:rPr>
        <w:t xml:space="preserve"> de 6 (3-24) horas, observándose varios picos a lo largo de las primeras 24 horas en algunos pacientes. La biodisponibilidad absoluta es del 70% (IC del 90% 67, 73). De acuerdo con un estudio de farmacocinética clínica realizado en pacientes a la dosis de 80 mg, los alimentos no alteran la biodisponibilidad de osimertinib en un grado clínicamente significativo. En voluntarios sanos en los que se elevó́ el pH gástrico mediante la administración de omeprazol durante 5 días, la exposición a osimertinib tampoco se vio afectada.</w:t>
      </w:r>
    </w:p>
    <w:p w:rsidR="00DD1521" w:rsidRDefault="00DD1521">
      <w:pPr>
        <w:spacing w:after="0" w:line="240" w:lineRule="auto"/>
        <w:jc w:val="both"/>
        <w:rPr>
          <w:rFonts w:ascii="Arial" w:hAnsi="Arial" w:cs="Arial"/>
          <w:sz w:val="20"/>
          <w:szCs w:val="20"/>
          <w:u w:val="single"/>
        </w:rPr>
      </w:pPr>
    </w:p>
    <w:p w:rsidR="00DD1521" w:rsidRDefault="00DD1521">
      <w:pPr>
        <w:spacing w:after="0" w:line="240" w:lineRule="auto"/>
        <w:jc w:val="both"/>
        <w:rPr>
          <w:rFonts w:ascii="Arial" w:hAnsi="Arial" w:cs="Arial"/>
          <w:sz w:val="20"/>
          <w:szCs w:val="20"/>
          <w:u w:val="single"/>
        </w:rPr>
      </w:pPr>
      <w:r>
        <w:rPr>
          <w:rFonts w:ascii="Arial" w:hAnsi="Arial" w:cs="Arial"/>
          <w:sz w:val="20"/>
          <w:szCs w:val="20"/>
          <w:u w:val="single"/>
        </w:rPr>
        <w:t>Distribución</w:t>
      </w: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El volumen de distribución medio estimado en la población en estado estacionario (Vee/F) de osimertinib es 918 L, lo que indica una amplia distribución en el tejido. </w:t>
      </w:r>
      <w:r w:rsidRPr="00B233A8">
        <w:rPr>
          <w:rFonts w:ascii="Arial" w:hAnsi="Arial" w:cs="Arial"/>
          <w:i/>
          <w:sz w:val="20"/>
          <w:szCs w:val="20"/>
        </w:rPr>
        <w:t>In vitro</w:t>
      </w:r>
      <w:r>
        <w:rPr>
          <w:rFonts w:ascii="Arial" w:hAnsi="Arial" w:cs="Arial"/>
          <w:sz w:val="20"/>
          <w:szCs w:val="20"/>
        </w:rPr>
        <w:t>, la unión a proteínas plasmáticas es del 94,7% (5,3% libre). También se ha demostrado que osimertinib se une covalentemente a proteínas plasmáticas de rata y seres humanos, a la albúmina sérica humana y a los hepatocitos de rata y seres humanos.</w:t>
      </w:r>
    </w:p>
    <w:p w:rsidR="00DD1521" w:rsidRDefault="00DD1521">
      <w:pPr>
        <w:spacing w:after="0" w:line="240" w:lineRule="auto"/>
        <w:jc w:val="both"/>
        <w:rPr>
          <w:rFonts w:ascii="Arial" w:hAnsi="Arial" w:cs="Arial"/>
          <w:sz w:val="20"/>
          <w:szCs w:val="20"/>
          <w:u w:val="single"/>
        </w:rPr>
      </w:pPr>
    </w:p>
    <w:p w:rsidR="00DD1521" w:rsidRDefault="00DD1521">
      <w:pPr>
        <w:spacing w:after="0" w:line="240" w:lineRule="auto"/>
        <w:jc w:val="both"/>
        <w:rPr>
          <w:rFonts w:ascii="Arial" w:hAnsi="Arial" w:cs="Arial"/>
          <w:sz w:val="20"/>
          <w:szCs w:val="20"/>
          <w:u w:val="single"/>
        </w:rPr>
      </w:pPr>
      <w:r>
        <w:rPr>
          <w:rFonts w:ascii="Arial" w:hAnsi="Arial" w:cs="Arial"/>
          <w:sz w:val="20"/>
          <w:szCs w:val="20"/>
          <w:u w:val="single"/>
        </w:rPr>
        <w:lastRenderedPageBreak/>
        <w:t>Metabolismo</w:t>
      </w: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Los estudios </w:t>
      </w:r>
      <w:r w:rsidRPr="00B233A8">
        <w:rPr>
          <w:rFonts w:ascii="Arial" w:hAnsi="Arial" w:cs="Arial"/>
          <w:i/>
          <w:sz w:val="20"/>
          <w:szCs w:val="20"/>
        </w:rPr>
        <w:t>in vitro</w:t>
      </w:r>
      <w:r>
        <w:rPr>
          <w:rFonts w:ascii="Arial" w:hAnsi="Arial" w:cs="Arial"/>
          <w:sz w:val="20"/>
          <w:szCs w:val="20"/>
        </w:rPr>
        <w:t xml:space="preserve"> indican que osimertinib se metaboliza fundamentalmente mediante el CYP3A4 y el CYP3A5. Sin embargo, con los datos disponibles, no se pueden descartar por completo vías metabólicas alternativas. De acuerdo con los estudios </w:t>
      </w:r>
      <w:r w:rsidRPr="00B233A8">
        <w:rPr>
          <w:rFonts w:ascii="Arial" w:hAnsi="Arial" w:cs="Arial"/>
          <w:i/>
          <w:sz w:val="20"/>
          <w:szCs w:val="20"/>
        </w:rPr>
        <w:t>in vitro</w:t>
      </w:r>
      <w:r>
        <w:rPr>
          <w:rFonts w:ascii="Arial" w:hAnsi="Arial" w:cs="Arial"/>
          <w:sz w:val="20"/>
          <w:szCs w:val="20"/>
        </w:rPr>
        <w:t>, se han identificado posteriormente dos metabolitos farmacológicamente activos (AZ7550 y AZ5104) en el plasma de especies preclínicas y en seres humanos después de la administración oral de osimertinib; AZ7550 mostró un perfil farmacológico similar al de osimertinib, mientras que AZ5104 mostró una potencia superior. Ambos metabolitos aparecen lentamente en el plasma tras la administración, con una mediana de t</w:t>
      </w:r>
      <w:r>
        <w:rPr>
          <w:rFonts w:ascii="Arial" w:hAnsi="Arial" w:cs="Arial"/>
          <w:sz w:val="20"/>
          <w:szCs w:val="20"/>
          <w:vertAlign w:val="subscript"/>
        </w:rPr>
        <w:t xml:space="preserve">max </w:t>
      </w:r>
      <w:r>
        <w:rPr>
          <w:rFonts w:ascii="Arial" w:hAnsi="Arial" w:cs="Arial"/>
          <w:sz w:val="20"/>
          <w:szCs w:val="20"/>
        </w:rPr>
        <w:t xml:space="preserve">de 24 (4-72) y 24 (6-72) horas, respectivamente. La principal vía metabólica de osimertinib fue la oxidación y la desalquilación. De acuerdo con los estudios </w:t>
      </w:r>
      <w:r w:rsidRPr="00B233A8">
        <w:rPr>
          <w:rFonts w:ascii="Arial" w:hAnsi="Arial" w:cs="Arial"/>
          <w:i/>
          <w:sz w:val="20"/>
          <w:szCs w:val="20"/>
        </w:rPr>
        <w:t>in vitro</w:t>
      </w:r>
      <w:r>
        <w:rPr>
          <w:rFonts w:ascii="Arial" w:hAnsi="Arial" w:cs="Arial"/>
          <w:sz w:val="20"/>
          <w:szCs w:val="20"/>
        </w:rPr>
        <w:t xml:space="preserve">, osimertinib es un inhibidor competitivo del CYP 3A4/5 pero no de los CYP1A2, 2A6, 2B6, 2C8, 2C9, 2C19, 2D6 y 2E1 a concentraciones clínicamente relevantes. De acuerdo con los estudios </w:t>
      </w:r>
      <w:r w:rsidRPr="00B233A8">
        <w:rPr>
          <w:rFonts w:ascii="Arial" w:hAnsi="Arial" w:cs="Arial"/>
          <w:i/>
          <w:sz w:val="20"/>
          <w:szCs w:val="20"/>
        </w:rPr>
        <w:t>in vitro</w:t>
      </w:r>
      <w:r>
        <w:rPr>
          <w:rFonts w:ascii="Arial" w:hAnsi="Arial" w:cs="Arial"/>
          <w:sz w:val="20"/>
          <w:szCs w:val="20"/>
        </w:rPr>
        <w:t>, osimertinib tampoco es un inhibidor de UGT1A1 y UGT2B7 a concentraciones clínicamente relevantes. Es posible la inhibición intestinal de UGT1A1, pero el impacto clínico es desconocido.</w:t>
      </w:r>
    </w:p>
    <w:p w:rsidR="00DD1521" w:rsidRDefault="00DD1521">
      <w:pPr>
        <w:spacing w:after="0" w:line="240" w:lineRule="auto"/>
        <w:jc w:val="both"/>
        <w:rPr>
          <w:rFonts w:ascii="Arial" w:hAnsi="Arial" w:cs="Arial"/>
          <w:sz w:val="20"/>
          <w:szCs w:val="20"/>
          <w:u w:val="single"/>
        </w:rPr>
      </w:pPr>
    </w:p>
    <w:p w:rsidR="00DD1521" w:rsidRDefault="00DD1521">
      <w:pPr>
        <w:spacing w:after="0" w:line="240" w:lineRule="auto"/>
        <w:jc w:val="both"/>
        <w:rPr>
          <w:rFonts w:ascii="Arial" w:hAnsi="Arial" w:cs="Arial"/>
          <w:sz w:val="20"/>
          <w:szCs w:val="20"/>
          <w:u w:val="single"/>
        </w:rPr>
      </w:pPr>
      <w:r>
        <w:rPr>
          <w:rFonts w:ascii="Arial" w:hAnsi="Arial" w:cs="Arial"/>
          <w:sz w:val="20"/>
          <w:szCs w:val="20"/>
          <w:u w:val="single"/>
        </w:rPr>
        <w:t>Eliminación</w:t>
      </w: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Después de una dosis única de 20 mg, se recuperó́ un 67,8% en las heces (1,2% como compuesto original) mientras que se encontró un 14,2% (0,8% como compuesto original) en la orina a los 84 días. Osimertinib inalterado representó aproximadamente el 2% de la eliminación, localizándose el 0,8% en la orina y el 1,2% en las heces. De acuerdo con los estudios </w:t>
      </w:r>
      <w:r w:rsidRPr="00B233A8">
        <w:rPr>
          <w:rFonts w:ascii="Arial" w:hAnsi="Arial" w:cs="Arial"/>
          <w:i/>
          <w:sz w:val="20"/>
          <w:szCs w:val="20"/>
        </w:rPr>
        <w:t>in vitro</w:t>
      </w:r>
      <w:r>
        <w:rPr>
          <w:rFonts w:ascii="Arial" w:hAnsi="Arial" w:cs="Arial"/>
          <w:sz w:val="20"/>
          <w:szCs w:val="20"/>
        </w:rPr>
        <w:t>, osimertinib es un sustrato de la glucoproteína-P y de la proteína resistente de cáncer de mama (BCRP), aunque es poco probable que dé lugar a interacciones farmacológicas clínicamente relevantes con principios activos a las dosis clínicas.</w:t>
      </w:r>
    </w:p>
    <w:p w:rsidR="00DD1521" w:rsidRDefault="00DD1521" w:rsidP="00AD75CC">
      <w:pPr>
        <w:spacing w:after="0" w:line="240" w:lineRule="auto"/>
        <w:jc w:val="both"/>
        <w:rPr>
          <w:rFonts w:ascii="Arial" w:hAnsi="Arial" w:cs="Arial"/>
          <w:b/>
          <w:bCs/>
          <w:sz w:val="20"/>
          <w:szCs w:val="20"/>
        </w:rPr>
      </w:pPr>
    </w:p>
    <w:p w:rsidR="00DD1521" w:rsidRDefault="00DD1521" w:rsidP="00AD75CC">
      <w:pPr>
        <w:spacing w:after="0" w:line="240" w:lineRule="auto"/>
        <w:jc w:val="both"/>
        <w:rPr>
          <w:rFonts w:ascii="Arial" w:hAnsi="Arial" w:cs="Arial"/>
          <w:b/>
          <w:bCs/>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DD1521">
        <w:tc>
          <w:tcPr>
            <w:tcW w:w="8890" w:type="dxa"/>
            <w:shd w:val="clear" w:color="auto" w:fill="B3B3B3"/>
          </w:tcPr>
          <w:p w:rsidR="00DD1521" w:rsidRPr="00E23D29" w:rsidRDefault="00DD1521">
            <w:pPr>
              <w:pStyle w:val="Ttulo1"/>
              <w:shd w:val="clear" w:color="auto" w:fill="A6A6A6"/>
              <w:spacing w:after="0" w:line="240" w:lineRule="auto"/>
              <w:rPr>
                <w:rFonts w:ascii="Arial" w:hAnsi="Arial" w:cs="Arial"/>
                <w:kern w:val="0"/>
                <w:sz w:val="20"/>
                <w:szCs w:val="20"/>
              </w:rPr>
            </w:pPr>
            <w:bookmarkStart w:id="43" w:name="_Toc344399632"/>
            <w:bookmarkStart w:id="44" w:name="_Toc348931359"/>
            <w:bookmarkStart w:id="45" w:name="_Toc5793743"/>
            <w:r w:rsidRPr="00E23D29">
              <w:rPr>
                <w:rFonts w:ascii="Arial" w:hAnsi="Arial" w:cs="Arial"/>
                <w:kern w:val="0"/>
                <w:sz w:val="20"/>
                <w:szCs w:val="20"/>
              </w:rPr>
              <w:t>5.- EVALUACIÓN DE LA EFICACIA.</w:t>
            </w:r>
            <w:bookmarkEnd w:id="43"/>
            <w:bookmarkEnd w:id="44"/>
            <w:bookmarkEnd w:id="45"/>
          </w:p>
        </w:tc>
      </w:tr>
    </w:tbl>
    <w:p w:rsidR="00DD1521" w:rsidRDefault="00DD1521">
      <w:pPr>
        <w:spacing w:after="0" w:line="240" w:lineRule="auto"/>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46" w:name="_Toc344399633"/>
      <w:bookmarkStart w:id="47" w:name="_Toc348931360"/>
      <w:bookmarkStart w:id="48" w:name="_Toc5793744"/>
      <w:r>
        <w:rPr>
          <w:rFonts w:ascii="Arial" w:hAnsi="Arial" w:cs="Arial"/>
          <w:sz w:val="20"/>
          <w:szCs w:val="20"/>
        </w:rPr>
        <w:t>5.1.a Ensayos clínicos disponibles para la indicación clínica evaluada</w:t>
      </w:r>
      <w:bookmarkEnd w:id="46"/>
      <w:bookmarkEnd w:id="47"/>
      <w:bookmarkEnd w:id="48"/>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b/>
          <w:bCs/>
          <w:sz w:val="20"/>
          <w:szCs w:val="20"/>
        </w:rPr>
        <w:t>Tratamiento de segunda línea del CPNM avanzado o metastásico con mutación positiva del EGFR T790M</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Se dispone del European Public Assessment Report (EPAR) de osimertinib, publicado por la European Medicines Agency (EMA) en  febrero de 2016 </w:t>
      </w:r>
      <w:r>
        <w:rPr>
          <w:rFonts w:ascii="Arial" w:hAnsi="Arial" w:cs="Arial"/>
          <w:sz w:val="20"/>
          <w:szCs w:val="20"/>
        </w:rPr>
        <w:fldChar w:fldCharType="begin"/>
      </w:r>
      <w:r>
        <w:rPr>
          <w:rFonts w:ascii="Arial" w:hAnsi="Arial" w:cs="Arial"/>
          <w:sz w:val="20"/>
          <w:szCs w:val="20"/>
        </w:rPr>
        <w:instrText xml:space="preserve"> ADDIN ZOTERO_ITEM CSL_CITATION {"citationID":"xVJxJZAg","properties":{"formattedCitation":"(19)","plainCitation":"(19)"},"citationItems":[{"id":991,"uris":["http://zotero.org/users/local/zrSbuHrK/items/9IQSM66H"],"uri":["http://zotero.org/users/local/zrSbuHrK/items/9IQSM66H"],"itemData":{"id":991,"type":"webpage","title":"TAGRISSO, INN-osimertinib - tagrisso-epar-public-assessment-report_en.pdf","URL":"https://www.ema.europa.eu/documents/assessment-report/tagrisso-epar-public-assessment-report_en.pdf","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(4)</w:t>
      </w:r>
      <w:r>
        <w:rPr>
          <w:rFonts w:ascii="Arial" w:hAnsi="Arial" w:cs="Arial"/>
          <w:sz w:val="20"/>
          <w:szCs w:val="20"/>
        </w:rPr>
        <w:fldChar w:fldCharType="end"/>
      </w:r>
      <w:r>
        <w:rPr>
          <w:rFonts w:ascii="Arial" w:hAnsi="Arial" w:cs="Arial"/>
          <w:sz w:val="20"/>
          <w:szCs w:val="20"/>
        </w:rPr>
        <w:t>. En este informe se analizan los resultados del ensayo pivotal AURA3</w:t>
      </w:r>
      <w:r>
        <w:rPr>
          <w:rFonts w:ascii="Arial" w:hAnsi="Arial" w:cs="Arial"/>
          <w:sz w:val="20"/>
          <w:szCs w:val="20"/>
        </w:rPr>
        <w:fldChar w:fldCharType="begin"/>
      </w:r>
      <w:r>
        <w:rPr>
          <w:rFonts w:ascii="Arial" w:hAnsi="Arial" w:cs="Arial"/>
          <w:sz w:val="20"/>
          <w:szCs w:val="20"/>
        </w:rPr>
        <w:instrText xml:space="preserve"> ADDIN ZOTERO_ITEM CSL_CITATION {"citationID":"264ot92nem","properties":{"formattedCitation":"(23)","plainCitation":"(23)","dontUpdate":true},"citationItems":[{"id":598,"uris":["http://zotero.org/users/3130274/items/C5HGBW3K"],"uri":["http://zotero.org/users/3130274/items/C5HGBW3K"],"itemData":{"id":598,"type":"article-journal","title":"Osimertinib or Platinum-Pemetrexed in EGFR T790M-Positive Lung Cancer","container-title":"The New England Journal of Medicine","page":"629-640","volume":"376","issue":"7","source":"PubMed","abstract":"BACKGROUND: Osimertinib is an epidermal growth factor receptor tyrosine kinase inhibitor (EGFR-TKI) that is selective for both EGFR-TKI sensitizing and T790M resistance mutations in patients with non-small-cell lung cancer. The efficacy of osimertinib as compared with platinum-based therapy plus pemetrexed in such patients is unknown.\nMETHODS: In this randomized, international, open-label, phase 3 trial, we assigned 419 patients with T790M-positive advanced non-small-cell lung cancer, who had disease progression after first-line EGFR-TKI therapy, in a 2:1 ratio to receive either oral osimertinib (at a dose of 80 mg once daily) or intravenous pemetrexed (500 mg per square meter of body-surface area) plus either carboplatin (target area under the curve, 5 [AUC5]) or cisplatin (75 mg per square meter) every 3 weeks for up to six cycles; maintenance pemetrexed was allowed. In all the patients, disease had progressed during receipt of first-line EGFR-TKI therapy. The primary end point was investigator-assessed progression-free survival.\nRESULTS: The median duration of progression-free survival was significantly longer with osimertinib than with platinum therapy plus pemetrexed (10.1 months vs. 4.4 months; hazard ratio; 0.30; 95% confidence interval [CI], 0.23 to 0.41; P&lt;0.001). The objective response rate was significantly better with osimertinib (71%; 95% CI, 65 to 76) than with platinum therapy plus pemetrexed (31%; 95% CI, 24 to 40) (odds ratio for objective response, 5.39; 95% CI, 3.47 to 8.48; P&lt;0.001). Among 144 patients with metastases to the central nervous system (CNS), the median duration of progression-free survival was longer among patients receiving osimertinib than among those receiving platinum therapy plus pemetrexed (8.5 months vs. 4.2 months; hazard ratio, 0.32; 95% CI, 0.21 to 0.49). The proportion of patients with adverse events of grade 3 or higher was lower with osimertinib (23%) than with platinum therapy plus pemetrexed (47%).\nCONCLUSIONS: Osimertinib had significantly greater efficacy than platinum therapy plus pemetrexed in patients with T790M-positive advanced non-small-cell lung cancer (including those with CNS metastases) in whom disease had progressed during first-line EGFR-TKI therapy. (Funded by AstraZeneca; AURA3 ClinicalTrials.gov number, NCT02151981 .).","DOI":"10.1056/NEJMoa1612674","ISSN":"1533-4406","note":"PMID: 27959700","journalAbbreviation":"N. Engl. J. Med.","language":"eng","author":[{"family":"Mok","given":"Tony S."},{"family":"Wu","given":"Yi-Long"},{"family":"Ahn","given":"Myung-Ju"},{"family":"Garassino","given":"Marina C."},{"family":"Kim","given":"Hye R."},{"family":"Ramalingam","given":"Suresh S."},{"family":"Shepherd","given":"Frances A."},{"family":"He","given":"Yong"},{"family":"Akamatsu","given":"Hiroaki"},{"family":"Theelen","given":"Willemijn S. M. E."},{"family":"Lee","given":"Chee K."},{"family":"Sebastian","given":"Martin"},{"family":"Templeton","given":"Alison"},{"family":"Mann","given":"Helen"},{"family":"Marotti","given":"Marcelo"},{"family":"Ghiorghiu","given":"Serban"},{"family":"Papadimitrakopoulou","given":"Vassiliki A."},{"family":"AURA3 Investigators","given":""}],"issued":{"date-parts":[["2017"]],"season":"16"},"PMID":"27959700"}}],"schema":"https://github.com/citation-style-language/schema/raw/master/csl-citation.json"} </w:instrText>
      </w:r>
      <w:r>
        <w:rPr>
          <w:rFonts w:ascii="Arial" w:hAnsi="Arial" w:cs="Arial"/>
          <w:sz w:val="20"/>
          <w:szCs w:val="20"/>
        </w:rPr>
        <w:fldChar w:fldCharType="separate"/>
      </w:r>
      <w:r>
        <w:rPr>
          <w:rFonts w:ascii="Arial" w:hAnsi="Arial" w:cs="Arial"/>
          <w:sz w:val="20"/>
          <w:szCs w:val="20"/>
        </w:rPr>
        <w:t xml:space="preserve"> </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ADDIN ZOTERO_ITEM CSL_CITATION {"citationID":"zSd0kzAB","properties":{"formattedCitation":"(23)","plainCitation":"(23)"},"citationItems":[{"id":1021,"uris":["http://zotero.org/users/local/zrSbuHrK/items/SGNEHQFJ"],"uri":["http://zotero.org/users/local/zrSbuHrK/items/SGNEHQFJ"],"itemData":{"id":1021,"type":"article-journal","title":"Osimertinib or Platinum-Pemetrexed in EGFR T790M-Positive Lung Cancer","container-title":"The New England Journal of Medicine","page":"629-640","volume":"376","issue":"7","source":"PubMed","abstract":"BACKGROUND: Osimertinib is an epidermal growth factor receptor tyrosine kinase inhibitor (EGFR-TKI) that is selective for both EGFR-TKI sensitizing and T790M resistance mutations in patients with non-small-cell lung cancer. The efficacy of osimertinib as compared with platinum-based therapy plus pemetrexed in such patients is unknown.\nMETHODS: In this randomized, international, open-label, phase 3 trial, we assigned 419 patients with T790M-positive advanced non-small-cell lung cancer, who had disease progression after first-line EGFR-TKI therapy, in a 2:1 ratio to receive either oral osimertinib (at a dose of 80 mg once daily) or intravenous pemetrexed (500 mg per square meter of body-surface area) plus either carboplatin (target area under the curve, 5 [AUC5]) or cisplatin (75 mg per square meter) every 3 weeks for up to six cycles; maintenance pemetrexed was allowed. In all the patients, disease had progressed during receipt of first-line EGFR-TKI therapy. The primary end point was investigator-assessed progression-free survival.\nRESULTS: The median duration of progression-free survival was significantly longer with osimertinib than with platinum therapy plus pemetrexed (10.1 months vs. 4.4 months; hazard ratio; 0.30; 95% confidence interval [CI], 0.23 to 0.41; P&lt;0.001). The objective response rate was significantly better with osimertinib (71%; 95% CI, 65 to 76) than with platinum therapy plus pemetrexed (31%; 95% CI, 24 to 40) (odds ratio for objective response, 5.39; 95% CI, 3.47 to 8.48; P&lt;0.001). Among 144 patients with metastases to the central nervous system (CNS), the median duration of progression-free survival was longer among patients receiving osimertinib than among those receiving platinum therapy plus pemetrexed (8.5 months vs. 4.2 months; hazard ratio, 0.32; 95% CI, 0.21 to 0.49). The proportion of patients with adverse events of grade 3 or higher was lower with osimertinib (23%) than with platinum therapy plus pemetrexed (47%).\nCONCLUSIONS: Osimertinib had significantly greater efficacy than platinum therapy plus pemetrexed in patients with T790M-positive advanced non-small-cell lung cancer (including those with CNS metastases) in whom disease had progressed during first-line EGFR-TKI therapy. (Funded by AstraZeneca; AURA3 ClinicalTrials.gov number, NCT02151981 .).","DOI":"10.1056/NEJMoa1612674","ISSN":"1533-4406","note":"PMID: 27959700","journalAbbreviation":"N. Engl. J. Med.","language":"eng","author":[{"family":"Mok","given":"Tony S."},{"family":"Wu","given":"Yi-Long"},{"family":"Ahn","given":"Myung-Ju"},{"family":"Garassino","given":"Marina C."},{"family":"Kim","given":"Hye R."},{"family":"Ramalingam","given":"Suresh S."},{"family":"Shepherd","given":"Frances A."},{"family":"He","given":"Yong"},{"family":"Akamatsu","given":"Hiroaki"},{"family":"Theelen","given":"Willemijn S. M. E."},{"family":"Lee","given":"Chee K."},{"family":"Sebastian","given":"Martin"},{"family":"Templeton","given":"Alison"},{"family":"Mann","given":"Helen"},{"family":"Marotti","given":"Marcelo"},{"family":"Ghiorghiu","given":"Serban"},{"family":"Papadimitrakopoulou","given":"Vassiliki A."},{"family":"AURA3 Investigators","given":""}],"issued":{"date-parts":[["2017"]],"season":"16"},"PMID":"27959700"}}],"schema":"https://github.com/citation-style-language/schema/raw/master/csl-citation.json"} </w:instrText>
      </w:r>
      <w:r>
        <w:rPr>
          <w:rFonts w:ascii="Arial" w:hAnsi="Arial" w:cs="Arial"/>
          <w:sz w:val="20"/>
          <w:szCs w:val="20"/>
        </w:rPr>
        <w:fldChar w:fldCharType="separate"/>
      </w:r>
      <w:r>
        <w:rPr>
          <w:rFonts w:ascii="Arial" w:hAnsi="Arial" w:cs="Arial"/>
          <w:sz w:val="20"/>
          <w:szCs w:val="20"/>
        </w:rPr>
        <w:t>(21)</w:t>
      </w:r>
      <w:r>
        <w:rPr>
          <w:rFonts w:ascii="Arial" w:hAnsi="Arial" w:cs="Arial"/>
          <w:sz w:val="20"/>
          <w:szCs w:val="20"/>
        </w:rPr>
        <w:fldChar w:fldCharType="end"/>
      </w:r>
      <w:r>
        <w:rPr>
          <w:rFonts w:ascii="Arial" w:hAnsi="Arial" w:cs="Arial"/>
          <w:sz w:val="20"/>
          <w:szCs w:val="20"/>
        </w:rPr>
        <w:t xml:space="preserve"> (fase III frente a platino/pemetrexed en pacientes con mutación T790M previamente tratados con un ITK anti-EGFR).</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Con fecha 15/09/18, se llevó a cabo una búsqueda blibliográfica en PubMed, con el objeto de identificar información complementaria, utilizando para ello la siguiente estrategia: osimertinib AND lung cáncer. Filtro “clinical trial”. Además de las publicaciones originales de los estudios pivotales, se identificaron:</w:t>
      </w:r>
    </w:p>
    <w:p w:rsidR="00DD1521" w:rsidRDefault="00DD1521">
      <w:pPr>
        <w:spacing w:after="0" w:line="240" w:lineRule="auto"/>
        <w:jc w:val="both"/>
        <w:rPr>
          <w:rFonts w:ascii="Arial" w:hAnsi="Arial" w:cs="Arial"/>
          <w:sz w:val="20"/>
          <w:szCs w:val="20"/>
        </w:rPr>
      </w:pPr>
    </w:p>
    <w:p w:rsidR="00DD1521" w:rsidRDefault="00DD1521">
      <w:pPr>
        <w:pStyle w:val="Prrafodelista"/>
        <w:numPr>
          <w:ilvl w:val="0"/>
          <w:numId w:val="3"/>
        </w:numPr>
        <w:spacing w:after="0" w:line="240" w:lineRule="auto"/>
        <w:jc w:val="both"/>
        <w:rPr>
          <w:rFonts w:ascii="Arial" w:hAnsi="Arial" w:cs="Arial"/>
          <w:sz w:val="20"/>
          <w:szCs w:val="20"/>
        </w:rPr>
      </w:pPr>
      <w:r>
        <w:rPr>
          <w:rFonts w:ascii="Arial" w:hAnsi="Arial" w:cs="Arial"/>
          <w:sz w:val="20"/>
          <w:szCs w:val="20"/>
        </w:rPr>
        <w:t xml:space="preserve">Un estudio fase II llevado a cabo en pacientes japoneses mayores de 75 años con cáncer de pulmón no microcítico que habían recibido previamente ITK-EGFR o presentaban mutación T790M. La variable principal fue la tasa de respuesta objetiva y los secundarios la supervivencia libre de progresión (SLP), la supervivencia global (SG), la tasa de control de la enfermedad y la seguridad </w:t>
      </w:r>
      <w:r>
        <w:rPr>
          <w:rFonts w:ascii="Arial" w:hAnsi="Arial" w:cs="Arial"/>
          <w:sz w:val="20"/>
          <w:szCs w:val="20"/>
        </w:rPr>
        <w:fldChar w:fldCharType="begin"/>
      </w:r>
      <w:r>
        <w:rPr>
          <w:rFonts w:ascii="Arial" w:hAnsi="Arial" w:cs="Arial"/>
          <w:sz w:val="20"/>
          <w:szCs w:val="20"/>
        </w:rPr>
        <w:instrText xml:space="preserve"> ADDIN ZOTERO_ITEM CSL_CITATION {"citationID":"jBu59SUc","properties":{"formattedCitation":"(24)","plainCitation":"(24)"},"citationItems":[{"id":1023,"uris":["http://zotero.org/users/local/zrSbuHrK/items/2CX7X94C"],"uri":["http://zotero.org/users/local/zrSbuHrK/items/2CX7X94C"],"itemData":{"id":1023,"type":"article-journal","title":"Treatment rationale and design of the SPIRAL study: A phase II trial of osimertinib in elderly epidermal growth factor receptor T790M-positive nonsmall-cell lung cancer patients who progressed during prior EGFR-TKI treatment","container-title":"Medicine","page":"e11081","volume":"97","issue":"23","source":"PubMed","abstract":"BACKGROUND: Advances in epidermal growth factor receptor-tyrosine kinase inhibitor (EGFR-TKI) treatment led to research on the mechanism of the resistance have revealed that an occurrence of T790M gene mutation generated in exon 20 of the EGFR gene is associated with approximately 50% to 60% of observed resistance. Osimertinib, a 3rd-generation EGFR-TKI, has been shown to be effective against both EGFR tyrosine kinase inhibitor-sensitizing and T790M resistance mutations. In this study, we prospectively investigate the efficacy and safety of osimertinib in elderly patients aged ≥75 years, with ineffective prior EGFR-TKI treatment or with recurrence of EGFR-TKI mutation-positive or T790M mutation-positive nonsmall-cell lung cancer.\nPATIENTS AND METHODS: In total, 35 subjects of both sexes aged ≥75 years with T790M mutation will be included. Participants with pulmonary disorders such as idiopathic pulmonary fibrosis, interstitial pneumonia, pneumoconiosis, active radiation pneumonitis, drug-induced pneumonia, and symptomatic brain metastasis will be excluded. Eligible patients will be administrated osimertinib (80</w:instrText>
      </w:r>
      <w:r>
        <w:rPr>
          <w:rFonts w:ascii="Arial Unicode MS" w:eastAsia="Arial Unicode MS" w:hAnsi="Arial Unicode MS" w:cs="Arial Unicode MS" w:hint="eastAsia"/>
          <w:sz w:val="20"/>
          <w:szCs w:val="20"/>
        </w:rPr>
        <w:instrText> </w:instrText>
      </w:r>
      <w:r>
        <w:rPr>
          <w:rFonts w:ascii="Arial" w:hAnsi="Arial" w:cs="Arial"/>
          <w:sz w:val="20"/>
          <w:szCs w:val="20"/>
        </w:rPr>
        <w:instrText xml:space="preserve">mg/d) until disease progression. The primary outcome is antitumor effect (objective response rate). The secondary outcomes are progression-free survival, overall survival, disease control rate, and safety.\nETHICS AND DISSEMINATION: The protocol was approved by the institutional review boards of Kyoto Prefectural University of Medicine and all the participating hospitals. Written informed consent was obtained from all patients before registration, in accordance with the Declaration of Helsinki. Results of the study will be disseminated via publications in peer-reviewed journals.\nTRIAL REGISTRATION: Trial registration number = UMIN000022553.","DOI":"10.1097/MD.0000000000011081","ISSN":"1536-5964","note":"PMID: 29879078\nPMCID: PMC5999479","shortTitle":"Treatment rationale and design of the SPIRAL study","journalAbbreviation":"Medicine (Baltimore)","language":"eng","author":[{"family":"Uchino","given":"Junji"},{"family":"Nakao","given":"Akira"},{"family":"Tamiya","given":"Nobuyo"},{"family":"Kaneko","given":"Yoshiko"},{"family":"Yamada","given":"Tadaaki"},{"family":"Yoshimura","given":"Kenichi"},{"family":"Fujita","given":"Masaki"},{"family":"Takayama","given":"Koichi"}],"issued":{"date-parts":[["2018",6]]},"PMID":"29879078","PMCID":"PMC5999479"}}],"schema":"https://github.com/citation-style-language/schema/raw/master/csl-citation.json"} </w:instrText>
      </w:r>
      <w:r>
        <w:rPr>
          <w:rFonts w:ascii="Arial" w:hAnsi="Arial" w:cs="Arial"/>
          <w:sz w:val="20"/>
          <w:szCs w:val="20"/>
        </w:rPr>
        <w:fldChar w:fldCharType="separate"/>
      </w:r>
      <w:r>
        <w:rPr>
          <w:rFonts w:ascii="Arial" w:hAnsi="Arial" w:cs="Arial"/>
          <w:sz w:val="20"/>
          <w:szCs w:val="20"/>
        </w:rPr>
        <w:t>(22)</w:t>
      </w:r>
      <w:r>
        <w:rPr>
          <w:rFonts w:ascii="Arial" w:hAnsi="Arial" w:cs="Arial"/>
          <w:sz w:val="20"/>
          <w:szCs w:val="20"/>
        </w:rPr>
        <w:fldChar w:fldCharType="end"/>
      </w:r>
      <w:r>
        <w:rPr>
          <w:rFonts w:ascii="Arial" w:hAnsi="Arial" w:cs="Arial"/>
          <w:sz w:val="20"/>
          <w:szCs w:val="20"/>
        </w:rPr>
        <w:t>.</w:t>
      </w:r>
    </w:p>
    <w:p w:rsidR="00DD1521" w:rsidRDefault="00DD1521" w:rsidP="001C3ADE">
      <w:pPr>
        <w:pStyle w:val="Prrafodelista"/>
        <w:spacing w:after="0" w:line="240" w:lineRule="auto"/>
        <w:ind w:left="360"/>
        <w:jc w:val="both"/>
        <w:rPr>
          <w:rFonts w:ascii="Arial" w:hAnsi="Arial" w:cs="Arial"/>
          <w:sz w:val="20"/>
          <w:szCs w:val="20"/>
        </w:rPr>
      </w:pPr>
    </w:p>
    <w:p w:rsidR="00DD1521" w:rsidRDefault="00DD1521">
      <w:pPr>
        <w:pStyle w:val="Prrafodelista"/>
        <w:numPr>
          <w:ilvl w:val="0"/>
          <w:numId w:val="3"/>
        </w:numPr>
        <w:spacing w:after="0" w:line="240" w:lineRule="auto"/>
        <w:jc w:val="both"/>
        <w:rPr>
          <w:rFonts w:ascii="Arial" w:hAnsi="Arial" w:cs="Arial"/>
          <w:sz w:val="20"/>
          <w:szCs w:val="20"/>
        </w:rPr>
      </w:pPr>
      <w:r>
        <w:rPr>
          <w:rFonts w:ascii="Arial" w:hAnsi="Arial" w:cs="Arial"/>
          <w:sz w:val="20"/>
          <w:szCs w:val="20"/>
        </w:rPr>
        <w:t xml:space="preserve">Un subanálisis del estudio pivotal AURA3 en 63 pacientes japoneses. Mostró ganancia absoluta de 8,2 meses en SLP. Los resultados en esta subpoblación japonesa serían consistentes con los de la población global incluida en el AURA3 </w:t>
      </w:r>
      <w:r>
        <w:rPr>
          <w:rFonts w:ascii="Arial" w:hAnsi="Arial" w:cs="Arial"/>
          <w:sz w:val="20"/>
          <w:szCs w:val="20"/>
        </w:rPr>
        <w:fldChar w:fldCharType="begin"/>
      </w:r>
      <w:r>
        <w:rPr>
          <w:rFonts w:ascii="Arial" w:hAnsi="Arial" w:cs="Arial"/>
          <w:sz w:val="20"/>
          <w:szCs w:val="20"/>
        </w:rPr>
        <w:instrText xml:space="preserve"> ADDIN ZOTERO_ITEM CSL_CITATION {"citationID":"rQh487xo","properties":{"formattedCitation":"(25)","plainCitation":"(25)"},"citationItems":[{"id":1025,"uris":["http://zotero.org/users/local/zrSbuHrK/items/NEXX4H78"],"uri":["http://zotero.org/users/local/zrSbuHrK/items/NEXX4H78"],"itemData":{"id":1025,"type":"article-journal","title":"Osimertinib in Japanese patients with EGFR T790M mutation-positive advanced non-small-cell lung cancer: AURA3 trial","container-title":"Cancer Science","page":"1930-1938","volume":"109","issue":"6","source":"PubMed","abstract":"Epidermal growth factor receptor (EGFR) tyrosine kinase inhibitors (TKIs) are the first-line treatment for patients with EGFR mutant non-small-cell lung cancer (NSCLC). However, most patients become resistant to these drugs, so their disease progresses. Osimertinib, a third-generation EGFR-TKI that can inhibit the kinase even when the common resistance-conferring Thr790Met (T790M) mutation is present, is a promising therapeutic option for patients whose disease has progressed after first-line EGFR-TKI treatment. AURA3 was a randomized (2:1), open-label, phase III study comparing the efficacy of osimertinib (80 mg/d) with platinum-based therapy plus pemetrexed (500 mg/m2 ) in 419 patients with advanced NSCLC with the EGFR T790M mutation in whom disease had progressed after first-line EGFR-TKI treatment. This subanalysis evaluated the safety and efficacy of osimertinib specifically in 63 Japanese patients enrolled in AURA3. The primary end-point was progression-free survival (PFS) based on investigator assessment. Improvement in PFS was clinically meaningful in the osimertinib group (n = 41) vs the platinum-pemetrexed group (n = 22; hazard ratio 0.27; 95% confidence interval, 0.13-0.56). The median PFS was 12.5 and 4.3 months in the osimertinib and platinum-pemetrexed groups, respectively. Grade ≥3 adverse events determined to be related to treatment occurred in 5 patients (12.2%) treated with osimertinib and 12 patients (54.5%) treated with platinum-pemetrexed. The safety and efficacy results in this subanalysis are consistent with the results of the overall AURA3 study, and support the use of osimertinib in Japanese patients with EGFR T790M mutation-positive NSCLC whose disease has progressed following first-line EGFR-TKI treatment. (ClinicalTrials.gov trial registration no. NCT02151981.).","DOI":"10.1111/cas.13623","ISSN":"1349-7006","note":"PMID: 29697876\nPMCID: PMC5989837","shortTitle":"Osimertinib in Japanese patients with EGFR T790M mutation-positive advanced non-small-cell lung cancer","journalAbbreviation":"Cancer Sci.","language":"eng","author":[{"family":"Akamatsu","given":"Hiroaki"},{"family":"Katakami","given":"Nobuyuki"},{"family":"Okamoto","given":"Isamu"},{"family":"Kato","given":"Terufumi"},{"family":"Kim","given":"Young Hak"},{"family":"Imamura","given":"Fumio"},{"family":"Shinkai","given":"Masaharu"},{"family":"Hodge","given":"Rachel A."},{"family":"Uchida","given":"Hirohiko"},{"family":"Hida","given":"Toyoaki"}],"issued":{"date-parts":[["2018",6]]},"PMID":"29697876","PMCID":"PMC5989837"}}],"schema":"https://github.com/citation-style-language/schema/raw/master/csl-citation.json"} </w:instrText>
      </w:r>
      <w:r>
        <w:rPr>
          <w:rFonts w:ascii="Arial" w:hAnsi="Arial" w:cs="Arial"/>
          <w:sz w:val="20"/>
          <w:szCs w:val="20"/>
        </w:rPr>
        <w:fldChar w:fldCharType="separate"/>
      </w:r>
      <w:r>
        <w:rPr>
          <w:rFonts w:ascii="Arial" w:hAnsi="Arial" w:cs="Arial"/>
          <w:sz w:val="20"/>
          <w:szCs w:val="20"/>
        </w:rPr>
        <w:t>(23)</w:t>
      </w:r>
      <w:r>
        <w:rPr>
          <w:rFonts w:ascii="Arial" w:hAnsi="Arial" w:cs="Arial"/>
          <w:sz w:val="20"/>
          <w:szCs w:val="20"/>
        </w:rPr>
        <w:fldChar w:fldCharType="end"/>
      </w:r>
      <w:r>
        <w:rPr>
          <w:rFonts w:ascii="Arial" w:hAnsi="Arial" w:cs="Arial"/>
          <w:sz w:val="20"/>
          <w:szCs w:val="20"/>
        </w:rPr>
        <w:t xml:space="preserve">. </w:t>
      </w:r>
    </w:p>
    <w:p w:rsidR="00DD1521" w:rsidRDefault="00DD1521">
      <w:pPr>
        <w:spacing w:after="0" w:line="240" w:lineRule="auto"/>
        <w:jc w:val="both"/>
        <w:rPr>
          <w:rFonts w:ascii="Arial" w:hAnsi="Arial" w:cs="Arial"/>
          <w:sz w:val="20"/>
          <w:szCs w:val="20"/>
        </w:rPr>
      </w:pPr>
    </w:p>
    <w:p w:rsidR="00DD1521" w:rsidRDefault="00DD1521">
      <w:pPr>
        <w:pStyle w:val="Prrafodelista"/>
        <w:numPr>
          <w:ilvl w:val="0"/>
          <w:numId w:val="3"/>
        </w:numPr>
        <w:spacing w:after="0" w:line="240" w:lineRule="auto"/>
        <w:jc w:val="both"/>
        <w:rPr>
          <w:rFonts w:ascii="Arial" w:hAnsi="Arial" w:cs="Arial"/>
          <w:sz w:val="20"/>
          <w:szCs w:val="20"/>
        </w:rPr>
      </w:pPr>
      <w:r>
        <w:rPr>
          <w:rFonts w:ascii="Arial" w:hAnsi="Arial" w:cs="Arial"/>
          <w:sz w:val="20"/>
          <w:szCs w:val="20"/>
        </w:rPr>
        <w:t xml:space="preserve">Dos estudio fase II (AURA extensión y AURA2) que tuvieron como objetivo principal la tasa de respuesta objetiva (61,3% y 70,6% respectivamente) y un estudio fase I (AURA) con una tasa de respuesta objetiva del 61%. Estos tres estudios llevaron a la aprobación </w:t>
      </w:r>
      <w:r>
        <w:rPr>
          <w:rFonts w:ascii="Arial" w:hAnsi="Arial" w:cs="Arial"/>
          <w:sz w:val="20"/>
          <w:szCs w:val="20"/>
        </w:rPr>
        <w:lastRenderedPageBreak/>
        <w:t xml:space="preserve">aceleredada del fármaco por la FDA condicionada a los resultados del estudio fase III AURA 3 </w:t>
      </w:r>
      <w:r>
        <w:rPr>
          <w:rFonts w:ascii="Arial" w:hAnsi="Arial" w:cs="Arial"/>
          <w:sz w:val="20"/>
          <w:szCs w:val="20"/>
        </w:rPr>
        <w:fldChar w:fldCharType="begin"/>
      </w:r>
      <w:r>
        <w:rPr>
          <w:rFonts w:ascii="Arial" w:hAnsi="Arial" w:cs="Arial"/>
          <w:sz w:val="20"/>
          <w:szCs w:val="20"/>
        </w:rPr>
        <w:instrText xml:space="preserve"> ADDIN ZOTERO_ITEM CSL_CITATION {"citationID":"KudviNPT","properties":{"formattedCitation":"(26)","plainCitation":"(26)"},"citationItems":[{"id":1027,"uris":["http://zotero.org/users/local/zrSbuHrK/items/4NEX27S6"],"uri":["http://zotero.org/users/local/zrSbuHrK/items/4NEX27S6"],"itemData":{"id":1027,"type":"article-journal","title":"Osimertinib for pretreated EGFR Thr790Met-positive advanced non-small-cell lung cancer (AURA2): a multicentre, open-label, single-arm, phase 2 study","container-title":"The Lancet. Oncology","page":"1643-1652","volume":"17","issue":"12","source":"PubMed","abstract":"BACKGROUND: Osimertinib (AZD9291) is an oral, potent, irreversible EGFR tyrosine-kinase inhibitor selective for EGFR tyrosine-kinase inhibitor sensitising mutations, and the EGFR Thr790Met resistance mutation. We assessed the efficacy and safety of osimertinib in patients with EGFR Thr790Met-positive non-small-cell lung cancer (NSCLC), who had progressed after previous therapy with an approved EGFR tyrosine-kinase inhibitor.\nMETHODS: In this phase 2, open-label, single-arm study (AURA2), patients aged at least 18 years with centrally confirmed EGFR Thr790Met-positive mutations, locally advanced or metastatic (stage IIIB/IV) NSCLC who progressed on previous EGFR tyrosine-kinase inhibitor therapy received osimertinib 80 mg orally once daily; treatment could continue beyond progression if the investigator observed a clinical benefit. Patients with asymptomatic, stable CNS metastases not requiring steroids were allowed to enrol. The primary endpoint was the proportion of patients achieving an objective response by blinded independent central review using Response Evaluation Criteria in Solid Tumors, version 1.1. Response endpoints were assessed in the evaluable for response analysis set (ie, all patients who received at least one dose of osimertinib and had measurable disease at baseline according to blinded independent central review). Other endpoints and safety were assessed in all patients receiving at least one osimertinib dose (full analysis set). The study is ongoing and patients are still receiving treatment. This study is registered with ClinicalTrials.gov, number NCT02094261.\nFINDINGS: Between May 20, 2014, and Sept 12, 2014, 472 patients were screened, of whom 210 started osimertinib treatment between June 13, 2014, and Oct 27, 2014; 11 patients were excluded from the evaluable for response analysis set (n=199) due to absence of measurable disease at baseline by blinded independent central review. At data cutoff (Nov 1, 2015), 122 (58%) patients remained on treatment. The median duration of follow-up was 13·0 months (IQR 7·6-14·2). 140 (70%; 95% CI 64-77) of 199 patients achieved an objective response by blinded independent central review: confirmed complete responses were achieved in six (3%) patients and partial responses were achieved in 134 (67%) patients. The most common all-causality grade 3 and 4 adverse events were pulmonary embolism (seven [3%]), prolonged electrocardiogram QT (five [2%]), decreased neutrophil count (four [2%]), anaemia, dyspnoea, hyponatraemia, increased alanine aminotransferase, and thrombocytopenia (three [1%] each). Serious adverse events were reported in 52 (25%) patients, of which 11 (5%) were investigator assessed as possibly treatment-related to osimertinib. Seven deaths were due to adverse events; these were pneumonia (n=2), pneumonia aspiration (n=1), rectal haemorrhage (n=1), dyspnoea (n=1), failure to thrive (n=1), and interstitial lung disease (n=1). The only fatal event assessed as possibly treatment-related by the investigator was due to interstitial lung disease.\nINTERPRETATION: Osimertinib showed clinical activity with manageable side-effects in patients with EGFR Thr790Met-positive NSCLC. Therefore, osimertinib could be a suitable treatment for patients with EGFR Thr790Met-positive disease who have progressed on an EGFR tyrosine-kinase inhibitor.\nFUNDING: AstraZeneca.","DOI":"10.1016/S1470-2045(16)30508-3","ISSN":"1474-5488","note":"PMID: 27751847","shortTitle":"Osimertinib for pretreated EGFR Thr790Met-positive advanced non-small-cell lung cancer (AURA2)","journalAbbreviation":"Lancet Oncol.","language":"eng","author":[{"family":"Goss","given":"Glenwood"},{"family":"Tsai","given":"Chun-Ming"},{"family":"Shepherd","given":"Frances A."},{"family":"Bazhenova","given":"Lyudmila"},{"family":"Lee","given":"Jong Seok"},{"family":"Chang","given":"Gee-Chen"},{"family":"Crino","given":"Lucio"},{"family":"Satouchi","given":"Miyako"},{"family":"Chu","given":"Quincy"},{"family":"Hida","given":"Toyoaki"},{"family":"Han","given":"Ji-Youn"},{"family":"Juan","given":"Oscar"},{"family":"Dunphy","given":"Frank"},{"family":"Nishio","given":"Makoto"},{"family":"Kang","given":"Jin-Hyoung"},{"family":"Majem","given":"Margarita"},{"family":"Mann","given":"Helen"},{"family":"Cantarini","given":"Mireille"},{"family":"Ghiorghiu","given":"Serban"},{"family":"Mitsudomi","given":"Tetsuya"}],"issued":{"date-parts":[["2016",12]]},"PMID":"27751847"}}],"schema":"https://github.com/citation-style-language/schema/raw/master/csl-citation.json"} </w:instrText>
      </w:r>
      <w:r>
        <w:rPr>
          <w:rFonts w:ascii="Arial" w:hAnsi="Arial" w:cs="Arial"/>
          <w:sz w:val="20"/>
          <w:szCs w:val="20"/>
        </w:rPr>
        <w:fldChar w:fldCharType="separate"/>
      </w:r>
      <w:r>
        <w:rPr>
          <w:rFonts w:ascii="Arial" w:hAnsi="Arial" w:cs="Arial"/>
          <w:sz w:val="20"/>
          <w:szCs w:val="20"/>
        </w:rPr>
        <w:t>(24)</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ADDIN ZOTERO_ITEM CSL_CITATION {"citationID":"YptAhGFh","properties":{"formattedCitation":"(27)","plainCitation":"(27)"},"citationItems":[{"id":1029,"uris":["http://zotero.org/users/local/zrSbuHrK/items/Q8QTKWD6"],"uri":["http://zotero.org/users/local/zrSbuHrK/items/Q8QTKWD6"],"itemData":{"id":1029,"type":"article-journal","title":"Osimertinib in Pretreated T790M-Positive Advanced Non-Small-Cell Lung Cancer: AURA Study Phase II Extension Component","container-title":"Journal of Clinical Oncology: Official Journal of the American Society of Clinical Oncology","page":"1288-1296","volume":"35","issue":"12","source":"PubMed","abstract":"Purpose Osimertinib is an irreversible epidermal growth factor receptor (EGFR) tyrosine kinase inhibitor (TKI) selective for both EGFR-TKI sensitizing ( EGFRm) and T790M resistance mutations. AURA (NCT01802632) is a phase I/II clinical trial to determine the dose, safety, and efficacy of osimertinib. This article reports the results from the phase II extension component. Patients and Methods Patients with EGFR-TKI-pretreated EGFRm- and T790M-positive advanced non-small-cell lung cancer (NSCLC) received once-daily osimertinib 80 mg. T790M status was confirmed by central testing from a tumor sample taken after the most recent disease progression. Patients with asymptomatic, stable CNS metastases that did not require corticosteroids were allowed to enroll. The primary end point was objective response rate (ORR) by independent radiology assessment. Secondary end points were disease control rate, duration of response, progression-free survival (PFS), and safety. Patient-reported outcomes comprised an exploratory objective. Results In total, 201 patients received treatment, with a median treatment duration of 13.2 months at the time of data cutoff (November 1, 2015). In evaluable patients (n = 198), ORR was 62% (95% CI, 54% to 68%), and the disease control rate was 90% (95% CI, 85 to 94). Median duration of response in 122 responding patients was 15.2 months (95% CI, 11.3 to not calculable). Median PFS was 12.3 months (95% CI, 9.5 to 13.8). The most common possibly causally related adverse events (investigator assessed) were diarrhea (43%; grade ≥ 3, &lt; 1%) and rash (grouped terms; 40%; grade ≥ 3, &lt; 1%). Interstitial lung disease (grouped terms) was reported in eight patients (4%; grade 1, n = 2; grade 3, n = 3; grade 5, n = 3). Conclusion In patients with EGFRm T790M advanced NSCLC who progress after EGFR-TKI treatment, osimertinib provides a high ORR, encouraging PFS, and durable response.","DOI":"10.1200/JCO.2016.70.3223","ISSN":"1527-7755","note":"PMID: 28221867","shortTitle":"Osimertinib in Pretreated T790M-Positive Advanced Non-Small-Cell Lung Cancer","journalAbbreviation":"J. Clin. Oncol.","language":"eng","author":[{"family":"Yang","given":"James Chih-Hsin"},{"family":"Ahn","given":"Myung-Ju"},{"family":"Kim","given":"Dong-Wan"},{"family":"Ramalingam","given":"Suresh S."},{"family":"Sequist","given":"Lecia V."},{"family":"Su","given":"Wu-Chou"},{"family":"Kim","given":"Sang-We"},{"family":"Kim","given":"Joo-Hang"},{"family":"Planchard","given":"David"},{"family":"Felip","given":"Enriqueta"},{"family":"Blackhall","given":"Fiona"},{"family":"Haggstrom","given":"Daniel"},{"family":"Yoh","given":"Kiyotaka"},{"family":"Novello","given":"Silvia"},{"family":"Gold","given":"Kathryn"},{"family":"Hirashima","given":"Tomonori"},{"family":"Lin","given":"Chia-Chi"},{"family":"Mann","given":"Helen"},{"family":"Cantarini","given":"Mireille"},{"family":"Ghiorghiu","given":"Serban"},{"family":"Jänne","given":"Pasi A."}],"issued":{"date-parts":[["2017",4,20]]},"PMID":"28221867"}}],"schema":"https://github.com/citation-style-language/schema/raw/master/csl-citation.json"} </w:instrText>
      </w:r>
      <w:r>
        <w:rPr>
          <w:rFonts w:ascii="Arial" w:hAnsi="Arial" w:cs="Arial"/>
          <w:sz w:val="20"/>
          <w:szCs w:val="20"/>
        </w:rPr>
        <w:fldChar w:fldCharType="separate"/>
      </w:r>
      <w:r>
        <w:rPr>
          <w:rFonts w:ascii="Arial" w:hAnsi="Arial" w:cs="Arial"/>
          <w:sz w:val="20"/>
          <w:szCs w:val="20"/>
        </w:rPr>
        <w:t>(25)</w:t>
      </w:r>
      <w:r>
        <w:rPr>
          <w:rFonts w:ascii="Arial" w:hAnsi="Arial" w:cs="Arial"/>
          <w:sz w:val="20"/>
          <w:szCs w:val="20"/>
        </w:rPr>
        <w:fldChar w:fldCharType="end"/>
      </w:r>
      <w:r>
        <w:rPr>
          <w:rFonts w:ascii="Arial" w:hAnsi="Arial" w:cs="Arial"/>
          <w:sz w:val="20"/>
          <w:szCs w:val="20"/>
        </w:rPr>
        <w:t>.</w:t>
      </w:r>
    </w:p>
    <w:p w:rsidR="00DD1521" w:rsidRDefault="00DD1521">
      <w:pPr>
        <w:pStyle w:val="Prrafodelista"/>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En el análisis de eficacia solo incluimos los resultados del ensayo pivotal fase III por considerar que es el que aporta la información más relevante.</w:t>
      </w:r>
    </w:p>
    <w:p w:rsidR="00DD1521" w:rsidRDefault="00DD1521">
      <w:pPr>
        <w:spacing w:after="0" w:line="240" w:lineRule="auto"/>
        <w:jc w:val="both"/>
        <w:rPr>
          <w:rFonts w:ascii="Arial" w:hAnsi="Arial" w:cs="Arial"/>
          <w:b/>
          <w:bCs/>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primera línea del CPNM avanzado o metastásico con mutaciones activadoras de EGFR</w:t>
      </w:r>
    </w:p>
    <w:p w:rsidR="00DD1521" w:rsidRDefault="00DD1521">
      <w:pPr>
        <w:spacing w:after="0" w:line="240" w:lineRule="auto"/>
        <w:jc w:val="both"/>
        <w:rPr>
          <w:rFonts w:ascii="Arial" w:hAnsi="Arial" w:cs="Arial"/>
          <w:b/>
          <w:bCs/>
          <w:i/>
          <w:iCs/>
          <w:sz w:val="20"/>
          <w:szCs w:val="20"/>
        </w:rPr>
      </w:pPr>
    </w:p>
    <w:p w:rsidR="00DD1521" w:rsidRDefault="00DD1521">
      <w:pPr>
        <w:spacing w:after="0" w:line="240" w:lineRule="auto"/>
        <w:jc w:val="both"/>
        <w:rPr>
          <w:rFonts w:ascii="Arial" w:hAnsi="Arial" w:cs="Arial"/>
          <w:color w:val="000000"/>
          <w:sz w:val="20"/>
          <w:szCs w:val="20"/>
        </w:rPr>
      </w:pPr>
      <w:r>
        <w:rPr>
          <w:rFonts w:ascii="Arial" w:hAnsi="Arial" w:cs="Arial"/>
          <w:color w:val="000000"/>
          <w:sz w:val="20"/>
          <w:szCs w:val="20"/>
        </w:rPr>
        <w:t>Se dispone del informe EPAR publicado en abril de 2018 en el que se analizan los resultados del ensayo pivotal FLAURA, fase III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JKXmj4mv","properties":{"formattedCitation":"(28)","plainCitation":"(28)"},"citationItems":[{"id":1031,"uris":["http://zotero.org/users/local/zrSbuHrK/items/982Q5D22"],"uri":["http://zotero.org/users/local/zrSbuHrK/items/982Q5D22"],"itemData":{"id":1031,"type":"article-journal","title":"Osimertinib in Untreated EGFR-Mutated Advanced Non-Small-Cell Lung Cancer","container-title":"The New England Journal of Medicine","page":"113-125","volume":"378","issue":"2","source":"PubMed","abstract":"BACKGROUND: Osimertinib is an oral, third-generation, irreversible epidermal growth factor receptor tyrosine kinase inhibitor (EGFR-TKI) that selectively inhibits both EGFR-TKI-sensitizing and EGFR T790M resistance mutations. We compared osimertinib with standard EGFR-TKIs in patients with previously untreated, EGFR mutation-positive advanced non-small-cell lung cancer (NSCLC).\nMETHODS: In this double-blind, phase 3 trial, we randomly assigned 556 patients with previously untreated, EGFR mutation-positive (exon 19 deletion or L858R) advanced NSCLC in a 1:1 ratio to receive either osimertinib (at a dose of 80 mg once daily) or a standard EGFR-TKI (gefitinib at a dose of 250 mg once daily or erlotinib at a dose of 150 mg once daily). The primary end point was investigator-assessed progression-free survival.\nRESULTS: The median progression-free survival was significantly longer with osimertinib than with standard EGFR-TKIs (18.9 months vs. 10.2 months; hazard ratio for disease progression or death, 0.46; 95% confidence interval [CI], 0.37 to 0.57; P&lt;0.001). The objective response rate was similar in the two groups: 80% with osimertinib and 76% with standard EGFR-TKIs (odds ratio, 1.27; 95% CI, 0.85 to 1.90; P=0.24). The median duration of response was 17.2 months (95% CI, 13.8 to 22.0) with osimertinib versus 8.5 months (95% CI, 7.3 to 9.8) with standard EGFR-TKIs. Data on overall survival were immature at the interim analysis (25% maturity). The survival rate at 18 months was 83% (95% CI, 78 to 87) with osimertinib and 71% (95% CI, 65 to 76) with standard EGFR-TKIs (hazard ratio for death, 0.63; 95% CI, 0.45 to 0.88; P=0.007 [nonsignificant in the interim analysis]). Adverse events of grade 3 or higher were less frequent with osimertinib than with standard EGFR-TKIs (34% vs. 45%).\nCONCLUSIONS: Osimertinib showed efficacy superior to that of standard EGFR-TKIs in the first-line treatment of EGFR mutation-positive advanced NSCLC, with a similar safety profile and lower rates of serious adverse events. (Funded by AstraZeneca; FLAURA ClinicalTrials.gov number, NCT02296125 .).","DOI":"10.1056/NEJMoa1713137","ISSN":"1533-4406","note":"PMID: 29151359","journalAbbreviation":"N. Engl. J. Med.","language":"eng","author":[{"family":"Soria","given":"Jean-Charles"},{"family":"Ohe","given":"Yuichiro"},{"family":"Vansteenkiste","given":"Johan"},{"family":"Reungwetwattana","given":"Thanyanan"},{"family":"Chewaskulyong","given":"Busyamas"},{"family":"Lee","given":"Ki Hyeong"},{"family":"Dechaphunkul","given":"Arunee"},{"family":"Imamura","given":"Fumio"},{"family":"Nogami","given":"Naoyuki"},{"family":"Kurata","given":"Takayasu"},{"family":"Okamoto","given":"Isamu"},{"family":"Zhou","given":"Caicun"},{"family":"Cho","given":"Byoung Chul"},{"family":"Cheng","given":"Ying"},{"family":"Cho","given":"Eun Kyung"},{"family":"Voon","given":"Pei Jye"},{"family":"Planchard","given":"David"},{"family":"Su","given":"Wu-Chou"},{"family":"Gray","given":"Jhanelle E."},{"family":"Lee","given":"Siow-Ming"},{"family":"Hodge","given":"Rachel"},{"family":"Marotti","given":"Marcelo"},{"family":"Rukazenkov","given":"Yuri"},{"family":"Ramalingam","given":"Suresh S."},{"family":"FLAURA Investigators","given":""}],"issued":{"date-parts":[["2018"]],"season":"11"},"PMID":"29151359"}}],"schema":"https://github.com/citation-style-language/schema/raw/master/csl-citation.json"} </w:instrText>
      </w:r>
      <w:r>
        <w:rPr>
          <w:rFonts w:ascii="Arial" w:hAnsi="Arial" w:cs="Arial"/>
          <w:color w:val="000000"/>
          <w:sz w:val="20"/>
          <w:szCs w:val="20"/>
        </w:rPr>
        <w:fldChar w:fldCharType="separate"/>
      </w:r>
      <w:r>
        <w:rPr>
          <w:rFonts w:ascii="Arial" w:hAnsi="Arial" w:cs="Arial"/>
          <w:color w:val="000000"/>
          <w:sz w:val="20"/>
          <w:szCs w:val="20"/>
        </w:rPr>
        <w:t>26)</w:t>
      </w:r>
      <w:r>
        <w:rPr>
          <w:rFonts w:ascii="Arial" w:hAnsi="Arial" w:cs="Arial"/>
          <w:color w:val="000000"/>
          <w:sz w:val="20"/>
          <w:szCs w:val="20"/>
        </w:rPr>
        <w:fldChar w:fldCharType="end"/>
      </w:r>
      <w:r>
        <w:rPr>
          <w:rFonts w:ascii="Arial" w:hAnsi="Arial" w:cs="Arial"/>
          <w:color w:val="000000"/>
          <w:sz w:val="20"/>
          <w:szCs w:val="20"/>
        </w:rPr>
        <w:t xml:space="preserve"> que evalúa osimertinib en primera línea de tratamiento en el cáncer de pulmón no microcítico con mutaciones activadoras en EGFR frente a gefitinib o erlotinib. </w:t>
      </w:r>
      <w:r>
        <w:rPr>
          <w:rFonts w:ascii="Arial" w:hAnsi="Arial" w:cs="Arial"/>
          <w:sz w:val="20"/>
          <w:szCs w:val="20"/>
        </w:rPr>
        <w:t>Con fecha 29/10/18,</w:t>
      </w:r>
      <w:r>
        <w:rPr>
          <w:rFonts w:ascii="Arial" w:hAnsi="Arial" w:cs="Arial"/>
          <w:color w:val="000000"/>
          <w:sz w:val="20"/>
          <w:szCs w:val="20"/>
        </w:rPr>
        <w:t xml:space="preserve"> se llevó a cabo una búsqueda blibliográfica en PubMed, con el objeto de identificar información complementaria, utilizando para ello la siguiente estrategia: osimertinib AND lung cáncer. Filtro “clinical trial”, no identificándose ningún ensayo clínico adicional en la indicación evaluada. </w:t>
      </w:r>
      <w:r>
        <w:rPr>
          <w:rFonts w:ascii="Arial" w:hAnsi="Arial" w:cs="Arial"/>
          <w:color w:val="000000"/>
          <w:sz w:val="20"/>
          <w:szCs w:val="20"/>
        </w:rPr>
        <w:tab/>
      </w: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49" w:name="_Toc344399634"/>
      <w:bookmarkStart w:id="50" w:name="_Toc348931361"/>
      <w:bookmarkStart w:id="51" w:name="_Toc5793745"/>
      <w:r>
        <w:rPr>
          <w:rFonts w:ascii="Arial" w:hAnsi="Arial" w:cs="Arial"/>
          <w:sz w:val="20"/>
          <w:szCs w:val="20"/>
        </w:rPr>
        <w:t>5.1.b Variables utilizadas en los ensayos</w:t>
      </w:r>
      <w:bookmarkEnd w:id="49"/>
      <w:bookmarkEnd w:id="50"/>
      <w:bookmarkEnd w:id="51"/>
      <w:r>
        <w:rPr>
          <w:rFonts w:ascii="Arial" w:hAnsi="Arial" w:cs="Arial"/>
          <w:sz w:val="20"/>
          <w:szCs w:val="20"/>
        </w:rPr>
        <w:t xml:space="preserve"> </w:t>
      </w:r>
    </w:p>
    <w:p w:rsidR="00DD1521" w:rsidRDefault="00DD1521">
      <w:pPr>
        <w:spacing w:after="0" w:line="240" w:lineRule="auto"/>
        <w:jc w:val="both"/>
        <w:rPr>
          <w:rFonts w:ascii="Arial" w:hAnsi="Arial" w:cs="Arial"/>
          <w:color w:val="000080"/>
          <w:sz w:val="20"/>
          <w:szCs w:val="20"/>
        </w:rPr>
      </w:pPr>
    </w:p>
    <w:tbl>
      <w:tblPr>
        <w:tblW w:w="9015" w:type="dxa"/>
        <w:tblInd w:w="-106" w:type="dxa"/>
        <w:tblLayout w:type="fixed"/>
        <w:tblLook w:val="00A0" w:firstRow="1" w:lastRow="0" w:firstColumn="1" w:lastColumn="0" w:noHBand="0" w:noVBand="0"/>
      </w:tblPr>
      <w:tblGrid>
        <w:gridCol w:w="1107"/>
        <w:gridCol w:w="1583"/>
        <w:gridCol w:w="5386"/>
        <w:gridCol w:w="939"/>
      </w:tblGrid>
      <w:tr w:rsidR="00DD1521">
        <w:trPr>
          <w:cantSplit/>
        </w:trPr>
        <w:tc>
          <w:tcPr>
            <w:tcW w:w="9015" w:type="dxa"/>
            <w:gridSpan w:val="4"/>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tabs>
                <w:tab w:val="left" w:pos="2924"/>
              </w:tabs>
              <w:autoSpaceDE w:val="0"/>
              <w:spacing w:after="0" w:line="240" w:lineRule="auto"/>
              <w:ind w:left="34" w:hanging="34"/>
            </w:pPr>
            <w:r>
              <w:rPr>
                <w:rFonts w:ascii="Arial" w:hAnsi="Arial" w:cs="Arial"/>
                <w:b/>
                <w:bCs/>
                <w:color w:val="000000"/>
                <w:sz w:val="18"/>
                <w:szCs w:val="18"/>
              </w:rPr>
              <w:t>Tabla 6. Variables de eficacia empleadas en los ensayos pivotales.</w:t>
            </w:r>
          </w:p>
        </w:tc>
      </w:tr>
      <w:tr w:rsidR="00DD1521">
        <w:trPr>
          <w:cantSplit/>
        </w:trPr>
        <w:tc>
          <w:tcPr>
            <w:tcW w:w="1107" w:type="dxa"/>
            <w:tcBorders>
              <w:top w:val="single" w:sz="4" w:space="0" w:color="000000"/>
              <w:left w:val="single" w:sz="4" w:space="0" w:color="000000"/>
              <w:bottom w:val="single" w:sz="4" w:space="0" w:color="000000"/>
            </w:tcBorders>
            <w:shd w:val="clear" w:color="auto" w:fill="D9D9D9"/>
          </w:tcPr>
          <w:p w:rsidR="00DD1521" w:rsidRDefault="00DD1521">
            <w:pPr>
              <w:autoSpaceDE w:val="0"/>
              <w:spacing w:after="0" w:line="240" w:lineRule="auto"/>
            </w:pPr>
            <w:r>
              <w:rPr>
                <w:rFonts w:ascii="Arial" w:hAnsi="Arial" w:cs="Arial"/>
                <w:color w:val="000000"/>
                <w:sz w:val="16"/>
                <w:szCs w:val="16"/>
              </w:rPr>
              <w:t xml:space="preserve">Estudios </w:t>
            </w:r>
            <w:r>
              <w:rPr>
                <w:rFonts w:ascii="Arial" w:hAnsi="Arial" w:cs="Arial"/>
                <w:b/>
                <w:bCs/>
                <w:color w:val="000000"/>
                <w:sz w:val="16"/>
                <w:szCs w:val="16"/>
              </w:rPr>
              <w:t>AURA 3 y FLAURA</w:t>
            </w:r>
          </w:p>
        </w:tc>
        <w:tc>
          <w:tcPr>
            <w:tcW w:w="1583" w:type="dxa"/>
            <w:tcBorders>
              <w:top w:val="single" w:sz="4" w:space="0" w:color="000000"/>
              <w:left w:val="single" w:sz="4" w:space="0" w:color="000000"/>
              <w:bottom w:val="single" w:sz="4" w:space="0" w:color="000000"/>
            </w:tcBorders>
            <w:shd w:val="clear" w:color="auto" w:fill="D9D9D9"/>
          </w:tcPr>
          <w:p w:rsidR="00DD1521" w:rsidRDefault="00DD1521">
            <w:pPr>
              <w:autoSpaceDE w:val="0"/>
              <w:spacing w:after="0" w:line="240" w:lineRule="auto"/>
            </w:pPr>
            <w:r>
              <w:rPr>
                <w:rFonts w:ascii="Arial" w:hAnsi="Arial" w:cs="Arial"/>
                <w:color w:val="000000"/>
                <w:sz w:val="16"/>
                <w:szCs w:val="16"/>
              </w:rPr>
              <w:t>Enunciado</w:t>
            </w:r>
          </w:p>
        </w:tc>
        <w:tc>
          <w:tcPr>
            <w:tcW w:w="5386" w:type="dxa"/>
            <w:tcBorders>
              <w:top w:val="single" w:sz="4" w:space="0" w:color="000000"/>
              <w:left w:val="single" w:sz="4" w:space="0" w:color="000000"/>
              <w:bottom w:val="single" w:sz="4" w:space="0" w:color="000000"/>
            </w:tcBorders>
            <w:shd w:val="clear" w:color="auto" w:fill="D9D9D9"/>
          </w:tcPr>
          <w:p w:rsidR="00DD1521" w:rsidRDefault="00DD1521">
            <w:pPr>
              <w:autoSpaceDE w:val="0"/>
              <w:spacing w:after="0" w:line="240" w:lineRule="auto"/>
            </w:pPr>
            <w:r>
              <w:rPr>
                <w:rFonts w:ascii="Arial" w:hAnsi="Arial" w:cs="Arial"/>
                <w:color w:val="000000"/>
                <w:sz w:val="16"/>
                <w:szCs w:val="16"/>
              </w:rPr>
              <w:t>Descripción</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tabs>
                <w:tab w:val="left" w:pos="2924"/>
              </w:tabs>
              <w:autoSpaceDE w:val="0"/>
              <w:spacing w:after="0" w:line="240" w:lineRule="auto"/>
              <w:ind w:right="-177" w:hanging="34"/>
            </w:pPr>
            <w:r>
              <w:rPr>
                <w:rFonts w:ascii="Arial" w:hAnsi="Arial" w:cs="Arial"/>
                <w:color w:val="000000"/>
                <w:sz w:val="16"/>
                <w:szCs w:val="16"/>
              </w:rPr>
              <w:t>Tipo de variable</w:t>
            </w:r>
          </w:p>
        </w:tc>
      </w:tr>
      <w:tr w:rsidR="00DD1521">
        <w:trPr>
          <w:cantSplit/>
        </w:trPr>
        <w:tc>
          <w:tcPr>
            <w:tcW w:w="1107"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Variable primaria</w:t>
            </w:r>
          </w:p>
        </w:tc>
        <w:tc>
          <w:tcPr>
            <w:tcW w:w="1583" w:type="dxa"/>
            <w:tcBorders>
              <w:top w:val="single" w:sz="4" w:space="0" w:color="000000"/>
              <w:left w:val="single" w:sz="4" w:space="0" w:color="000000"/>
              <w:bottom w:val="single" w:sz="4" w:space="0" w:color="000000"/>
            </w:tcBorders>
          </w:tcPr>
          <w:p w:rsidR="00DD1521" w:rsidRDefault="00DD1521">
            <w:pPr>
              <w:autoSpaceDE w:val="0"/>
              <w:spacing w:after="0" w:line="240" w:lineRule="auto"/>
            </w:pPr>
            <w:r>
              <w:rPr>
                <w:rFonts w:ascii="Arial" w:hAnsi="Arial" w:cs="Arial"/>
                <w:color w:val="000000"/>
                <w:sz w:val="16"/>
                <w:szCs w:val="16"/>
              </w:rPr>
              <w:t>SLP</w:t>
            </w:r>
          </w:p>
        </w:tc>
        <w:tc>
          <w:tcPr>
            <w:tcW w:w="5386"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Intervalo de tiempo entre la aleatorización y la progresión o muerte, independientemente de que el paciente hubiese abandonado la terapia o recibido otra terapia antineoplásica antes de la progresión.</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tabs>
                <w:tab w:val="left" w:pos="2924"/>
              </w:tabs>
              <w:autoSpaceDE w:val="0"/>
              <w:spacing w:after="0" w:line="240" w:lineRule="auto"/>
              <w:ind w:right="-177"/>
              <w:jc w:val="both"/>
            </w:pPr>
            <w:r>
              <w:rPr>
                <w:rFonts w:ascii="Arial" w:hAnsi="Arial" w:cs="Arial"/>
                <w:color w:val="000000"/>
                <w:sz w:val="16"/>
                <w:szCs w:val="16"/>
              </w:rPr>
              <w:t>Intermedia</w:t>
            </w:r>
          </w:p>
        </w:tc>
      </w:tr>
      <w:tr w:rsidR="00DD1521">
        <w:trPr>
          <w:cantSplit/>
        </w:trPr>
        <w:tc>
          <w:tcPr>
            <w:tcW w:w="1107"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Variable secundaria</w:t>
            </w:r>
          </w:p>
        </w:tc>
        <w:tc>
          <w:tcPr>
            <w:tcW w:w="1583" w:type="dxa"/>
            <w:tcBorders>
              <w:top w:val="single" w:sz="4" w:space="0" w:color="000000"/>
              <w:left w:val="single" w:sz="4" w:space="0" w:color="000000"/>
              <w:bottom w:val="single" w:sz="4" w:space="0" w:color="000000"/>
            </w:tcBorders>
          </w:tcPr>
          <w:p w:rsidR="00DD1521" w:rsidRDefault="00DD1521">
            <w:pPr>
              <w:autoSpaceDE w:val="0"/>
              <w:spacing w:after="0" w:line="240" w:lineRule="auto"/>
            </w:pPr>
            <w:r>
              <w:rPr>
                <w:rFonts w:ascii="Arial" w:hAnsi="Arial" w:cs="Arial"/>
                <w:color w:val="000000"/>
                <w:sz w:val="16"/>
                <w:szCs w:val="16"/>
              </w:rPr>
              <w:t>Tasa de respuesta objetiva (TRO)</w:t>
            </w:r>
          </w:p>
        </w:tc>
        <w:tc>
          <w:tcPr>
            <w:tcW w:w="5386"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Proporción de pacientes con respuesta completa o parcial al tratamiento, determinada por el investigador, según criterios RECIST 1.1</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tabs>
                <w:tab w:val="left" w:pos="2924"/>
              </w:tabs>
              <w:autoSpaceDE w:val="0"/>
              <w:spacing w:after="0" w:line="240" w:lineRule="auto"/>
              <w:ind w:right="-177"/>
              <w:jc w:val="both"/>
            </w:pPr>
            <w:r>
              <w:rPr>
                <w:rFonts w:ascii="Arial" w:hAnsi="Arial" w:cs="Arial"/>
                <w:color w:val="000000"/>
                <w:sz w:val="16"/>
                <w:szCs w:val="16"/>
              </w:rPr>
              <w:t>Intermedia</w:t>
            </w:r>
          </w:p>
        </w:tc>
      </w:tr>
      <w:tr w:rsidR="00DD1521">
        <w:trPr>
          <w:cantSplit/>
        </w:trPr>
        <w:tc>
          <w:tcPr>
            <w:tcW w:w="1107"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Variable secundaria</w:t>
            </w:r>
          </w:p>
        </w:tc>
        <w:tc>
          <w:tcPr>
            <w:tcW w:w="1583" w:type="dxa"/>
            <w:tcBorders>
              <w:top w:val="single" w:sz="4" w:space="0" w:color="000000"/>
              <w:left w:val="single" w:sz="4" w:space="0" w:color="000000"/>
              <w:bottom w:val="single" w:sz="4" w:space="0" w:color="000000"/>
            </w:tcBorders>
          </w:tcPr>
          <w:p w:rsidR="00DD1521" w:rsidRDefault="00DD1521">
            <w:pPr>
              <w:autoSpaceDE w:val="0"/>
              <w:spacing w:after="0" w:line="240" w:lineRule="auto"/>
            </w:pPr>
            <w:r>
              <w:rPr>
                <w:rFonts w:ascii="Arial" w:hAnsi="Arial" w:cs="Arial"/>
                <w:color w:val="000000"/>
                <w:sz w:val="16"/>
                <w:szCs w:val="16"/>
              </w:rPr>
              <w:t>Duración de la respuesta (DRO)</w:t>
            </w:r>
          </w:p>
        </w:tc>
        <w:tc>
          <w:tcPr>
            <w:tcW w:w="5386"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Intervalo de tiempo entre la primera respuesta documentada  y el primer evento documentado de progresión de la enfermedad o muerte</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tabs>
                <w:tab w:val="left" w:pos="2924"/>
              </w:tabs>
              <w:autoSpaceDE w:val="0"/>
              <w:spacing w:after="0" w:line="240" w:lineRule="auto"/>
              <w:ind w:right="-177"/>
              <w:jc w:val="both"/>
            </w:pPr>
            <w:r>
              <w:rPr>
                <w:rFonts w:ascii="Arial" w:hAnsi="Arial" w:cs="Arial"/>
                <w:color w:val="000000"/>
                <w:sz w:val="16"/>
                <w:szCs w:val="16"/>
              </w:rPr>
              <w:t>Intermedia</w:t>
            </w:r>
          </w:p>
        </w:tc>
      </w:tr>
      <w:tr w:rsidR="00DD1521">
        <w:trPr>
          <w:cantSplit/>
        </w:trPr>
        <w:tc>
          <w:tcPr>
            <w:tcW w:w="1107"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Variable secundaria</w:t>
            </w:r>
          </w:p>
        </w:tc>
        <w:tc>
          <w:tcPr>
            <w:tcW w:w="1583" w:type="dxa"/>
            <w:tcBorders>
              <w:top w:val="single" w:sz="4" w:space="0" w:color="000000"/>
              <w:left w:val="single" w:sz="4" w:space="0" w:color="000000"/>
              <w:bottom w:val="single" w:sz="4" w:space="0" w:color="000000"/>
            </w:tcBorders>
          </w:tcPr>
          <w:p w:rsidR="00DD1521" w:rsidRDefault="00DD1521">
            <w:pPr>
              <w:autoSpaceDE w:val="0"/>
              <w:spacing w:after="0" w:line="240" w:lineRule="auto"/>
            </w:pPr>
            <w:r>
              <w:rPr>
                <w:rFonts w:ascii="Arial" w:hAnsi="Arial" w:cs="Arial"/>
                <w:color w:val="000000"/>
                <w:sz w:val="16"/>
                <w:szCs w:val="16"/>
              </w:rPr>
              <w:t xml:space="preserve">Tasa de control de la enfermedad </w:t>
            </w:r>
          </w:p>
        </w:tc>
        <w:tc>
          <w:tcPr>
            <w:tcW w:w="5386"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Proporción de pacientes con respuesta completa, respuesta parcial o enfermedad estable ≥ 6 semanas.</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tabs>
                <w:tab w:val="left" w:pos="2924"/>
              </w:tabs>
              <w:autoSpaceDE w:val="0"/>
              <w:spacing w:after="0" w:line="240" w:lineRule="auto"/>
              <w:ind w:right="-177"/>
              <w:jc w:val="both"/>
            </w:pPr>
            <w:r>
              <w:rPr>
                <w:rFonts w:ascii="Arial" w:hAnsi="Arial" w:cs="Arial"/>
                <w:color w:val="000000"/>
                <w:sz w:val="16"/>
                <w:szCs w:val="16"/>
              </w:rPr>
              <w:t>Intermedia</w:t>
            </w:r>
          </w:p>
        </w:tc>
      </w:tr>
      <w:tr w:rsidR="00DD1521">
        <w:trPr>
          <w:cantSplit/>
        </w:trPr>
        <w:tc>
          <w:tcPr>
            <w:tcW w:w="1107"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rPr>
                <w:rFonts w:ascii="Arial" w:hAnsi="Arial" w:cs="Arial"/>
                <w:color w:val="000000"/>
                <w:sz w:val="16"/>
                <w:szCs w:val="16"/>
              </w:rPr>
            </w:pPr>
            <w:r>
              <w:rPr>
                <w:rFonts w:ascii="Arial" w:hAnsi="Arial" w:cs="Arial"/>
                <w:color w:val="000000"/>
                <w:sz w:val="16"/>
                <w:szCs w:val="16"/>
              </w:rPr>
              <w:t>Variable secundaria</w:t>
            </w:r>
          </w:p>
        </w:tc>
        <w:tc>
          <w:tcPr>
            <w:tcW w:w="1583" w:type="dxa"/>
            <w:tcBorders>
              <w:top w:val="single" w:sz="4" w:space="0" w:color="000000"/>
              <w:left w:val="single" w:sz="4" w:space="0" w:color="000000"/>
              <w:bottom w:val="single" w:sz="4" w:space="0" w:color="000000"/>
            </w:tcBorders>
          </w:tcPr>
          <w:p w:rsidR="00DD1521" w:rsidRDefault="00DD1521">
            <w:pPr>
              <w:autoSpaceDE w:val="0"/>
              <w:spacing w:after="0" w:line="240" w:lineRule="auto"/>
              <w:rPr>
                <w:rFonts w:ascii="Arial" w:hAnsi="Arial" w:cs="Arial"/>
                <w:color w:val="000000"/>
                <w:sz w:val="16"/>
                <w:szCs w:val="16"/>
              </w:rPr>
            </w:pPr>
            <w:r>
              <w:rPr>
                <w:rFonts w:ascii="Arial" w:hAnsi="Arial" w:cs="Arial"/>
                <w:color w:val="000000"/>
                <w:sz w:val="16"/>
                <w:szCs w:val="16"/>
              </w:rPr>
              <w:t>Tumor shrinkage</w:t>
            </w:r>
          </w:p>
        </w:tc>
        <w:tc>
          <w:tcPr>
            <w:tcW w:w="5386"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rPr>
                <w:rFonts w:ascii="Arial" w:hAnsi="Arial" w:cs="Arial"/>
                <w:color w:val="000000"/>
                <w:sz w:val="16"/>
                <w:szCs w:val="16"/>
              </w:rPr>
            </w:pPr>
            <w:r>
              <w:rPr>
                <w:rFonts w:ascii="Arial" w:hAnsi="Arial" w:cs="Arial"/>
                <w:color w:val="000000"/>
                <w:sz w:val="16"/>
                <w:szCs w:val="16"/>
              </w:rPr>
              <w:t>Cambio absoluto y cambio porcentual desde el inicio en la suma del tamaño del tumor en cada evaluación.</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tabs>
                <w:tab w:val="left" w:pos="2924"/>
              </w:tabs>
              <w:autoSpaceDE w:val="0"/>
              <w:spacing w:after="0" w:line="240" w:lineRule="auto"/>
              <w:ind w:right="-177"/>
              <w:jc w:val="both"/>
              <w:rPr>
                <w:rFonts w:ascii="Arial" w:hAnsi="Arial" w:cs="Arial"/>
                <w:color w:val="000000"/>
                <w:sz w:val="16"/>
                <w:szCs w:val="16"/>
              </w:rPr>
            </w:pPr>
            <w:r>
              <w:rPr>
                <w:rFonts w:ascii="Arial" w:hAnsi="Arial" w:cs="Arial"/>
                <w:color w:val="000000"/>
                <w:sz w:val="16"/>
                <w:szCs w:val="16"/>
              </w:rPr>
              <w:t>Intermedia</w:t>
            </w:r>
          </w:p>
        </w:tc>
      </w:tr>
      <w:tr w:rsidR="00DD1521">
        <w:trPr>
          <w:cantSplit/>
        </w:trPr>
        <w:tc>
          <w:tcPr>
            <w:tcW w:w="1107"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rPr>
                <w:rFonts w:ascii="Arial" w:hAnsi="Arial" w:cs="Arial"/>
                <w:color w:val="000000"/>
                <w:sz w:val="16"/>
                <w:szCs w:val="16"/>
              </w:rPr>
            </w:pPr>
            <w:r>
              <w:rPr>
                <w:rFonts w:ascii="Arial" w:hAnsi="Arial" w:cs="Arial"/>
                <w:color w:val="000000"/>
                <w:sz w:val="16"/>
                <w:szCs w:val="16"/>
              </w:rPr>
              <w:t>Variable secundaria</w:t>
            </w:r>
          </w:p>
        </w:tc>
        <w:tc>
          <w:tcPr>
            <w:tcW w:w="1583" w:type="dxa"/>
            <w:tcBorders>
              <w:top w:val="single" w:sz="4" w:space="0" w:color="000000"/>
              <w:left w:val="single" w:sz="4" w:space="0" w:color="000000"/>
              <w:bottom w:val="single" w:sz="4" w:space="0" w:color="000000"/>
            </w:tcBorders>
          </w:tcPr>
          <w:p w:rsidR="00DD1521" w:rsidRDefault="00DD1521">
            <w:pPr>
              <w:autoSpaceDE w:val="0"/>
              <w:spacing w:after="0" w:line="240" w:lineRule="auto"/>
              <w:rPr>
                <w:rFonts w:ascii="Arial" w:hAnsi="Arial" w:cs="Arial"/>
                <w:color w:val="000000"/>
                <w:sz w:val="16"/>
                <w:szCs w:val="16"/>
              </w:rPr>
            </w:pPr>
            <w:r>
              <w:rPr>
                <w:rFonts w:ascii="Arial" w:hAnsi="Arial" w:cs="Arial"/>
                <w:color w:val="000000"/>
                <w:sz w:val="16"/>
                <w:szCs w:val="16"/>
              </w:rPr>
              <w:t xml:space="preserve">Resultados informados por el paciente </w:t>
            </w:r>
          </w:p>
        </w:tc>
        <w:tc>
          <w:tcPr>
            <w:tcW w:w="5386"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rPr>
                <w:rFonts w:ascii="Arial" w:hAnsi="Arial" w:cs="Arial"/>
                <w:color w:val="000000"/>
                <w:sz w:val="16"/>
                <w:szCs w:val="16"/>
              </w:rPr>
            </w:pPr>
            <w:r>
              <w:rPr>
                <w:rFonts w:ascii="Arial" w:hAnsi="Arial" w:cs="Arial"/>
                <w:color w:val="000000"/>
                <w:sz w:val="16"/>
                <w:szCs w:val="16"/>
              </w:rPr>
              <w:t>Resultados informados por los pacientes mediante el cuestionario de calidad de vida EORTC QLQ-C30 y el específico para Cáncer de Pulmón EORTC QLQ LC13</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tabs>
                <w:tab w:val="left" w:pos="2924"/>
              </w:tabs>
              <w:autoSpaceDE w:val="0"/>
              <w:spacing w:after="0" w:line="240" w:lineRule="auto"/>
              <w:ind w:right="-177"/>
              <w:jc w:val="both"/>
              <w:rPr>
                <w:rFonts w:ascii="Arial" w:hAnsi="Arial" w:cs="Arial"/>
                <w:color w:val="000000"/>
                <w:sz w:val="16"/>
                <w:szCs w:val="16"/>
              </w:rPr>
            </w:pPr>
            <w:r>
              <w:rPr>
                <w:rFonts w:ascii="Arial" w:hAnsi="Arial" w:cs="Arial"/>
                <w:color w:val="000000"/>
                <w:sz w:val="16"/>
                <w:szCs w:val="16"/>
              </w:rPr>
              <w:t>Intermedia</w:t>
            </w:r>
          </w:p>
        </w:tc>
      </w:tr>
      <w:tr w:rsidR="00DD1521">
        <w:trPr>
          <w:cantSplit/>
        </w:trPr>
        <w:tc>
          <w:tcPr>
            <w:tcW w:w="1107"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rPr>
                <w:rFonts w:ascii="Arial" w:hAnsi="Arial" w:cs="Arial"/>
                <w:color w:val="000000"/>
                <w:sz w:val="16"/>
                <w:szCs w:val="16"/>
              </w:rPr>
            </w:pPr>
            <w:r>
              <w:rPr>
                <w:rFonts w:ascii="Arial" w:hAnsi="Arial" w:cs="Arial"/>
                <w:color w:val="000000"/>
                <w:sz w:val="16"/>
                <w:szCs w:val="16"/>
              </w:rPr>
              <w:t>Variable secundaria</w:t>
            </w:r>
          </w:p>
        </w:tc>
        <w:tc>
          <w:tcPr>
            <w:tcW w:w="1583" w:type="dxa"/>
            <w:tcBorders>
              <w:top w:val="single" w:sz="4" w:space="0" w:color="000000"/>
              <w:left w:val="single" w:sz="4" w:space="0" w:color="000000"/>
              <w:bottom w:val="single" w:sz="4" w:space="0" w:color="000000"/>
            </w:tcBorders>
          </w:tcPr>
          <w:p w:rsidR="00DD1521" w:rsidRDefault="00DD1521">
            <w:pPr>
              <w:autoSpaceDE w:val="0"/>
              <w:spacing w:after="0" w:line="240" w:lineRule="auto"/>
              <w:rPr>
                <w:rFonts w:ascii="Arial" w:hAnsi="Arial" w:cs="Arial"/>
                <w:color w:val="000000"/>
                <w:sz w:val="16"/>
                <w:szCs w:val="16"/>
              </w:rPr>
            </w:pPr>
            <w:r>
              <w:rPr>
                <w:rFonts w:ascii="Arial" w:hAnsi="Arial" w:cs="Arial"/>
                <w:color w:val="000000"/>
                <w:sz w:val="16"/>
                <w:szCs w:val="16"/>
              </w:rPr>
              <w:t>Perfil de efectos adversos</w:t>
            </w:r>
          </w:p>
        </w:tc>
        <w:tc>
          <w:tcPr>
            <w:tcW w:w="5386"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rPr>
                <w:rFonts w:ascii="Arial" w:hAnsi="Arial" w:cs="Arial"/>
                <w:color w:val="000000"/>
                <w:sz w:val="16"/>
                <w:szCs w:val="16"/>
              </w:rPr>
            </w:pPr>
            <w:r>
              <w:rPr>
                <w:rFonts w:ascii="Arial" w:hAnsi="Arial" w:cs="Arial"/>
                <w:color w:val="000000"/>
                <w:sz w:val="16"/>
                <w:szCs w:val="16"/>
              </w:rPr>
              <w:t>Los eventos adversos (calificados de acuerdo con los Criterios de terminología común del Instituto Nacional del Cáncer para eventos adversos [versión 4.0]) se monitorizaron continuamente a lo largo del período de tratamiento y durante el período de seguimiento de 28 días.</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tabs>
                <w:tab w:val="left" w:pos="2924"/>
              </w:tabs>
              <w:autoSpaceDE w:val="0"/>
              <w:spacing w:after="0" w:line="240" w:lineRule="auto"/>
              <w:ind w:right="-177"/>
              <w:jc w:val="both"/>
              <w:rPr>
                <w:rFonts w:ascii="Arial" w:hAnsi="Arial" w:cs="Arial"/>
                <w:color w:val="000000"/>
                <w:sz w:val="16"/>
                <w:szCs w:val="16"/>
              </w:rPr>
            </w:pPr>
            <w:r>
              <w:rPr>
                <w:rFonts w:ascii="Arial" w:hAnsi="Arial" w:cs="Arial"/>
                <w:color w:val="000000"/>
                <w:sz w:val="16"/>
                <w:szCs w:val="16"/>
              </w:rPr>
              <w:t>Final</w:t>
            </w:r>
          </w:p>
        </w:tc>
      </w:tr>
      <w:tr w:rsidR="00DD1521">
        <w:trPr>
          <w:cantSplit/>
        </w:trPr>
        <w:tc>
          <w:tcPr>
            <w:tcW w:w="1107"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Variable secundaria</w:t>
            </w:r>
          </w:p>
        </w:tc>
        <w:tc>
          <w:tcPr>
            <w:tcW w:w="1583" w:type="dxa"/>
            <w:tcBorders>
              <w:top w:val="single" w:sz="4" w:space="0" w:color="000000"/>
              <w:left w:val="single" w:sz="4" w:space="0" w:color="000000"/>
              <w:bottom w:val="single" w:sz="4" w:space="0" w:color="000000"/>
            </w:tcBorders>
          </w:tcPr>
          <w:p w:rsidR="00DD1521" w:rsidRDefault="00DD1521">
            <w:pPr>
              <w:autoSpaceDE w:val="0"/>
              <w:spacing w:after="0" w:line="240" w:lineRule="auto"/>
            </w:pPr>
            <w:r>
              <w:rPr>
                <w:rFonts w:ascii="Arial" w:hAnsi="Arial" w:cs="Arial"/>
                <w:color w:val="000000"/>
                <w:sz w:val="16"/>
                <w:szCs w:val="16"/>
              </w:rPr>
              <w:t>Supervivencia global (SG)</w:t>
            </w:r>
          </w:p>
        </w:tc>
        <w:tc>
          <w:tcPr>
            <w:tcW w:w="5386" w:type="dxa"/>
            <w:tcBorders>
              <w:top w:val="single" w:sz="4" w:space="0" w:color="000000"/>
              <w:left w:val="single" w:sz="4" w:space="0" w:color="000000"/>
              <w:bottom w:val="single" w:sz="4" w:space="0" w:color="000000"/>
            </w:tcBorders>
          </w:tcPr>
          <w:p w:rsidR="00DD1521" w:rsidRDefault="00DD1521">
            <w:pPr>
              <w:autoSpaceDE w:val="0"/>
              <w:spacing w:after="0" w:line="240" w:lineRule="auto"/>
              <w:jc w:val="both"/>
            </w:pPr>
            <w:r>
              <w:rPr>
                <w:rFonts w:ascii="Arial" w:hAnsi="Arial" w:cs="Arial"/>
                <w:color w:val="000000"/>
                <w:sz w:val="16"/>
                <w:szCs w:val="16"/>
              </w:rPr>
              <w:t>Intervalo de tiempo comprendido entre la aleatorización y la fecha de muerte por cualquier causa.</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tabs>
                <w:tab w:val="left" w:pos="2924"/>
              </w:tabs>
              <w:autoSpaceDE w:val="0"/>
              <w:spacing w:after="0" w:line="240" w:lineRule="auto"/>
              <w:ind w:right="-177"/>
              <w:jc w:val="both"/>
            </w:pPr>
            <w:r>
              <w:rPr>
                <w:rFonts w:ascii="Arial" w:hAnsi="Arial" w:cs="Arial"/>
                <w:color w:val="000000"/>
                <w:sz w:val="16"/>
                <w:szCs w:val="16"/>
              </w:rPr>
              <w:t>Final</w:t>
            </w:r>
          </w:p>
        </w:tc>
      </w:tr>
      <w:tr w:rsidR="00DD1521">
        <w:trPr>
          <w:cantSplit/>
        </w:trPr>
        <w:tc>
          <w:tcPr>
            <w:tcW w:w="1107" w:type="dxa"/>
            <w:vMerge w:val="restart"/>
            <w:tcBorders>
              <w:top w:val="single" w:sz="4" w:space="0" w:color="000000"/>
              <w:left w:val="single" w:sz="4" w:space="0" w:color="000000"/>
            </w:tcBorders>
          </w:tcPr>
          <w:p w:rsidR="00DD1521" w:rsidRDefault="00DD1521">
            <w:pPr>
              <w:pStyle w:val="NormalWeb"/>
              <w:spacing w:before="0" w:beforeAutospacing="0" w:after="0" w:afterAutospacing="0" w:line="240" w:lineRule="auto"/>
              <w:jc w:val="both"/>
              <w:rPr>
                <w:rFonts w:ascii="Arial" w:hAnsi="Arial" w:cs="Arial"/>
                <w:color w:val="000000"/>
                <w:sz w:val="16"/>
                <w:szCs w:val="16"/>
              </w:rPr>
            </w:pPr>
            <w:r>
              <w:rPr>
                <w:rFonts w:ascii="Arial" w:hAnsi="Arial" w:cs="Arial"/>
                <w:color w:val="000000"/>
                <w:sz w:val="16"/>
                <w:szCs w:val="16"/>
              </w:rPr>
              <w:t xml:space="preserve">Solo estudio </w:t>
            </w:r>
            <w:r>
              <w:rPr>
                <w:rFonts w:ascii="Arial" w:hAnsi="Arial" w:cs="Arial"/>
                <w:b/>
                <w:bCs/>
                <w:color w:val="000000"/>
                <w:sz w:val="16"/>
                <w:szCs w:val="16"/>
              </w:rPr>
              <w:t>FLAURA</w:t>
            </w:r>
            <w:r>
              <w:rPr>
                <w:rFonts w:ascii="Arial" w:hAnsi="Arial" w:cs="Arial"/>
                <w:color w:val="000000"/>
                <w:sz w:val="16"/>
                <w:szCs w:val="16"/>
              </w:rPr>
              <w:t xml:space="preserve"> </w:t>
            </w:r>
          </w:p>
          <w:p w:rsidR="00DD1521" w:rsidRDefault="00DD1521">
            <w:pPr>
              <w:pStyle w:val="NormalWeb"/>
              <w:spacing w:before="0" w:beforeAutospacing="0" w:after="0" w:afterAutospacing="0" w:line="240" w:lineRule="auto"/>
              <w:jc w:val="both"/>
              <w:rPr>
                <w:rFonts w:ascii="Arial" w:hAnsi="Arial" w:cs="Arial"/>
                <w:color w:val="000000"/>
                <w:sz w:val="16"/>
                <w:szCs w:val="16"/>
              </w:rPr>
            </w:pPr>
          </w:p>
          <w:p w:rsidR="00DD1521" w:rsidRDefault="00DD1521">
            <w:pPr>
              <w:pStyle w:val="NormalWeb"/>
              <w:spacing w:before="0" w:beforeAutospacing="0" w:after="0" w:afterAutospacing="0" w:line="240" w:lineRule="auto"/>
              <w:jc w:val="both"/>
              <w:rPr>
                <w:rFonts w:ascii="Arial" w:hAnsi="Arial" w:cs="Arial"/>
                <w:color w:val="000000"/>
                <w:sz w:val="16"/>
                <w:szCs w:val="16"/>
              </w:rPr>
            </w:pPr>
            <w:r>
              <w:rPr>
                <w:rFonts w:ascii="Arial" w:hAnsi="Arial" w:cs="Arial"/>
                <w:color w:val="000000"/>
                <w:sz w:val="16"/>
                <w:szCs w:val="16"/>
              </w:rPr>
              <w:t>Variable secundaria</w:t>
            </w:r>
          </w:p>
        </w:tc>
        <w:tc>
          <w:tcPr>
            <w:tcW w:w="1583" w:type="dxa"/>
            <w:vMerge w:val="restart"/>
            <w:tcBorders>
              <w:top w:val="single" w:sz="4" w:space="0" w:color="000000"/>
              <w:left w:val="single" w:sz="4" w:space="0" w:color="000000"/>
            </w:tcBorders>
          </w:tcPr>
          <w:p w:rsidR="00DD1521" w:rsidRDefault="00DD1521">
            <w:pPr>
              <w:pStyle w:val="NormalWeb"/>
              <w:spacing w:before="0" w:beforeAutospacing="0" w:after="0" w:afterAutospacing="0" w:line="240" w:lineRule="auto"/>
            </w:pPr>
            <w:r>
              <w:rPr>
                <w:rFonts w:ascii="Arial" w:hAnsi="Arial" w:cs="Arial"/>
                <w:color w:val="000000"/>
                <w:sz w:val="16"/>
                <w:szCs w:val="16"/>
              </w:rPr>
              <w:t>Análisis de eficacia en función de la presencia o ausencia de metástasis a nivel de Sistema Nervioso Central al inicio del estudio</w:t>
            </w:r>
          </w:p>
        </w:tc>
        <w:tc>
          <w:tcPr>
            <w:tcW w:w="5386" w:type="dxa"/>
            <w:tcBorders>
              <w:top w:val="single" w:sz="4" w:space="0" w:color="000000"/>
              <w:left w:val="single" w:sz="4" w:space="0" w:color="000000"/>
              <w:bottom w:val="single" w:sz="4" w:space="0" w:color="000000"/>
            </w:tcBorders>
          </w:tcPr>
          <w:p w:rsidR="00DD1521" w:rsidRDefault="00DD1521">
            <w:pPr>
              <w:pStyle w:val="NormalWeb"/>
              <w:spacing w:before="0" w:beforeAutospacing="0" w:after="0" w:afterAutospacing="0" w:line="240" w:lineRule="auto"/>
              <w:jc w:val="both"/>
            </w:pPr>
            <w:r>
              <w:rPr>
                <w:rFonts w:ascii="Arial" w:hAnsi="Arial" w:cs="Arial"/>
                <w:color w:val="000000"/>
                <w:sz w:val="16"/>
                <w:szCs w:val="16"/>
              </w:rPr>
              <w:t>SLP evaluada por el investigador en presencia o ausencia de metástasis a nivel de Sistema Nervioso central al inicio del estudio</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pStyle w:val="NormalWeb"/>
              <w:spacing w:before="0" w:beforeAutospacing="0" w:after="0" w:afterAutospacing="0" w:line="240" w:lineRule="auto"/>
              <w:ind w:right="-177"/>
              <w:jc w:val="both"/>
            </w:pPr>
            <w:r>
              <w:rPr>
                <w:rFonts w:ascii="Arial" w:hAnsi="Arial" w:cs="Arial"/>
                <w:color w:val="000000"/>
                <w:sz w:val="16"/>
                <w:szCs w:val="16"/>
              </w:rPr>
              <w:t>Intermedia</w:t>
            </w:r>
          </w:p>
        </w:tc>
      </w:tr>
      <w:tr w:rsidR="00DD1521">
        <w:trPr>
          <w:cantSplit/>
        </w:trPr>
        <w:tc>
          <w:tcPr>
            <w:tcW w:w="1107" w:type="dxa"/>
            <w:vMerge/>
            <w:tcBorders>
              <w:left w:val="single" w:sz="4" w:space="0" w:color="000000"/>
            </w:tcBorders>
          </w:tcPr>
          <w:p w:rsidR="00DD1521" w:rsidRDefault="00DD1521">
            <w:pPr>
              <w:pStyle w:val="NormalWeb"/>
              <w:spacing w:before="0" w:beforeAutospacing="0" w:after="0" w:afterAutospacing="0" w:line="240" w:lineRule="auto"/>
              <w:jc w:val="both"/>
              <w:rPr>
                <w:rFonts w:ascii="Arial" w:hAnsi="Arial" w:cs="Arial"/>
                <w:color w:val="000000"/>
                <w:sz w:val="16"/>
                <w:szCs w:val="16"/>
              </w:rPr>
            </w:pPr>
          </w:p>
        </w:tc>
        <w:tc>
          <w:tcPr>
            <w:tcW w:w="1583" w:type="dxa"/>
            <w:vMerge/>
            <w:tcBorders>
              <w:left w:val="single" w:sz="4" w:space="0" w:color="000000"/>
            </w:tcBorders>
          </w:tcPr>
          <w:p w:rsidR="00DD1521" w:rsidRDefault="00DD1521">
            <w:pPr>
              <w:pStyle w:val="NormalWeb"/>
              <w:spacing w:before="0" w:beforeAutospacing="0" w:after="0" w:afterAutospacing="0" w:line="240" w:lineRule="auto"/>
            </w:pPr>
          </w:p>
        </w:tc>
        <w:tc>
          <w:tcPr>
            <w:tcW w:w="5386" w:type="dxa"/>
            <w:tcBorders>
              <w:top w:val="single" w:sz="4" w:space="0" w:color="000000"/>
              <w:left w:val="single" w:sz="4" w:space="0" w:color="000000"/>
              <w:bottom w:val="single" w:sz="4" w:space="0" w:color="000000"/>
            </w:tcBorders>
          </w:tcPr>
          <w:p w:rsidR="00DD1521" w:rsidRDefault="00DD1521">
            <w:pPr>
              <w:pStyle w:val="NormalWeb"/>
              <w:spacing w:before="0" w:beforeAutospacing="0" w:after="0" w:afterAutospacing="0" w:line="240" w:lineRule="auto"/>
              <w:jc w:val="both"/>
            </w:pPr>
            <w:r>
              <w:rPr>
                <w:rFonts w:ascii="Arial" w:hAnsi="Arial" w:cs="Arial"/>
                <w:color w:val="000000"/>
                <w:sz w:val="16"/>
                <w:szCs w:val="16"/>
              </w:rPr>
              <w:t>Causa de progresión que podía clasificarse como: progresión de la lesión diana, progresión de otra lesión distinta a la diana a nivel o no de SNC o nueva lesión a nivel o no de SNC</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pStyle w:val="NormalWeb"/>
              <w:spacing w:before="0" w:beforeAutospacing="0" w:after="0" w:afterAutospacing="0" w:line="240" w:lineRule="auto"/>
              <w:ind w:right="-177"/>
              <w:jc w:val="both"/>
            </w:pPr>
            <w:r>
              <w:rPr>
                <w:rFonts w:ascii="Arial" w:hAnsi="Arial" w:cs="Arial"/>
                <w:color w:val="000000"/>
                <w:sz w:val="16"/>
                <w:szCs w:val="16"/>
              </w:rPr>
              <w:t>Intermedia</w:t>
            </w:r>
          </w:p>
        </w:tc>
      </w:tr>
      <w:tr w:rsidR="00DD1521">
        <w:trPr>
          <w:cantSplit/>
        </w:trPr>
        <w:tc>
          <w:tcPr>
            <w:tcW w:w="1107" w:type="dxa"/>
            <w:vMerge/>
            <w:tcBorders>
              <w:left w:val="single" w:sz="4" w:space="0" w:color="000000"/>
            </w:tcBorders>
          </w:tcPr>
          <w:p w:rsidR="00DD1521" w:rsidRDefault="00DD1521">
            <w:pPr>
              <w:pStyle w:val="NormalWeb"/>
              <w:spacing w:before="0" w:beforeAutospacing="0" w:after="0" w:afterAutospacing="0" w:line="240" w:lineRule="auto"/>
              <w:jc w:val="both"/>
            </w:pPr>
          </w:p>
        </w:tc>
        <w:tc>
          <w:tcPr>
            <w:tcW w:w="1583" w:type="dxa"/>
            <w:vMerge/>
            <w:tcBorders>
              <w:left w:val="single" w:sz="4" w:space="0" w:color="000000"/>
            </w:tcBorders>
          </w:tcPr>
          <w:p w:rsidR="00DD1521" w:rsidRDefault="00DD1521">
            <w:pPr>
              <w:pStyle w:val="NormalWeb"/>
              <w:spacing w:before="0" w:beforeAutospacing="0" w:after="0" w:afterAutospacing="0" w:line="240" w:lineRule="auto"/>
            </w:pPr>
          </w:p>
        </w:tc>
        <w:tc>
          <w:tcPr>
            <w:tcW w:w="5386" w:type="dxa"/>
            <w:tcBorders>
              <w:top w:val="single" w:sz="4" w:space="0" w:color="000000"/>
              <w:left w:val="single" w:sz="4" w:space="0" w:color="000000"/>
              <w:bottom w:val="single" w:sz="4" w:space="0" w:color="000000"/>
            </w:tcBorders>
          </w:tcPr>
          <w:p w:rsidR="00DD1521" w:rsidRDefault="00DD1521">
            <w:pPr>
              <w:pStyle w:val="NormalWeb"/>
              <w:spacing w:before="0" w:beforeAutospacing="0" w:after="0" w:afterAutospacing="0" w:line="240" w:lineRule="auto"/>
              <w:jc w:val="both"/>
            </w:pPr>
            <w:r>
              <w:rPr>
                <w:rFonts w:ascii="Arial" w:hAnsi="Arial" w:cs="Arial"/>
                <w:color w:val="000000"/>
                <w:sz w:val="16"/>
                <w:szCs w:val="16"/>
              </w:rPr>
              <w:t>Causa de progresión a nivel de SNC</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pStyle w:val="NormalWeb"/>
              <w:spacing w:before="0" w:beforeAutospacing="0" w:after="0" w:afterAutospacing="0" w:line="240" w:lineRule="auto"/>
              <w:ind w:right="-177"/>
              <w:jc w:val="both"/>
            </w:pPr>
            <w:r>
              <w:rPr>
                <w:rFonts w:ascii="Arial" w:hAnsi="Arial" w:cs="Arial"/>
                <w:color w:val="000000"/>
                <w:sz w:val="16"/>
                <w:szCs w:val="16"/>
              </w:rPr>
              <w:t>Intermedia</w:t>
            </w:r>
          </w:p>
        </w:tc>
      </w:tr>
      <w:tr w:rsidR="00DD1521">
        <w:trPr>
          <w:cantSplit/>
        </w:trPr>
        <w:tc>
          <w:tcPr>
            <w:tcW w:w="1107" w:type="dxa"/>
            <w:vMerge/>
            <w:tcBorders>
              <w:left w:val="single" w:sz="4" w:space="0" w:color="000000"/>
              <w:bottom w:val="single" w:sz="4" w:space="0" w:color="000000"/>
            </w:tcBorders>
          </w:tcPr>
          <w:p w:rsidR="00DD1521" w:rsidRDefault="00DD1521">
            <w:pPr>
              <w:pStyle w:val="NormalWeb"/>
              <w:spacing w:before="0" w:beforeAutospacing="0" w:after="0" w:afterAutospacing="0" w:line="240" w:lineRule="auto"/>
              <w:jc w:val="both"/>
              <w:rPr>
                <w:rFonts w:ascii="Arial" w:hAnsi="Arial" w:cs="Arial"/>
                <w:color w:val="000000"/>
                <w:sz w:val="16"/>
                <w:szCs w:val="16"/>
              </w:rPr>
            </w:pPr>
          </w:p>
        </w:tc>
        <w:tc>
          <w:tcPr>
            <w:tcW w:w="1583" w:type="dxa"/>
            <w:vMerge/>
            <w:tcBorders>
              <w:left w:val="single" w:sz="4" w:space="0" w:color="000000"/>
              <w:bottom w:val="single" w:sz="4" w:space="0" w:color="000000"/>
            </w:tcBorders>
          </w:tcPr>
          <w:p w:rsidR="00DD1521" w:rsidRDefault="00DD1521">
            <w:pPr>
              <w:pStyle w:val="NormalWeb"/>
              <w:spacing w:before="0" w:beforeAutospacing="0" w:after="0" w:afterAutospacing="0" w:line="240" w:lineRule="auto"/>
              <w:rPr>
                <w:rFonts w:ascii="Arial" w:hAnsi="Arial" w:cs="Arial"/>
                <w:color w:val="000000"/>
                <w:sz w:val="16"/>
                <w:szCs w:val="16"/>
              </w:rPr>
            </w:pPr>
          </w:p>
        </w:tc>
        <w:tc>
          <w:tcPr>
            <w:tcW w:w="5386" w:type="dxa"/>
            <w:tcBorders>
              <w:top w:val="single" w:sz="4" w:space="0" w:color="000000"/>
              <w:left w:val="single" w:sz="4" w:space="0" w:color="000000"/>
              <w:bottom w:val="single" w:sz="4" w:space="0" w:color="000000"/>
            </w:tcBorders>
          </w:tcPr>
          <w:p w:rsidR="00DD1521" w:rsidRDefault="00DD1521">
            <w:pPr>
              <w:pStyle w:val="NormalWeb"/>
              <w:spacing w:before="0" w:beforeAutospacing="0" w:after="0" w:afterAutospacing="0" w:line="240" w:lineRule="auto"/>
              <w:jc w:val="both"/>
              <w:rPr>
                <w:rFonts w:ascii="Arial" w:hAnsi="Arial" w:cs="Arial"/>
                <w:color w:val="000000"/>
                <w:sz w:val="16"/>
                <w:szCs w:val="16"/>
              </w:rPr>
            </w:pPr>
            <w:r>
              <w:rPr>
                <w:rFonts w:ascii="Arial" w:hAnsi="Arial" w:cs="Arial"/>
                <w:color w:val="000000"/>
                <w:sz w:val="16"/>
                <w:szCs w:val="16"/>
              </w:rPr>
              <w:t>DRO en función en presencia o ausencia de metástasis en SNC al inicio del estudio</w:t>
            </w:r>
          </w:p>
        </w:tc>
        <w:tc>
          <w:tcPr>
            <w:tcW w:w="939" w:type="dxa"/>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pStyle w:val="NormalWeb"/>
              <w:spacing w:before="0" w:beforeAutospacing="0" w:after="0" w:afterAutospacing="0" w:line="240" w:lineRule="auto"/>
              <w:ind w:right="-177"/>
              <w:jc w:val="both"/>
              <w:rPr>
                <w:rFonts w:ascii="Arial" w:hAnsi="Arial" w:cs="Arial"/>
                <w:color w:val="000000"/>
                <w:sz w:val="16"/>
                <w:szCs w:val="16"/>
              </w:rPr>
            </w:pPr>
            <w:r>
              <w:rPr>
                <w:rFonts w:ascii="Arial" w:hAnsi="Arial" w:cs="Arial"/>
                <w:color w:val="000000"/>
                <w:sz w:val="16"/>
                <w:szCs w:val="16"/>
              </w:rPr>
              <w:t>Intermedia</w:t>
            </w:r>
          </w:p>
        </w:tc>
      </w:tr>
    </w:tbl>
    <w:p w:rsidR="00DD1521" w:rsidRDefault="00DD1521">
      <w:pPr>
        <w:spacing w:after="0" w:line="240" w:lineRule="auto"/>
        <w:jc w:val="both"/>
        <w:rPr>
          <w:rFonts w:ascii="Arial" w:hAnsi="Arial" w:cs="Arial"/>
          <w:color w:val="000080"/>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52" w:name="_Toc344399635"/>
      <w:bookmarkStart w:id="53" w:name="_Toc348931362"/>
      <w:bookmarkStart w:id="54" w:name="_Toc5793746"/>
      <w:r>
        <w:rPr>
          <w:rFonts w:ascii="Arial" w:hAnsi="Arial" w:cs="Arial"/>
          <w:sz w:val="20"/>
          <w:szCs w:val="20"/>
        </w:rPr>
        <w:t>5.2.a Resultados de los ensayos clínicos</w:t>
      </w:r>
      <w:bookmarkEnd w:id="52"/>
      <w:bookmarkEnd w:id="53"/>
      <w:bookmarkEnd w:id="54"/>
      <w:r>
        <w:rPr>
          <w:rFonts w:ascii="Arial" w:hAnsi="Arial" w:cs="Arial"/>
          <w:sz w:val="20"/>
          <w:szCs w:val="20"/>
        </w:rPr>
        <w:t xml:space="preserve"> </w:t>
      </w:r>
    </w:p>
    <w:p w:rsidR="00DD1521" w:rsidRDefault="00DD1521">
      <w:pPr>
        <w:spacing w:after="0" w:line="240" w:lineRule="auto"/>
        <w:jc w:val="both"/>
        <w:rPr>
          <w:rFonts w:ascii="Arial" w:hAnsi="Arial" w:cs="Arial"/>
          <w:b/>
          <w:bCs/>
          <w:color w:val="0000FF"/>
          <w:sz w:val="18"/>
          <w:szCs w:val="18"/>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iCs/>
          <w:sz w:val="20"/>
          <w:szCs w:val="20"/>
        </w:rPr>
      </w:pPr>
      <w:r>
        <w:rPr>
          <w:rFonts w:ascii="Arial" w:hAnsi="Arial" w:cs="Arial"/>
          <w:b/>
          <w:bCs/>
          <w:i/>
          <w:iCs/>
          <w:sz w:val="20"/>
          <w:szCs w:val="20"/>
        </w:rPr>
        <w:t>Tratamiento de segunda línea del CPNM avanzado o metastásico con mutación positiva del EGFR T790M</w:t>
      </w:r>
    </w:p>
    <w:p w:rsidR="00DD1521" w:rsidRDefault="00DD1521">
      <w:pPr>
        <w:spacing w:after="0" w:line="240" w:lineRule="auto"/>
        <w:jc w:val="both"/>
        <w:rPr>
          <w:rFonts w:ascii="Arial" w:hAnsi="Arial" w:cs="Arial"/>
          <w:b/>
          <w:bCs/>
          <w:color w:val="0000FF"/>
          <w:sz w:val="18"/>
          <w:szCs w:val="18"/>
        </w:rPr>
      </w:pPr>
    </w:p>
    <w:tbl>
      <w:tblPr>
        <w:tblW w:w="9214" w:type="dxa"/>
        <w:tblInd w:w="-68" w:type="dxa"/>
        <w:tblLayout w:type="fixed"/>
        <w:tblCellMar>
          <w:left w:w="70" w:type="dxa"/>
          <w:right w:w="70" w:type="dxa"/>
        </w:tblCellMar>
        <w:tblLook w:val="00A0" w:firstRow="1" w:lastRow="0" w:firstColumn="1" w:lastColumn="0" w:noHBand="0" w:noVBand="0"/>
      </w:tblPr>
      <w:tblGrid>
        <w:gridCol w:w="3544"/>
        <w:gridCol w:w="1418"/>
        <w:gridCol w:w="1843"/>
        <w:gridCol w:w="708"/>
        <w:gridCol w:w="1701"/>
      </w:tblGrid>
      <w:tr w:rsidR="00DD1521" w:rsidRPr="00AD7CD1">
        <w:tc>
          <w:tcPr>
            <w:tcW w:w="9214" w:type="dxa"/>
            <w:gridSpan w:val="5"/>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rsidP="00AD75CC">
            <w:pPr>
              <w:spacing w:after="0" w:line="240" w:lineRule="auto"/>
              <w:jc w:val="both"/>
              <w:rPr>
                <w:lang w:val="en-US"/>
              </w:rPr>
            </w:pPr>
            <w:r w:rsidRPr="00B85537">
              <w:rPr>
                <w:rFonts w:ascii="Arial" w:hAnsi="Arial" w:cs="Arial"/>
                <w:b/>
                <w:bCs/>
                <w:sz w:val="18"/>
                <w:szCs w:val="18"/>
              </w:rPr>
              <w:t xml:space="preserve">Tabla 7. Estudio AURA 3: osimertinib or platinum-pemetrexed in EGFR T790M-positive lung cancer. Mok TS, Wu Y-L, Ahn M-J, Garassino MC, Kim HR, Ramalingam SS et al. </w:t>
            </w:r>
            <w:r>
              <w:rPr>
                <w:rFonts w:ascii="Arial" w:hAnsi="Arial" w:cs="Arial"/>
                <w:b/>
                <w:bCs/>
                <w:sz w:val="18"/>
                <w:szCs w:val="18"/>
                <w:lang w:val="en-US"/>
              </w:rPr>
              <w:t>N Engl J Med. 2017;376(7):629-40.</w:t>
            </w:r>
          </w:p>
        </w:tc>
      </w:tr>
      <w:tr w:rsidR="00DD1521">
        <w:tc>
          <w:tcPr>
            <w:tcW w:w="9214" w:type="dxa"/>
            <w:gridSpan w:val="5"/>
            <w:tcBorders>
              <w:top w:val="single" w:sz="4" w:space="0" w:color="000000"/>
              <w:left w:val="single" w:sz="4" w:space="0" w:color="000000"/>
              <w:bottom w:val="single" w:sz="4" w:space="0" w:color="000000"/>
              <w:right w:val="single" w:sz="4" w:space="0" w:color="000000"/>
            </w:tcBorders>
            <w:shd w:val="clear" w:color="auto" w:fill="FFFFFF"/>
          </w:tcPr>
          <w:p w:rsidR="00DD1521" w:rsidRDefault="00DD1521" w:rsidP="00AD75CC">
            <w:pPr>
              <w:numPr>
                <w:ilvl w:val="0"/>
                <w:numId w:val="4"/>
              </w:numPr>
              <w:suppressAutoHyphens/>
              <w:spacing w:after="0" w:line="240" w:lineRule="auto"/>
              <w:ind w:left="142" w:hanging="142"/>
              <w:jc w:val="both"/>
            </w:pPr>
            <w:r>
              <w:rPr>
                <w:rFonts w:ascii="Arial" w:hAnsi="Arial" w:cs="Arial"/>
                <w:sz w:val="16"/>
                <w:szCs w:val="16"/>
                <w:u w:val="single"/>
              </w:rPr>
              <w:t>Nº de pacientes</w:t>
            </w:r>
            <w:r>
              <w:rPr>
                <w:rFonts w:ascii="Arial" w:hAnsi="Arial" w:cs="Arial"/>
                <w:sz w:val="16"/>
                <w:szCs w:val="16"/>
              </w:rPr>
              <w:t>: 419 (279 grupo osimertinib y 140 grupo pemetrexed).</w:t>
            </w:r>
          </w:p>
          <w:p w:rsidR="00DD1521" w:rsidRDefault="00DD1521" w:rsidP="00AD75CC">
            <w:pPr>
              <w:numPr>
                <w:ilvl w:val="0"/>
                <w:numId w:val="4"/>
              </w:numPr>
              <w:suppressAutoHyphens/>
              <w:spacing w:after="0" w:line="240" w:lineRule="auto"/>
              <w:ind w:left="142" w:hanging="142"/>
              <w:jc w:val="both"/>
            </w:pPr>
            <w:r>
              <w:rPr>
                <w:rFonts w:ascii="Arial" w:hAnsi="Arial" w:cs="Arial"/>
                <w:sz w:val="16"/>
                <w:szCs w:val="16"/>
                <w:u w:val="single"/>
              </w:rPr>
              <w:t>Diseño</w:t>
            </w:r>
            <w:r>
              <w:rPr>
                <w:rFonts w:ascii="Arial" w:hAnsi="Arial" w:cs="Arial"/>
                <w:sz w:val="16"/>
                <w:szCs w:val="16"/>
              </w:rPr>
              <w:t>: estudio fase III, aleatorizado, abierto, de un único brazo, multicéntrico. Los pacientes se estratificaron de acuerdo a su condición de raza asiática y no asiática en un ratio 2:1.</w:t>
            </w:r>
          </w:p>
          <w:p w:rsidR="00DD1521" w:rsidRDefault="00DD1521" w:rsidP="00AD75CC">
            <w:pPr>
              <w:numPr>
                <w:ilvl w:val="0"/>
                <w:numId w:val="4"/>
              </w:numPr>
              <w:suppressAutoHyphens/>
              <w:spacing w:after="0" w:line="240" w:lineRule="auto"/>
              <w:ind w:left="142" w:hanging="142"/>
              <w:jc w:val="both"/>
              <w:rPr>
                <w:rFonts w:ascii="Arial" w:hAnsi="Arial" w:cs="Arial"/>
                <w:sz w:val="16"/>
                <w:szCs w:val="16"/>
              </w:rPr>
            </w:pPr>
            <w:r>
              <w:rPr>
                <w:rFonts w:ascii="Arial" w:hAnsi="Arial" w:cs="Arial"/>
                <w:sz w:val="16"/>
                <w:szCs w:val="16"/>
                <w:u w:val="single"/>
              </w:rPr>
              <w:lastRenderedPageBreak/>
              <w:t>Tratamiento grupo activo</w:t>
            </w:r>
            <w:r>
              <w:rPr>
                <w:rFonts w:ascii="Arial" w:hAnsi="Arial" w:cs="Arial"/>
                <w:sz w:val="16"/>
                <w:szCs w:val="16"/>
              </w:rPr>
              <w:t>: 80 mg de osimertinib oral al día.</w:t>
            </w:r>
          </w:p>
          <w:p w:rsidR="00DD1521" w:rsidRDefault="00DD1521" w:rsidP="00AD75CC">
            <w:pPr>
              <w:numPr>
                <w:ilvl w:val="0"/>
                <w:numId w:val="4"/>
              </w:numPr>
              <w:suppressAutoHyphens/>
              <w:spacing w:after="0" w:line="240" w:lineRule="auto"/>
              <w:ind w:left="142" w:hanging="142"/>
              <w:jc w:val="both"/>
              <w:rPr>
                <w:rFonts w:ascii="Arial" w:hAnsi="Arial" w:cs="Arial"/>
                <w:sz w:val="16"/>
                <w:szCs w:val="16"/>
              </w:rPr>
            </w:pPr>
            <w:r>
              <w:rPr>
                <w:rFonts w:ascii="Arial" w:hAnsi="Arial" w:cs="Arial"/>
                <w:sz w:val="16"/>
                <w:szCs w:val="16"/>
                <w:u w:val="single"/>
              </w:rPr>
              <w:t>Tratamiento grupo control</w:t>
            </w:r>
            <w:r>
              <w:rPr>
                <w:rFonts w:ascii="Arial" w:hAnsi="Arial" w:cs="Arial"/>
                <w:sz w:val="16"/>
                <w:szCs w:val="16"/>
              </w:rPr>
              <w:t>: pemetrexed intravenoso (500mg/m</w:t>
            </w:r>
            <w:r>
              <w:rPr>
                <w:rFonts w:ascii="Arial" w:hAnsi="Arial" w:cs="Arial"/>
                <w:sz w:val="16"/>
                <w:szCs w:val="16"/>
                <w:vertAlign w:val="superscript"/>
              </w:rPr>
              <w:t>2</w:t>
            </w:r>
            <w:r>
              <w:rPr>
                <w:rFonts w:ascii="Arial" w:hAnsi="Arial" w:cs="Arial"/>
                <w:sz w:val="16"/>
                <w:szCs w:val="16"/>
              </w:rPr>
              <w:t>) más carboplatino (AUC5) o cisplatino (75 mg/m</w:t>
            </w:r>
            <w:r>
              <w:rPr>
                <w:rFonts w:ascii="Arial" w:hAnsi="Arial" w:cs="Arial"/>
                <w:sz w:val="16"/>
                <w:szCs w:val="16"/>
                <w:vertAlign w:val="superscript"/>
              </w:rPr>
              <w:t>2</w:t>
            </w:r>
            <w:r>
              <w:rPr>
                <w:rFonts w:ascii="Arial" w:hAnsi="Arial" w:cs="Arial"/>
                <w:sz w:val="16"/>
                <w:szCs w:val="16"/>
              </w:rPr>
              <w:t>) cada 3 semanas hasta 6 ciclos de tratamiento. Los pacientes que no habían progresado tras cuatro ciclos de tratamiento con platino y pemetrexed podrían continuar con pemetrexed de mantenimiento de acuerdo a la ficha técnica del fármaco.</w:t>
            </w:r>
          </w:p>
          <w:p w:rsidR="00DD1521" w:rsidRDefault="00DD1521" w:rsidP="00AD75CC">
            <w:pPr>
              <w:suppressAutoHyphens/>
              <w:spacing w:after="0" w:line="240" w:lineRule="auto"/>
              <w:ind w:left="142"/>
              <w:jc w:val="both"/>
              <w:rPr>
                <w:rFonts w:ascii="Arial" w:hAnsi="Arial" w:cs="Arial"/>
                <w:sz w:val="16"/>
                <w:szCs w:val="16"/>
              </w:rPr>
            </w:pPr>
            <w:r>
              <w:rPr>
                <w:rFonts w:ascii="Arial" w:hAnsi="Arial" w:cs="Arial"/>
                <w:sz w:val="16"/>
                <w:szCs w:val="16"/>
              </w:rPr>
              <w:t>De acuerdo a una adenda en el protocolo del ensayo clínico, los pacientes que habían sido asignados al grupo platino-pemetrexed podían cruzarse al grupo osimertinib tras objetivar progresión al tratamiento, de acuerdo a la evaluación del investigador y la confirmación por el comité independiente central.</w:t>
            </w:r>
          </w:p>
          <w:p w:rsidR="00DD1521" w:rsidRDefault="00DD1521" w:rsidP="00AD75CC">
            <w:pPr>
              <w:numPr>
                <w:ilvl w:val="0"/>
                <w:numId w:val="4"/>
              </w:numPr>
              <w:suppressAutoHyphens/>
              <w:spacing w:after="0" w:line="240" w:lineRule="auto"/>
              <w:ind w:left="142" w:hanging="142"/>
              <w:jc w:val="both"/>
              <w:rPr>
                <w:rFonts w:ascii="Arial" w:hAnsi="Arial" w:cs="Arial"/>
                <w:sz w:val="16"/>
                <w:szCs w:val="16"/>
              </w:rPr>
            </w:pPr>
            <w:r>
              <w:rPr>
                <w:rFonts w:ascii="Arial" w:hAnsi="Arial" w:cs="Arial"/>
                <w:sz w:val="16"/>
                <w:szCs w:val="16"/>
                <w:u w:val="single"/>
              </w:rPr>
              <w:t xml:space="preserve"> Criterios de inclusión</w:t>
            </w:r>
            <w:r>
              <w:rPr>
                <w:rFonts w:ascii="Arial" w:hAnsi="Arial" w:cs="Arial"/>
                <w:sz w:val="16"/>
                <w:szCs w:val="16"/>
              </w:rPr>
              <w:t>: ≥ 18 años, (≥ 20 años en población japonesa), ECOG 0-1 sin deterioro en las dos semanas previas de entrada al estudio y una expectativa mínima de vida de 12 semanas, CPNM histológicamente (o citológicamente) confirmado, localmente avanzado (no candidato a tratamiento curativo), o metastásico, con mutación EGFR confirmada tras diagnóstico de CPNM y que hubieran progresado radiológicamente tras una primera línea de ITK anti-EGFR sin más tratamiento posterior. Con confirmación de mutación T790M positiva procedente de una biopsia de tejido confirmada después de la progresión a una primera línea de tratamiento con ITK anti-EGFR. Se testó a todos los pacientes la mutación T790M en DNA tumoral circulante procedente de una muestra de plasma. Fueron incluidos pacientes con metástasis estables y asintomáticas en SNC que no habían sido tratados con corticoides en al menos, las 4 semanas previas antes de la primera dosis de fármaco en ensayo.</w:t>
            </w:r>
          </w:p>
          <w:p w:rsidR="00DD1521" w:rsidRDefault="00DD1521" w:rsidP="00AD75CC">
            <w:pPr>
              <w:numPr>
                <w:ilvl w:val="0"/>
                <w:numId w:val="4"/>
              </w:numPr>
              <w:suppressAutoHyphens/>
              <w:spacing w:after="0" w:line="240" w:lineRule="auto"/>
              <w:ind w:left="142" w:hanging="142"/>
              <w:jc w:val="both"/>
              <w:rPr>
                <w:rFonts w:ascii="Symbol" w:hAnsi="Symbol" w:cs="Symbol"/>
              </w:rPr>
            </w:pPr>
            <w:r>
              <w:rPr>
                <w:rFonts w:ascii="Arial" w:hAnsi="Arial" w:cs="Arial"/>
                <w:sz w:val="16"/>
                <w:szCs w:val="16"/>
                <w:u w:val="single"/>
              </w:rPr>
              <w:t>Criterios de exclusión:</w:t>
            </w:r>
            <w:r>
              <w:rPr>
                <w:rFonts w:ascii="Arial" w:hAnsi="Arial" w:cs="Arial"/>
                <w:sz w:val="16"/>
                <w:szCs w:val="16"/>
              </w:rPr>
              <w:t xml:space="preserve">  tratamiento previo con más de una línea, tratamiento con un ITK anti-EGFR (erlotinib, gefitinib, afatinib) en los 8 días previos (o aproximadamente cinco semividas) antes de la primera dosis de fármaco en ensayo. Tratamiento con osimertinib o cualquier otro ITK anti-EGFR de tercera generación, cirugía mayor en las 4 semanas previas a la aleatorización. Pacientes que estuvieran en tratamiento con inhibidores/inductores del CYP3A4. Presencia de toxicidades superiores a grado 1. Compresión medular o metástasis cerebrales sintomáticas o que requirieran tratamiento. Hipertensión, sangrados o infección activa. Náuseas o vómitos activos o enfermedad gastrointestinal. Alteraciones electrocardiográficas en el ritmo y la conducción cardiaca o evidencia o riesgo de prolongación del intervalo QT. Enfermedad intersticial pulmonar. Recuento absoluto de neutrófilos &lt;1,5 x 10</w:t>
            </w:r>
            <w:r>
              <w:rPr>
                <w:rFonts w:ascii="Arial" w:hAnsi="Arial" w:cs="Arial"/>
                <w:sz w:val="16"/>
                <w:szCs w:val="16"/>
                <w:vertAlign w:val="superscript"/>
              </w:rPr>
              <w:t>9</w:t>
            </w:r>
            <w:r>
              <w:rPr>
                <w:rFonts w:ascii="Arial" w:hAnsi="Arial" w:cs="Arial"/>
                <w:sz w:val="16"/>
                <w:szCs w:val="16"/>
              </w:rPr>
              <w:t>/L, recuento de plaquetas &lt; 100 x 10</w:t>
            </w:r>
            <w:r>
              <w:rPr>
                <w:rFonts w:ascii="Arial" w:hAnsi="Arial" w:cs="Arial"/>
                <w:sz w:val="16"/>
                <w:szCs w:val="16"/>
                <w:vertAlign w:val="superscript"/>
              </w:rPr>
              <w:t>9</w:t>
            </w:r>
            <w:r>
              <w:rPr>
                <w:rFonts w:ascii="Arial" w:hAnsi="Arial" w:cs="Arial"/>
                <w:sz w:val="16"/>
                <w:szCs w:val="16"/>
              </w:rPr>
              <w:t>/L, hemoglobina &lt; 90g/L, ALT&gt;2,5 veces el LSN si no había evidencia de metástasis  hepáticas o &gt; 5 veces LSN en presencia de las mismas. AST &gt; 2,5 veces el LSN si no había evidencia de metástasis  hepáticas o &gt; 5 veces LSN en presencia de las mismas. Bilirrubina total &gt;1,5 veces LSN si no había evidencia de metástasis  hepáticas o &gt; 3 veces LSN si había síndrome de Gilbert documentado o metástasis hepáticas. Creatinina &gt; 1,5 veces LSN concurrente con un aclaramiento de creatinina &lt;50ml/min (según Cockroft Gault).</w:t>
            </w:r>
          </w:p>
          <w:p w:rsidR="00DD1521" w:rsidRDefault="00DD1521" w:rsidP="00AD75CC">
            <w:pPr>
              <w:numPr>
                <w:ilvl w:val="0"/>
                <w:numId w:val="4"/>
              </w:numPr>
              <w:suppressAutoHyphens/>
              <w:spacing w:after="0" w:line="240" w:lineRule="auto"/>
              <w:ind w:left="142" w:hanging="142"/>
              <w:jc w:val="both"/>
              <w:rPr>
                <w:rFonts w:ascii="Arial" w:hAnsi="Arial" w:cs="Arial"/>
                <w:sz w:val="16"/>
                <w:szCs w:val="16"/>
              </w:rPr>
            </w:pPr>
            <w:r>
              <w:rPr>
                <w:rFonts w:ascii="Arial" w:hAnsi="Arial" w:cs="Arial"/>
                <w:sz w:val="16"/>
                <w:szCs w:val="16"/>
                <w:u w:val="single"/>
              </w:rPr>
              <w:t>Pérdidas</w:t>
            </w:r>
            <w:r>
              <w:rPr>
                <w:rFonts w:ascii="Arial" w:hAnsi="Arial" w:cs="Arial"/>
                <w:sz w:val="16"/>
                <w:szCs w:val="16"/>
              </w:rPr>
              <w:t>. Se incluyeron 419 de un total de 1036 pacientes cribados. Las causas más frecuentes de exclusión fueron: no confirmación central de mutación T790M (498 pacientes), muerte (14 pacientes) y retirada de consentimiento (14 pacientes). Todos los pacientes incluidos recibieron al menos una dosis de los tratamientos de estudio, excepto 4 pacientes en el grupo platino-pemetrexed. De 419 pacientes incluidos, 166 y 16 pacientes de los grupos osimertinib y platino-pemetrexed respectivamente se encontraban en tratamiento en la fecha de corte para el análisis de datos. 82 pacientes que progresaron a platino-pemetrexed cruzaron al grupo osimertinib.</w:t>
            </w:r>
          </w:p>
          <w:p w:rsidR="00DD1521" w:rsidRDefault="00DD1521" w:rsidP="00AD75CC">
            <w:pPr>
              <w:numPr>
                <w:ilvl w:val="0"/>
                <w:numId w:val="4"/>
              </w:numPr>
              <w:suppressAutoHyphens/>
              <w:spacing w:after="0" w:line="240" w:lineRule="auto"/>
              <w:ind w:left="142" w:hanging="142"/>
              <w:jc w:val="both"/>
              <w:rPr>
                <w:rFonts w:ascii="Arial" w:hAnsi="Arial" w:cs="Arial"/>
                <w:sz w:val="16"/>
                <w:szCs w:val="16"/>
              </w:rPr>
            </w:pPr>
            <w:r>
              <w:rPr>
                <w:rFonts w:ascii="Arial" w:hAnsi="Arial" w:cs="Arial"/>
                <w:sz w:val="16"/>
                <w:szCs w:val="16"/>
                <w:u w:val="single"/>
              </w:rPr>
              <w:t>Tipo de análisis</w:t>
            </w:r>
            <w:r>
              <w:rPr>
                <w:rFonts w:ascii="Arial" w:hAnsi="Arial" w:cs="Arial"/>
                <w:sz w:val="16"/>
                <w:szCs w:val="16"/>
              </w:rPr>
              <w:t>. El análisis por intención de tratar se utilizó para todos los análisis de eficacia. El análisis de seguridad incluyó a todos los pacientes en la población por intención de tratar que recibió al menos una dosis de fármaco.</w:t>
            </w:r>
          </w:p>
          <w:p w:rsidR="00DD1521" w:rsidRDefault="00DD1521" w:rsidP="00AD75CC">
            <w:pPr>
              <w:suppressAutoHyphens/>
              <w:spacing w:after="0" w:line="240" w:lineRule="auto"/>
              <w:ind w:left="142"/>
              <w:jc w:val="both"/>
              <w:rPr>
                <w:rFonts w:ascii="Arial" w:hAnsi="Arial" w:cs="Arial"/>
                <w:sz w:val="16"/>
                <w:szCs w:val="16"/>
              </w:rPr>
            </w:pPr>
            <w:r>
              <w:rPr>
                <w:rFonts w:ascii="Arial" w:hAnsi="Arial" w:cs="Arial"/>
                <w:sz w:val="16"/>
                <w:szCs w:val="16"/>
              </w:rPr>
              <w:t>La supervivencia libre de progresión se analizó usando una prueba de log rank estratificada por etnia (asiática, no asiática). También se realizó un análisis de sensibilidad por el CRI. Las variables secundarias de TRO, DRO, TCE y reducción del tamaño tumoral se analizaron en el momento del análisis primario de SLP. Los pacientes que no habían progresado o muerto en el momento del análisis fueron censurados.</w:t>
            </w:r>
          </w:p>
          <w:p w:rsidR="00DD1521" w:rsidRDefault="00DD1521" w:rsidP="00AD75CC">
            <w:pPr>
              <w:suppressAutoHyphens/>
              <w:spacing w:after="0" w:line="240" w:lineRule="auto"/>
              <w:ind w:left="142"/>
              <w:jc w:val="both"/>
              <w:rPr>
                <w:rFonts w:ascii="Arial" w:hAnsi="Arial" w:cs="Arial"/>
                <w:sz w:val="16"/>
                <w:szCs w:val="16"/>
              </w:rPr>
            </w:pPr>
            <w:r>
              <w:rPr>
                <w:rFonts w:ascii="Arial" w:hAnsi="Arial" w:cs="Arial"/>
                <w:sz w:val="16"/>
                <w:szCs w:val="16"/>
              </w:rPr>
              <w:t>Se llevarán a cabo tres análisis de SG. La fecha de corte para el primer análisis de SG fue aproximadamente 4 meses después del de SLP, el 15 de abril de 2016. Se realizará un segundo análisis de SG cuando los datos sean aproximadamente un 50% maduros (aproximadamente 205 eventos de muertes). Se realizará un tercer análisis de SG cuando los datos estén aproximadamente un 70% maduros (aproximadamente 287 eventos de muertes).</w:t>
            </w:r>
          </w:p>
          <w:p w:rsidR="00DD1521" w:rsidRDefault="00DD1521" w:rsidP="00AD75CC">
            <w:pPr>
              <w:suppressAutoHyphens/>
              <w:spacing w:after="0" w:line="240" w:lineRule="auto"/>
              <w:ind w:left="142"/>
              <w:jc w:val="both"/>
              <w:rPr>
                <w:rFonts w:ascii="Arial" w:hAnsi="Arial" w:cs="Arial"/>
                <w:sz w:val="16"/>
                <w:szCs w:val="16"/>
              </w:rPr>
            </w:pPr>
            <w:r>
              <w:rPr>
                <w:rFonts w:ascii="Arial" w:hAnsi="Arial" w:cs="Arial"/>
                <w:sz w:val="16"/>
                <w:szCs w:val="16"/>
              </w:rPr>
              <w:t>Se incluyó en el protocolo un análisis de subgrupos preespecificado para la mediana de supervivencia libre de progresión y la tasa de respuesta en función de la presencia de metástasis en SNC y si el método de detección de la mutación T790M fue a partir de DNA tumoral circulante en plasma.</w:t>
            </w:r>
          </w:p>
          <w:p w:rsidR="00DD1521" w:rsidRDefault="00DD1521" w:rsidP="00AD75CC">
            <w:pPr>
              <w:numPr>
                <w:ilvl w:val="0"/>
                <w:numId w:val="4"/>
              </w:numPr>
              <w:suppressAutoHyphens/>
              <w:spacing w:after="0" w:line="240" w:lineRule="auto"/>
              <w:ind w:left="142" w:hanging="142"/>
              <w:jc w:val="both"/>
            </w:pPr>
            <w:r>
              <w:rPr>
                <w:rFonts w:ascii="Arial" w:hAnsi="Arial" w:cs="Arial"/>
                <w:sz w:val="16"/>
                <w:szCs w:val="16"/>
                <w:u w:val="single"/>
              </w:rPr>
              <w:t>Cálculo de tamaño muestral</w:t>
            </w:r>
            <w:r>
              <w:rPr>
                <w:rFonts w:ascii="Arial" w:hAnsi="Arial" w:cs="Arial"/>
                <w:sz w:val="16"/>
                <w:szCs w:val="16"/>
              </w:rPr>
              <w:t>: Se calcularon 221 eventos de progresión o muerte con un poder estadístico del 80% para poder rechazar la hipótesis nula de no diferencias significativas en supervivencia libre de progresión entre los dos grupos, asumiendo un HR de 0,67 y un p valor de 0,05.</w:t>
            </w:r>
            <w:r>
              <w:t xml:space="preserve"> </w:t>
            </w:r>
          </w:p>
        </w:tc>
      </w:tr>
      <w:tr w:rsidR="00DD1521">
        <w:tc>
          <w:tcPr>
            <w:tcW w:w="9214" w:type="dxa"/>
            <w:gridSpan w:val="5"/>
            <w:tcBorders>
              <w:top w:val="single" w:sz="4" w:space="0" w:color="000000"/>
              <w:left w:val="single" w:sz="4" w:space="0" w:color="000000"/>
              <w:bottom w:val="single" w:sz="4" w:space="0" w:color="000000"/>
              <w:right w:val="single" w:sz="4" w:space="0" w:color="000000"/>
            </w:tcBorders>
            <w:shd w:val="clear" w:color="auto" w:fill="FFFFFF"/>
          </w:tcPr>
          <w:p w:rsidR="00DD1521" w:rsidRDefault="00DD1521" w:rsidP="00AD75CC">
            <w:pPr>
              <w:spacing w:after="0" w:line="240" w:lineRule="auto"/>
              <w:jc w:val="both"/>
              <w:rPr>
                <w:rFonts w:ascii="Arial" w:hAnsi="Arial" w:cs="Arial"/>
                <w:b/>
                <w:bCs/>
                <w:sz w:val="16"/>
                <w:szCs w:val="16"/>
              </w:rPr>
            </w:pPr>
            <w:r>
              <w:rPr>
                <w:rFonts w:ascii="Arial" w:hAnsi="Arial" w:cs="Arial"/>
                <w:b/>
                <w:bCs/>
                <w:sz w:val="16"/>
                <w:szCs w:val="16"/>
              </w:rPr>
              <w:lastRenderedPageBreak/>
              <w:t>Resultados</w:t>
            </w:r>
          </w:p>
        </w:tc>
      </w:tr>
      <w:tr w:rsidR="00DD15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3544" w:type="dxa"/>
            <w:vAlign w:val="center"/>
          </w:tcPr>
          <w:p w:rsidR="00DD1521" w:rsidRDefault="00DD1521" w:rsidP="00AD75CC">
            <w:pPr>
              <w:spacing w:after="0" w:line="240" w:lineRule="auto"/>
              <w:rPr>
                <w:rFonts w:ascii="Arial" w:hAnsi="Arial" w:cs="Arial"/>
                <w:b/>
                <w:bCs/>
                <w:sz w:val="16"/>
                <w:szCs w:val="16"/>
              </w:rPr>
            </w:pPr>
            <w:r>
              <w:rPr>
                <w:rFonts w:ascii="Arial" w:hAnsi="Arial" w:cs="Arial"/>
                <w:b/>
                <w:bCs/>
                <w:sz w:val="16"/>
                <w:szCs w:val="16"/>
              </w:rPr>
              <w:t>Variables evaluadas en el estudio</w:t>
            </w:r>
          </w:p>
        </w:tc>
        <w:tc>
          <w:tcPr>
            <w:tcW w:w="1418" w:type="dxa"/>
            <w:vAlign w:val="center"/>
          </w:tcPr>
          <w:p w:rsidR="00DD1521" w:rsidRDefault="00DD1521" w:rsidP="00AD75CC">
            <w:pPr>
              <w:tabs>
                <w:tab w:val="left" w:pos="1673"/>
              </w:tabs>
              <w:spacing w:after="0" w:line="240" w:lineRule="auto"/>
              <w:jc w:val="center"/>
              <w:rPr>
                <w:rFonts w:ascii="Arial" w:hAnsi="Arial" w:cs="Arial"/>
                <w:b/>
                <w:bCs/>
                <w:sz w:val="16"/>
                <w:szCs w:val="16"/>
                <w:lang w:val="pt-BR"/>
              </w:rPr>
            </w:pPr>
            <w:r>
              <w:rPr>
                <w:rFonts w:ascii="Arial" w:hAnsi="Arial" w:cs="Arial"/>
                <w:b/>
                <w:bCs/>
                <w:sz w:val="16"/>
                <w:szCs w:val="16"/>
                <w:lang w:val="pt-BR"/>
              </w:rPr>
              <w:t>Osimertinib</w:t>
            </w:r>
          </w:p>
          <w:p w:rsidR="00DD1521" w:rsidRDefault="00DD1521" w:rsidP="00AD75CC">
            <w:pPr>
              <w:tabs>
                <w:tab w:val="left" w:pos="1673"/>
              </w:tabs>
              <w:spacing w:after="0" w:line="240" w:lineRule="auto"/>
              <w:jc w:val="center"/>
              <w:rPr>
                <w:rFonts w:ascii="Arial" w:hAnsi="Arial" w:cs="Arial"/>
                <w:b/>
                <w:bCs/>
                <w:sz w:val="16"/>
                <w:szCs w:val="16"/>
                <w:lang w:val="pt-BR"/>
              </w:rPr>
            </w:pPr>
            <w:r>
              <w:rPr>
                <w:rFonts w:ascii="Arial" w:hAnsi="Arial" w:cs="Arial"/>
                <w:b/>
                <w:bCs/>
                <w:sz w:val="16"/>
                <w:szCs w:val="16"/>
                <w:lang w:val="pt-BR"/>
              </w:rPr>
              <w:t>(N=279)</w:t>
            </w:r>
          </w:p>
        </w:tc>
        <w:tc>
          <w:tcPr>
            <w:tcW w:w="1843" w:type="dxa"/>
            <w:vAlign w:val="center"/>
          </w:tcPr>
          <w:p w:rsidR="00DD1521" w:rsidRDefault="00DD1521" w:rsidP="00AD75CC">
            <w:pPr>
              <w:tabs>
                <w:tab w:val="left" w:pos="1673"/>
              </w:tabs>
              <w:spacing w:after="0" w:line="240" w:lineRule="auto"/>
              <w:jc w:val="center"/>
              <w:rPr>
                <w:rFonts w:ascii="Arial" w:hAnsi="Arial" w:cs="Arial"/>
                <w:b/>
                <w:bCs/>
                <w:sz w:val="16"/>
                <w:szCs w:val="16"/>
                <w:lang w:val="pt-BR"/>
              </w:rPr>
            </w:pPr>
            <w:r>
              <w:rPr>
                <w:rFonts w:ascii="Arial" w:hAnsi="Arial" w:cs="Arial"/>
                <w:b/>
                <w:bCs/>
                <w:sz w:val="16"/>
                <w:szCs w:val="16"/>
                <w:lang w:val="pt-BR"/>
              </w:rPr>
              <w:t>Platino-Pemetrexed</w:t>
            </w:r>
          </w:p>
          <w:p w:rsidR="00DD1521" w:rsidRDefault="00DD1521" w:rsidP="00AD75CC">
            <w:pPr>
              <w:tabs>
                <w:tab w:val="left" w:pos="1673"/>
              </w:tabs>
              <w:spacing w:after="0" w:line="240" w:lineRule="auto"/>
              <w:jc w:val="center"/>
              <w:rPr>
                <w:rFonts w:ascii="Arial" w:hAnsi="Arial" w:cs="Arial"/>
                <w:b/>
                <w:bCs/>
                <w:sz w:val="16"/>
                <w:szCs w:val="16"/>
                <w:lang w:val="pt-BR"/>
              </w:rPr>
            </w:pPr>
            <w:r>
              <w:rPr>
                <w:rFonts w:ascii="Arial" w:hAnsi="Arial" w:cs="Arial"/>
                <w:b/>
                <w:bCs/>
                <w:sz w:val="16"/>
                <w:szCs w:val="16"/>
                <w:lang w:val="pt-BR"/>
              </w:rPr>
              <w:t xml:space="preserve">(N=140) </w:t>
            </w:r>
          </w:p>
        </w:tc>
        <w:tc>
          <w:tcPr>
            <w:tcW w:w="708" w:type="dxa"/>
          </w:tcPr>
          <w:p w:rsidR="00DD1521" w:rsidRDefault="00DD1521" w:rsidP="00AD75CC">
            <w:pPr>
              <w:spacing w:after="0" w:line="240" w:lineRule="auto"/>
              <w:jc w:val="center"/>
              <w:rPr>
                <w:rFonts w:ascii="Arial" w:hAnsi="Arial" w:cs="Arial"/>
                <w:b/>
                <w:bCs/>
                <w:sz w:val="16"/>
                <w:szCs w:val="16"/>
                <w:lang w:val="en-GB"/>
              </w:rPr>
            </w:pPr>
            <w:r>
              <w:rPr>
                <w:rFonts w:ascii="Arial" w:hAnsi="Arial" w:cs="Arial"/>
                <w:b/>
                <w:bCs/>
                <w:sz w:val="16"/>
                <w:szCs w:val="16"/>
                <w:lang w:val="en-GB"/>
              </w:rPr>
              <w:t>p</w:t>
            </w:r>
          </w:p>
        </w:tc>
        <w:tc>
          <w:tcPr>
            <w:tcW w:w="1701" w:type="dxa"/>
            <w:vAlign w:val="center"/>
          </w:tcPr>
          <w:p w:rsidR="00DD1521" w:rsidRDefault="00DD1521" w:rsidP="00AD75CC">
            <w:pPr>
              <w:spacing w:after="0" w:line="240" w:lineRule="auto"/>
              <w:jc w:val="center"/>
              <w:rPr>
                <w:rFonts w:ascii="Arial" w:hAnsi="Arial" w:cs="Arial"/>
                <w:b/>
                <w:bCs/>
                <w:sz w:val="16"/>
                <w:szCs w:val="16"/>
                <w:lang w:val="en-GB"/>
              </w:rPr>
            </w:pPr>
            <w:r>
              <w:rPr>
                <w:rFonts w:ascii="Arial" w:hAnsi="Arial" w:cs="Arial"/>
                <w:b/>
                <w:bCs/>
                <w:sz w:val="16"/>
                <w:szCs w:val="16"/>
                <w:lang w:val="en-GB"/>
              </w:rPr>
              <w:t>OR o HR</w:t>
            </w:r>
          </w:p>
          <w:p w:rsidR="00DD1521" w:rsidRDefault="00DD1521" w:rsidP="00AD75CC">
            <w:pPr>
              <w:spacing w:after="0" w:line="240" w:lineRule="auto"/>
              <w:jc w:val="center"/>
              <w:rPr>
                <w:rFonts w:ascii="Arial" w:hAnsi="Arial" w:cs="Arial"/>
                <w:b/>
                <w:bCs/>
                <w:i/>
                <w:iCs/>
                <w:sz w:val="16"/>
                <w:szCs w:val="16"/>
                <w:lang w:val="pt-BR"/>
              </w:rPr>
            </w:pPr>
            <w:r>
              <w:rPr>
                <w:rFonts w:ascii="Arial" w:hAnsi="Arial" w:cs="Arial"/>
                <w:b/>
                <w:bCs/>
                <w:sz w:val="16"/>
                <w:szCs w:val="16"/>
                <w:lang w:val="en-GB"/>
              </w:rPr>
              <w:t>(IC 95%)</w:t>
            </w:r>
          </w:p>
        </w:tc>
      </w:tr>
      <w:tr w:rsidR="00DD15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3544" w:type="dxa"/>
            <w:vAlign w:val="bottom"/>
          </w:tcPr>
          <w:p w:rsidR="00DD1521" w:rsidRDefault="00DD1521" w:rsidP="00AD75CC">
            <w:pPr>
              <w:snapToGrid w:val="0"/>
              <w:spacing w:after="0" w:line="240" w:lineRule="auto"/>
              <w:rPr>
                <w:rFonts w:ascii="Arial" w:hAnsi="Arial" w:cs="Arial"/>
                <w:b/>
                <w:bCs/>
                <w:sz w:val="16"/>
                <w:szCs w:val="16"/>
              </w:rPr>
            </w:pPr>
            <w:r>
              <w:rPr>
                <w:rFonts w:ascii="Arial" w:hAnsi="Arial" w:cs="Arial"/>
                <w:b/>
                <w:bCs/>
                <w:sz w:val="16"/>
                <w:szCs w:val="16"/>
              </w:rPr>
              <w:t>Variable principal</w:t>
            </w:r>
          </w:p>
          <w:p w:rsidR="00DD1521" w:rsidRDefault="00DD1521" w:rsidP="00AD75CC">
            <w:pPr>
              <w:snapToGrid w:val="0"/>
              <w:spacing w:after="0" w:line="240" w:lineRule="auto"/>
              <w:rPr>
                <w:rFonts w:ascii="Arial" w:hAnsi="Arial" w:cs="Arial"/>
                <w:sz w:val="16"/>
                <w:szCs w:val="16"/>
              </w:rPr>
            </w:pPr>
            <w:r>
              <w:rPr>
                <w:rFonts w:ascii="Arial" w:hAnsi="Arial" w:cs="Arial"/>
                <w:sz w:val="16"/>
                <w:szCs w:val="16"/>
              </w:rPr>
              <w:t>SLP en meses, mediana (IC95%)</w:t>
            </w:r>
          </w:p>
        </w:tc>
        <w:tc>
          <w:tcPr>
            <w:tcW w:w="1418" w:type="dxa"/>
            <w:vAlign w:val="bottom"/>
          </w:tcPr>
          <w:p w:rsidR="00DD1521" w:rsidRDefault="00DD1521" w:rsidP="00AD75CC">
            <w:pPr>
              <w:snapToGrid w:val="0"/>
              <w:spacing w:after="0" w:line="240" w:lineRule="auto"/>
              <w:jc w:val="center"/>
              <w:rPr>
                <w:rFonts w:ascii="Arial" w:hAnsi="Arial" w:cs="Arial"/>
                <w:i/>
                <w:iCs/>
                <w:sz w:val="16"/>
                <w:szCs w:val="16"/>
              </w:rPr>
            </w:pPr>
            <w:r>
              <w:rPr>
                <w:rFonts w:ascii="Arial" w:hAnsi="Arial" w:cs="Arial"/>
                <w:i/>
                <w:iCs/>
                <w:sz w:val="16"/>
                <w:szCs w:val="16"/>
              </w:rPr>
              <w:t>10,1 (8,3-12,3)</w:t>
            </w:r>
          </w:p>
        </w:tc>
        <w:tc>
          <w:tcPr>
            <w:tcW w:w="1843" w:type="dxa"/>
            <w:vAlign w:val="bottom"/>
          </w:tcPr>
          <w:p w:rsidR="00DD1521" w:rsidRDefault="00DD1521" w:rsidP="00AD75CC">
            <w:pPr>
              <w:spacing w:after="0" w:line="240" w:lineRule="auto"/>
              <w:jc w:val="center"/>
              <w:rPr>
                <w:rFonts w:ascii="Arial" w:hAnsi="Arial" w:cs="Arial"/>
                <w:i/>
                <w:iCs/>
                <w:sz w:val="16"/>
                <w:szCs w:val="16"/>
              </w:rPr>
            </w:pPr>
            <w:r>
              <w:rPr>
                <w:rFonts w:ascii="Arial" w:hAnsi="Arial" w:cs="Arial"/>
                <w:i/>
                <w:iCs/>
                <w:sz w:val="16"/>
                <w:szCs w:val="16"/>
              </w:rPr>
              <w:t>4,4 (4,2-5,6)</w:t>
            </w:r>
          </w:p>
        </w:tc>
        <w:tc>
          <w:tcPr>
            <w:tcW w:w="708" w:type="dxa"/>
            <w:vAlign w:val="bottom"/>
          </w:tcPr>
          <w:p w:rsidR="00DD1521" w:rsidRDefault="00DD1521" w:rsidP="00AD75CC">
            <w:pPr>
              <w:spacing w:after="0" w:line="240" w:lineRule="auto"/>
              <w:jc w:val="center"/>
              <w:rPr>
                <w:rFonts w:ascii="Arial" w:hAnsi="Arial" w:cs="Arial"/>
                <w:i/>
                <w:iCs/>
                <w:sz w:val="16"/>
                <w:szCs w:val="16"/>
              </w:rPr>
            </w:pPr>
            <w:r>
              <w:rPr>
                <w:rFonts w:ascii="Arial" w:hAnsi="Arial" w:cs="Arial"/>
                <w:i/>
                <w:iCs/>
                <w:sz w:val="16"/>
                <w:szCs w:val="16"/>
              </w:rPr>
              <w:t>&lt;0,001</w:t>
            </w:r>
          </w:p>
        </w:tc>
        <w:tc>
          <w:tcPr>
            <w:tcW w:w="1701" w:type="dxa"/>
            <w:vAlign w:val="bottom"/>
          </w:tcPr>
          <w:p w:rsidR="00DD1521" w:rsidRDefault="00DD1521" w:rsidP="00AD75CC">
            <w:pPr>
              <w:spacing w:after="0" w:line="240" w:lineRule="auto"/>
              <w:jc w:val="center"/>
            </w:pPr>
            <w:r>
              <w:rPr>
                <w:rFonts w:ascii="Arial" w:hAnsi="Arial" w:cs="Arial"/>
                <w:i/>
                <w:iCs/>
                <w:sz w:val="16"/>
                <w:szCs w:val="16"/>
              </w:rPr>
              <w:t xml:space="preserve">HR= </w:t>
            </w:r>
            <w:r>
              <w:rPr>
                <w:rFonts w:ascii="Arial" w:hAnsi="Arial" w:cs="Arial"/>
                <w:sz w:val="16"/>
                <w:szCs w:val="16"/>
              </w:rPr>
              <w:t>0,30 (0,23, 0,41)</w:t>
            </w:r>
          </w:p>
        </w:tc>
      </w:tr>
      <w:tr w:rsidR="00DD15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1"/>
        </w:trPr>
        <w:tc>
          <w:tcPr>
            <w:tcW w:w="3544" w:type="dxa"/>
            <w:vAlign w:val="bottom"/>
          </w:tcPr>
          <w:p w:rsidR="00DD1521" w:rsidRDefault="00DD1521" w:rsidP="00AD75CC">
            <w:pPr>
              <w:spacing w:after="0" w:line="240" w:lineRule="auto"/>
              <w:rPr>
                <w:rFonts w:ascii="Arial" w:hAnsi="Arial" w:cs="Arial"/>
                <w:b/>
                <w:bCs/>
                <w:color w:val="000000"/>
                <w:sz w:val="16"/>
                <w:szCs w:val="16"/>
              </w:rPr>
            </w:pPr>
            <w:r>
              <w:rPr>
                <w:rFonts w:ascii="Arial" w:hAnsi="Arial" w:cs="Arial"/>
                <w:b/>
                <w:bCs/>
                <w:color w:val="000000"/>
                <w:sz w:val="16"/>
                <w:szCs w:val="16"/>
              </w:rPr>
              <w:t>Variables secundarias</w:t>
            </w:r>
          </w:p>
          <w:p w:rsidR="00DD1521" w:rsidRDefault="00DD1521" w:rsidP="00AD75CC">
            <w:pPr>
              <w:spacing w:after="0" w:line="240" w:lineRule="auto"/>
              <w:rPr>
                <w:rFonts w:ascii="Arial" w:hAnsi="Arial" w:cs="Arial"/>
                <w:color w:val="000000"/>
                <w:sz w:val="16"/>
                <w:szCs w:val="16"/>
              </w:rPr>
            </w:pPr>
            <w:r>
              <w:rPr>
                <w:rFonts w:ascii="Arial" w:hAnsi="Arial" w:cs="Arial"/>
                <w:color w:val="000000"/>
                <w:sz w:val="16"/>
                <w:szCs w:val="16"/>
              </w:rPr>
              <w:t>TRO (%, IC95)</w:t>
            </w:r>
          </w:p>
          <w:p w:rsidR="00DD1521" w:rsidRDefault="00DD1521" w:rsidP="00AD75CC">
            <w:pPr>
              <w:spacing w:after="0" w:line="240" w:lineRule="auto"/>
              <w:rPr>
                <w:rFonts w:ascii="Arial" w:hAnsi="Arial" w:cs="Arial"/>
                <w:color w:val="000000"/>
                <w:sz w:val="16"/>
                <w:szCs w:val="16"/>
              </w:rPr>
            </w:pPr>
            <w:r>
              <w:rPr>
                <w:rFonts w:ascii="Arial" w:hAnsi="Arial" w:cs="Arial"/>
                <w:color w:val="000000"/>
                <w:sz w:val="16"/>
                <w:szCs w:val="16"/>
              </w:rPr>
              <w:t>Duración de la respuesta (%, IC95%)</w:t>
            </w:r>
          </w:p>
          <w:p w:rsidR="00DD1521" w:rsidRDefault="00DD1521" w:rsidP="00AD75CC">
            <w:pPr>
              <w:spacing w:after="0" w:line="240" w:lineRule="auto"/>
              <w:rPr>
                <w:rFonts w:ascii="Arial" w:hAnsi="Arial" w:cs="Arial"/>
                <w:color w:val="000000"/>
                <w:sz w:val="16"/>
                <w:szCs w:val="16"/>
              </w:rPr>
            </w:pPr>
            <w:r>
              <w:rPr>
                <w:rFonts w:ascii="Arial" w:hAnsi="Arial" w:cs="Arial"/>
                <w:color w:val="000000"/>
                <w:sz w:val="16"/>
                <w:szCs w:val="16"/>
              </w:rPr>
              <w:t>Tasa de control de la enfermedad (%, IC95%)</w:t>
            </w:r>
          </w:p>
          <w:p w:rsidR="00DD1521" w:rsidRDefault="00DD1521" w:rsidP="00AD75CC">
            <w:pPr>
              <w:spacing w:after="0" w:line="240" w:lineRule="auto"/>
              <w:rPr>
                <w:rFonts w:ascii="Arial" w:hAnsi="Arial" w:cs="Arial"/>
                <w:sz w:val="16"/>
                <w:szCs w:val="16"/>
              </w:rPr>
            </w:pPr>
            <w:r>
              <w:rPr>
                <w:rFonts w:ascii="Arial" w:hAnsi="Arial" w:cs="Arial"/>
                <w:color w:val="000000"/>
                <w:sz w:val="16"/>
                <w:szCs w:val="16"/>
              </w:rPr>
              <w:t xml:space="preserve">SG </w:t>
            </w:r>
            <w:r>
              <w:rPr>
                <w:rFonts w:ascii="Arial" w:hAnsi="Arial" w:cs="Arial"/>
                <w:sz w:val="16"/>
                <w:szCs w:val="16"/>
              </w:rPr>
              <w:t>en meses, mediana (IC95%)</w:t>
            </w:r>
          </w:p>
          <w:p w:rsidR="00DD1521" w:rsidRDefault="00DD1521" w:rsidP="00AD75CC">
            <w:pPr>
              <w:spacing w:after="0" w:line="240" w:lineRule="auto"/>
              <w:rPr>
                <w:rFonts w:ascii="Arial" w:hAnsi="Arial" w:cs="Arial"/>
                <w:color w:val="000000"/>
                <w:sz w:val="16"/>
                <w:szCs w:val="16"/>
              </w:rPr>
            </w:pPr>
            <w:r>
              <w:rPr>
                <w:rFonts w:ascii="Arial" w:hAnsi="Arial" w:cs="Arial"/>
                <w:color w:val="000000"/>
                <w:sz w:val="16"/>
                <w:szCs w:val="16"/>
              </w:rPr>
              <w:t>Número de muertes (%madurez)</w:t>
            </w:r>
          </w:p>
          <w:p w:rsidR="00DD1521" w:rsidRDefault="00DD1521" w:rsidP="00AD75CC">
            <w:pPr>
              <w:spacing w:after="0" w:line="240" w:lineRule="auto"/>
              <w:rPr>
                <w:rFonts w:ascii="Arial" w:hAnsi="Arial" w:cs="Arial"/>
                <w:sz w:val="16"/>
                <w:szCs w:val="16"/>
              </w:rPr>
            </w:pPr>
            <w:r>
              <w:rPr>
                <w:rFonts w:ascii="Arial" w:hAnsi="Arial" w:cs="Arial"/>
                <w:color w:val="000000"/>
                <w:sz w:val="16"/>
                <w:szCs w:val="16"/>
              </w:rPr>
              <w:t xml:space="preserve">Tiempo hasta respuesta en semanas (mediana) </w:t>
            </w:r>
          </w:p>
        </w:tc>
        <w:tc>
          <w:tcPr>
            <w:tcW w:w="1418" w:type="dxa"/>
            <w:vAlign w:val="bottom"/>
          </w:tcPr>
          <w:p w:rsidR="00DD1521" w:rsidRDefault="00DD1521" w:rsidP="00AD75CC">
            <w:pPr>
              <w:spacing w:after="0" w:line="240" w:lineRule="auto"/>
              <w:jc w:val="center"/>
              <w:rPr>
                <w:rFonts w:ascii="Arial" w:hAnsi="Arial" w:cs="Arial"/>
                <w:sz w:val="16"/>
                <w:szCs w:val="16"/>
              </w:rPr>
            </w:pPr>
            <w:r>
              <w:rPr>
                <w:rFonts w:ascii="Arial" w:hAnsi="Arial" w:cs="Arial"/>
                <w:sz w:val="16"/>
                <w:szCs w:val="16"/>
              </w:rPr>
              <w:t>71% (65-76)</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9,7 (8,3-11,6)</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93% (90-96)</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NC (20,5,NE)</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69 (24,7)</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6,1 (NC, NC)</w:t>
            </w:r>
          </w:p>
        </w:tc>
        <w:tc>
          <w:tcPr>
            <w:tcW w:w="1843" w:type="dxa"/>
            <w:vAlign w:val="bottom"/>
          </w:tcPr>
          <w:p w:rsidR="00DD1521" w:rsidRDefault="00DD1521" w:rsidP="00AD75CC">
            <w:pPr>
              <w:spacing w:after="0" w:line="240" w:lineRule="auto"/>
              <w:jc w:val="center"/>
              <w:rPr>
                <w:rFonts w:ascii="Arial" w:hAnsi="Arial" w:cs="Arial"/>
                <w:sz w:val="16"/>
                <w:szCs w:val="16"/>
              </w:rPr>
            </w:pPr>
            <w:r>
              <w:rPr>
                <w:rFonts w:ascii="Arial" w:hAnsi="Arial" w:cs="Arial"/>
                <w:sz w:val="16"/>
                <w:szCs w:val="16"/>
              </w:rPr>
              <w:t xml:space="preserve">31% (24-40) </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4,1 (13,0, 5,6)</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74% (66-81)</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NC(20,5,NE)</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40 (28,6)</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6,4 (12,7, 46,3)</w:t>
            </w:r>
          </w:p>
        </w:tc>
        <w:tc>
          <w:tcPr>
            <w:tcW w:w="708" w:type="dxa"/>
            <w:vAlign w:val="bottom"/>
          </w:tcPr>
          <w:p w:rsidR="00DD1521" w:rsidRDefault="00DD1521" w:rsidP="00AD75CC">
            <w:pPr>
              <w:spacing w:after="0" w:line="240" w:lineRule="auto"/>
              <w:jc w:val="center"/>
              <w:rPr>
                <w:rFonts w:ascii="Arial" w:hAnsi="Arial" w:cs="Arial"/>
                <w:i/>
                <w:iCs/>
                <w:sz w:val="16"/>
                <w:szCs w:val="16"/>
              </w:rPr>
            </w:pPr>
            <w:r>
              <w:rPr>
                <w:rFonts w:ascii="Arial" w:hAnsi="Arial" w:cs="Arial"/>
                <w:i/>
                <w:iCs/>
                <w:sz w:val="16"/>
                <w:szCs w:val="16"/>
              </w:rPr>
              <w:t>&lt;0,001</w:t>
            </w:r>
          </w:p>
          <w:p w:rsidR="00DD1521" w:rsidRDefault="00DD1521" w:rsidP="00AD75CC">
            <w:pPr>
              <w:spacing w:after="0" w:line="240" w:lineRule="auto"/>
              <w:jc w:val="center"/>
              <w:rPr>
                <w:rFonts w:ascii="Arial" w:hAnsi="Arial" w:cs="Arial"/>
                <w:i/>
                <w:iCs/>
                <w:sz w:val="16"/>
                <w:szCs w:val="16"/>
              </w:rPr>
            </w:pPr>
            <w:r>
              <w:rPr>
                <w:rFonts w:ascii="Arial" w:hAnsi="Arial" w:cs="Arial"/>
                <w:i/>
                <w:iCs/>
                <w:sz w:val="16"/>
                <w:szCs w:val="16"/>
              </w:rPr>
              <w:t>-</w:t>
            </w:r>
          </w:p>
          <w:p w:rsidR="00DD1521" w:rsidRDefault="00DD1521" w:rsidP="00AD75CC">
            <w:pPr>
              <w:spacing w:after="0" w:line="240" w:lineRule="auto"/>
              <w:jc w:val="center"/>
              <w:rPr>
                <w:rFonts w:ascii="Arial" w:hAnsi="Arial" w:cs="Arial"/>
                <w:i/>
                <w:iCs/>
                <w:sz w:val="16"/>
                <w:szCs w:val="16"/>
              </w:rPr>
            </w:pPr>
            <w:r>
              <w:rPr>
                <w:rFonts w:ascii="Arial" w:hAnsi="Arial" w:cs="Arial"/>
                <w:i/>
                <w:iCs/>
                <w:sz w:val="16"/>
                <w:szCs w:val="16"/>
              </w:rPr>
              <w:t>&lt;0,001</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0,121</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w:t>
            </w:r>
          </w:p>
        </w:tc>
        <w:tc>
          <w:tcPr>
            <w:tcW w:w="1701" w:type="dxa"/>
            <w:vAlign w:val="bottom"/>
          </w:tcPr>
          <w:p w:rsidR="00DD1521" w:rsidRDefault="00DD1521" w:rsidP="00AD75CC">
            <w:pPr>
              <w:spacing w:after="0" w:line="240" w:lineRule="auto"/>
              <w:jc w:val="center"/>
              <w:rPr>
                <w:rFonts w:ascii="Arial" w:hAnsi="Arial" w:cs="Arial"/>
                <w:sz w:val="16"/>
                <w:szCs w:val="16"/>
              </w:rPr>
            </w:pPr>
            <w:r>
              <w:rPr>
                <w:rFonts w:ascii="Arial" w:hAnsi="Arial" w:cs="Arial"/>
                <w:sz w:val="16"/>
                <w:szCs w:val="16"/>
              </w:rPr>
              <w:t>OR=5,39 (3,47, 8,48)</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 xml:space="preserve">OR=4,76 (2,64-8,84) </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 xml:space="preserve">HR=0,72 (0,48,1,09) </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w:t>
            </w:r>
          </w:p>
          <w:p w:rsidR="00DD1521" w:rsidRDefault="00DD1521" w:rsidP="00AD75CC">
            <w:pPr>
              <w:spacing w:after="0" w:line="240" w:lineRule="auto"/>
              <w:jc w:val="center"/>
              <w:rPr>
                <w:rFonts w:ascii="Arial" w:hAnsi="Arial" w:cs="Arial"/>
                <w:sz w:val="16"/>
                <w:szCs w:val="16"/>
              </w:rPr>
            </w:pPr>
            <w:r>
              <w:rPr>
                <w:rFonts w:ascii="Arial" w:hAnsi="Arial" w:cs="Arial"/>
                <w:sz w:val="16"/>
                <w:szCs w:val="16"/>
              </w:rPr>
              <w:t>-</w:t>
            </w:r>
          </w:p>
        </w:tc>
      </w:tr>
      <w:tr w:rsidR="00DD15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9214" w:type="dxa"/>
            <w:gridSpan w:val="5"/>
            <w:shd w:val="clear" w:color="auto" w:fill="E6E6E6"/>
          </w:tcPr>
          <w:p w:rsidR="00DD1521" w:rsidRDefault="00DD1521" w:rsidP="00AD75CC">
            <w:pPr>
              <w:spacing w:after="0" w:line="240" w:lineRule="auto"/>
              <w:jc w:val="both"/>
              <w:rPr>
                <w:rFonts w:ascii="Arial" w:hAnsi="Arial" w:cs="Arial"/>
                <w:sz w:val="16"/>
                <w:szCs w:val="16"/>
              </w:rPr>
            </w:pPr>
            <w:r>
              <w:rPr>
                <w:rFonts w:ascii="Arial" w:hAnsi="Arial" w:cs="Arial"/>
                <w:sz w:val="16"/>
                <w:szCs w:val="16"/>
              </w:rPr>
              <w:t>El análisis de SG no fue ajustado por los efectos de la confusión potenciales debido al cruzamiento (67% de pacientes en el brazo quimioterapia recibieron tratamiento subsiguiente con osimertinib).</w:t>
            </w:r>
          </w:p>
        </w:tc>
      </w:tr>
    </w:tbl>
    <w:p w:rsidR="00DD1521" w:rsidRDefault="00DD1521">
      <w:pPr>
        <w:spacing w:after="0" w:line="240" w:lineRule="auto"/>
        <w:jc w:val="both"/>
        <w:rPr>
          <w:rFonts w:ascii="Arial" w:hAnsi="Arial" w:cs="Arial"/>
          <w:b/>
          <w:bCs/>
          <w:color w:val="000080"/>
          <w:sz w:val="16"/>
          <w:szCs w:val="16"/>
        </w:rPr>
      </w:pPr>
    </w:p>
    <w:p w:rsidR="00DD1521" w:rsidRDefault="0023048A">
      <w:pPr>
        <w:keepNext/>
        <w:spacing w:after="0" w:line="240" w:lineRule="auto"/>
        <w:jc w:val="both"/>
      </w:pPr>
      <w:r>
        <w:rPr>
          <w:noProof/>
        </w:rPr>
        <w:lastRenderedPageBreak/>
        <w:drawing>
          <wp:inline distT="0" distB="0" distL="0" distR="0">
            <wp:extent cx="3905250" cy="2505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2505075"/>
                    </a:xfrm>
                    <a:prstGeom prst="rect">
                      <a:avLst/>
                    </a:prstGeom>
                    <a:noFill/>
                    <a:ln>
                      <a:noFill/>
                    </a:ln>
                  </pic:spPr>
                </pic:pic>
              </a:graphicData>
            </a:graphic>
          </wp:inline>
        </w:drawing>
      </w:r>
    </w:p>
    <w:p w:rsidR="00DD1521" w:rsidRDefault="00DD1521">
      <w:pPr>
        <w:pStyle w:val="Descripcin"/>
        <w:spacing w:after="0" w:line="240" w:lineRule="auto"/>
        <w:jc w:val="both"/>
        <w:rPr>
          <w:rFonts w:ascii="Arial" w:hAnsi="Arial" w:cs="Arial"/>
          <w:sz w:val="16"/>
          <w:szCs w:val="16"/>
        </w:rPr>
      </w:pPr>
    </w:p>
    <w:p w:rsidR="00DD1521" w:rsidRDefault="00DD1521">
      <w:pPr>
        <w:pStyle w:val="Descripcin"/>
        <w:spacing w:after="0" w:line="240" w:lineRule="auto"/>
        <w:jc w:val="both"/>
        <w:rPr>
          <w:rFonts w:ascii="Arial" w:hAnsi="Arial" w:cs="Arial"/>
          <w:sz w:val="18"/>
          <w:szCs w:val="18"/>
        </w:rPr>
      </w:pPr>
      <w:r>
        <w:rPr>
          <w:rFonts w:ascii="Arial" w:hAnsi="Arial" w:cs="Arial"/>
          <w:sz w:val="18"/>
          <w:szCs w:val="18"/>
        </w:rPr>
        <w:t xml:space="preserve">Figura </w:t>
      </w:r>
      <w:r>
        <w:rPr>
          <w:rFonts w:ascii="Arial" w:hAnsi="Arial" w:cs="Arial"/>
          <w:sz w:val="18"/>
          <w:szCs w:val="18"/>
        </w:rPr>
        <w:fldChar w:fldCharType="begin"/>
      </w:r>
      <w:r>
        <w:rPr>
          <w:rFonts w:ascii="Arial" w:hAnsi="Arial" w:cs="Arial"/>
          <w:sz w:val="18"/>
          <w:szCs w:val="18"/>
        </w:rPr>
        <w:instrText xml:space="preserve"> SEQ Ilustración \* ARABIC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Curvas de SLP en la población ITT. Informe EPAR de la EMA.</w:t>
      </w:r>
    </w:p>
    <w:p w:rsidR="00DD1521" w:rsidRDefault="00DD1521">
      <w:pPr>
        <w:spacing w:after="0" w:line="240" w:lineRule="auto"/>
        <w:jc w:val="both"/>
        <w:rPr>
          <w:rFonts w:ascii="Arial" w:hAnsi="Arial" w:cs="Arial"/>
          <w:sz w:val="20"/>
          <w:szCs w:val="20"/>
        </w:rPr>
      </w:pPr>
      <w:r>
        <w:rPr>
          <w:rFonts w:ascii="Arial" w:hAnsi="Arial" w:cs="Arial"/>
          <w:sz w:val="20"/>
          <w:szCs w:val="20"/>
        </w:rPr>
        <w:t>De los 136 pacientes en el grupo de quimioterapia, 42 (30,9%) recibieron pemetrexed más cisplatino y 94 (69,1%) pemetrexed más carboplatino, según elección del investigador. Cien (73,5%) pacientes completaron al menos 4 ciclos de quimioterapia. De estos, 73 (53,7%) pasaron a recibir monoterapia de mantenimiento con pemetrexed. El tiempo medio de mantenimiento con pemetrexed fue de 3,8 meses (sd, 2,73) y la mediana de 3,1 meses (rango: 0,7-11,7).</w:t>
      </w:r>
    </w:p>
    <w:p w:rsidR="00DD1521" w:rsidRDefault="00DD1521">
      <w:pPr>
        <w:spacing w:after="0" w:line="240" w:lineRule="auto"/>
        <w:jc w:val="both"/>
        <w:rPr>
          <w:rFonts w:ascii="Arial" w:hAnsi="Arial" w:cs="Arial"/>
          <w:sz w:val="20"/>
          <w:szCs w:val="20"/>
        </w:rPr>
      </w:pPr>
    </w:p>
    <w:p w:rsidR="00DD1521" w:rsidRPr="001D4A65" w:rsidRDefault="00DD1521" w:rsidP="001D4A65">
      <w:pPr>
        <w:spacing w:after="0" w:line="240" w:lineRule="auto"/>
        <w:jc w:val="both"/>
        <w:rPr>
          <w:rFonts w:ascii="Arial" w:hAnsi="Arial" w:cs="Arial"/>
          <w:sz w:val="20"/>
          <w:szCs w:val="20"/>
        </w:rPr>
      </w:pPr>
      <w:r w:rsidRPr="001D4A65">
        <w:rPr>
          <w:rFonts w:ascii="Arial" w:hAnsi="Arial" w:cs="Arial"/>
          <w:sz w:val="20"/>
          <w:szCs w:val="20"/>
        </w:rPr>
        <w:t>Como fármaco ITK anti-EGFR previo, 253 pacientes (60,4%) recibieron gefitinib, 145 (34,6%), erlotinib y 24 (5,7%) afatinib. La distribución de estos tratamientos entre los grupos de osimertinib y de quimioterapia fue similar.</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Si nos basamos en el análisis de SLP del </w:t>
      </w:r>
      <w:r>
        <w:rPr>
          <w:rFonts w:ascii="Arial" w:hAnsi="Arial" w:cs="Arial"/>
          <w:b/>
          <w:bCs/>
          <w:sz w:val="20"/>
          <w:szCs w:val="20"/>
        </w:rPr>
        <w:t>CRI</w:t>
      </w:r>
      <w:r>
        <w:rPr>
          <w:rFonts w:ascii="Arial" w:hAnsi="Arial" w:cs="Arial"/>
          <w:sz w:val="20"/>
          <w:szCs w:val="20"/>
        </w:rPr>
        <w:t xml:space="preserve"> la proporción estimada de pacientes vivos y libres de progresión a los 6 meses fue del 68,8% (IC95% 62,9 - 74,0) en el grupo de osimertinib frente al 36,9% (IC95% 28,5 - 45.3) en el brazo de quimioterapia, y a los 12 meses fue de 44,0% (IC95% 36,9 – 50,9) en el grupo de osimertinib frente al 9,8% (IC95% 4,9 – 16,9) en el grupo de quimioterapia. El grado de concordancia entre el investigador y el CRI en la variable SLP fue del 82%. Este beneficio se observa también en los pacientes con metástasis en SNC.</w:t>
      </w:r>
    </w:p>
    <w:p w:rsidR="00DD1521" w:rsidRDefault="0023048A">
      <w:pPr>
        <w:spacing w:line="240" w:lineRule="auto"/>
        <w:rPr>
          <w:rFonts w:ascii="Arial" w:hAnsi="Arial" w:cs="Arial"/>
          <w:sz w:val="20"/>
          <w:szCs w:val="20"/>
        </w:rPr>
      </w:pPr>
      <w:r>
        <w:rPr>
          <w:rFonts w:ascii="Arial" w:hAnsi="Arial" w:cs="Arial"/>
          <w:noProof/>
          <w:sz w:val="20"/>
          <w:szCs w:val="20"/>
        </w:rPr>
        <w:drawing>
          <wp:inline distT="0" distB="0" distL="0" distR="0">
            <wp:extent cx="3819525" cy="2247900"/>
            <wp:effectExtent l="0" t="0" r="0"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2247900"/>
                    </a:xfrm>
                    <a:prstGeom prst="rect">
                      <a:avLst/>
                    </a:prstGeom>
                    <a:noFill/>
                    <a:ln>
                      <a:noFill/>
                    </a:ln>
                  </pic:spPr>
                </pic:pic>
              </a:graphicData>
            </a:graphic>
          </wp:inline>
        </w:drawing>
      </w:r>
    </w:p>
    <w:p w:rsidR="00DD1521" w:rsidRDefault="00DD1521">
      <w:pPr>
        <w:snapToGrid w:val="0"/>
        <w:spacing w:after="0" w:line="240" w:lineRule="auto"/>
        <w:jc w:val="both"/>
        <w:rPr>
          <w:rFonts w:ascii="Arial" w:hAnsi="Arial" w:cs="Arial"/>
          <w:b/>
          <w:bCs/>
          <w:sz w:val="18"/>
          <w:szCs w:val="18"/>
        </w:rPr>
      </w:pPr>
      <w:r>
        <w:rPr>
          <w:rFonts w:ascii="Arial" w:hAnsi="Arial" w:cs="Arial"/>
          <w:b/>
          <w:bCs/>
          <w:sz w:val="18"/>
          <w:szCs w:val="18"/>
        </w:rPr>
        <w:t>Figura 2. Curvas de SLP según presencia o ausencia de metástasis en SNC. Informe EPAR de la EMA.</w:t>
      </w:r>
    </w:p>
    <w:p w:rsidR="00DD1521" w:rsidRDefault="00DD1521">
      <w:pPr>
        <w:spacing w:after="0" w:line="240" w:lineRule="auto"/>
        <w:rPr>
          <w:rFonts w:ascii="Arial" w:hAnsi="Arial" w:cs="Arial"/>
          <w:sz w:val="16"/>
          <w:szCs w:val="16"/>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En base a la evaluación del </w:t>
      </w:r>
      <w:r>
        <w:rPr>
          <w:rFonts w:ascii="Arial" w:hAnsi="Arial" w:cs="Arial"/>
          <w:b/>
          <w:bCs/>
          <w:sz w:val="20"/>
          <w:szCs w:val="20"/>
        </w:rPr>
        <w:t>investigador</w:t>
      </w:r>
      <w:r>
        <w:rPr>
          <w:rFonts w:ascii="Arial" w:hAnsi="Arial" w:cs="Arial"/>
          <w:sz w:val="20"/>
          <w:szCs w:val="20"/>
        </w:rPr>
        <w:t xml:space="preserve"> utilizando RECIST v1.1, osimertinib disminuyó la aparición de nuevas metástasis del SNC en comparación con la quimioterapia (4,7% frente a 14,3%, respectivamente). Según la evaluación del </w:t>
      </w:r>
      <w:r>
        <w:rPr>
          <w:rFonts w:ascii="Arial" w:hAnsi="Arial" w:cs="Arial"/>
          <w:b/>
          <w:bCs/>
          <w:sz w:val="20"/>
          <w:szCs w:val="20"/>
        </w:rPr>
        <w:t>CRI</w:t>
      </w:r>
      <w:r>
        <w:rPr>
          <w:rFonts w:ascii="Arial" w:hAnsi="Arial" w:cs="Arial"/>
          <w:sz w:val="20"/>
          <w:szCs w:val="20"/>
        </w:rPr>
        <w:t xml:space="preserve">, se observaron nuevas metástasis en el SNC en el </w:t>
      </w:r>
      <w:r>
        <w:rPr>
          <w:rFonts w:ascii="Arial" w:hAnsi="Arial" w:cs="Arial"/>
          <w:sz w:val="20"/>
          <w:szCs w:val="20"/>
        </w:rPr>
        <w:lastRenderedPageBreak/>
        <w:t>2,5% de los pacientes tratados con osimertinib frente al 9,3% de los pacientes tratados con quimioterapia. Por lo tanto, puede decirse que osimertinib redujo la proporción de pacientes que desarrollaron nuevas lesiones del SNC en comparación con el brazo de quimioterapia, independientemente del estado de metástasis del SNC al inicio del estudio.</w:t>
      </w:r>
    </w:p>
    <w:p w:rsidR="00DD1521" w:rsidRDefault="00DD1521">
      <w:pPr>
        <w:keepNext/>
        <w:spacing w:after="0" w:line="240" w:lineRule="auto"/>
        <w:rPr>
          <w:rFonts w:ascii="Arial" w:hAnsi="Arial" w:cs="Arial"/>
          <w:sz w:val="20"/>
          <w:szCs w:val="20"/>
        </w:rPr>
      </w:pPr>
    </w:p>
    <w:p w:rsidR="00DD1521" w:rsidRDefault="00DD1521">
      <w:pPr>
        <w:snapToGrid w:val="0"/>
        <w:spacing w:after="0" w:line="240" w:lineRule="auto"/>
        <w:jc w:val="both"/>
        <w:rPr>
          <w:rFonts w:ascii="Arial" w:hAnsi="Arial" w:cs="Arial"/>
          <w:sz w:val="20"/>
          <w:szCs w:val="20"/>
        </w:rPr>
      </w:pPr>
      <w:r>
        <w:rPr>
          <w:rFonts w:ascii="Arial" w:hAnsi="Arial" w:cs="Arial"/>
          <w:sz w:val="20"/>
          <w:szCs w:val="20"/>
        </w:rPr>
        <w:t xml:space="preserve">Se observa una superioridad estadística en cuanto a SLP en los pacientes con osimertinib en comparación con los que recibieron quimioterapia de forma consistente en todos los </w:t>
      </w:r>
      <w:r>
        <w:rPr>
          <w:rFonts w:ascii="Arial" w:hAnsi="Arial" w:cs="Arial"/>
          <w:b/>
          <w:bCs/>
          <w:sz w:val="20"/>
          <w:szCs w:val="20"/>
        </w:rPr>
        <w:t>subgrupos,</w:t>
      </w:r>
      <w:r>
        <w:rPr>
          <w:rFonts w:ascii="Arial" w:hAnsi="Arial" w:cs="Arial"/>
          <w:sz w:val="20"/>
          <w:szCs w:val="20"/>
        </w:rPr>
        <w:t xml:space="preserve"> incluyendo etnia (asiática vs. no asiática), edad de detección (&lt;65 años vs. ≥ 65 años) , sexo (masculino vs. femenino), antecedentes de tabaquismo (sí vs. no), estado de metástasis del SNC al ingreso (sí vs. no), estado de la mutación al inicio (deleción del exón 19 frente a mutación L858R) y duración del tratamiento previo con ITK anti-EGFR (&lt; 6 meses frente a ≥ 6 meses).</w:t>
      </w:r>
    </w:p>
    <w:p w:rsidR="00DD1521" w:rsidRDefault="00DD1521">
      <w:pPr>
        <w:snapToGrid w:val="0"/>
        <w:spacing w:after="0" w:line="240" w:lineRule="auto"/>
        <w:jc w:val="both"/>
        <w:rPr>
          <w:rFonts w:ascii="Arial" w:hAnsi="Arial" w:cs="Arial"/>
          <w:sz w:val="20"/>
          <w:szCs w:val="20"/>
        </w:rPr>
      </w:pPr>
      <w:r>
        <w:rPr>
          <w:rFonts w:ascii="Arial" w:hAnsi="Arial" w:cs="Arial"/>
          <w:sz w:val="20"/>
          <w:szCs w:val="20"/>
        </w:rPr>
        <w:t xml:space="preserve">Todos los HR calculados para SLP en los subgrupos fueron inferiores a 0,50, lo que indica una reducción mínima del 50% en el riesgo de progresión o muerte para los subgrupos evaluados. Se observaron mejoras en la SLP en pacientes con osimertinib en comparación con los que recibieron quimioterapia en pacientes </w:t>
      </w:r>
      <w:r>
        <w:rPr>
          <w:rFonts w:ascii="Arial" w:hAnsi="Arial" w:cs="Arial"/>
          <w:b/>
          <w:bCs/>
          <w:sz w:val="20"/>
          <w:szCs w:val="20"/>
        </w:rPr>
        <w:t>con y sin metástasis del SNC</w:t>
      </w:r>
      <w:r>
        <w:rPr>
          <w:rFonts w:ascii="Arial" w:hAnsi="Arial" w:cs="Arial"/>
          <w:sz w:val="20"/>
          <w:szCs w:val="20"/>
        </w:rPr>
        <w:t xml:space="preserve"> al inicio del estudio, con HR de 0,32 (IC 95%: 0,21, 0,49) y 0,40 (IC 95%: 0,29, 0,55), respectivamente. Se observaron mejoras numéricamente mayores en la SLP con respecto a la quimioterapia en </w:t>
      </w:r>
      <w:r>
        <w:rPr>
          <w:rFonts w:ascii="Arial" w:hAnsi="Arial" w:cs="Arial"/>
          <w:b/>
          <w:bCs/>
          <w:sz w:val="20"/>
          <w:szCs w:val="20"/>
        </w:rPr>
        <w:t>pacientes asiáticos en comparación con pacientes no asiáticos</w:t>
      </w:r>
      <w:r>
        <w:rPr>
          <w:rFonts w:ascii="Arial" w:hAnsi="Arial" w:cs="Arial"/>
          <w:sz w:val="20"/>
          <w:szCs w:val="20"/>
        </w:rPr>
        <w:t xml:space="preserve"> (HR=0,32 frente a 0,48, respectivamente), en mujeres en comparación con hombres (HR=0,34 frente a 0,43, respectivamente) y en pacientes con tumores que albergaban una deleción del exón 19 en comparación con una mutación L858R (HR=0,34 frente a 0,46, respectivamente). Una prueba de interacción global no proporcionó evidencia de ninguna interacción de tratamiento por covariable para las covariables de etnia, sexo, edad, estado de la mutación, duración de ITK anti-EGFR anterior, metástasis del SNC, historial de tabaquismo (valor de p bilateral=0,231). Se realizó un análisis post-hoc de SLP en base a los subgrupos del tipo de régimen de quimioterapia utilizado. La superioridad de osimertinib respecto a la quimioterapia fue independiente del régimen de quimioterapia.</w:t>
      </w:r>
    </w:p>
    <w:p w:rsidR="00DD1521" w:rsidRDefault="00DD1521">
      <w:pPr>
        <w:snapToGrid w:val="0"/>
        <w:spacing w:after="0" w:line="240" w:lineRule="auto"/>
        <w:jc w:val="both"/>
        <w:rPr>
          <w:rFonts w:ascii="Arial" w:hAnsi="Arial" w:cs="Arial"/>
          <w:sz w:val="20"/>
          <w:szCs w:val="20"/>
        </w:rPr>
      </w:pPr>
    </w:p>
    <w:p w:rsidR="00DD1521" w:rsidRDefault="00DD1521">
      <w:pPr>
        <w:snapToGrid w:val="0"/>
        <w:spacing w:after="0" w:line="240" w:lineRule="auto"/>
        <w:jc w:val="both"/>
        <w:rPr>
          <w:rFonts w:ascii="Arial" w:hAnsi="Arial" w:cs="Arial"/>
          <w:sz w:val="20"/>
          <w:szCs w:val="20"/>
        </w:rPr>
      </w:pPr>
      <w:r>
        <w:rPr>
          <w:rFonts w:ascii="Arial" w:hAnsi="Arial" w:cs="Arial"/>
          <w:sz w:val="20"/>
          <w:szCs w:val="20"/>
        </w:rPr>
        <w:t xml:space="preserve">Los resultados de SG son todavía inmaduros. Sin embargo, el HR parece evidenciar una tendencia favorable a osimertinib (HR=0,72; IC95% 0,34 – 1,52). Los resultados de SG se presentarán en el futuro, sin </w:t>
      </w:r>
      <w:r w:rsidR="00E172A8">
        <w:rPr>
          <w:rFonts w:ascii="Arial" w:hAnsi="Arial" w:cs="Arial"/>
          <w:sz w:val="20"/>
          <w:szCs w:val="20"/>
        </w:rPr>
        <w:t>embargo,</w:t>
      </w:r>
      <w:r>
        <w:rPr>
          <w:rFonts w:ascii="Arial" w:hAnsi="Arial" w:cs="Arial"/>
          <w:sz w:val="20"/>
          <w:szCs w:val="20"/>
        </w:rPr>
        <w:t xml:space="preserve"> no es de esperar que estos resultados sean concluyentes, teniendo en cuenta que 94/140 (67%) pacientes se cruzaron del brazo de quimioterapia al brazo de osimertinib.</w:t>
      </w:r>
    </w:p>
    <w:p w:rsidR="00DD1521" w:rsidRDefault="00DD1521">
      <w:pPr>
        <w:snapToGrid w:val="0"/>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i/>
          <w:iCs/>
          <w:sz w:val="20"/>
          <w:szCs w:val="20"/>
        </w:rPr>
      </w:pPr>
      <w:r>
        <w:rPr>
          <w:rFonts w:ascii="Arial" w:hAnsi="Arial" w:cs="Arial"/>
          <w:b/>
          <w:bCs/>
          <w:i/>
          <w:iCs/>
          <w:sz w:val="20"/>
          <w:szCs w:val="20"/>
        </w:rPr>
        <w:t>Tratamiento de primera línea del CPNM avanzado o metastásico con mutaciones activadoras de EGFR</w:t>
      </w:r>
    </w:p>
    <w:p w:rsidR="00DD1521" w:rsidRDefault="00DD1521">
      <w:pPr>
        <w:snapToGrid w:val="0"/>
        <w:spacing w:after="0" w:line="240" w:lineRule="auto"/>
        <w:jc w:val="both"/>
        <w:rPr>
          <w:rFonts w:ascii="Arial" w:hAnsi="Arial" w:cs="Arial"/>
          <w:sz w:val="20"/>
          <w:szCs w:val="20"/>
        </w:rPr>
      </w:pPr>
    </w:p>
    <w:tbl>
      <w:tblPr>
        <w:tblW w:w="9348" w:type="dxa"/>
        <w:tblInd w:w="-106" w:type="dxa"/>
        <w:tblLayout w:type="fixed"/>
        <w:tblLook w:val="00A0" w:firstRow="1" w:lastRow="0" w:firstColumn="1" w:lastColumn="0" w:noHBand="0" w:noVBand="0"/>
      </w:tblPr>
      <w:tblGrid>
        <w:gridCol w:w="3441"/>
        <w:gridCol w:w="1417"/>
        <w:gridCol w:w="1418"/>
        <w:gridCol w:w="850"/>
        <w:gridCol w:w="20"/>
        <w:gridCol w:w="16"/>
        <w:gridCol w:w="2186"/>
      </w:tblGrid>
      <w:tr w:rsidR="00DD1521">
        <w:tc>
          <w:tcPr>
            <w:tcW w:w="9348" w:type="dxa"/>
            <w:gridSpan w:val="7"/>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pStyle w:val="Normal1"/>
              <w:spacing w:after="0" w:line="240" w:lineRule="auto"/>
              <w:jc w:val="both"/>
              <w:rPr>
                <w:rFonts w:ascii="Arial" w:hAnsi="Arial" w:cs="Arial"/>
                <w:b/>
                <w:bCs/>
                <w:sz w:val="18"/>
                <w:szCs w:val="18"/>
              </w:rPr>
            </w:pPr>
            <w:r>
              <w:rPr>
                <w:rFonts w:ascii="Arial" w:hAnsi="Arial" w:cs="Arial"/>
                <w:b/>
                <w:bCs/>
                <w:sz w:val="18"/>
                <w:szCs w:val="18"/>
                <w:lang w:val="en-US"/>
              </w:rPr>
              <w:t xml:space="preserve">Tabla 8. Estudio FLAURA: Osimertinib in Untreated EGFR-Mutated Advanced Non–Small-Cell Lung Cancer. </w:t>
            </w:r>
            <w:r>
              <w:rPr>
                <w:rFonts w:ascii="Arial" w:hAnsi="Arial" w:cs="Arial"/>
                <w:b/>
                <w:bCs/>
                <w:sz w:val="18"/>
                <w:szCs w:val="18"/>
              </w:rPr>
              <w:t xml:space="preserve">Soria JC, Ohe Y, Vansteenkiste J et al. N Engl J Med. 2018;378(2):113-5. </w:t>
            </w:r>
          </w:p>
        </w:tc>
      </w:tr>
      <w:tr w:rsidR="00DD1521">
        <w:tc>
          <w:tcPr>
            <w:tcW w:w="9348" w:type="dxa"/>
            <w:gridSpan w:val="7"/>
            <w:tcBorders>
              <w:top w:val="single" w:sz="4" w:space="0" w:color="000000"/>
              <w:left w:val="single" w:sz="4" w:space="0" w:color="000000"/>
              <w:bottom w:val="single" w:sz="4" w:space="0" w:color="000000"/>
              <w:right w:val="single" w:sz="4" w:space="0" w:color="000000"/>
            </w:tcBorders>
            <w:shd w:val="clear" w:color="auto" w:fill="FFFFFF"/>
          </w:tcPr>
          <w:p w:rsidR="00DD1521" w:rsidRDefault="00DD1521">
            <w:pPr>
              <w:pStyle w:val="Normal1"/>
              <w:spacing w:after="0" w:line="240" w:lineRule="auto"/>
              <w:jc w:val="both"/>
              <w:rPr>
                <w:rFonts w:ascii="Arial" w:hAnsi="Arial" w:cs="Arial"/>
                <w:sz w:val="16"/>
                <w:szCs w:val="16"/>
              </w:rPr>
            </w:pPr>
            <w:r>
              <w:rPr>
                <w:rFonts w:ascii="Arial" w:hAnsi="Arial" w:cs="Arial"/>
                <w:sz w:val="16"/>
                <w:szCs w:val="16"/>
                <w:u w:val="single"/>
              </w:rPr>
              <w:t>nº de pacientes</w:t>
            </w:r>
            <w:r>
              <w:rPr>
                <w:rFonts w:ascii="Arial" w:hAnsi="Arial" w:cs="Arial"/>
                <w:sz w:val="16"/>
                <w:szCs w:val="16"/>
              </w:rPr>
              <w:t>: 556 (279 grupo osimertinib y 277 grupo ITK de primera generación (erlotinib o gefitinib). Se realizó una enmienda del protocolo por la que se amplió la cohorte de población China participante en el estudio, incluyendo a 117 pacientes más. El análisis de estos 117 pacientes adicionales incluidos no ha sido presentados</w:t>
            </w:r>
            <w:r w:rsidR="00E172A8">
              <w:rPr>
                <w:rFonts w:ascii="Arial" w:hAnsi="Arial" w:cs="Arial"/>
                <w:sz w:val="16"/>
                <w:szCs w:val="16"/>
              </w:rPr>
              <w:t xml:space="preserve"> </w:t>
            </w:r>
            <w:r>
              <w:rPr>
                <w:rFonts w:ascii="Arial" w:hAnsi="Arial" w:cs="Arial"/>
                <w:sz w:val="16"/>
                <w:szCs w:val="16"/>
              </w:rPr>
              <w:t xml:space="preserve">en los resultados del estudio FLAURA debido a que su inclusión se llevó a cabo después del cierre del reclutamiento en el resto de centros. </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u w:val="single"/>
              </w:rPr>
              <w:t>Diseño</w:t>
            </w:r>
            <w:r>
              <w:rPr>
                <w:rFonts w:ascii="Arial" w:hAnsi="Arial" w:cs="Arial"/>
                <w:sz w:val="16"/>
                <w:szCs w:val="16"/>
              </w:rPr>
              <w:t>: estudio fase III, aleatorizado (proporción 1:1), doble ciego, multicéntrico. Los pacientes se estratificaron de acuerdo a su condición de raza asiática y no asiática y al tipo de mutación en EGFR (deleción del exon 19 (Ex19del) o mutaciones puntuales en el exón 21 (L858R)).</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u w:val="single"/>
              </w:rPr>
              <w:t>Tratamiento grupo activo</w:t>
            </w:r>
            <w:r>
              <w:rPr>
                <w:rFonts w:ascii="Arial" w:hAnsi="Arial" w:cs="Arial"/>
                <w:sz w:val="16"/>
                <w:szCs w:val="16"/>
              </w:rPr>
              <w:t xml:space="preserve">: 80 mg de osimertinib oral. </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u w:val="single"/>
              </w:rPr>
              <w:t>Tratamiento grupo control</w:t>
            </w:r>
            <w:r>
              <w:rPr>
                <w:rFonts w:ascii="Arial" w:hAnsi="Arial" w:cs="Arial"/>
                <w:sz w:val="16"/>
                <w:szCs w:val="16"/>
              </w:rPr>
              <w:t xml:space="preserve">: erlotinib 150 mg al día o gefitinib 250 mg al día. De acuerdo a una enmienda en el protocolo del ensayo clínico, los pacientes que habían sido asignados al grupo con ITK de primera generación podían cruzarse al grupo osimertinib tras objetivar progresión al tratamiento, siempre y cuando se cumplieran los objetivos especificados en el protocolo. </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u w:val="single"/>
              </w:rPr>
              <w:t>Criterios de inclusión</w:t>
            </w:r>
            <w:r>
              <w:rPr>
                <w:rFonts w:ascii="Arial" w:hAnsi="Arial" w:cs="Arial"/>
                <w:sz w:val="16"/>
                <w:szCs w:val="16"/>
              </w:rPr>
              <w:t>:</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eastAsia="Arial Unicode MS" w:hAnsi="Arial" w:cs="Arial"/>
                <w:color w:val="000000"/>
                <w:sz w:val="16"/>
                <w:szCs w:val="16"/>
              </w:rPr>
              <w:t xml:space="preserve">Edad ≥ 18 años, (≥ 20 años en población japonesa), ECOG 0-1 sin deterioro en las dos semanas previas de entrada al estudio y una expectativa mínima de vida de 12 semanas. </w:t>
            </w:r>
          </w:p>
          <w:p w:rsidR="00DD1521" w:rsidRDefault="00DD1521">
            <w:pPr>
              <w:pStyle w:val="Normal1"/>
              <w:numPr>
                <w:ilvl w:val="0"/>
                <w:numId w:val="5"/>
              </w:numPr>
              <w:spacing w:after="0" w:line="240" w:lineRule="auto"/>
              <w:jc w:val="both"/>
              <w:rPr>
                <w:rFonts w:ascii="Arial" w:hAnsi="Arial" w:cs="Arial"/>
                <w:sz w:val="16"/>
                <w:szCs w:val="16"/>
              </w:rPr>
            </w:pPr>
            <w:r>
              <w:rPr>
                <w:rFonts w:ascii="Arial" w:hAnsi="Arial" w:cs="Arial"/>
                <w:color w:val="000000"/>
                <w:sz w:val="16"/>
                <w:szCs w:val="16"/>
              </w:rPr>
              <w:t xml:space="preserve">Adenocarcinoma de pulmón confirmado por anatomía patológica </w:t>
            </w:r>
            <w:r>
              <w:rPr>
                <w:rFonts w:ascii="Arial" w:hAnsi="Arial" w:cs="Arial"/>
                <w:sz w:val="16"/>
                <w:szCs w:val="16"/>
              </w:rPr>
              <w:t xml:space="preserve">(en casos de histología mixta, el adenocarcinoma debía ser la histología predominante) </w:t>
            </w:r>
          </w:p>
          <w:p w:rsidR="00DD1521" w:rsidRDefault="00DD1521">
            <w:pPr>
              <w:pStyle w:val="Normal1"/>
              <w:numPr>
                <w:ilvl w:val="0"/>
                <w:numId w:val="5"/>
              </w:numPr>
              <w:spacing w:after="0" w:line="240" w:lineRule="auto"/>
              <w:jc w:val="both"/>
              <w:rPr>
                <w:rFonts w:ascii="Arial" w:hAnsi="Arial" w:cs="Arial"/>
                <w:sz w:val="16"/>
                <w:szCs w:val="16"/>
              </w:rPr>
            </w:pPr>
            <w:r>
              <w:rPr>
                <w:rFonts w:ascii="Arial" w:hAnsi="Arial" w:cs="Arial"/>
                <w:color w:val="000000"/>
                <w:sz w:val="16"/>
                <w:szCs w:val="16"/>
              </w:rPr>
              <w:t>Enfermedad localmente avanzada o metastásica (estadio IIIB/IV) de nuevo diagnóstico o bien recurrencia sistémica tras cirugía realizada al diagnóstico de la enfermedad no candidato a tratamiento curativo con cirugía o radioterapia.</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 xml:space="preserve">No haber recibido tratamiento sistémico para la enfermedad localmente avanzada o metastásica. El tratamiento sistémico previo adyuvante o neoadyuvante fue permitido. </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Presencia de una de las dos mutaciones comunes en EGFR (Ex19del o L858R) solas o en combinación con otras mutaciones determinadas por un laboratorio acreditado central o local.</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 xml:space="preserve">Proporcionar una cantidad de tejido tumoral suficiente que permita un análisis central del estado mutacional de EGFR. </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eastAsia="Arial Unicode MS" w:hAnsi="Arial" w:cs="Arial"/>
                <w:color w:val="000000"/>
                <w:sz w:val="16"/>
                <w:szCs w:val="16"/>
              </w:rPr>
              <w:lastRenderedPageBreak/>
              <w:t>Al menos una lesión medible por TC o resonancia magnética (lesiones con diámetro en su eje máximo &gt;10 mm o lesiones  adenopáticas con un diámetro en su eje corto ≥ 15 mm) no irradiadas previamente ni biopsiadas en el período de screening del estudio. En caso de existencia de una única lesión medible, la evaluación basal tenía que ser realizada al menos 14 días después de la biopsia de screening.</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Test negativo de embarazo.</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u w:val="single"/>
              </w:rPr>
              <w:t>Criterios de exclusión:</w:t>
            </w:r>
            <w:r>
              <w:rPr>
                <w:rFonts w:ascii="Arial" w:hAnsi="Arial" w:cs="Arial"/>
                <w:sz w:val="16"/>
                <w:szCs w:val="16"/>
              </w:rPr>
              <w:t xml:space="preserve">  </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Tratamiento sistémico previo para enfermedad localmente avanzada o metastásica (quimioterapia, terapia biológica, inmunoterapia, terapia dirigida con un ITK anti-EGFR o medicamentos en investigación).</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Cirugía mayor y/o radioterapia (&gt;30% sobre médula ósea o de campo amplio) en las cuatro semanas previas a la primera dosis del fármaco del ensayo.</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 xml:space="preserve">Tratamiento con inductores potentes del CYP3A4 (la suspensión del tratamiento debía hacerse una semana antes de recibir la primera dosis del fármaco del ensayo). </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Uso de terapias</w:t>
            </w:r>
            <w:r>
              <w:rPr>
                <w:rFonts w:ascii="Arial" w:hAnsi="Arial" w:cs="Arial"/>
                <w:sz w:val="16"/>
                <w:szCs w:val="16"/>
              </w:rPr>
              <w:t xml:space="preserve"> alternativa </w:t>
            </w:r>
            <w:r>
              <w:rPr>
                <w:rFonts w:ascii="Arial" w:hAnsi="Arial" w:cs="Arial"/>
                <w:color w:val="000000"/>
                <w:sz w:val="16"/>
                <w:szCs w:val="16"/>
              </w:rPr>
              <w:t>para el cáncer</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Presencia de otra neoplasia que hubiera requerido tratamiento en los últimos dos años.</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 xml:space="preserve">Toxicidad residual grado 1 o mayor de tratamientos previos (para la alopecia y la neurotoxicidad se consideró criterio de exclusión toxicidad residual grado 2 o mayor). </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 xml:space="preserve">Presencia de compresión medular y metástasis cerebrales sintomáticas e inestables o que no hubieran finalizado el tratamiento con corticoides. </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Evidencia de enfermedad sistémica severa o incontrolada.</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 xml:space="preserve">Presencia de anormalidades electrocardiográficas: intervalo QT (QTc)&gt; 470 milisegundos (mseg) o alteraciones significativas en la morfología, ritmo o conducción. </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Enfermedad pulmonar intersticial o neumonitis.</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Mujeres en período de lactancia</w:t>
            </w:r>
          </w:p>
          <w:p w:rsidR="00DD1521" w:rsidRDefault="00DD1521">
            <w:pPr>
              <w:pStyle w:val="Normal1"/>
              <w:numPr>
                <w:ilvl w:val="0"/>
                <w:numId w:val="5"/>
              </w:numPr>
              <w:spacing w:after="0" w:line="240" w:lineRule="auto"/>
              <w:jc w:val="both"/>
              <w:rPr>
                <w:rFonts w:ascii="Arial" w:hAnsi="Arial" w:cs="Arial"/>
                <w:color w:val="000000"/>
                <w:sz w:val="16"/>
                <w:szCs w:val="16"/>
              </w:rPr>
            </w:pPr>
            <w:r>
              <w:rPr>
                <w:rFonts w:ascii="Arial" w:hAnsi="Arial" w:cs="Arial"/>
                <w:color w:val="000000"/>
                <w:sz w:val="16"/>
                <w:szCs w:val="16"/>
              </w:rPr>
              <w:t>Inadecuada reserva medular.</w:t>
            </w:r>
          </w:p>
          <w:p w:rsidR="00DD1521" w:rsidRDefault="00DD1521">
            <w:pPr>
              <w:pStyle w:val="Normal1"/>
              <w:spacing w:after="0" w:line="240" w:lineRule="auto"/>
              <w:jc w:val="both"/>
              <w:rPr>
                <w:rFonts w:ascii="Arial" w:hAnsi="Arial" w:cs="Arial"/>
                <w:color w:val="FF0000"/>
                <w:sz w:val="16"/>
                <w:szCs w:val="16"/>
              </w:rPr>
            </w:pPr>
            <w:r>
              <w:rPr>
                <w:rFonts w:ascii="Arial" w:hAnsi="Arial" w:cs="Arial"/>
                <w:sz w:val="16"/>
                <w:szCs w:val="16"/>
                <w:u w:val="single"/>
              </w:rPr>
              <w:t>Pérdidas</w:t>
            </w:r>
            <w:r>
              <w:rPr>
                <w:rFonts w:ascii="Arial" w:hAnsi="Arial" w:cs="Arial"/>
                <w:sz w:val="16"/>
                <w:szCs w:val="16"/>
              </w:rPr>
              <w:t>: Se incluyeron 556 pacientes de los 994 cribados. La principal causa de pérdida fue el incumplimiento de alguno de los criterios de participación en el ensayo (417 pacientes), rechazo a participar en el ensayo (11 pacientes), muerte previa a la aleatorización (7 pacientes) y otras causas (2 pacientes). Todos los pacientes incluidos en el estudio recibieron al menos una dosis del fármaco de estudio, 279 con osimertinib y 277 con un ITK de primera generación a elección de cada centro (183 con erlotinib y 94 con gefitinib). A la fecha de corte para el análisis de los datos, 141 pacientes continuaban en el grupo de osimertinib y 64 en el grupo de tratamiento con ITK estándar. 48 pacientes que progresaron al ITK estándar se cruzaron al grupo de osimertinib, eliminando el enmascaramiento del estudio, de los que 30 continuaban en tratamiento a la fecha de corte.</w:t>
            </w:r>
            <w:r>
              <w:rPr>
                <w:rFonts w:ascii="Arial" w:hAnsi="Arial" w:cs="Arial"/>
                <w:color w:val="FF0000"/>
                <w:sz w:val="16"/>
                <w:szCs w:val="16"/>
              </w:rPr>
              <w:t xml:space="preserve"> </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u w:val="single"/>
              </w:rPr>
              <w:t>Tipo de análisis</w:t>
            </w:r>
            <w:r>
              <w:rPr>
                <w:rFonts w:ascii="Arial" w:eastAsia="Arial Unicode MS" w:hAnsi="Arial" w:cs="Arial"/>
                <w:sz w:val="16"/>
                <w:szCs w:val="16"/>
              </w:rPr>
              <w:t xml:space="preserve">: el análisis de eficacia y seguridad se realizó en la población por intención de tratar. Para el análisis de SLP se aplicó el test estadístico de log-rank, estratificado por raza (asiática/no asiática), tipo de mutación en EGFR (Ex19del/L858R). También se realizó un análisis de sensibilidad de la SLP por un comité revisor independiente (CRI).  Se realizó un análisis de la SLP por subgrupos preespecificados en el protocolo: sexo, edad (&lt;65/≥65 años), raza (asiática/no asiática), presencia o no de metástasis en SNC, historia de tabaquismo (si/no), ECOG basal (0/1), mutación T790 (positiva/negativa), tipo mutación en EGFR, mutación en EGFR determinada por DNA libre circulante (si/no), mutación EGFR positiva determinada por laboratorio central (si/no). Dicho análisis fue realizado mediante el modelo de riesgo proporcional de Cox. Se realizaron dos análisis de la SG, el primero de ellos fue en la fecha de corte para el análisis de los datos de SLP (12 de junio de 2017) y el segundo se realizará una vez que los datos alcancen una madurez de aproximadamente un 60% (334 muertes). </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 xml:space="preserve">De los 136 pacientes procedentes de la cohorte de extensión de la población China, solo se incluyen los resultados de 19 de ellos, ya que los 117 restantes fueron incluidos después del cierre del reclutamiento en el resto de centros. Los resultados de la cohorte de población China completos, serán presentados por separado a la Agencia reguladora China una vez los datos hayan alcanzado la madurez necesaria establecida en el estudio FLAURA que permita hacer el análisis de eficacia. </w:t>
            </w:r>
          </w:p>
          <w:p w:rsidR="00DD1521" w:rsidRDefault="00DD1521">
            <w:pPr>
              <w:pStyle w:val="Normal1"/>
              <w:spacing w:after="0" w:line="240" w:lineRule="auto"/>
              <w:jc w:val="both"/>
            </w:pPr>
            <w:r>
              <w:rPr>
                <w:rFonts w:ascii="Arial" w:hAnsi="Arial" w:cs="Arial"/>
                <w:sz w:val="16"/>
                <w:szCs w:val="16"/>
                <w:u w:val="single"/>
              </w:rPr>
              <w:t>Cálculo de tamaño muestral</w:t>
            </w:r>
            <w:r>
              <w:rPr>
                <w:rFonts w:ascii="Arial" w:hAnsi="Arial" w:cs="Arial"/>
                <w:sz w:val="16"/>
                <w:szCs w:val="16"/>
              </w:rPr>
              <w:t xml:space="preserve">: Se determinó que aproximadamente 359 eventos de progresión o muerte en una población de 530 pacientes (265 por grupo de tratamiento) proporcionarían una potencia estadística del 90% para detectar un HR de 0,71 con un nivel de significación bilateral del 5%. </w:t>
            </w:r>
          </w:p>
        </w:tc>
      </w:tr>
      <w:tr w:rsidR="00DD1521">
        <w:tc>
          <w:tcPr>
            <w:tcW w:w="9348" w:type="dxa"/>
            <w:gridSpan w:val="7"/>
            <w:tcBorders>
              <w:top w:val="single" w:sz="4" w:space="0" w:color="000000"/>
              <w:left w:val="single" w:sz="4" w:space="0" w:color="000000"/>
              <w:bottom w:val="single" w:sz="4" w:space="0" w:color="000000"/>
              <w:right w:val="single" w:sz="4" w:space="0" w:color="000000"/>
            </w:tcBorders>
            <w:shd w:val="clear" w:color="auto" w:fill="FFFFFF"/>
          </w:tcPr>
          <w:p w:rsidR="00DD1521" w:rsidRDefault="00DD1521">
            <w:pPr>
              <w:pStyle w:val="Normal1"/>
              <w:spacing w:after="0" w:line="240" w:lineRule="auto"/>
              <w:jc w:val="both"/>
              <w:rPr>
                <w:rFonts w:ascii="Arial" w:hAnsi="Arial" w:cs="Arial"/>
                <w:b/>
                <w:bCs/>
                <w:sz w:val="16"/>
                <w:szCs w:val="16"/>
              </w:rPr>
            </w:pPr>
            <w:r>
              <w:rPr>
                <w:rFonts w:ascii="Arial" w:hAnsi="Arial" w:cs="Arial"/>
                <w:b/>
                <w:bCs/>
                <w:sz w:val="16"/>
                <w:szCs w:val="16"/>
              </w:rPr>
              <w:lastRenderedPageBreak/>
              <w:t>Resultados:</w:t>
            </w:r>
          </w:p>
        </w:tc>
      </w:tr>
      <w:tr w:rsidR="00DD1521">
        <w:trPr>
          <w:trHeight w:val="404"/>
        </w:trPr>
        <w:tc>
          <w:tcPr>
            <w:tcW w:w="3441"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Variables evaluadas en el estudio</w:t>
            </w:r>
          </w:p>
        </w:tc>
        <w:tc>
          <w:tcPr>
            <w:tcW w:w="1417"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tabs>
                <w:tab w:val="left" w:pos="1673"/>
              </w:tabs>
              <w:spacing w:after="0" w:line="240" w:lineRule="auto"/>
              <w:jc w:val="center"/>
              <w:rPr>
                <w:rFonts w:ascii="Arial" w:hAnsi="Arial" w:cs="Arial"/>
                <w:b/>
                <w:bCs/>
                <w:sz w:val="16"/>
                <w:szCs w:val="16"/>
              </w:rPr>
            </w:pPr>
            <w:r>
              <w:rPr>
                <w:rFonts w:ascii="Arial" w:hAnsi="Arial" w:cs="Arial"/>
                <w:b/>
                <w:bCs/>
                <w:sz w:val="16"/>
                <w:szCs w:val="16"/>
              </w:rPr>
              <w:t>Osimertinib</w:t>
            </w:r>
          </w:p>
          <w:p w:rsidR="00DD1521" w:rsidRDefault="00DD1521">
            <w:pPr>
              <w:pStyle w:val="Normal1"/>
              <w:tabs>
                <w:tab w:val="left" w:pos="1673"/>
              </w:tabs>
              <w:spacing w:after="0" w:line="240" w:lineRule="auto"/>
              <w:jc w:val="center"/>
              <w:rPr>
                <w:rFonts w:ascii="Arial" w:hAnsi="Arial" w:cs="Arial"/>
                <w:b/>
                <w:bCs/>
                <w:sz w:val="16"/>
                <w:szCs w:val="16"/>
              </w:rPr>
            </w:pPr>
            <w:r>
              <w:rPr>
                <w:rFonts w:ascii="Arial" w:hAnsi="Arial" w:cs="Arial"/>
                <w:b/>
                <w:bCs/>
                <w:sz w:val="16"/>
                <w:szCs w:val="16"/>
              </w:rPr>
              <w:t xml:space="preserve">(N=279) </w:t>
            </w:r>
          </w:p>
        </w:tc>
        <w:tc>
          <w:tcPr>
            <w:tcW w:w="1418"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tabs>
                <w:tab w:val="left" w:pos="1673"/>
              </w:tabs>
              <w:spacing w:after="0" w:line="240" w:lineRule="auto"/>
              <w:jc w:val="center"/>
              <w:rPr>
                <w:rFonts w:ascii="Arial" w:hAnsi="Arial" w:cs="Arial"/>
                <w:b/>
                <w:bCs/>
                <w:sz w:val="16"/>
                <w:szCs w:val="16"/>
              </w:rPr>
            </w:pPr>
            <w:r>
              <w:rPr>
                <w:rFonts w:ascii="Arial" w:hAnsi="Arial" w:cs="Arial"/>
                <w:b/>
                <w:bCs/>
                <w:sz w:val="16"/>
                <w:szCs w:val="16"/>
              </w:rPr>
              <w:t>Erlotinib (94)</w:t>
            </w:r>
          </w:p>
          <w:p w:rsidR="00DD1521" w:rsidRDefault="00DD1521">
            <w:pPr>
              <w:pStyle w:val="Normal1"/>
              <w:tabs>
                <w:tab w:val="left" w:pos="1673"/>
              </w:tabs>
              <w:spacing w:after="0" w:line="240" w:lineRule="auto"/>
              <w:jc w:val="center"/>
              <w:rPr>
                <w:rFonts w:ascii="Arial" w:hAnsi="Arial" w:cs="Arial"/>
                <w:b/>
                <w:bCs/>
                <w:sz w:val="16"/>
                <w:szCs w:val="16"/>
              </w:rPr>
            </w:pPr>
            <w:r>
              <w:rPr>
                <w:rFonts w:ascii="Arial" w:hAnsi="Arial" w:cs="Arial"/>
                <w:b/>
                <w:bCs/>
                <w:sz w:val="16"/>
                <w:szCs w:val="16"/>
              </w:rPr>
              <w:t>Gefitinib (183)</w:t>
            </w:r>
          </w:p>
        </w:tc>
        <w:tc>
          <w:tcPr>
            <w:tcW w:w="850" w:type="dxa"/>
            <w:tcBorders>
              <w:top w:val="single" w:sz="4" w:space="0" w:color="000000"/>
              <w:left w:val="single" w:sz="4" w:space="0" w:color="000000"/>
              <w:bottom w:val="single" w:sz="4" w:space="0" w:color="000000"/>
              <w:right w:val="single" w:sz="4" w:space="0" w:color="auto"/>
            </w:tcBorders>
            <w:vAlign w:val="center"/>
          </w:tcPr>
          <w:p w:rsidR="00DD1521" w:rsidRDefault="00DD1521">
            <w:pPr>
              <w:pStyle w:val="Normal1"/>
              <w:spacing w:after="0" w:line="240" w:lineRule="auto"/>
              <w:jc w:val="center"/>
              <w:rPr>
                <w:rFonts w:ascii="Arial" w:hAnsi="Arial" w:cs="Arial"/>
                <w:b/>
                <w:bCs/>
                <w:i/>
                <w:iCs/>
                <w:sz w:val="16"/>
                <w:szCs w:val="16"/>
              </w:rPr>
            </w:pPr>
            <w:r>
              <w:rPr>
                <w:rFonts w:ascii="Arial" w:hAnsi="Arial" w:cs="Arial"/>
                <w:b/>
                <w:bCs/>
                <w:i/>
                <w:iCs/>
                <w:sz w:val="16"/>
                <w:szCs w:val="16"/>
              </w:rPr>
              <w:t>P</w:t>
            </w:r>
          </w:p>
        </w:tc>
        <w:tc>
          <w:tcPr>
            <w:tcW w:w="2222" w:type="dxa"/>
            <w:gridSpan w:val="3"/>
            <w:tcBorders>
              <w:top w:val="single" w:sz="4" w:space="0" w:color="000000"/>
              <w:left w:val="single" w:sz="4" w:space="0" w:color="auto"/>
              <w:bottom w:val="single" w:sz="4" w:space="0" w:color="000000"/>
              <w:right w:val="single" w:sz="4" w:space="0" w:color="000000"/>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OR o HR</w:t>
            </w:r>
          </w:p>
          <w:p w:rsidR="00DD1521" w:rsidRDefault="00DD1521">
            <w:pPr>
              <w:pStyle w:val="Normal1"/>
              <w:spacing w:after="0" w:line="240" w:lineRule="auto"/>
              <w:jc w:val="center"/>
              <w:rPr>
                <w:rFonts w:ascii="Arial" w:hAnsi="Arial" w:cs="Arial"/>
                <w:b/>
                <w:bCs/>
                <w:i/>
                <w:iCs/>
                <w:sz w:val="16"/>
                <w:szCs w:val="16"/>
              </w:rPr>
            </w:pPr>
            <w:r>
              <w:rPr>
                <w:rFonts w:ascii="Arial" w:hAnsi="Arial" w:cs="Arial"/>
                <w:b/>
                <w:bCs/>
                <w:sz w:val="16"/>
                <w:szCs w:val="16"/>
              </w:rPr>
              <w:t>(IC 95%)</w:t>
            </w:r>
          </w:p>
        </w:tc>
      </w:tr>
      <w:tr w:rsidR="00DD1521">
        <w:trPr>
          <w:trHeight w:val="420"/>
        </w:trPr>
        <w:tc>
          <w:tcPr>
            <w:tcW w:w="3441"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Variable principal</w:t>
            </w:r>
          </w:p>
          <w:p w:rsidR="00DD1521" w:rsidRDefault="00DD1521">
            <w:pPr>
              <w:pStyle w:val="Normal1"/>
              <w:spacing w:after="0" w:line="240" w:lineRule="auto"/>
              <w:rPr>
                <w:rFonts w:ascii="Arial" w:hAnsi="Arial" w:cs="Arial"/>
                <w:sz w:val="16"/>
                <w:szCs w:val="16"/>
              </w:rPr>
            </w:pPr>
            <w:r>
              <w:rPr>
                <w:rFonts w:ascii="Arial" w:hAnsi="Arial" w:cs="Arial"/>
                <w:sz w:val="16"/>
                <w:szCs w:val="16"/>
              </w:rPr>
              <w:t>SLP en meses evaluada por el investigador, mediana (IC95%)</w:t>
            </w:r>
          </w:p>
          <w:p w:rsidR="00DD1521" w:rsidRDefault="00DD1521">
            <w:pPr>
              <w:pStyle w:val="Normal1"/>
              <w:spacing w:after="0" w:line="240" w:lineRule="auto"/>
              <w:rPr>
                <w:rFonts w:ascii="Arial" w:hAnsi="Arial" w:cs="Arial"/>
                <w:sz w:val="16"/>
                <w:szCs w:val="16"/>
              </w:rPr>
            </w:pPr>
            <w:r>
              <w:rPr>
                <w:rFonts w:ascii="Arial" w:hAnsi="Arial" w:cs="Arial"/>
                <w:sz w:val="16"/>
                <w:szCs w:val="16"/>
              </w:rPr>
              <w:t>SLP en meses evaluada por el CRI, mediana (IC95%)</w:t>
            </w:r>
          </w:p>
        </w:tc>
        <w:tc>
          <w:tcPr>
            <w:tcW w:w="1417"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i/>
                <w:iCs/>
                <w:sz w:val="16"/>
                <w:szCs w:val="16"/>
              </w:rPr>
            </w:pPr>
            <w:r>
              <w:rPr>
                <w:rFonts w:ascii="Arial" w:hAnsi="Arial" w:cs="Arial"/>
                <w:i/>
                <w:iCs/>
                <w:sz w:val="16"/>
                <w:szCs w:val="16"/>
              </w:rPr>
              <w:t>18,9 (15,2-21,4)</w:t>
            </w:r>
          </w:p>
          <w:p w:rsidR="00DD1521" w:rsidRDefault="00DD1521">
            <w:pPr>
              <w:pStyle w:val="Normal1"/>
              <w:spacing w:after="0" w:line="240" w:lineRule="auto"/>
              <w:jc w:val="center"/>
              <w:rPr>
                <w:rFonts w:ascii="Arial" w:hAnsi="Arial" w:cs="Arial"/>
                <w:i/>
                <w:iCs/>
                <w:sz w:val="16"/>
                <w:szCs w:val="16"/>
              </w:rPr>
            </w:pPr>
          </w:p>
          <w:p w:rsidR="00DD1521" w:rsidRDefault="00DD1521">
            <w:pPr>
              <w:pStyle w:val="Normal1"/>
              <w:spacing w:after="0" w:line="240" w:lineRule="auto"/>
              <w:jc w:val="center"/>
              <w:rPr>
                <w:rFonts w:ascii="Arial" w:hAnsi="Arial" w:cs="Arial"/>
                <w:i/>
                <w:iCs/>
                <w:sz w:val="16"/>
                <w:szCs w:val="16"/>
              </w:rPr>
            </w:pPr>
            <w:r>
              <w:rPr>
                <w:rFonts w:ascii="Arial" w:hAnsi="Arial" w:cs="Arial"/>
                <w:i/>
                <w:iCs/>
                <w:sz w:val="16"/>
                <w:szCs w:val="16"/>
              </w:rPr>
              <w:t>17,7 (15,1-21,4)</w:t>
            </w:r>
          </w:p>
          <w:p w:rsidR="00DD1521" w:rsidRDefault="00DD1521">
            <w:pPr>
              <w:pStyle w:val="Normal1"/>
              <w:spacing w:after="0" w:line="240" w:lineRule="auto"/>
              <w:jc w:val="center"/>
              <w:rPr>
                <w:rFonts w:ascii="Arial" w:hAnsi="Arial" w:cs="Arial"/>
                <w:i/>
                <w:iCs/>
                <w:sz w:val="16"/>
                <w:szCs w:val="16"/>
              </w:rPr>
            </w:pPr>
          </w:p>
        </w:tc>
        <w:tc>
          <w:tcPr>
            <w:tcW w:w="1418"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i/>
                <w:iCs/>
                <w:sz w:val="16"/>
                <w:szCs w:val="16"/>
              </w:rPr>
            </w:pPr>
            <w:r>
              <w:rPr>
                <w:rFonts w:ascii="Arial" w:hAnsi="Arial" w:cs="Arial"/>
                <w:i/>
                <w:iCs/>
                <w:sz w:val="16"/>
                <w:szCs w:val="16"/>
              </w:rPr>
              <w:t>10,2 (9,6-11,1)</w:t>
            </w:r>
          </w:p>
          <w:p w:rsidR="00DD1521" w:rsidRDefault="00DD1521">
            <w:pPr>
              <w:pStyle w:val="Normal1"/>
              <w:spacing w:after="0" w:line="240" w:lineRule="auto"/>
              <w:jc w:val="center"/>
              <w:rPr>
                <w:rFonts w:ascii="Arial" w:hAnsi="Arial" w:cs="Arial"/>
                <w:i/>
                <w:iCs/>
                <w:sz w:val="16"/>
                <w:szCs w:val="16"/>
              </w:rPr>
            </w:pPr>
          </w:p>
          <w:p w:rsidR="00DD1521" w:rsidRDefault="00DD1521">
            <w:pPr>
              <w:pStyle w:val="Normal1"/>
              <w:spacing w:after="0" w:line="240" w:lineRule="auto"/>
              <w:jc w:val="center"/>
              <w:rPr>
                <w:rFonts w:ascii="Arial" w:hAnsi="Arial" w:cs="Arial"/>
                <w:i/>
                <w:iCs/>
                <w:sz w:val="16"/>
                <w:szCs w:val="16"/>
              </w:rPr>
            </w:pPr>
            <w:r>
              <w:rPr>
                <w:rFonts w:ascii="Arial" w:hAnsi="Arial" w:cs="Arial"/>
                <w:i/>
                <w:iCs/>
                <w:sz w:val="16"/>
                <w:szCs w:val="16"/>
              </w:rPr>
              <w:t xml:space="preserve"> 9,7 (8,5-11)</w:t>
            </w:r>
          </w:p>
          <w:p w:rsidR="00DD1521" w:rsidRDefault="00DD1521">
            <w:pPr>
              <w:pStyle w:val="Normal1"/>
              <w:spacing w:after="0" w:line="240" w:lineRule="auto"/>
              <w:jc w:val="center"/>
              <w:rPr>
                <w:rFonts w:ascii="Arial" w:hAnsi="Arial" w:cs="Arial"/>
                <w:i/>
                <w:iCs/>
                <w:sz w:val="16"/>
                <w:szCs w:val="16"/>
              </w:rPr>
            </w:pPr>
          </w:p>
        </w:tc>
        <w:tc>
          <w:tcPr>
            <w:tcW w:w="850" w:type="dxa"/>
            <w:tcBorders>
              <w:top w:val="single" w:sz="4" w:space="0" w:color="000000"/>
              <w:left w:val="single" w:sz="4" w:space="0" w:color="000000"/>
              <w:bottom w:val="single" w:sz="4" w:space="0" w:color="000000"/>
              <w:right w:val="single" w:sz="4" w:space="0" w:color="auto"/>
            </w:tcBorders>
            <w:vAlign w:val="bottom"/>
          </w:tcPr>
          <w:p w:rsidR="00DD1521" w:rsidRDefault="00DD1521">
            <w:pPr>
              <w:pStyle w:val="Normal1"/>
              <w:spacing w:after="0" w:line="240" w:lineRule="auto"/>
              <w:jc w:val="center"/>
              <w:rPr>
                <w:rFonts w:ascii="Arial" w:hAnsi="Arial" w:cs="Arial"/>
                <w:i/>
                <w:iCs/>
                <w:sz w:val="16"/>
                <w:szCs w:val="16"/>
              </w:rPr>
            </w:pPr>
            <w:r>
              <w:rPr>
                <w:rFonts w:ascii="Arial" w:hAnsi="Arial" w:cs="Arial"/>
                <w:i/>
                <w:iCs/>
                <w:sz w:val="16"/>
                <w:szCs w:val="16"/>
              </w:rPr>
              <w:t>&lt;0,001</w:t>
            </w:r>
          </w:p>
          <w:p w:rsidR="00DD1521" w:rsidRDefault="00DD1521">
            <w:pPr>
              <w:pStyle w:val="Normal1"/>
              <w:spacing w:after="0" w:line="240" w:lineRule="auto"/>
              <w:jc w:val="center"/>
              <w:rPr>
                <w:rFonts w:ascii="Arial" w:hAnsi="Arial" w:cs="Arial"/>
                <w:i/>
                <w:iCs/>
                <w:sz w:val="16"/>
                <w:szCs w:val="16"/>
              </w:rPr>
            </w:pPr>
          </w:p>
          <w:p w:rsidR="00DD1521" w:rsidRDefault="00DD1521">
            <w:pPr>
              <w:pStyle w:val="Normal1"/>
              <w:spacing w:after="0" w:line="240" w:lineRule="auto"/>
              <w:jc w:val="center"/>
              <w:rPr>
                <w:rFonts w:ascii="Arial" w:hAnsi="Arial" w:cs="Arial"/>
                <w:i/>
                <w:iCs/>
                <w:sz w:val="16"/>
                <w:szCs w:val="16"/>
              </w:rPr>
            </w:pPr>
            <w:r>
              <w:rPr>
                <w:rFonts w:ascii="Arial" w:hAnsi="Arial" w:cs="Arial"/>
                <w:i/>
                <w:iCs/>
                <w:sz w:val="16"/>
                <w:szCs w:val="16"/>
              </w:rPr>
              <w:t>&lt;0,001</w:t>
            </w:r>
          </w:p>
          <w:p w:rsidR="00DD1521" w:rsidRDefault="00DD1521">
            <w:pPr>
              <w:pStyle w:val="Normal1"/>
              <w:spacing w:after="0" w:line="240" w:lineRule="auto"/>
              <w:jc w:val="center"/>
              <w:rPr>
                <w:rFonts w:ascii="Arial" w:hAnsi="Arial" w:cs="Arial"/>
                <w:i/>
                <w:iCs/>
                <w:sz w:val="16"/>
                <w:szCs w:val="16"/>
              </w:rPr>
            </w:pPr>
          </w:p>
        </w:tc>
        <w:tc>
          <w:tcPr>
            <w:tcW w:w="2222" w:type="dxa"/>
            <w:gridSpan w:val="3"/>
            <w:tcBorders>
              <w:top w:val="single" w:sz="4" w:space="0" w:color="000000"/>
              <w:left w:val="single" w:sz="4" w:space="0" w:color="auto"/>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sz w:val="16"/>
                <w:szCs w:val="16"/>
              </w:rPr>
            </w:pPr>
            <w:r>
              <w:rPr>
                <w:rFonts w:ascii="Arial" w:hAnsi="Arial" w:cs="Arial"/>
                <w:i/>
                <w:iCs/>
                <w:sz w:val="16"/>
                <w:szCs w:val="16"/>
              </w:rPr>
              <w:t>HR=</w:t>
            </w:r>
            <w:r>
              <w:rPr>
                <w:rFonts w:ascii="Arial" w:hAnsi="Arial" w:cs="Arial"/>
                <w:sz w:val="16"/>
                <w:szCs w:val="16"/>
              </w:rPr>
              <w:t>0,46 (0,37, 0,57)</w:t>
            </w:r>
          </w:p>
          <w:p w:rsidR="00DD1521" w:rsidRDefault="00DD1521">
            <w:pPr>
              <w:pStyle w:val="Normal1"/>
              <w:spacing w:after="0" w:line="240" w:lineRule="auto"/>
              <w:jc w:val="center"/>
              <w:rPr>
                <w:sz w:val="16"/>
                <w:szCs w:val="16"/>
              </w:rPr>
            </w:pPr>
          </w:p>
          <w:p w:rsidR="00DD1521" w:rsidRDefault="00DD1521">
            <w:pPr>
              <w:pStyle w:val="Normal1"/>
              <w:spacing w:after="0" w:line="240" w:lineRule="auto"/>
              <w:jc w:val="center"/>
              <w:rPr>
                <w:rFonts w:ascii="Arial" w:hAnsi="Arial" w:cs="Arial"/>
                <w:i/>
                <w:iCs/>
                <w:sz w:val="16"/>
                <w:szCs w:val="16"/>
              </w:rPr>
            </w:pPr>
            <w:r>
              <w:rPr>
                <w:rFonts w:ascii="Arial" w:hAnsi="Arial" w:cs="Arial"/>
                <w:i/>
                <w:iCs/>
                <w:sz w:val="16"/>
                <w:szCs w:val="16"/>
              </w:rPr>
              <w:t>HR=0,45 (0,36-0,57)</w:t>
            </w:r>
          </w:p>
          <w:p w:rsidR="00DD1521" w:rsidRDefault="00DD1521">
            <w:pPr>
              <w:pStyle w:val="Normal1"/>
              <w:spacing w:after="0" w:line="240" w:lineRule="auto"/>
              <w:jc w:val="center"/>
              <w:rPr>
                <w:rFonts w:ascii="Arial" w:hAnsi="Arial" w:cs="Arial"/>
                <w:i/>
                <w:iCs/>
                <w:sz w:val="16"/>
                <w:szCs w:val="16"/>
              </w:rPr>
            </w:pPr>
          </w:p>
        </w:tc>
      </w:tr>
      <w:tr w:rsidR="00DD1521">
        <w:trPr>
          <w:trHeight w:val="420"/>
        </w:trPr>
        <w:tc>
          <w:tcPr>
            <w:tcW w:w="3441"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Variables secundarias</w:t>
            </w:r>
          </w:p>
          <w:p w:rsidR="00DD1521" w:rsidRDefault="00DD1521">
            <w:pPr>
              <w:pStyle w:val="Normal1"/>
              <w:spacing w:after="0" w:line="240" w:lineRule="auto"/>
              <w:rPr>
                <w:rFonts w:ascii="Arial" w:hAnsi="Arial" w:cs="Arial"/>
                <w:sz w:val="16"/>
                <w:szCs w:val="16"/>
              </w:rPr>
            </w:pPr>
            <w:r>
              <w:rPr>
                <w:rFonts w:ascii="Arial" w:hAnsi="Arial" w:cs="Arial"/>
                <w:sz w:val="16"/>
                <w:szCs w:val="16"/>
              </w:rPr>
              <w:t>TRO por el investigador, % (IC95%)</w:t>
            </w:r>
          </w:p>
          <w:p w:rsidR="00DD1521" w:rsidRDefault="00DD1521">
            <w:pPr>
              <w:pStyle w:val="Normal1"/>
              <w:spacing w:after="0" w:line="240" w:lineRule="auto"/>
              <w:rPr>
                <w:rFonts w:ascii="Arial" w:hAnsi="Arial" w:cs="Arial"/>
                <w:sz w:val="16"/>
                <w:szCs w:val="16"/>
              </w:rPr>
            </w:pPr>
            <w:r>
              <w:rPr>
                <w:rFonts w:ascii="Arial" w:hAnsi="Arial" w:cs="Arial"/>
                <w:sz w:val="16"/>
                <w:szCs w:val="16"/>
              </w:rPr>
              <w:t>Duración de la respuesta</w:t>
            </w:r>
          </w:p>
          <w:p w:rsidR="00DD1521" w:rsidRDefault="00DD1521">
            <w:pPr>
              <w:pStyle w:val="Normal1"/>
              <w:spacing w:after="0" w:line="240" w:lineRule="auto"/>
              <w:rPr>
                <w:rFonts w:ascii="Arial" w:hAnsi="Arial" w:cs="Arial"/>
                <w:sz w:val="16"/>
                <w:szCs w:val="16"/>
              </w:rPr>
            </w:pPr>
            <w:r>
              <w:rPr>
                <w:rFonts w:ascii="Arial" w:hAnsi="Arial" w:cs="Arial"/>
                <w:sz w:val="16"/>
                <w:szCs w:val="16"/>
              </w:rPr>
              <w:t>Tasa de control de la enfermedad, %(IC95%)</w:t>
            </w:r>
          </w:p>
          <w:p w:rsidR="00DD1521" w:rsidRDefault="00DD1521">
            <w:pPr>
              <w:pStyle w:val="Normal1"/>
              <w:spacing w:after="0" w:line="240" w:lineRule="auto"/>
              <w:rPr>
                <w:rFonts w:ascii="Arial" w:hAnsi="Arial" w:cs="Arial"/>
                <w:sz w:val="16"/>
                <w:szCs w:val="16"/>
              </w:rPr>
            </w:pPr>
            <w:r>
              <w:rPr>
                <w:rFonts w:ascii="Arial" w:hAnsi="Arial" w:cs="Arial"/>
                <w:sz w:val="16"/>
                <w:szCs w:val="16"/>
              </w:rPr>
              <w:t>SG en meses, mediana</w:t>
            </w:r>
          </w:p>
          <w:p w:rsidR="00DD1521" w:rsidRDefault="00DD1521">
            <w:pPr>
              <w:pStyle w:val="Normal1"/>
              <w:spacing w:after="0" w:line="240" w:lineRule="auto"/>
              <w:rPr>
                <w:rFonts w:ascii="Arial" w:hAnsi="Arial" w:cs="Arial"/>
                <w:sz w:val="16"/>
                <w:szCs w:val="16"/>
              </w:rPr>
            </w:pPr>
            <w:r>
              <w:rPr>
                <w:rFonts w:ascii="Arial" w:hAnsi="Arial" w:cs="Arial"/>
                <w:sz w:val="16"/>
                <w:szCs w:val="16"/>
              </w:rPr>
              <w:t>Tiempo hasta respuesta en semanas</w:t>
            </w:r>
          </w:p>
        </w:tc>
        <w:tc>
          <w:tcPr>
            <w:tcW w:w="1417"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xml:space="preserve">80 (75-85) </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17,2 (13,8-22,0)</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xml:space="preserve"> 97 (94-99)</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NA</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6,1 (6,0-6,1)</w:t>
            </w:r>
          </w:p>
        </w:tc>
        <w:tc>
          <w:tcPr>
            <w:tcW w:w="1418"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xml:space="preserve">76 (70-81) </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8,5 (7,3-9,8)</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92 (89-95)</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NA</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6,1 (NC-NC)</w:t>
            </w:r>
          </w:p>
        </w:tc>
        <w:tc>
          <w:tcPr>
            <w:tcW w:w="850" w:type="dxa"/>
            <w:tcBorders>
              <w:top w:val="single" w:sz="4" w:space="0" w:color="000000"/>
              <w:left w:val="single" w:sz="4" w:space="0" w:color="000000"/>
              <w:bottom w:val="single" w:sz="4" w:space="0" w:color="000000"/>
              <w:right w:val="single" w:sz="4" w:space="0" w:color="auto"/>
            </w:tcBorders>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0,24</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0,01</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0,007*</w:t>
            </w:r>
          </w:p>
          <w:p w:rsidR="00DD1521" w:rsidRDefault="00DD1521">
            <w:pPr>
              <w:pStyle w:val="Normal1"/>
              <w:spacing w:after="0" w:line="240" w:lineRule="auto"/>
              <w:jc w:val="center"/>
              <w:rPr>
                <w:rFonts w:ascii="Arial" w:hAnsi="Arial" w:cs="Arial"/>
                <w:i/>
                <w:iCs/>
                <w:sz w:val="16"/>
                <w:szCs w:val="16"/>
              </w:rPr>
            </w:pPr>
            <w:r>
              <w:rPr>
                <w:rFonts w:ascii="Arial" w:hAnsi="Arial" w:cs="Arial"/>
                <w:sz w:val="16"/>
                <w:szCs w:val="16"/>
              </w:rPr>
              <w:t>-</w:t>
            </w:r>
          </w:p>
        </w:tc>
        <w:tc>
          <w:tcPr>
            <w:tcW w:w="2222" w:type="dxa"/>
            <w:gridSpan w:val="3"/>
            <w:tcBorders>
              <w:top w:val="single" w:sz="4" w:space="0" w:color="000000"/>
              <w:left w:val="single" w:sz="4" w:space="0" w:color="auto"/>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OR=1,27 (0,85-1,90)</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xml:space="preserve">OR=2,78 (1,25-6,78) </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HR=0,63 (0,45-0,88)</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tc>
      </w:tr>
      <w:tr w:rsidR="00DD1521">
        <w:trPr>
          <w:trHeight w:val="276"/>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D1521" w:rsidRDefault="00DD1521" w:rsidP="001E2650">
            <w:pPr>
              <w:pStyle w:val="Normal1"/>
              <w:spacing w:after="0" w:line="240" w:lineRule="auto"/>
              <w:rPr>
                <w:rFonts w:ascii="Arial" w:hAnsi="Arial" w:cs="Arial"/>
                <w:b/>
                <w:bCs/>
                <w:sz w:val="16"/>
                <w:szCs w:val="16"/>
              </w:rPr>
            </w:pPr>
            <w:r>
              <w:rPr>
                <w:rFonts w:ascii="Arial" w:hAnsi="Arial" w:cs="Arial"/>
                <w:b/>
                <w:bCs/>
                <w:sz w:val="16"/>
                <w:szCs w:val="16"/>
              </w:rPr>
              <w:t xml:space="preserve">Resultados de SLP en función de la presencia o ausencia de metástasis en SNC al inicio del estudio </w:t>
            </w:r>
          </w:p>
        </w:tc>
      </w:tr>
      <w:tr w:rsidR="00DD1521">
        <w:trPr>
          <w:trHeight w:val="460"/>
        </w:trPr>
        <w:tc>
          <w:tcPr>
            <w:tcW w:w="3441"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b/>
                <w:bCs/>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Osimertinib</w:t>
            </w:r>
          </w:p>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(n=53)</w:t>
            </w:r>
          </w:p>
        </w:tc>
        <w:tc>
          <w:tcPr>
            <w:tcW w:w="1418"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Erlotinib</w:t>
            </w:r>
          </w:p>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Gefitinib</w:t>
            </w:r>
          </w:p>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(n=63)</w:t>
            </w:r>
          </w:p>
        </w:tc>
        <w:tc>
          <w:tcPr>
            <w:tcW w:w="870" w:type="dxa"/>
            <w:gridSpan w:val="2"/>
            <w:tcBorders>
              <w:top w:val="single" w:sz="4" w:space="0" w:color="000000"/>
              <w:left w:val="single" w:sz="4" w:space="0" w:color="000000"/>
              <w:bottom w:val="single" w:sz="4" w:space="0" w:color="000000"/>
              <w:right w:val="single" w:sz="4" w:space="0" w:color="auto"/>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P</w:t>
            </w:r>
          </w:p>
        </w:tc>
        <w:tc>
          <w:tcPr>
            <w:tcW w:w="2202" w:type="dxa"/>
            <w:gridSpan w:val="2"/>
            <w:tcBorders>
              <w:top w:val="single" w:sz="4" w:space="0" w:color="000000"/>
              <w:left w:val="single" w:sz="4" w:space="0" w:color="auto"/>
              <w:bottom w:val="single" w:sz="4" w:space="0" w:color="000000"/>
              <w:right w:val="single" w:sz="4" w:space="0" w:color="000000"/>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HR (IC95%)</w:t>
            </w:r>
          </w:p>
        </w:tc>
      </w:tr>
      <w:tr w:rsidR="00DD1521">
        <w:trPr>
          <w:trHeight w:val="460"/>
        </w:trPr>
        <w:tc>
          <w:tcPr>
            <w:tcW w:w="3441"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SLP en meses en </w:t>
            </w:r>
            <w:r>
              <w:rPr>
                <w:rFonts w:ascii="Arial" w:hAnsi="Arial" w:cs="Arial"/>
                <w:b/>
                <w:bCs/>
                <w:sz w:val="16"/>
                <w:szCs w:val="16"/>
              </w:rPr>
              <w:t>presencia</w:t>
            </w:r>
            <w:r>
              <w:rPr>
                <w:rFonts w:ascii="Arial" w:hAnsi="Arial" w:cs="Arial"/>
                <w:sz w:val="16"/>
                <w:szCs w:val="16"/>
              </w:rPr>
              <w:t xml:space="preserve"> de metástasis en SNC al inicio del estudio, mediana </w:t>
            </w:r>
          </w:p>
        </w:tc>
        <w:tc>
          <w:tcPr>
            <w:tcW w:w="1417"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15,2 meses</w:t>
            </w:r>
          </w:p>
        </w:tc>
        <w:tc>
          <w:tcPr>
            <w:tcW w:w="1418"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9,6 meses</w:t>
            </w:r>
          </w:p>
        </w:tc>
        <w:tc>
          <w:tcPr>
            <w:tcW w:w="870" w:type="dxa"/>
            <w:gridSpan w:val="2"/>
            <w:tcBorders>
              <w:top w:val="single" w:sz="4" w:space="0" w:color="000000"/>
              <w:left w:val="single" w:sz="4" w:space="0" w:color="000000"/>
              <w:bottom w:val="single" w:sz="4" w:space="0" w:color="000000"/>
              <w:right w:val="single" w:sz="4" w:space="0" w:color="auto"/>
            </w:tcBorders>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&lt;0,001</w:t>
            </w:r>
          </w:p>
        </w:tc>
        <w:tc>
          <w:tcPr>
            <w:tcW w:w="2202" w:type="dxa"/>
            <w:gridSpan w:val="2"/>
            <w:tcBorders>
              <w:top w:val="single" w:sz="4" w:space="0" w:color="000000"/>
              <w:left w:val="single" w:sz="4" w:space="0" w:color="auto"/>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0,47 (0,30-0,74)</w:t>
            </w:r>
          </w:p>
        </w:tc>
      </w:tr>
      <w:tr w:rsidR="00DD1521">
        <w:trPr>
          <w:trHeight w:val="460"/>
        </w:trPr>
        <w:tc>
          <w:tcPr>
            <w:tcW w:w="3441"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Osimertinib</w:t>
            </w:r>
          </w:p>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(n=226)</w:t>
            </w:r>
          </w:p>
        </w:tc>
        <w:tc>
          <w:tcPr>
            <w:tcW w:w="1418"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Erlotinib</w:t>
            </w:r>
          </w:p>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Gefitinib (n=214)</w:t>
            </w:r>
          </w:p>
        </w:tc>
        <w:tc>
          <w:tcPr>
            <w:tcW w:w="870" w:type="dxa"/>
            <w:gridSpan w:val="2"/>
            <w:tcBorders>
              <w:top w:val="single" w:sz="4" w:space="0" w:color="000000"/>
              <w:left w:val="single" w:sz="4" w:space="0" w:color="000000"/>
              <w:bottom w:val="single" w:sz="4" w:space="0" w:color="000000"/>
              <w:right w:val="single" w:sz="4" w:space="0" w:color="auto"/>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P</w:t>
            </w:r>
          </w:p>
        </w:tc>
        <w:tc>
          <w:tcPr>
            <w:tcW w:w="2202" w:type="dxa"/>
            <w:gridSpan w:val="2"/>
            <w:tcBorders>
              <w:top w:val="single" w:sz="4" w:space="0" w:color="000000"/>
              <w:left w:val="single" w:sz="4" w:space="0" w:color="auto"/>
              <w:bottom w:val="single" w:sz="4" w:space="0" w:color="000000"/>
              <w:right w:val="single" w:sz="4" w:space="0" w:color="000000"/>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HR (IC95%)</w:t>
            </w:r>
          </w:p>
        </w:tc>
      </w:tr>
      <w:tr w:rsidR="00DD1521">
        <w:trPr>
          <w:trHeight w:val="373"/>
        </w:trPr>
        <w:tc>
          <w:tcPr>
            <w:tcW w:w="3441"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SLP en meses en </w:t>
            </w:r>
            <w:r>
              <w:rPr>
                <w:rFonts w:ascii="Arial" w:hAnsi="Arial" w:cs="Arial"/>
                <w:b/>
                <w:bCs/>
                <w:sz w:val="16"/>
                <w:szCs w:val="16"/>
              </w:rPr>
              <w:t xml:space="preserve">ausencia </w:t>
            </w:r>
            <w:r>
              <w:rPr>
                <w:rFonts w:ascii="Arial" w:hAnsi="Arial" w:cs="Arial"/>
                <w:sz w:val="16"/>
                <w:szCs w:val="16"/>
              </w:rPr>
              <w:t xml:space="preserve">de metástasis en SNC al inicio del estudio, mediana </w:t>
            </w:r>
          </w:p>
        </w:tc>
        <w:tc>
          <w:tcPr>
            <w:tcW w:w="1417"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19,1 meses</w:t>
            </w:r>
          </w:p>
        </w:tc>
        <w:tc>
          <w:tcPr>
            <w:tcW w:w="1418"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10,9 meses</w:t>
            </w:r>
          </w:p>
        </w:tc>
        <w:tc>
          <w:tcPr>
            <w:tcW w:w="870" w:type="dxa"/>
            <w:gridSpan w:val="2"/>
            <w:tcBorders>
              <w:top w:val="single" w:sz="4" w:space="0" w:color="000000"/>
              <w:left w:val="single" w:sz="4" w:space="0" w:color="000000"/>
              <w:bottom w:val="single" w:sz="4" w:space="0" w:color="000000"/>
              <w:right w:val="single" w:sz="4" w:space="0" w:color="auto"/>
            </w:tcBorders>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&lt;0,001</w:t>
            </w:r>
          </w:p>
        </w:tc>
        <w:tc>
          <w:tcPr>
            <w:tcW w:w="2202" w:type="dxa"/>
            <w:gridSpan w:val="2"/>
            <w:tcBorders>
              <w:top w:val="single" w:sz="4" w:space="0" w:color="000000"/>
              <w:left w:val="single" w:sz="4" w:space="0" w:color="auto"/>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0,46 (0,36-0,59)</w:t>
            </w:r>
          </w:p>
        </w:tc>
      </w:tr>
      <w:tr w:rsidR="00DD1521">
        <w:trPr>
          <w:trHeight w:val="288"/>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jc w:val="both"/>
              <w:rPr>
                <w:rFonts w:ascii="Arial" w:hAnsi="Arial" w:cs="Arial"/>
                <w:sz w:val="16"/>
                <w:szCs w:val="16"/>
              </w:rPr>
            </w:pPr>
            <w:r>
              <w:rPr>
                <w:rFonts w:ascii="Arial" w:hAnsi="Arial" w:cs="Arial"/>
                <w:b/>
                <w:bCs/>
                <w:color w:val="000000"/>
                <w:sz w:val="16"/>
                <w:szCs w:val="16"/>
              </w:rPr>
              <w:t xml:space="preserve">Resultados informados por el paciente o patient reported outcomes (PRO): </w:t>
            </w:r>
            <w:r>
              <w:rPr>
                <w:rFonts w:ascii="Arial" w:hAnsi="Arial" w:cs="Arial"/>
                <w:sz w:val="16"/>
                <w:szCs w:val="16"/>
              </w:rPr>
              <w:t>EORTC QLQ-C30 y EORT QLQ-LC13, (puntuación 0-100). Evaluación basal y posteriormente semanal durante 6 semanas y luego cada 3 meses hasta los 9 meses</w:t>
            </w:r>
          </w:p>
        </w:tc>
      </w:tr>
      <w:tr w:rsidR="00DD1521">
        <w:trPr>
          <w:trHeight w:val="372"/>
        </w:trPr>
        <w:tc>
          <w:tcPr>
            <w:tcW w:w="3441"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rPr>
                <w:rFonts w:ascii="Arial" w:hAnsi="Arial" w:cs="Arial"/>
                <w:color w:val="333333"/>
                <w:sz w:val="16"/>
                <w:szCs w:val="16"/>
                <w:highlight w:val="white"/>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Osimertinib</w:t>
            </w:r>
          </w:p>
        </w:tc>
        <w:tc>
          <w:tcPr>
            <w:tcW w:w="1418"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Erlotinib</w:t>
            </w:r>
          </w:p>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Gefitinib</w:t>
            </w:r>
          </w:p>
        </w:tc>
        <w:tc>
          <w:tcPr>
            <w:tcW w:w="886" w:type="dxa"/>
            <w:gridSpan w:val="3"/>
            <w:tcBorders>
              <w:top w:val="single" w:sz="4" w:space="0" w:color="000000"/>
              <w:left w:val="single" w:sz="4" w:space="0" w:color="000000"/>
              <w:bottom w:val="single" w:sz="4" w:space="0" w:color="000000"/>
              <w:right w:val="single" w:sz="4" w:space="0" w:color="auto"/>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P</w:t>
            </w:r>
          </w:p>
        </w:tc>
        <w:tc>
          <w:tcPr>
            <w:tcW w:w="2186" w:type="dxa"/>
            <w:tcBorders>
              <w:top w:val="single" w:sz="4" w:space="0" w:color="000000"/>
              <w:left w:val="single" w:sz="4" w:space="0" w:color="auto"/>
              <w:bottom w:val="single" w:sz="4" w:space="0" w:color="000000"/>
              <w:right w:val="single" w:sz="4" w:space="0" w:color="000000"/>
            </w:tcBorders>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HR (IC95%)</w:t>
            </w:r>
          </w:p>
        </w:tc>
      </w:tr>
      <w:tr w:rsidR="00DD1521">
        <w:trPr>
          <w:trHeight w:val="460"/>
        </w:trPr>
        <w:tc>
          <w:tcPr>
            <w:tcW w:w="3441"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rPr>
                <w:rFonts w:ascii="Arial" w:hAnsi="Arial" w:cs="Arial"/>
                <w:color w:val="333333"/>
                <w:sz w:val="16"/>
                <w:szCs w:val="16"/>
                <w:highlight w:val="white"/>
              </w:rPr>
            </w:pPr>
            <w:r>
              <w:rPr>
                <w:rFonts w:ascii="Arial" w:hAnsi="Arial" w:cs="Arial"/>
                <w:color w:val="333333"/>
                <w:sz w:val="16"/>
                <w:szCs w:val="16"/>
                <w:highlight w:val="white"/>
              </w:rPr>
              <w:t>Puntuación media basal en síntomas clave:</w:t>
            </w:r>
          </w:p>
          <w:p w:rsidR="00DD1521" w:rsidRDefault="00DD1521">
            <w:pPr>
              <w:pStyle w:val="Normal1"/>
              <w:numPr>
                <w:ilvl w:val="0"/>
                <w:numId w:val="6"/>
              </w:numPr>
              <w:spacing w:after="0" w:line="240" w:lineRule="auto"/>
              <w:rPr>
                <w:rFonts w:ascii="Arial" w:hAnsi="Arial" w:cs="Arial"/>
                <w:color w:val="333333"/>
                <w:sz w:val="16"/>
                <w:szCs w:val="16"/>
                <w:highlight w:val="white"/>
              </w:rPr>
            </w:pPr>
            <w:r>
              <w:rPr>
                <w:rFonts w:ascii="Arial" w:hAnsi="Arial" w:cs="Arial"/>
                <w:color w:val="333333"/>
                <w:sz w:val="16"/>
                <w:szCs w:val="16"/>
                <w:highlight w:val="white"/>
              </w:rPr>
              <w:t>Tos</w:t>
            </w:r>
          </w:p>
          <w:p w:rsidR="00DD1521" w:rsidRDefault="00DD1521">
            <w:pPr>
              <w:pStyle w:val="Normal1"/>
              <w:numPr>
                <w:ilvl w:val="0"/>
                <w:numId w:val="6"/>
              </w:numPr>
              <w:spacing w:after="0" w:line="240" w:lineRule="auto"/>
              <w:rPr>
                <w:rFonts w:ascii="Arial" w:hAnsi="Arial" w:cs="Arial"/>
                <w:color w:val="333333"/>
                <w:sz w:val="16"/>
                <w:szCs w:val="16"/>
                <w:highlight w:val="white"/>
              </w:rPr>
            </w:pPr>
            <w:r>
              <w:rPr>
                <w:rFonts w:ascii="Arial" w:hAnsi="Arial" w:cs="Arial"/>
                <w:color w:val="333333"/>
                <w:sz w:val="16"/>
                <w:szCs w:val="16"/>
                <w:highlight w:val="white"/>
              </w:rPr>
              <w:t>Disnea</w:t>
            </w:r>
          </w:p>
          <w:p w:rsidR="00DD1521" w:rsidRDefault="00DD1521">
            <w:pPr>
              <w:pStyle w:val="Normal1"/>
              <w:numPr>
                <w:ilvl w:val="0"/>
                <w:numId w:val="6"/>
              </w:numPr>
              <w:spacing w:after="0" w:line="240" w:lineRule="auto"/>
              <w:rPr>
                <w:rFonts w:ascii="Arial" w:hAnsi="Arial" w:cs="Arial"/>
                <w:color w:val="333333"/>
                <w:sz w:val="16"/>
                <w:szCs w:val="16"/>
                <w:highlight w:val="white"/>
              </w:rPr>
            </w:pPr>
            <w:r>
              <w:rPr>
                <w:rFonts w:ascii="Arial" w:hAnsi="Arial" w:cs="Arial"/>
                <w:color w:val="333333"/>
                <w:sz w:val="16"/>
                <w:szCs w:val="16"/>
                <w:highlight w:val="white"/>
              </w:rPr>
              <w:t>Dolor torácico</w:t>
            </w:r>
          </w:p>
          <w:p w:rsidR="00DD1521" w:rsidRDefault="00DD1521">
            <w:pPr>
              <w:pStyle w:val="Normal1"/>
              <w:numPr>
                <w:ilvl w:val="0"/>
                <w:numId w:val="6"/>
              </w:numPr>
              <w:spacing w:after="0" w:line="240" w:lineRule="auto"/>
              <w:rPr>
                <w:rFonts w:ascii="Arial" w:hAnsi="Arial" w:cs="Arial"/>
                <w:color w:val="333333"/>
                <w:sz w:val="16"/>
                <w:szCs w:val="16"/>
                <w:highlight w:val="white"/>
              </w:rPr>
            </w:pPr>
            <w:r>
              <w:rPr>
                <w:rFonts w:ascii="Arial" w:hAnsi="Arial" w:cs="Arial"/>
                <w:color w:val="333333"/>
                <w:sz w:val="16"/>
                <w:szCs w:val="16"/>
                <w:highlight w:val="white"/>
              </w:rPr>
              <w:t>Fatiga</w:t>
            </w:r>
          </w:p>
          <w:p w:rsidR="00DD1521" w:rsidRDefault="00DD1521">
            <w:pPr>
              <w:pStyle w:val="Normal1"/>
              <w:numPr>
                <w:ilvl w:val="0"/>
                <w:numId w:val="6"/>
              </w:numPr>
              <w:spacing w:after="0" w:line="240" w:lineRule="auto"/>
              <w:rPr>
                <w:rFonts w:ascii="Arial" w:hAnsi="Arial" w:cs="Arial"/>
                <w:color w:val="333333"/>
                <w:sz w:val="18"/>
                <w:szCs w:val="18"/>
                <w:highlight w:val="white"/>
              </w:rPr>
            </w:pPr>
            <w:r>
              <w:rPr>
                <w:rFonts w:ascii="Arial" w:hAnsi="Arial" w:cs="Arial"/>
                <w:color w:val="333333"/>
                <w:sz w:val="16"/>
                <w:szCs w:val="16"/>
                <w:highlight w:val="white"/>
              </w:rPr>
              <w:t>Pérdida de apetito</w:t>
            </w:r>
          </w:p>
        </w:tc>
        <w:tc>
          <w:tcPr>
            <w:tcW w:w="1417"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32,8</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22,5</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19,5</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22,7</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32,2</w:t>
            </w:r>
          </w:p>
        </w:tc>
        <w:tc>
          <w:tcPr>
            <w:tcW w:w="1418" w:type="dxa"/>
            <w:tcBorders>
              <w:top w:val="single" w:sz="4" w:space="0" w:color="000000"/>
              <w:left w:val="single" w:sz="4" w:space="0" w:color="000000"/>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b/>
                <w:bCs/>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33,5</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25</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20,8</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25,6</w:t>
            </w:r>
          </w:p>
          <w:p w:rsidR="00DD1521" w:rsidRDefault="00DD1521">
            <w:pPr>
              <w:pStyle w:val="Normal1"/>
              <w:spacing w:after="0" w:line="240" w:lineRule="auto"/>
              <w:jc w:val="center"/>
              <w:rPr>
                <w:rFonts w:ascii="Arial" w:hAnsi="Arial" w:cs="Arial"/>
                <w:b/>
                <w:bCs/>
                <w:sz w:val="16"/>
                <w:szCs w:val="16"/>
              </w:rPr>
            </w:pPr>
            <w:r>
              <w:rPr>
                <w:rFonts w:ascii="Arial" w:hAnsi="Arial" w:cs="Arial"/>
                <w:sz w:val="16"/>
                <w:szCs w:val="16"/>
              </w:rPr>
              <w:t>35,8</w:t>
            </w:r>
          </w:p>
        </w:tc>
        <w:tc>
          <w:tcPr>
            <w:tcW w:w="886" w:type="dxa"/>
            <w:gridSpan w:val="3"/>
            <w:tcBorders>
              <w:top w:val="single" w:sz="4" w:space="0" w:color="000000"/>
              <w:left w:val="single" w:sz="4" w:space="0" w:color="000000"/>
              <w:bottom w:val="single" w:sz="4" w:space="0" w:color="000000"/>
              <w:right w:val="single" w:sz="4" w:space="0" w:color="auto"/>
            </w:tcBorders>
            <w:vAlign w:val="bottom"/>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tc>
        <w:tc>
          <w:tcPr>
            <w:tcW w:w="2186" w:type="dxa"/>
            <w:tcBorders>
              <w:top w:val="single" w:sz="4" w:space="0" w:color="000000"/>
              <w:left w:val="single" w:sz="4" w:space="0" w:color="auto"/>
              <w:bottom w:val="single" w:sz="4" w:space="0" w:color="000000"/>
              <w:right w:val="single" w:sz="4" w:space="0" w:color="000000"/>
            </w:tcBorders>
            <w:vAlign w:val="bottom"/>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tc>
      </w:tr>
      <w:tr w:rsidR="00DD1521">
        <w:trPr>
          <w:trHeight w:val="291"/>
        </w:trPr>
        <w:tc>
          <w:tcPr>
            <w:tcW w:w="3441"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sz w:val="16"/>
                <w:szCs w:val="16"/>
                <w:u w:val="single"/>
              </w:rPr>
            </w:pPr>
            <w:r>
              <w:rPr>
                <w:rFonts w:ascii="Arial" w:hAnsi="Arial" w:cs="Arial"/>
                <w:sz w:val="16"/>
                <w:szCs w:val="16"/>
              </w:rPr>
              <w:t xml:space="preserve">Diferencia en la media de puntuación respecto al basal. ** </w:t>
            </w:r>
          </w:p>
          <w:p w:rsidR="00DD1521" w:rsidRDefault="00DD1521">
            <w:pPr>
              <w:pStyle w:val="Normal1"/>
              <w:numPr>
                <w:ilvl w:val="0"/>
                <w:numId w:val="6"/>
              </w:numPr>
              <w:spacing w:after="0" w:line="240" w:lineRule="auto"/>
              <w:rPr>
                <w:rFonts w:ascii="Arial" w:hAnsi="Arial" w:cs="Arial"/>
                <w:color w:val="333333"/>
                <w:sz w:val="16"/>
                <w:szCs w:val="16"/>
                <w:highlight w:val="white"/>
              </w:rPr>
            </w:pPr>
            <w:r>
              <w:rPr>
                <w:rFonts w:ascii="Arial" w:hAnsi="Arial" w:cs="Arial"/>
                <w:color w:val="333333"/>
                <w:sz w:val="16"/>
                <w:szCs w:val="16"/>
                <w:highlight w:val="white"/>
              </w:rPr>
              <w:t>Tos</w:t>
            </w:r>
          </w:p>
          <w:p w:rsidR="00DD1521" w:rsidRDefault="00DD1521">
            <w:pPr>
              <w:pStyle w:val="Normal1"/>
              <w:numPr>
                <w:ilvl w:val="0"/>
                <w:numId w:val="6"/>
              </w:numPr>
              <w:spacing w:after="0" w:line="240" w:lineRule="auto"/>
              <w:rPr>
                <w:rFonts w:ascii="Arial" w:hAnsi="Arial" w:cs="Arial"/>
                <w:color w:val="333333"/>
                <w:sz w:val="16"/>
                <w:szCs w:val="16"/>
                <w:highlight w:val="white"/>
              </w:rPr>
            </w:pPr>
            <w:r>
              <w:rPr>
                <w:rFonts w:ascii="Arial" w:hAnsi="Arial" w:cs="Arial"/>
                <w:color w:val="333333"/>
                <w:sz w:val="16"/>
                <w:szCs w:val="16"/>
                <w:highlight w:val="white"/>
              </w:rPr>
              <w:t>Disnea</w:t>
            </w:r>
          </w:p>
          <w:p w:rsidR="00DD1521" w:rsidRDefault="00DD1521">
            <w:pPr>
              <w:pStyle w:val="Normal1"/>
              <w:numPr>
                <w:ilvl w:val="0"/>
                <w:numId w:val="6"/>
              </w:numPr>
              <w:spacing w:after="0" w:line="240" w:lineRule="auto"/>
              <w:rPr>
                <w:rFonts w:ascii="Arial" w:hAnsi="Arial" w:cs="Arial"/>
                <w:color w:val="333333"/>
                <w:sz w:val="16"/>
                <w:szCs w:val="16"/>
                <w:highlight w:val="white"/>
              </w:rPr>
            </w:pPr>
            <w:r>
              <w:rPr>
                <w:rFonts w:ascii="Arial" w:hAnsi="Arial" w:cs="Arial"/>
                <w:color w:val="333333"/>
                <w:sz w:val="16"/>
                <w:szCs w:val="16"/>
                <w:highlight w:val="white"/>
              </w:rPr>
              <w:t>Dolor torácico</w:t>
            </w:r>
          </w:p>
          <w:p w:rsidR="00DD1521" w:rsidRDefault="00DD1521">
            <w:pPr>
              <w:pStyle w:val="Normal1"/>
              <w:numPr>
                <w:ilvl w:val="0"/>
                <w:numId w:val="6"/>
              </w:numPr>
              <w:spacing w:after="0" w:line="240" w:lineRule="auto"/>
              <w:rPr>
                <w:rFonts w:ascii="Arial" w:hAnsi="Arial" w:cs="Arial"/>
                <w:color w:val="333333"/>
                <w:sz w:val="16"/>
                <w:szCs w:val="16"/>
                <w:highlight w:val="white"/>
              </w:rPr>
            </w:pPr>
            <w:r>
              <w:rPr>
                <w:rFonts w:ascii="Arial" w:hAnsi="Arial" w:cs="Arial"/>
                <w:color w:val="333333"/>
                <w:sz w:val="16"/>
                <w:szCs w:val="16"/>
                <w:highlight w:val="white"/>
              </w:rPr>
              <w:t>Fatiga</w:t>
            </w:r>
          </w:p>
          <w:p w:rsidR="00DD1521" w:rsidRDefault="00DD1521">
            <w:pPr>
              <w:pStyle w:val="Normal1"/>
              <w:numPr>
                <w:ilvl w:val="0"/>
                <w:numId w:val="6"/>
              </w:numPr>
              <w:spacing w:after="0" w:line="240" w:lineRule="auto"/>
              <w:rPr>
                <w:rFonts w:ascii="Arial" w:hAnsi="Arial" w:cs="Arial"/>
                <w:color w:val="333333"/>
                <w:sz w:val="18"/>
                <w:szCs w:val="18"/>
                <w:highlight w:val="white"/>
              </w:rPr>
            </w:pPr>
            <w:r>
              <w:rPr>
                <w:rFonts w:ascii="Arial" w:hAnsi="Arial" w:cs="Arial"/>
                <w:color w:val="333333"/>
                <w:sz w:val="16"/>
                <w:szCs w:val="16"/>
                <w:highlight w:val="white"/>
              </w:rPr>
              <w:t>Pérdida de apetito</w:t>
            </w:r>
          </w:p>
        </w:tc>
        <w:tc>
          <w:tcPr>
            <w:tcW w:w="1417"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-11,0 (-12,8,-9,2)</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-4.0 (-5,6, -2,5)</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- 6,6 (- 8,2, -5,0)</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- 6,2 (-8,4, - 3,9)</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- 5,5 (- 7,5, - 3,.5</w:t>
            </w:r>
          </w:p>
        </w:tc>
        <w:tc>
          <w:tcPr>
            <w:tcW w:w="1418"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-11,7(-13,5,- 9,8)</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- 4,1 (- 5,7, - 2,5)</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- 6,4 (- 8,0, - 4,8)</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- 5,6 (-8.0, -3,3)</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- 4,7 (- 6,7, - 2,7)</w:t>
            </w:r>
          </w:p>
        </w:tc>
        <w:tc>
          <w:tcPr>
            <w:tcW w:w="886" w:type="dxa"/>
            <w:gridSpan w:val="3"/>
            <w:tcBorders>
              <w:top w:val="single" w:sz="4" w:space="0" w:color="000000"/>
              <w:left w:val="single" w:sz="4" w:space="0" w:color="000000"/>
              <w:bottom w:val="single" w:sz="4" w:space="0" w:color="000000"/>
              <w:right w:val="single" w:sz="4" w:space="0" w:color="auto"/>
            </w:tcBorders>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tc>
        <w:tc>
          <w:tcPr>
            <w:tcW w:w="2186" w:type="dxa"/>
            <w:tcBorders>
              <w:top w:val="single" w:sz="4" w:space="0" w:color="000000"/>
              <w:left w:val="single" w:sz="4" w:space="0" w:color="auto"/>
              <w:bottom w:val="single" w:sz="4" w:space="0" w:color="000000"/>
              <w:right w:val="single" w:sz="4" w:space="0" w:color="000000"/>
            </w:tcBorders>
          </w:tcPr>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w:t>
            </w:r>
          </w:p>
        </w:tc>
      </w:tr>
      <w:tr w:rsidR="00DD1521">
        <w:trPr>
          <w:trHeight w:val="291"/>
        </w:trPr>
        <w:tc>
          <w:tcPr>
            <w:tcW w:w="9348" w:type="dxa"/>
            <w:gridSpan w:val="7"/>
            <w:tcBorders>
              <w:top w:val="single" w:sz="4" w:space="0" w:color="000000"/>
              <w:left w:val="single" w:sz="4" w:space="0" w:color="000000"/>
              <w:bottom w:val="single" w:sz="4" w:space="0" w:color="000000"/>
              <w:right w:val="single" w:sz="4" w:space="0" w:color="000000"/>
            </w:tcBorders>
            <w:shd w:val="clear" w:color="auto" w:fill="E6E6E6"/>
          </w:tcPr>
          <w:p w:rsidR="00DD1521" w:rsidRDefault="00DD1521">
            <w:pPr>
              <w:pStyle w:val="Normal1"/>
              <w:spacing w:after="0" w:line="240" w:lineRule="auto"/>
              <w:rPr>
                <w:rFonts w:ascii="Arial" w:hAnsi="Arial" w:cs="Arial"/>
                <w:sz w:val="14"/>
                <w:szCs w:val="14"/>
              </w:rPr>
            </w:pPr>
            <w:r>
              <w:rPr>
                <w:rFonts w:ascii="Arial" w:hAnsi="Arial" w:cs="Arial"/>
                <w:sz w:val="14"/>
                <w:szCs w:val="14"/>
              </w:rPr>
              <w:t>*Resultado no estadísticamente significativo (preespecificado p&lt;0,0015 para el análisis intermedio)</w:t>
            </w:r>
          </w:p>
          <w:p w:rsidR="00DD1521" w:rsidRDefault="00DD1521">
            <w:pPr>
              <w:pStyle w:val="Normal1"/>
              <w:spacing w:after="0" w:line="240" w:lineRule="auto"/>
              <w:jc w:val="both"/>
              <w:rPr>
                <w:rFonts w:ascii="Arial" w:hAnsi="Arial" w:cs="Arial"/>
                <w:sz w:val="14"/>
                <w:szCs w:val="14"/>
              </w:rPr>
            </w:pPr>
            <w:r>
              <w:rPr>
                <w:rFonts w:ascii="Arial" w:hAnsi="Arial" w:cs="Arial"/>
                <w:sz w:val="14"/>
                <w:szCs w:val="14"/>
              </w:rPr>
              <w:t xml:space="preserve">**Una disminución  </w:t>
            </w:r>
            <w:r>
              <w:rPr>
                <w:rFonts w:ascii="Arial" w:eastAsia="Arial Unicode MS" w:hAnsi="Arial" w:cs="Arial"/>
                <w:sz w:val="14"/>
                <w:szCs w:val="14"/>
              </w:rPr>
              <w:t>≥ 10 puntos respecto al basal obtenido en dos mediciones consecutivas</w:t>
            </w:r>
            <w:r>
              <w:rPr>
                <w:rFonts w:ascii="Arial" w:hAnsi="Arial" w:cs="Arial"/>
                <w:sz w:val="14"/>
                <w:szCs w:val="14"/>
              </w:rPr>
              <w:t xml:space="preserve"> se consideró como una mejora relevante.</w:t>
            </w:r>
          </w:p>
        </w:tc>
      </w:tr>
    </w:tbl>
    <w:p w:rsidR="00DD1521" w:rsidRDefault="00DD1521">
      <w:pPr>
        <w:snapToGrid w:val="0"/>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Ambos grupos de tratamientos estaban bien balanceados en cuanto a sus características basales. Los resultados de </w:t>
      </w:r>
      <w:r>
        <w:rPr>
          <w:rFonts w:ascii="Arial" w:hAnsi="Arial" w:cs="Arial"/>
          <w:b/>
          <w:bCs/>
          <w:sz w:val="20"/>
          <w:szCs w:val="20"/>
        </w:rPr>
        <w:t>SLP</w:t>
      </w:r>
      <w:r>
        <w:rPr>
          <w:rFonts w:ascii="Arial" w:hAnsi="Arial" w:cs="Arial"/>
          <w:sz w:val="20"/>
          <w:szCs w:val="20"/>
        </w:rPr>
        <w:t xml:space="preserve"> obtenidos por el CRI independiente fueron consistentes con los del investigador). </w:t>
      </w:r>
    </w:p>
    <w:p w:rsidR="00DD1521" w:rsidRDefault="0023048A">
      <w:pPr>
        <w:snapToGrid w:val="0"/>
        <w:spacing w:after="0" w:line="240" w:lineRule="auto"/>
        <w:jc w:val="both"/>
        <w:rPr>
          <w:rFonts w:ascii="Arial" w:hAnsi="Arial" w:cs="Arial"/>
          <w:sz w:val="20"/>
          <w:szCs w:val="20"/>
        </w:rPr>
      </w:pPr>
      <w:r>
        <w:rPr>
          <w:rFonts w:ascii="Arial" w:hAnsi="Arial" w:cs="Arial"/>
          <w:noProof/>
          <w:sz w:val="20"/>
          <w:szCs w:val="20"/>
        </w:rPr>
        <w:drawing>
          <wp:inline distT="0" distB="0" distL="0" distR="0">
            <wp:extent cx="4572000" cy="255270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t="3151"/>
                    <a:stretch>
                      <a:fillRect/>
                    </a:stretch>
                  </pic:blipFill>
                  <pic:spPr bwMode="auto">
                    <a:xfrm>
                      <a:off x="0" y="0"/>
                      <a:ext cx="4572000" cy="2552700"/>
                    </a:xfrm>
                    <a:prstGeom prst="rect">
                      <a:avLst/>
                    </a:prstGeom>
                    <a:noFill/>
                    <a:ln>
                      <a:noFill/>
                    </a:ln>
                  </pic:spPr>
                </pic:pic>
              </a:graphicData>
            </a:graphic>
          </wp:inline>
        </w:drawing>
      </w:r>
    </w:p>
    <w:p w:rsidR="00DD1521" w:rsidRDefault="00DD1521">
      <w:pPr>
        <w:snapToGrid w:val="0"/>
        <w:spacing w:after="0" w:line="240" w:lineRule="auto"/>
        <w:jc w:val="both"/>
        <w:rPr>
          <w:rFonts w:ascii="Arial" w:hAnsi="Arial" w:cs="Arial"/>
          <w:b/>
          <w:bCs/>
          <w:sz w:val="18"/>
          <w:szCs w:val="18"/>
        </w:rPr>
      </w:pPr>
      <w:r>
        <w:rPr>
          <w:rFonts w:ascii="Arial" w:hAnsi="Arial" w:cs="Arial"/>
          <w:b/>
          <w:bCs/>
          <w:sz w:val="18"/>
          <w:szCs w:val="18"/>
        </w:rPr>
        <w:t>Figura 3. Curvas de SLP en la población ITT. Informe EPAR de la EMA.</w:t>
      </w:r>
    </w:p>
    <w:p w:rsidR="00DD1521" w:rsidRDefault="00DD1521">
      <w:pPr>
        <w:snapToGrid w:val="0"/>
        <w:spacing w:after="0" w:line="240" w:lineRule="auto"/>
        <w:jc w:val="both"/>
        <w:rPr>
          <w:rFonts w:ascii="Arial" w:hAnsi="Arial" w:cs="Arial"/>
          <w:sz w:val="20"/>
          <w:szCs w:val="20"/>
        </w:rPr>
      </w:pPr>
    </w:p>
    <w:p w:rsidR="00DD1521" w:rsidRDefault="00DD1521">
      <w:pPr>
        <w:snapToGrid w:val="0"/>
        <w:spacing w:after="0" w:line="240" w:lineRule="auto"/>
        <w:jc w:val="both"/>
        <w:rPr>
          <w:rFonts w:ascii="Arial" w:hAnsi="Arial" w:cs="Arial"/>
          <w:sz w:val="20"/>
          <w:szCs w:val="20"/>
        </w:rPr>
      </w:pPr>
      <w:r>
        <w:rPr>
          <w:rFonts w:ascii="Arial" w:hAnsi="Arial" w:cs="Arial"/>
          <w:sz w:val="20"/>
          <w:szCs w:val="20"/>
        </w:rPr>
        <w:t xml:space="preserve">En el análisis intermedio de la </w:t>
      </w:r>
      <w:r>
        <w:rPr>
          <w:rFonts w:ascii="Arial" w:hAnsi="Arial" w:cs="Arial"/>
          <w:b/>
          <w:bCs/>
          <w:sz w:val="20"/>
          <w:szCs w:val="20"/>
        </w:rPr>
        <w:t>SG</w:t>
      </w:r>
      <w:r>
        <w:rPr>
          <w:rFonts w:ascii="Arial" w:hAnsi="Arial" w:cs="Arial"/>
          <w:sz w:val="20"/>
          <w:szCs w:val="20"/>
        </w:rPr>
        <w:t xml:space="preserve"> no se observaron diferencias estadísticamente significativas entre los dos grupos de tratamiento ya que no se alcanzó el nivel de significación estadística preespecifiado en el estudio (p&lt;0,0015).</w:t>
      </w:r>
    </w:p>
    <w:p w:rsidR="00DD1521" w:rsidRDefault="00DD1521">
      <w:pPr>
        <w:snapToGrid w:val="0"/>
        <w:spacing w:after="0" w:line="240" w:lineRule="auto"/>
        <w:jc w:val="both"/>
        <w:rPr>
          <w:rFonts w:ascii="Arial" w:hAnsi="Arial" w:cs="Arial"/>
          <w:sz w:val="20"/>
          <w:szCs w:val="20"/>
        </w:rPr>
      </w:pPr>
    </w:p>
    <w:p w:rsidR="00DD1521" w:rsidRDefault="00DD1521">
      <w:pPr>
        <w:snapToGrid w:val="0"/>
        <w:spacing w:after="0" w:line="240" w:lineRule="auto"/>
        <w:jc w:val="both"/>
        <w:rPr>
          <w:rFonts w:ascii="Arial" w:hAnsi="Arial" w:cs="Arial"/>
          <w:sz w:val="20"/>
          <w:szCs w:val="20"/>
        </w:rPr>
      </w:pPr>
      <w:r>
        <w:rPr>
          <w:rFonts w:ascii="Arial" w:hAnsi="Arial" w:cs="Arial"/>
          <w:sz w:val="20"/>
          <w:szCs w:val="20"/>
        </w:rPr>
        <w:t xml:space="preserve">El análisis de los </w:t>
      </w:r>
      <w:r>
        <w:rPr>
          <w:rFonts w:ascii="Arial" w:hAnsi="Arial" w:cs="Arial"/>
          <w:b/>
          <w:bCs/>
          <w:sz w:val="20"/>
          <w:szCs w:val="20"/>
        </w:rPr>
        <w:t>resultados informados</w:t>
      </w:r>
      <w:r>
        <w:rPr>
          <w:rFonts w:ascii="Arial" w:hAnsi="Arial" w:cs="Arial"/>
          <w:sz w:val="20"/>
          <w:szCs w:val="20"/>
        </w:rPr>
        <w:t xml:space="preserve"> por el paciente muestra una mejora relevante en los síntomas clave independientemente del tratamiento recibido. No se detectaron diferencias estadísticamente significativas entre ambos brazos de tratamiento en esta variable. El cuestionario de calidad de vida QLQ-C30 mostró una mejora, pero no fue considerada como relevante en los síntomas relacionados con el estado global de salud y el área de funcionamiento.</w:t>
      </w:r>
    </w:p>
    <w:p w:rsidR="00DD1521" w:rsidRDefault="00DD1521">
      <w:pPr>
        <w:snapToGrid w:val="0"/>
        <w:spacing w:after="0" w:line="240" w:lineRule="auto"/>
        <w:jc w:val="both"/>
        <w:rPr>
          <w:rFonts w:ascii="Arial" w:hAnsi="Arial" w:cs="Arial"/>
          <w:sz w:val="20"/>
          <w:szCs w:val="20"/>
        </w:rPr>
      </w:pPr>
    </w:p>
    <w:p w:rsidR="00DD1521" w:rsidRDefault="00DD1521">
      <w:pPr>
        <w:snapToGrid w:val="0"/>
        <w:spacing w:after="0" w:line="240" w:lineRule="auto"/>
        <w:jc w:val="both"/>
        <w:rPr>
          <w:rFonts w:ascii="Arial" w:hAnsi="Arial" w:cs="Arial"/>
          <w:sz w:val="20"/>
          <w:szCs w:val="20"/>
        </w:rPr>
      </w:pPr>
      <w:r>
        <w:rPr>
          <w:rFonts w:ascii="Arial" w:hAnsi="Arial" w:cs="Arial"/>
          <w:sz w:val="20"/>
          <w:szCs w:val="20"/>
        </w:rPr>
        <w:t xml:space="preserve">El análisis en el subgrupo preespecificado basado en la presencia o no de metástasis basales en SNC muestra que el beneficio de osimertinib en términos de SLP evaluada por el investigador se mantiene independientemente de la afectación o no a nivel de SNC. Los resultados obtenidos por </w:t>
      </w:r>
      <w:r>
        <w:rPr>
          <w:rFonts w:ascii="Arial" w:hAnsi="Arial" w:cs="Arial"/>
          <w:sz w:val="20"/>
          <w:szCs w:val="20"/>
        </w:rPr>
        <w:lastRenderedPageBreak/>
        <w:t xml:space="preserve">el CRI mostraron consistencia con los del investigador, obteniendo un HR de 0,48 (IC95% 0,26-0,86; p=0,014) a favor de osimertinib en los pacientes con presencia de metástasis a nivel de SNC y un HR =0,47 (IC95% 0,37-0,61; p&lt;0,001) en los pacientes sin afectación basal del SNC. </w:t>
      </w:r>
    </w:p>
    <w:p w:rsidR="00DD1521" w:rsidRDefault="00DD1521">
      <w:pPr>
        <w:snapToGrid w:val="0"/>
        <w:spacing w:after="0" w:line="240" w:lineRule="auto"/>
        <w:jc w:val="both"/>
        <w:rPr>
          <w:rFonts w:ascii="Arial" w:hAnsi="Arial" w:cs="Arial"/>
          <w:sz w:val="20"/>
          <w:szCs w:val="20"/>
        </w:rPr>
      </w:pPr>
    </w:p>
    <w:p w:rsidR="00DD1521" w:rsidRDefault="0023048A">
      <w:pPr>
        <w:snapToGrid w:val="0"/>
        <w:spacing w:after="0" w:line="240" w:lineRule="auto"/>
        <w:jc w:val="both"/>
        <w:rPr>
          <w:rFonts w:ascii="Arial" w:hAnsi="Arial" w:cs="Arial"/>
          <w:sz w:val="20"/>
          <w:szCs w:val="20"/>
        </w:rPr>
      </w:pPr>
      <w:r>
        <w:rPr>
          <w:rFonts w:ascii="Arial" w:hAnsi="Arial" w:cs="Arial"/>
          <w:noProof/>
          <w:sz w:val="20"/>
          <w:szCs w:val="20"/>
        </w:rPr>
        <w:drawing>
          <wp:inline distT="0" distB="0" distL="0" distR="0">
            <wp:extent cx="4124325" cy="2200275"/>
            <wp:effectExtent l="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b="17406"/>
                    <a:stretch>
                      <a:fillRect/>
                    </a:stretch>
                  </pic:blipFill>
                  <pic:spPr bwMode="auto">
                    <a:xfrm>
                      <a:off x="0" y="0"/>
                      <a:ext cx="4124325" cy="2200275"/>
                    </a:xfrm>
                    <a:prstGeom prst="rect">
                      <a:avLst/>
                    </a:prstGeom>
                    <a:noFill/>
                    <a:ln>
                      <a:noFill/>
                    </a:ln>
                  </pic:spPr>
                </pic:pic>
              </a:graphicData>
            </a:graphic>
          </wp:inline>
        </w:drawing>
      </w:r>
    </w:p>
    <w:p w:rsidR="00DD1521" w:rsidRDefault="00DD1521">
      <w:pPr>
        <w:snapToGrid w:val="0"/>
        <w:spacing w:after="0" w:line="240" w:lineRule="auto"/>
        <w:jc w:val="both"/>
        <w:rPr>
          <w:rFonts w:ascii="Arial" w:hAnsi="Arial" w:cs="Arial"/>
          <w:b/>
          <w:bCs/>
          <w:sz w:val="18"/>
          <w:szCs w:val="18"/>
        </w:rPr>
      </w:pPr>
      <w:r>
        <w:rPr>
          <w:rFonts w:ascii="Arial" w:hAnsi="Arial" w:cs="Arial"/>
          <w:b/>
          <w:bCs/>
          <w:sz w:val="18"/>
          <w:szCs w:val="18"/>
        </w:rPr>
        <w:t>Figura 4. Curvas de SLP según presencia o ausencia de metástasis en SNC. Informe EPAR de la EMA.</w:t>
      </w:r>
    </w:p>
    <w:p w:rsidR="00DD1521" w:rsidRDefault="00DD1521">
      <w:pPr>
        <w:snapToGrid w:val="0"/>
        <w:spacing w:after="0" w:line="240" w:lineRule="auto"/>
        <w:jc w:val="both"/>
        <w:rPr>
          <w:rFonts w:ascii="Arial" w:hAnsi="Arial" w:cs="Arial"/>
          <w:sz w:val="20"/>
          <w:szCs w:val="20"/>
        </w:rPr>
      </w:pPr>
    </w:p>
    <w:p w:rsidR="00DD1521" w:rsidRDefault="00DD1521">
      <w:pPr>
        <w:snapToGrid w:val="0"/>
        <w:spacing w:after="0" w:line="240" w:lineRule="auto"/>
        <w:jc w:val="both"/>
        <w:rPr>
          <w:rFonts w:ascii="Arial" w:hAnsi="Arial" w:cs="Arial"/>
          <w:sz w:val="20"/>
          <w:szCs w:val="20"/>
        </w:rPr>
      </w:pPr>
      <w:r>
        <w:rPr>
          <w:rFonts w:ascii="Arial" w:hAnsi="Arial" w:cs="Arial"/>
          <w:sz w:val="20"/>
          <w:szCs w:val="20"/>
        </w:rPr>
        <w:t xml:space="preserve">El beneficio estadísticamente significativo en términos de SLP a favor de osimertinib se observa en todos los subgrupos preespecificados en el estudio. Todos los HR calculados para SLP en los subgrupos fueron inferiores a 0,60. No se llevó a cabo el análisis de la SLP en función de la presencia o no de la mutación T790M planeado en el estudio debido al bajo número de pacientes que presentaban la mutación (cuatro en el grupo de osimertinib y uno en el del ITK de primera generación). </w:t>
      </w:r>
    </w:p>
    <w:p w:rsidR="00DD1521" w:rsidRDefault="00DD1521">
      <w:pPr>
        <w:snapToGrid w:val="0"/>
        <w:spacing w:after="0" w:line="240" w:lineRule="auto"/>
        <w:jc w:val="both"/>
        <w:rPr>
          <w:rFonts w:ascii="Arial" w:hAnsi="Arial" w:cs="Arial"/>
          <w:sz w:val="20"/>
          <w:szCs w:val="20"/>
        </w:rPr>
      </w:pPr>
    </w:p>
    <w:p w:rsidR="00DD1521" w:rsidRDefault="00DD1521">
      <w:pPr>
        <w:snapToGrid w:val="0"/>
        <w:spacing w:after="0" w:line="240" w:lineRule="auto"/>
        <w:jc w:val="both"/>
        <w:rPr>
          <w:rFonts w:ascii="Arial" w:hAnsi="Arial" w:cs="Arial"/>
          <w:b/>
          <w:bCs/>
          <w:color w:val="000080"/>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55" w:name="_Toc348931363"/>
      <w:bookmarkStart w:id="56" w:name="_Toc344399636"/>
      <w:bookmarkStart w:id="57" w:name="_Toc5793747"/>
      <w:r>
        <w:rPr>
          <w:rFonts w:ascii="Arial" w:hAnsi="Arial" w:cs="Arial"/>
          <w:sz w:val="20"/>
          <w:szCs w:val="20"/>
        </w:rPr>
        <w:t>5.2.b Evaluación de la validez y de la utilidad práctica de los resultados</w:t>
      </w:r>
      <w:bookmarkEnd w:id="55"/>
      <w:bookmarkEnd w:id="56"/>
      <w:bookmarkEnd w:id="57"/>
      <w:r>
        <w:rPr>
          <w:rFonts w:ascii="Arial" w:hAnsi="Arial" w:cs="Arial"/>
          <w:sz w:val="20"/>
          <w:szCs w:val="20"/>
        </w:rPr>
        <w:t xml:space="preserve"> </w:t>
      </w:r>
    </w:p>
    <w:p w:rsidR="00DD1521" w:rsidRDefault="00DD1521">
      <w:pPr>
        <w:spacing w:after="0" w:line="240" w:lineRule="auto"/>
        <w:jc w:val="both"/>
        <w:rPr>
          <w:rFonts w:ascii="Arial" w:hAnsi="Arial" w:cs="Arial"/>
          <w:color w:val="000080"/>
          <w:sz w:val="20"/>
          <w:szCs w:val="20"/>
        </w:rPr>
      </w:pPr>
    </w:p>
    <w:p w:rsidR="00DD1521" w:rsidRDefault="00DD1521">
      <w:pPr>
        <w:pStyle w:val="Textoindependiente3"/>
        <w:pBdr>
          <w:top w:val="single" w:sz="4" w:space="1" w:color="auto"/>
          <w:left w:val="single" w:sz="4" w:space="4" w:color="auto"/>
          <w:bottom w:val="single" w:sz="4" w:space="1" w:color="auto"/>
          <w:right w:val="single" w:sz="4" w:space="4" w:color="auto"/>
        </w:pBdr>
        <w:shd w:val="clear" w:color="auto" w:fill="E6E6E6"/>
        <w:spacing w:after="0" w:line="240" w:lineRule="auto"/>
        <w:jc w:val="both"/>
        <w:outlineLvl w:val="2"/>
        <w:rPr>
          <w:rFonts w:ascii="Arial" w:hAnsi="Arial" w:cs="Arial"/>
          <w:color w:val="333300"/>
          <w:sz w:val="20"/>
          <w:szCs w:val="20"/>
        </w:rPr>
      </w:pPr>
      <w:bookmarkStart w:id="58" w:name="_Toc348931364"/>
      <w:bookmarkStart w:id="59" w:name="_Toc344399637"/>
      <w:bookmarkStart w:id="60" w:name="_Toc5793748"/>
      <w:r>
        <w:rPr>
          <w:rFonts w:ascii="Arial" w:hAnsi="Arial" w:cs="Arial"/>
          <w:color w:val="333300"/>
          <w:sz w:val="20"/>
          <w:szCs w:val="20"/>
        </w:rPr>
        <w:t>A. Validez interna. Limitaciones de diseño y/o comentarios:</w:t>
      </w:r>
      <w:bookmarkEnd w:id="58"/>
      <w:bookmarkEnd w:id="59"/>
      <w:bookmarkEnd w:id="60"/>
    </w:p>
    <w:p w:rsidR="00DD1521" w:rsidRDefault="00DD1521">
      <w:pPr>
        <w:widowControl w:val="0"/>
        <w:autoSpaceDE w:val="0"/>
        <w:autoSpaceDN w:val="0"/>
        <w:adjustRightInd w:val="0"/>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b/>
          <w:bCs/>
          <w:sz w:val="20"/>
          <w:szCs w:val="20"/>
        </w:rPr>
        <w:t>Tratamiento de segunda línea del CPNM avanzado o metastásico con mutación positiva del EGFR T790M: estudio AURA 3.</w:t>
      </w:r>
    </w:p>
    <w:p w:rsidR="00DD1521" w:rsidRDefault="00DD1521">
      <w:pPr>
        <w:spacing w:after="0" w:line="240" w:lineRule="auto"/>
        <w:jc w:val="both"/>
        <w:rPr>
          <w:rFonts w:ascii="Arial" w:hAnsi="Arial" w:cs="Arial"/>
          <w:b/>
          <w:bCs/>
          <w:color w:val="0000FF"/>
          <w:sz w:val="18"/>
          <w:szCs w:val="18"/>
        </w:rPr>
      </w:pPr>
    </w:p>
    <w:p w:rsidR="00DD1521" w:rsidRDefault="00DD1521">
      <w:pPr>
        <w:spacing w:after="0" w:line="240" w:lineRule="auto"/>
        <w:jc w:val="both"/>
        <w:rPr>
          <w:rFonts w:ascii="Arial" w:hAnsi="Arial" w:cs="Arial"/>
          <w:sz w:val="20"/>
          <w:szCs w:val="20"/>
        </w:rPr>
      </w:pPr>
      <w:r>
        <w:rPr>
          <w:rFonts w:ascii="Arial" w:hAnsi="Arial" w:cs="Arial"/>
          <w:color w:val="000000"/>
          <w:sz w:val="20"/>
          <w:szCs w:val="20"/>
        </w:rPr>
        <w:t xml:space="preserve">De los 1036 pacientes que se cribaron, se aleatorizó a 419 sujetos con una asignación 2:1, en grupo control y grupo activo. Se estratificó a los pacientes en asiáticos y no asiáticos. El ensayo era </w:t>
      </w:r>
      <w:r>
        <w:rPr>
          <w:rFonts w:ascii="Arial" w:hAnsi="Arial" w:cs="Arial"/>
          <w:b/>
          <w:bCs/>
          <w:color w:val="000000"/>
          <w:sz w:val="20"/>
          <w:szCs w:val="20"/>
        </w:rPr>
        <w:t>abierto</w:t>
      </w:r>
      <w:r>
        <w:rPr>
          <w:rFonts w:ascii="Arial" w:hAnsi="Arial" w:cs="Arial"/>
          <w:color w:val="000000"/>
          <w:sz w:val="20"/>
          <w:szCs w:val="20"/>
        </w:rPr>
        <w:t xml:space="preserve">, aunque se hizo un análisis de sensibilidad posterior por parte de un comité independiente central. </w:t>
      </w:r>
      <w:r>
        <w:rPr>
          <w:rFonts w:ascii="Arial" w:hAnsi="Arial" w:cs="Arial"/>
          <w:sz w:val="20"/>
          <w:szCs w:val="20"/>
        </w:rPr>
        <w:t xml:space="preserve">Todos los sujetos están siendo seguidos, quedando pendientes los análisis de supervivencia global cuando se disponga de datos maduros. De acuerdo a una corrección posterior del protocolo, se permitió el cruce de los pacientes del grupo control que habían progresado al grupo tratamiento. </w:t>
      </w:r>
    </w:p>
    <w:p w:rsidR="00DD1521" w:rsidRPr="0078252F" w:rsidRDefault="00DD1521">
      <w:pPr>
        <w:spacing w:after="0" w:line="240" w:lineRule="auto"/>
        <w:jc w:val="both"/>
        <w:rPr>
          <w:rFonts w:ascii="Arial" w:hAnsi="Arial" w:cs="Arial"/>
          <w:color w:val="000000"/>
          <w:sz w:val="20"/>
          <w:szCs w:val="20"/>
        </w:rPr>
      </w:pPr>
    </w:p>
    <w:p w:rsidR="00DD1521" w:rsidRDefault="00DD1521">
      <w:pPr>
        <w:spacing w:after="0" w:line="240" w:lineRule="auto"/>
        <w:jc w:val="both"/>
        <w:rPr>
          <w:rFonts w:ascii="Arial" w:hAnsi="Arial" w:cs="Arial"/>
          <w:color w:val="000000"/>
          <w:sz w:val="20"/>
          <w:szCs w:val="20"/>
        </w:rPr>
      </w:pPr>
      <w:r>
        <w:rPr>
          <w:rFonts w:ascii="Arial" w:hAnsi="Arial" w:cs="Arial"/>
          <w:color w:val="000000"/>
          <w:sz w:val="20"/>
          <w:szCs w:val="20"/>
        </w:rPr>
        <w:t xml:space="preserve">El </w:t>
      </w:r>
      <w:r>
        <w:rPr>
          <w:rFonts w:ascii="Arial" w:hAnsi="Arial" w:cs="Arial"/>
          <w:b/>
          <w:bCs/>
          <w:color w:val="000000"/>
          <w:sz w:val="20"/>
          <w:szCs w:val="20"/>
        </w:rPr>
        <w:t>análisis es por intención de tratar</w:t>
      </w:r>
      <w:r>
        <w:rPr>
          <w:rFonts w:ascii="Arial" w:hAnsi="Arial" w:cs="Arial"/>
          <w:color w:val="000000"/>
          <w:sz w:val="20"/>
          <w:szCs w:val="20"/>
        </w:rPr>
        <w:t>. Los dos grupos de tratamiento en general estaban bien proporcionados en cuanto a las características demográficas y patológicas, sin embargo, se observan algunos desequilibrios en la proporción de pacientes con metástasis hepáticas (20,1% en el grupo de osimertinib frente a 29,3% en el grupo de quimioterapia) y en la proporción de pacientes con metástasis ósea / locomotora (37,6% en el brazo de osimertinib vs. 50,7% en el grupo de quimioterapia).</w:t>
      </w:r>
    </w:p>
    <w:p w:rsidR="00DD1521" w:rsidRDefault="00DD1521">
      <w:pPr>
        <w:spacing w:after="0" w:line="240" w:lineRule="auto"/>
        <w:jc w:val="both"/>
        <w:rPr>
          <w:rFonts w:ascii="Arial" w:hAnsi="Arial" w:cs="Arial"/>
          <w:sz w:val="20"/>
          <w:szCs w:val="20"/>
        </w:rPr>
      </w:pPr>
    </w:p>
    <w:p w:rsidR="00DD1521" w:rsidRDefault="00DD1521">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La variable principal es la supervivencia libre de progresión, no tratándose por tanto de una variable final.</w:t>
      </w:r>
    </w:p>
    <w:p w:rsidR="00DD1521" w:rsidRDefault="00DD1521">
      <w:pPr>
        <w:widowControl w:val="0"/>
        <w:autoSpaceDE w:val="0"/>
        <w:autoSpaceDN w:val="0"/>
        <w:adjustRightInd w:val="0"/>
        <w:spacing w:after="0" w:line="240" w:lineRule="auto"/>
        <w:jc w:val="both"/>
        <w:rPr>
          <w:rFonts w:ascii="Arial" w:hAnsi="Arial" w:cs="Arial"/>
          <w:color w:val="000000"/>
          <w:sz w:val="20"/>
          <w:szCs w:val="20"/>
        </w:rPr>
      </w:pPr>
    </w:p>
    <w:p w:rsidR="00DD1521" w:rsidRDefault="00DD1521">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El número de desviaciones del protocolo es alto en general (25,3%), sin embargo, la mayoría de ellos finalmente se resolvieron. La desviación del protocolo más frecuente relacionada con los </w:t>
      </w:r>
      <w:r>
        <w:rPr>
          <w:rFonts w:ascii="Arial" w:hAnsi="Arial" w:cs="Arial"/>
          <w:sz w:val="20"/>
          <w:szCs w:val="20"/>
        </w:rPr>
        <w:lastRenderedPageBreak/>
        <w:t>criterios de inclusión / exclusión fue el número de líneas de tratamiento previamente recibidas, que estaban más o menos equilibrados entre ambos brazos (3,6% en el de osimertinib y 4,3% en el de quimioterapia). Solo un paciente (en el brazo de osimertinib) recibió 3 líneas de tratamiento anteriores). Esta desviación no se considera susceptible de afectar el resultado del estudio</w:t>
      </w:r>
    </w:p>
    <w:p w:rsidR="00DD1521" w:rsidRDefault="00DD1521">
      <w:pPr>
        <w:autoSpaceDE w:val="0"/>
        <w:autoSpaceDN w:val="0"/>
        <w:adjustRightInd w:val="0"/>
        <w:spacing w:after="0" w:line="240" w:lineRule="auto"/>
        <w:jc w:val="both"/>
        <w:rPr>
          <w:rFonts w:ascii="Arial" w:hAnsi="Arial" w:cs="Arial"/>
          <w:sz w:val="20"/>
          <w:szCs w:val="20"/>
        </w:rPr>
      </w:pPr>
    </w:p>
    <w:p w:rsidR="00DD1521" w:rsidRDefault="00DD15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En el anexo I se detalla la evaluación del riesgo de sesgo para los diferentes dominios considerados en la herramienta diseñada por la </w:t>
      </w:r>
      <w:r>
        <w:rPr>
          <w:rFonts w:ascii="Arial" w:hAnsi="Arial" w:cs="Arial"/>
          <w:i/>
          <w:iCs/>
          <w:sz w:val="20"/>
          <w:szCs w:val="20"/>
        </w:rPr>
        <w:t>Colaboración Cochrane</w:t>
      </w:r>
      <w:r>
        <w:rPr>
          <w:rFonts w:ascii="Arial" w:hAnsi="Arial" w:cs="Arial"/>
          <w:sz w:val="20"/>
          <w:szCs w:val="20"/>
        </w:rPr>
        <w:t xml:space="preserve"> para tal fin.</w:t>
      </w:r>
    </w:p>
    <w:p w:rsidR="00DD1521" w:rsidRDefault="00DD1521">
      <w:pPr>
        <w:autoSpaceDE w:val="0"/>
        <w:autoSpaceDN w:val="0"/>
        <w:adjustRightInd w:val="0"/>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primera línea del CPNM avanzado o metastásico con mutaciones activadoras de EGFR: estudio FLAURA</w:t>
      </w:r>
    </w:p>
    <w:p w:rsidR="00DD1521" w:rsidRDefault="00DD1521">
      <w:pPr>
        <w:widowControl w:val="0"/>
        <w:autoSpaceDE w:val="0"/>
        <w:autoSpaceDN w:val="0"/>
        <w:adjustRightInd w:val="0"/>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 xml:space="preserve">La </w:t>
      </w:r>
      <w:r>
        <w:rPr>
          <w:rFonts w:ascii="Arial" w:hAnsi="Arial" w:cs="Arial"/>
          <w:b/>
          <w:bCs/>
          <w:sz w:val="20"/>
          <w:szCs w:val="20"/>
        </w:rPr>
        <w:t>asignación aleatoria</w:t>
      </w:r>
      <w:r>
        <w:rPr>
          <w:rFonts w:ascii="Arial" w:hAnsi="Arial" w:cs="Arial"/>
          <w:sz w:val="20"/>
          <w:szCs w:val="20"/>
        </w:rPr>
        <w:t xml:space="preserve"> de los participantes del estudio a cada brazo de tratamiento incluyendo la </w:t>
      </w:r>
      <w:r>
        <w:rPr>
          <w:rFonts w:ascii="Arial" w:hAnsi="Arial" w:cs="Arial"/>
          <w:b/>
          <w:bCs/>
          <w:sz w:val="20"/>
          <w:szCs w:val="20"/>
        </w:rPr>
        <w:t>ocultación de la secuencia de aleatorización</w:t>
      </w:r>
      <w:r>
        <w:rPr>
          <w:rFonts w:ascii="Arial" w:hAnsi="Arial" w:cs="Arial"/>
          <w:sz w:val="20"/>
          <w:szCs w:val="20"/>
        </w:rPr>
        <w:t xml:space="preserve">, así como el diseño </w:t>
      </w:r>
      <w:r>
        <w:rPr>
          <w:rFonts w:ascii="Arial" w:hAnsi="Arial" w:cs="Arial"/>
          <w:b/>
          <w:bCs/>
          <w:sz w:val="20"/>
          <w:szCs w:val="20"/>
        </w:rPr>
        <w:t>doble ciego</w:t>
      </w:r>
      <w:r>
        <w:rPr>
          <w:rFonts w:ascii="Arial" w:hAnsi="Arial" w:cs="Arial"/>
          <w:sz w:val="20"/>
          <w:szCs w:val="20"/>
        </w:rPr>
        <w:t xml:space="preserve"> apoyan la validez interna en lo que al diseño del estudio se refiere.</w:t>
      </w:r>
    </w:p>
    <w:p w:rsidR="00DD1521" w:rsidRDefault="00DD1521">
      <w:pPr>
        <w:pStyle w:val="Normal1"/>
        <w:widowControl w:val="0"/>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 xml:space="preserve">Las </w:t>
      </w:r>
      <w:r w:rsidRPr="00D41B7D">
        <w:rPr>
          <w:rFonts w:ascii="Arial" w:hAnsi="Arial" w:cs="Arial"/>
          <w:b/>
          <w:sz w:val="20"/>
          <w:szCs w:val="20"/>
        </w:rPr>
        <w:t>características basales</w:t>
      </w:r>
      <w:r>
        <w:rPr>
          <w:rFonts w:ascii="Arial" w:hAnsi="Arial" w:cs="Arial"/>
          <w:sz w:val="20"/>
          <w:szCs w:val="20"/>
        </w:rPr>
        <w:t xml:space="preserve"> estuvieron balanceadas en los dos grupos de tratamiento, excepto en el rango de edad (límite superior en el grupo de ITK de primera generación de 93 años y de 85 años en el de osimertinib). Sin </w:t>
      </w:r>
      <w:r w:rsidR="00E172A8">
        <w:rPr>
          <w:rFonts w:ascii="Arial" w:hAnsi="Arial" w:cs="Arial"/>
          <w:sz w:val="20"/>
          <w:szCs w:val="20"/>
        </w:rPr>
        <w:t>embargo,</w:t>
      </w:r>
      <w:r>
        <w:rPr>
          <w:rFonts w:ascii="Arial" w:hAnsi="Arial" w:cs="Arial"/>
          <w:sz w:val="20"/>
          <w:szCs w:val="20"/>
        </w:rPr>
        <w:t xml:space="preserve"> la mediana de edad fue la misma en ambos casos. Todos los pacientes incluidos fueron seguidos de forma exhaustiva a lo largo del estudio. </w:t>
      </w: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 xml:space="preserve">El análisis de las variables relacionadas con la eficacia fue </w:t>
      </w:r>
      <w:r w:rsidR="00E172A8">
        <w:rPr>
          <w:rFonts w:ascii="Arial" w:hAnsi="Arial" w:cs="Arial"/>
          <w:sz w:val="20"/>
          <w:szCs w:val="20"/>
        </w:rPr>
        <w:t>realizado</w:t>
      </w:r>
      <w:r>
        <w:rPr>
          <w:rFonts w:ascii="Arial" w:hAnsi="Arial" w:cs="Arial"/>
          <w:sz w:val="20"/>
          <w:szCs w:val="20"/>
        </w:rPr>
        <w:t xml:space="preserve"> en la </w:t>
      </w:r>
      <w:r>
        <w:rPr>
          <w:rFonts w:ascii="Arial" w:hAnsi="Arial" w:cs="Arial"/>
          <w:b/>
          <w:bCs/>
          <w:sz w:val="20"/>
          <w:szCs w:val="20"/>
        </w:rPr>
        <w:t>población por intención de tratar</w:t>
      </w:r>
      <w:r>
        <w:rPr>
          <w:rFonts w:ascii="Arial" w:hAnsi="Arial" w:cs="Arial"/>
          <w:sz w:val="20"/>
          <w:szCs w:val="20"/>
        </w:rPr>
        <w:t xml:space="preserve"> y evaluadas por el investigador según criterios RECIST. Con el objetivo de reducir sesgos, fue planificado un análisis de sensibilidad en el que un </w:t>
      </w:r>
      <w:r>
        <w:rPr>
          <w:rFonts w:ascii="Arial" w:hAnsi="Arial" w:cs="Arial"/>
          <w:b/>
          <w:bCs/>
          <w:sz w:val="20"/>
          <w:szCs w:val="20"/>
        </w:rPr>
        <w:t>CRI</w:t>
      </w:r>
      <w:r>
        <w:rPr>
          <w:rFonts w:ascii="Arial" w:hAnsi="Arial" w:cs="Arial"/>
          <w:sz w:val="20"/>
          <w:szCs w:val="20"/>
        </w:rPr>
        <w:t xml:space="preserve"> evaluó de forma independiente los resultados para la variable principal (SLP). </w:t>
      </w:r>
    </w:p>
    <w:p w:rsidR="00DD1521" w:rsidRDefault="00DD1521">
      <w:pPr>
        <w:pStyle w:val="Normal1"/>
        <w:widowControl w:val="0"/>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 xml:space="preserve">La </w:t>
      </w:r>
      <w:r>
        <w:rPr>
          <w:rFonts w:ascii="Arial" w:hAnsi="Arial" w:cs="Arial"/>
          <w:b/>
          <w:bCs/>
          <w:sz w:val="20"/>
          <w:szCs w:val="20"/>
        </w:rPr>
        <w:t>variable principal</w:t>
      </w:r>
      <w:r>
        <w:rPr>
          <w:rFonts w:ascii="Arial" w:hAnsi="Arial" w:cs="Arial"/>
          <w:sz w:val="20"/>
          <w:szCs w:val="20"/>
        </w:rPr>
        <w:t xml:space="preserve"> empleada en este estudio es una variable intermedia y no una variable final. La SG (variable final) es incluida como una variable secundaria y los resultados presentados en el punto de corte para el análisis de los datos son inmaduros y no alcanzan el nivel de significación estadística predefinido. </w:t>
      </w:r>
    </w:p>
    <w:p w:rsidR="00DD1521" w:rsidRDefault="00DD1521">
      <w:pPr>
        <w:pStyle w:val="Normal1"/>
        <w:widowControl w:val="0"/>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 xml:space="preserve">El análisis de los </w:t>
      </w:r>
      <w:r>
        <w:rPr>
          <w:rFonts w:ascii="Arial" w:hAnsi="Arial" w:cs="Arial"/>
          <w:b/>
          <w:bCs/>
          <w:sz w:val="20"/>
          <w:szCs w:val="20"/>
        </w:rPr>
        <w:t>resultados percibidos por los pacientes</w:t>
      </w:r>
      <w:r>
        <w:rPr>
          <w:rFonts w:ascii="Arial" w:hAnsi="Arial" w:cs="Arial"/>
          <w:sz w:val="20"/>
          <w:szCs w:val="20"/>
        </w:rPr>
        <w:t xml:space="preserve"> no incluyó a todos los pacientes que participaron en el ensayo (248 en el brazo de osimertinib y 252 en el del ITK de primera generación. Además, estos resultados solo han sido publicados en forma de abstract como comunicaciones a congresos y no han sido incluidos en el artículo original, por lo que no han sido sometidos a un proceso de revisión por pares adecuado. </w:t>
      </w:r>
    </w:p>
    <w:p w:rsidR="00DD1521" w:rsidRDefault="00DD1521">
      <w:pPr>
        <w:pStyle w:val="Normal1"/>
        <w:widowControl w:val="0"/>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El desarrollo del estudio tuvo dos grandes modificaciones. La primera enmienda fue en abril de 2015 en la que la FDA y la Agencia reguladora China realizaron las siguientes recomendaciones:</w:t>
      </w:r>
    </w:p>
    <w:p w:rsidR="00DD1521" w:rsidRDefault="00DD1521">
      <w:pPr>
        <w:pStyle w:val="Normal1"/>
        <w:widowControl w:val="0"/>
        <w:numPr>
          <w:ilvl w:val="0"/>
          <w:numId w:val="7"/>
        </w:numPr>
        <w:spacing w:after="0" w:line="240" w:lineRule="auto"/>
        <w:jc w:val="both"/>
        <w:rPr>
          <w:rFonts w:ascii="Arial" w:hAnsi="Arial" w:cs="Arial"/>
          <w:sz w:val="20"/>
          <w:szCs w:val="20"/>
        </w:rPr>
      </w:pPr>
      <w:r>
        <w:rPr>
          <w:rFonts w:ascii="Arial" w:hAnsi="Arial" w:cs="Arial"/>
          <w:sz w:val="20"/>
          <w:szCs w:val="20"/>
        </w:rPr>
        <w:t xml:space="preserve">Ampliar el reclutamiento de población China con el objetivo de alcanzar el tamaño muestral inicialmente requerido (650 pacientes). </w:t>
      </w:r>
    </w:p>
    <w:p w:rsidR="00DD1521" w:rsidRDefault="00DD1521">
      <w:pPr>
        <w:pStyle w:val="Normal1"/>
        <w:widowControl w:val="0"/>
        <w:numPr>
          <w:ilvl w:val="0"/>
          <w:numId w:val="7"/>
        </w:numPr>
        <w:spacing w:after="0" w:line="240" w:lineRule="auto"/>
        <w:jc w:val="both"/>
        <w:rPr>
          <w:rFonts w:ascii="Arial" w:hAnsi="Arial" w:cs="Arial"/>
          <w:sz w:val="20"/>
          <w:szCs w:val="20"/>
        </w:rPr>
      </w:pPr>
      <w:r>
        <w:rPr>
          <w:rFonts w:ascii="Arial" w:hAnsi="Arial" w:cs="Arial"/>
          <w:sz w:val="20"/>
          <w:szCs w:val="20"/>
        </w:rPr>
        <w:t>Permitir el cruzamiento al grupo de osimertinib (sin enmascaramiento) de los pacientes del grupo control que progresaran y tuvieran la mutación T790M positiva.</w:t>
      </w:r>
    </w:p>
    <w:p w:rsidR="00DD1521" w:rsidRDefault="00DD1521">
      <w:pPr>
        <w:pStyle w:val="Normal1"/>
        <w:widowControl w:val="0"/>
        <w:numPr>
          <w:ilvl w:val="0"/>
          <w:numId w:val="7"/>
        </w:numPr>
        <w:spacing w:after="0" w:line="240" w:lineRule="auto"/>
        <w:jc w:val="both"/>
        <w:rPr>
          <w:rFonts w:ascii="Arial" w:hAnsi="Arial" w:cs="Arial"/>
          <w:sz w:val="20"/>
          <w:szCs w:val="20"/>
        </w:rPr>
      </w:pPr>
      <w:r>
        <w:rPr>
          <w:rFonts w:ascii="Arial" w:hAnsi="Arial" w:cs="Arial"/>
          <w:sz w:val="20"/>
          <w:szCs w:val="20"/>
        </w:rPr>
        <w:t xml:space="preserve">Eliminar el análisis intermedio de eficacia. </w:t>
      </w:r>
    </w:p>
    <w:p w:rsidR="00DD1521" w:rsidRDefault="00DD1521">
      <w:pPr>
        <w:pStyle w:val="Normal1"/>
        <w:widowControl w:val="0"/>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 xml:space="preserve">La segunda enmienda fue realizada en septiembre de 2015 en el que se disminuyó el tamaño muestral del estudio a 530 pacientes y se incluyó la tasa de control de la enfermedad como una variable adicional secundaria de eficacia. </w:t>
      </w:r>
    </w:p>
    <w:p w:rsidR="00DD1521" w:rsidRDefault="00DD1521">
      <w:pPr>
        <w:pStyle w:val="Normal1"/>
        <w:widowControl w:val="0"/>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Una de las mayores limitaciones que presenta este estudio es que el grupo comparador no incluye como opción de tratamiento afatinib, fármaco también con indicación en primera línea y con utilización en práctica clínica habitual en este contexto clínico, pero que no estaba disponible en algunos países participantes en el estudio. Tampoco se comparó con dacomitinib, fármaco con indicación ya aprobada por la FDA en primera línea en base a un estudio en el que demostró superioridad frente a gefitinib, aumentando la mediana de SLP en 5,5 meses. Este fármaco es de un desarrollo posterior al diseño y elaboración del estudio FALURA.</w:t>
      </w:r>
    </w:p>
    <w:p w:rsidR="00DD1521" w:rsidRDefault="00DD1521">
      <w:pPr>
        <w:pStyle w:val="Normal1"/>
        <w:widowControl w:val="0"/>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 xml:space="preserve">La proporción de pacientes que recibieron gefitinib fue muy superior a la de erlotinib, debido </w:t>
      </w:r>
      <w:r>
        <w:rPr>
          <w:rFonts w:ascii="Arial" w:hAnsi="Arial" w:cs="Arial"/>
          <w:sz w:val="20"/>
          <w:szCs w:val="20"/>
        </w:rPr>
        <w:lastRenderedPageBreak/>
        <w:t xml:space="preserve">probablemente a la alta proporción de pacientes de origen asiático incluida en el estudio.  Dentro del análisis de eficacia no fue preespecificado ni llevado a cabo un análisis en función del ITK utilizado en el grupo comparador. </w:t>
      </w:r>
    </w:p>
    <w:p w:rsidR="00DD1521" w:rsidRDefault="00DD1521">
      <w:pPr>
        <w:pStyle w:val="Normal1"/>
        <w:widowControl w:val="0"/>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Arial" w:hAnsi="Arial" w:cs="Arial"/>
          <w:sz w:val="20"/>
          <w:szCs w:val="20"/>
        </w:rPr>
      </w:pPr>
      <w:r>
        <w:rPr>
          <w:rFonts w:ascii="Arial" w:hAnsi="Arial" w:cs="Arial"/>
          <w:sz w:val="20"/>
          <w:szCs w:val="20"/>
        </w:rPr>
        <w:t xml:space="preserve">Este ensayo clínico presenta un elevado porcentaje de desviaciones de protocolo, aunque ninguna de ellas se considera que tenga un impacto relevante en los resultados. La desviaciones más frecuentes fueron: pérdida de evaluaciones de eficacia por criterios RECIST (14,7% en el grupo de osimertinib y 9,4% en el que recibió un ITK de primera generación), realización de la evaluación basal fuera del período ventana en más de 2 ocasiones (18 pacientes con osimertinib y 9 con ITK de primera generación), no cumplimiento de criterios RECIST para la evaluación del tumor (7 pacientes en cada grupo), administración de fármacos prohibidos (un paciente en cada brazo) o no cumplimiento de alguno de los criterios de inclusión especificados en el estudio. Una de las desviaciones de protocolo más importantes fue que tres pacientes (dos en el grupo de osimertinib y uno en el de erlotinib/gefitinib) no recibieron el fármaco del estudio como primera línea de tratamiento en enfermedad avanzada. </w:t>
      </w:r>
    </w:p>
    <w:p w:rsidR="00DD1521" w:rsidRDefault="00DD1521">
      <w:pPr>
        <w:pStyle w:val="Normal1"/>
        <w:widowControl w:val="0"/>
        <w:spacing w:after="0" w:line="240" w:lineRule="auto"/>
        <w:jc w:val="both"/>
        <w:rPr>
          <w:rFonts w:ascii="Arial" w:hAnsi="Arial" w:cs="Arial"/>
          <w:sz w:val="20"/>
          <w:szCs w:val="20"/>
        </w:rPr>
      </w:pPr>
    </w:p>
    <w:p w:rsidR="00DD1521" w:rsidRDefault="00DD15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En el anexo I se detalla la evaluación del riesgo de sesgo para los diferentes dominios considerados en la herramienta diseñada por la </w:t>
      </w:r>
      <w:r>
        <w:rPr>
          <w:rFonts w:ascii="Arial" w:hAnsi="Arial" w:cs="Arial"/>
          <w:i/>
          <w:iCs/>
          <w:sz w:val="20"/>
          <w:szCs w:val="20"/>
        </w:rPr>
        <w:t>Colaboración Cochrane</w:t>
      </w:r>
      <w:r>
        <w:rPr>
          <w:rFonts w:ascii="Arial" w:hAnsi="Arial" w:cs="Arial"/>
          <w:sz w:val="20"/>
          <w:szCs w:val="20"/>
        </w:rPr>
        <w:t xml:space="preserve"> para tal fin.</w:t>
      </w:r>
    </w:p>
    <w:p w:rsidR="00DD1521" w:rsidRDefault="00DD1521">
      <w:pPr>
        <w:autoSpaceDE w:val="0"/>
        <w:autoSpaceDN w:val="0"/>
        <w:adjustRightInd w:val="0"/>
        <w:spacing w:after="0" w:line="240" w:lineRule="auto"/>
        <w:jc w:val="both"/>
        <w:rPr>
          <w:rFonts w:ascii="Arial" w:hAnsi="Arial" w:cs="Arial"/>
          <w:sz w:val="20"/>
          <w:szCs w:val="20"/>
        </w:rPr>
      </w:pPr>
    </w:p>
    <w:p w:rsidR="00DD1521" w:rsidRDefault="00DD1521">
      <w:pPr>
        <w:autoSpaceDE w:val="0"/>
        <w:autoSpaceDN w:val="0"/>
        <w:adjustRightInd w:val="0"/>
        <w:spacing w:after="0" w:line="240" w:lineRule="auto"/>
        <w:jc w:val="both"/>
        <w:rPr>
          <w:rFonts w:ascii="Arial" w:hAnsi="Arial" w:cs="Arial"/>
          <w:sz w:val="20"/>
          <w:szCs w:val="20"/>
        </w:rPr>
      </w:pPr>
    </w:p>
    <w:p w:rsidR="00DD1521" w:rsidRDefault="00DD1521">
      <w:pPr>
        <w:pStyle w:val="Textoindependiente3"/>
        <w:pBdr>
          <w:top w:val="single" w:sz="4" w:space="1" w:color="auto"/>
          <w:left w:val="single" w:sz="4" w:space="4" w:color="auto"/>
          <w:bottom w:val="single" w:sz="4" w:space="1" w:color="auto"/>
          <w:right w:val="single" w:sz="4" w:space="4" w:color="auto"/>
        </w:pBdr>
        <w:shd w:val="clear" w:color="auto" w:fill="E6E6E6"/>
        <w:spacing w:after="0" w:line="240" w:lineRule="auto"/>
        <w:jc w:val="both"/>
        <w:outlineLvl w:val="2"/>
        <w:rPr>
          <w:rFonts w:ascii="Arial" w:hAnsi="Arial" w:cs="Arial"/>
          <w:color w:val="333300"/>
          <w:sz w:val="20"/>
          <w:szCs w:val="20"/>
        </w:rPr>
      </w:pPr>
      <w:bookmarkStart w:id="61" w:name="_Toc344399638"/>
      <w:bookmarkStart w:id="62" w:name="_Toc348931365"/>
      <w:bookmarkStart w:id="63" w:name="_Toc5793749"/>
      <w:r>
        <w:rPr>
          <w:rFonts w:ascii="Arial" w:hAnsi="Arial" w:cs="Arial"/>
          <w:color w:val="333300"/>
          <w:sz w:val="20"/>
          <w:szCs w:val="20"/>
        </w:rPr>
        <w:t>B. Aplicabilidad del ensayo a la práctica del hospital</w:t>
      </w:r>
      <w:bookmarkEnd w:id="61"/>
      <w:bookmarkEnd w:id="62"/>
      <w:bookmarkEnd w:id="63"/>
    </w:p>
    <w:p w:rsidR="00DD1521" w:rsidRDefault="00DD1521">
      <w:pPr>
        <w:pStyle w:val="Textoindependiente3"/>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b/>
          <w:bCs/>
          <w:sz w:val="20"/>
          <w:szCs w:val="20"/>
        </w:rPr>
        <w:t>Tratamiento de segunda línea del CPNM avanzado o metastásico con mutación positiva del EGFR T790M: estudio AURA 3.</w:t>
      </w:r>
    </w:p>
    <w:p w:rsidR="00DD1521" w:rsidRDefault="00DD1521">
      <w:pPr>
        <w:pStyle w:val="Textoindependiente3"/>
        <w:spacing w:after="0" w:line="240" w:lineRule="auto"/>
        <w:jc w:val="both"/>
        <w:rPr>
          <w:rFonts w:ascii="Arial" w:hAnsi="Arial" w:cs="Arial"/>
          <w:sz w:val="20"/>
          <w:szCs w:val="20"/>
        </w:rPr>
      </w:pPr>
    </w:p>
    <w:p w:rsidR="00DD1521" w:rsidRDefault="00DD1521">
      <w:pPr>
        <w:pStyle w:val="Textoindependiente3"/>
        <w:spacing w:after="0" w:line="240" w:lineRule="auto"/>
        <w:jc w:val="both"/>
        <w:rPr>
          <w:rFonts w:ascii="Arial" w:hAnsi="Arial" w:cs="Arial"/>
          <w:sz w:val="20"/>
          <w:szCs w:val="20"/>
        </w:rPr>
      </w:pPr>
      <w:r>
        <w:rPr>
          <w:rFonts w:ascii="Arial" w:hAnsi="Arial" w:cs="Arial"/>
          <w:sz w:val="20"/>
          <w:szCs w:val="20"/>
        </w:rPr>
        <w:t>El comparador (platino + pemetrexed) es el adecuado en el contexto de los pacientes que progresan a ITK. La ganancia en SLP y las tasas de respuesta obtenidas son clínicamente relevantes.</w:t>
      </w:r>
    </w:p>
    <w:p w:rsidR="00DD1521" w:rsidRDefault="00DD1521">
      <w:pPr>
        <w:pStyle w:val="Textoindependiente3"/>
        <w:spacing w:after="0" w:line="240" w:lineRule="auto"/>
        <w:jc w:val="both"/>
        <w:rPr>
          <w:rFonts w:ascii="Arial" w:hAnsi="Arial" w:cs="Arial"/>
          <w:sz w:val="20"/>
          <w:szCs w:val="20"/>
        </w:rPr>
      </w:pPr>
      <w:r>
        <w:rPr>
          <w:rFonts w:ascii="Arial" w:hAnsi="Arial" w:cs="Arial"/>
          <w:sz w:val="20"/>
          <w:szCs w:val="20"/>
        </w:rPr>
        <w:t>La mayoría de pacientes habían recibido gefitinib como ITK previo. En el estudio AURA3, los pacientes debían recibir osimertinib en segunda línea, tras haber progresado a un ITK previo, lo que podría diferir de la población real en el hospital, probablemente más pretratada.  En los estudios fase II (AURA2) la mayoría de pacientes habían recibido tres o más líneas de tratamiento (69%), siendo consistentes los resultados de eficacia de estos estudios con los del fase III, aunque serían necesarios estudios fase III en población más pretratada para confirmar la eficacia en estos pacientes.</w:t>
      </w:r>
    </w:p>
    <w:p w:rsidR="00DD1521" w:rsidRDefault="00DD1521">
      <w:pPr>
        <w:pStyle w:val="Textoindependiente3"/>
        <w:spacing w:after="0" w:line="240" w:lineRule="auto"/>
        <w:jc w:val="both"/>
        <w:rPr>
          <w:rFonts w:ascii="Arial" w:hAnsi="Arial" w:cs="Arial"/>
          <w:sz w:val="20"/>
          <w:szCs w:val="20"/>
        </w:rPr>
      </w:pPr>
      <w:r>
        <w:rPr>
          <w:rFonts w:ascii="Arial" w:hAnsi="Arial" w:cs="Arial"/>
          <w:sz w:val="20"/>
          <w:szCs w:val="20"/>
        </w:rPr>
        <w:t xml:space="preserve">No se incluyeron pacientes con ECOG 2, por lo que desconocemos la eficacia del tratamiento en esta población. </w:t>
      </w:r>
    </w:p>
    <w:p w:rsidR="00DD1521" w:rsidRDefault="00DD1521">
      <w:pPr>
        <w:pStyle w:val="Textoindependiente3"/>
        <w:spacing w:after="0" w:line="240" w:lineRule="auto"/>
        <w:jc w:val="both"/>
        <w:rPr>
          <w:rFonts w:ascii="Arial" w:hAnsi="Arial" w:cs="Arial"/>
          <w:sz w:val="20"/>
          <w:szCs w:val="20"/>
        </w:rPr>
      </w:pPr>
      <w:r>
        <w:rPr>
          <w:rFonts w:ascii="Arial" w:hAnsi="Arial" w:cs="Arial"/>
          <w:sz w:val="20"/>
          <w:szCs w:val="20"/>
        </w:rPr>
        <w:t>En el anexo II se muestra la tabla de evaluación de la validez externa del estudio.</w:t>
      </w:r>
    </w:p>
    <w:p w:rsidR="00DD1521" w:rsidRDefault="00DD1521">
      <w:pPr>
        <w:pStyle w:val="Textoindependiente3"/>
        <w:spacing w:after="0" w:line="240" w:lineRule="auto"/>
        <w:jc w:val="both"/>
        <w:rPr>
          <w:rFonts w:ascii="Arial" w:hAnsi="Arial" w:cs="Arial"/>
          <w:sz w:val="20"/>
          <w:szCs w:val="20"/>
        </w:rPr>
      </w:pPr>
    </w:p>
    <w:p w:rsidR="00DD1521" w:rsidRDefault="00DD1521">
      <w:pPr>
        <w:pStyle w:val="Textoindependiente3"/>
        <w:spacing w:after="0" w:line="240" w:lineRule="auto"/>
        <w:jc w:val="both"/>
        <w:rPr>
          <w:rFonts w:ascii="Arial" w:hAnsi="Arial" w:cs="Arial"/>
          <w:sz w:val="20"/>
          <w:szCs w:val="20"/>
        </w:rPr>
      </w:pPr>
    </w:p>
    <w:p w:rsidR="00DD1521" w:rsidRDefault="00DD1521">
      <w:pPr>
        <w:pBdr>
          <w:top w:val="single" w:sz="4" w:space="0"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primera línea del CPNM avanzado o metastásico con mutaciones activadoras de EGFR</w:t>
      </w:r>
    </w:p>
    <w:p w:rsidR="00DD1521" w:rsidRDefault="00DD1521">
      <w:pPr>
        <w:pStyle w:val="Textoindependiente3"/>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El comparador empleado en este estudio es un ITK de primera generación (erlotinib/gefitinib), tratamiento recomendado en pacientes con CPNM localmente avanzado o metastásico con mutaciones activadoras del EGFR. Sin embargo, una limitación importante que presenta este estudio es la exclusión de afatinib como comparador, ITK de segunda generación indicado también como tratamiento de primera línea en este tipo de pacientes. Hay que tener en cuenta </w:t>
      </w:r>
      <w:r w:rsidR="00E172A8">
        <w:rPr>
          <w:rFonts w:ascii="Arial" w:hAnsi="Arial" w:cs="Arial"/>
          <w:sz w:val="20"/>
          <w:szCs w:val="20"/>
        </w:rPr>
        <w:t>que,</w:t>
      </w:r>
      <w:r>
        <w:rPr>
          <w:rFonts w:ascii="Arial" w:hAnsi="Arial" w:cs="Arial"/>
          <w:sz w:val="20"/>
          <w:szCs w:val="20"/>
        </w:rPr>
        <w:t xml:space="preserve"> en el momento del diseño del estudio, afatinib no estaba disponible en algunos países participantes en el estudio. Los resultados del ensayo LUX-Lung-7 </w:t>
      </w:r>
      <w:r>
        <w:rPr>
          <w:rFonts w:ascii="Arial" w:hAnsi="Arial" w:cs="Arial"/>
          <w:sz w:val="20"/>
          <w:szCs w:val="20"/>
        </w:rPr>
        <w:fldChar w:fldCharType="begin"/>
      </w:r>
      <w:r>
        <w:rPr>
          <w:rFonts w:ascii="Arial" w:hAnsi="Arial" w:cs="Arial"/>
          <w:sz w:val="20"/>
          <w:szCs w:val="20"/>
        </w:rPr>
        <w:instrText xml:space="preserve"> ADDIN ZOTERO_ITEM CSL_CITATION {"citationID":"xgr3BAid","properties":{"formattedCitation":"(31)","plainCitation":"(31)"},"citationItems":[{"id":1035,"uris":["http://zotero.org/users/local/zrSbuHrK/items/C2A6G4PR"],"uri":["http://zotero.org/users/local/zrSbuHrK/items/C2A6G4PR"],"itemData":{"id":1035,"type":"article-journal","title":"Afatinib versus gefitinib in patients with EGFR mutation-positive advanced non-small-cell lung cancer: overall survival data from the phase IIb LUX-Lung 7 trial","container-title":"Annals of Oncology: Official Journal of the European Society for Medical Oncology","page":"270-277","volume":"28","issue":"2","source":"PubMed","abstract":"Background: In LUX-Lung 7, the irreversible ErbB family blocker, afatinib, significantly improved progression-free survival (PFS), time-to-treatment failure (TTF) and objective response rate (ORR) versus gefitinib in patients with epidermal growth factor receptor (EGFR) mutation-positive non-small-cell lung cancer (NSCLC). Here, we present primary analysis of mature overall survival (OS) data.\nPatients and methods: LUX-Lung 7 assessed afatinib 40</w:instrText>
      </w:r>
      <w:r>
        <w:rPr>
          <w:rFonts w:ascii="Arial Unicode MS" w:eastAsia="Arial Unicode MS" w:hAnsi="Arial Unicode MS" w:cs="Arial Unicode MS" w:hint="eastAsia"/>
          <w:sz w:val="20"/>
          <w:szCs w:val="20"/>
        </w:rPr>
        <w:instrText> </w:instrText>
      </w:r>
      <w:r>
        <w:rPr>
          <w:rFonts w:ascii="Arial" w:hAnsi="Arial" w:cs="Arial"/>
          <w:sz w:val="20"/>
          <w:szCs w:val="20"/>
        </w:rPr>
        <w:instrText>mg/day versus gefitinib 250</w:instrText>
      </w:r>
      <w:r>
        <w:rPr>
          <w:rFonts w:ascii="Arial Unicode MS" w:eastAsia="Arial Unicode MS" w:hAnsi="Arial Unicode MS" w:cs="Arial Unicode MS" w:hint="eastAsia"/>
          <w:sz w:val="20"/>
          <w:szCs w:val="20"/>
        </w:rPr>
        <w:instrText> </w:instrText>
      </w:r>
      <w:r>
        <w:rPr>
          <w:rFonts w:ascii="Arial" w:hAnsi="Arial" w:cs="Arial"/>
          <w:sz w:val="20"/>
          <w:szCs w:val="20"/>
        </w:rPr>
        <w:instrText xml:space="preserve">mg/day in treatment-naïve patients with stage IIIb/IV NSCLC and a common EGFR mutation (exon 19 deletion/L858R). Primary OS analysis was planned after </w:instrText>
      </w:r>
      <w:r>
        <w:rPr>
          <w:rFonts w:ascii="MS Mincho" w:eastAsia="MS Mincho" w:hAnsi="MS Mincho" w:cs="MS Mincho" w:hint="eastAsia"/>
          <w:sz w:val="20"/>
          <w:szCs w:val="20"/>
        </w:rPr>
        <w:instrText>∼</w:instrText>
      </w:r>
      <w:r>
        <w:rPr>
          <w:rFonts w:ascii="Arial" w:hAnsi="Arial" w:cs="Arial"/>
          <w:sz w:val="20"/>
          <w:szCs w:val="20"/>
        </w:rPr>
        <w:instrText>213 OS events and</w:instrText>
      </w:r>
      <w:r>
        <w:rPr>
          <w:rFonts w:ascii="Arial Unicode MS" w:eastAsia="Arial Unicode MS" w:hAnsi="Arial Unicode MS" w:cs="Arial Unicode MS" w:hint="eastAsia"/>
          <w:sz w:val="20"/>
          <w:szCs w:val="20"/>
        </w:rPr>
        <w:instrText> </w:instrText>
      </w:r>
      <w:r>
        <w:rPr>
          <w:rFonts w:ascii="Arial" w:hAnsi="Arial" w:cs="Arial"/>
          <w:sz w:val="20"/>
          <w:szCs w:val="20"/>
        </w:rPr>
        <w:instrText>≥32-month follow-up. OS was analysed by a Cox proportional hazards model, stratified by EGFR mutation type and baseline brain metastases.\nResults: Two-hundred and twenty-six OS events had occurred at the data cut-off (8 April 2016). After a median follow-up of 42.6 months, median OS (afatinib versus gefitinib) was 27.9 versus 24.5 months [hazard ratio (HR) = 0.86, 95% confidence interval (CI) 0.66</w:instrText>
      </w:r>
      <w:r>
        <w:rPr>
          <w:rFonts w:ascii="Arial Unicode MS" w:eastAsia="Arial Unicode MS" w:hAnsi="Arial Unicode MS" w:cs="Arial Unicode MS" w:hint="eastAsia"/>
          <w:sz w:val="20"/>
          <w:szCs w:val="20"/>
        </w:rPr>
        <w:instrText>‒</w:instrText>
      </w:r>
      <w:r>
        <w:rPr>
          <w:rFonts w:ascii="Arial" w:hAnsi="Arial" w:cs="Arial"/>
          <w:sz w:val="20"/>
          <w:szCs w:val="20"/>
        </w:rPr>
        <w:instrText>1.12, P</w:instrText>
      </w:r>
      <w:r>
        <w:rPr>
          <w:rFonts w:ascii="Arial Unicode MS" w:eastAsia="Arial Unicode MS" w:hAnsi="Arial Unicode MS" w:cs="Arial Unicode MS" w:hint="eastAsia"/>
          <w:sz w:val="20"/>
          <w:szCs w:val="20"/>
        </w:rPr>
        <w:instrText> </w:instrText>
      </w:r>
      <w:r>
        <w:rPr>
          <w:rFonts w:ascii="Arial" w:hAnsi="Arial" w:cs="Arial"/>
          <w:sz w:val="20"/>
          <w:szCs w:val="20"/>
        </w:rPr>
        <w:instrText>=</w:instrText>
      </w:r>
      <w:r>
        <w:rPr>
          <w:rFonts w:ascii="Arial Unicode MS" w:eastAsia="Arial Unicode MS" w:hAnsi="Arial Unicode MS" w:cs="Arial Unicode MS" w:hint="eastAsia"/>
          <w:sz w:val="20"/>
          <w:szCs w:val="20"/>
        </w:rPr>
        <w:instrText> </w:instrText>
      </w:r>
      <w:r>
        <w:rPr>
          <w:rFonts w:ascii="Arial" w:hAnsi="Arial" w:cs="Arial"/>
          <w:sz w:val="20"/>
          <w:szCs w:val="20"/>
        </w:rPr>
        <w:instrText>0.2580]. Prespecified subgroup analyses showed similar OS trends (afatinib versus gefitinib) in patients with exon 19 deletion (30.7 versus 26.4 months; HR, 0.83, 95% CI 0.58</w:instrText>
      </w:r>
      <w:r>
        <w:rPr>
          <w:rFonts w:ascii="Arial Unicode MS" w:eastAsia="Arial Unicode MS" w:hAnsi="Arial Unicode MS" w:cs="Arial Unicode MS" w:hint="eastAsia"/>
          <w:sz w:val="20"/>
          <w:szCs w:val="20"/>
        </w:rPr>
        <w:instrText>‒</w:instrText>
      </w:r>
      <w:r>
        <w:rPr>
          <w:rFonts w:ascii="Arial" w:hAnsi="Arial" w:cs="Arial"/>
          <w:sz w:val="20"/>
          <w:szCs w:val="20"/>
        </w:rPr>
        <w:instrText>1.17, P</w:instrText>
      </w:r>
      <w:r>
        <w:rPr>
          <w:rFonts w:ascii="Arial Unicode MS" w:eastAsia="Arial Unicode MS" w:hAnsi="Arial Unicode MS" w:cs="Arial Unicode MS" w:hint="eastAsia"/>
          <w:sz w:val="20"/>
          <w:szCs w:val="20"/>
        </w:rPr>
        <w:instrText> </w:instrText>
      </w:r>
      <w:r>
        <w:rPr>
          <w:rFonts w:ascii="Arial" w:hAnsi="Arial" w:cs="Arial"/>
          <w:sz w:val="20"/>
          <w:szCs w:val="20"/>
        </w:rPr>
        <w:instrText>=</w:instrText>
      </w:r>
      <w:r>
        <w:rPr>
          <w:rFonts w:ascii="Arial Unicode MS" w:eastAsia="Arial Unicode MS" w:hAnsi="Arial Unicode MS" w:cs="Arial Unicode MS" w:hint="eastAsia"/>
          <w:sz w:val="20"/>
          <w:szCs w:val="20"/>
        </w:rPr>
        <w:instrText> </w:instrText>
      </w:r>
      <w:r>
        <w:rPr>
          <w:rFonts w:ascii="Arial" w:hAnsi="Arial" w:cs="Arial"/>
          <w:sz w:val="20"/>
          <w:szCs w:val="20"/>
        </w:rPr>
        <w:instrText>0.2841) and L858R (25.0 versus 21.2 months; HR 0.91, 95% CI 0.62</w:instrText>
      </w:r>
      <w:r>
        <w:rPr>
          <w:rFonts w:ascii="Arial Unicode MS" w:eastAsia="Arial Unicode MS" w:hAnsi="Arial Unicode MS" w:cs="Arial Unicode MS" w:hint="eastAsia"/>
          <w:sz w:val="20"/>
          <w:szCs w:val="20"/>
        </w:rPr>
        <w:instrText>‒</w:instrText>
      </w:r>
      <w:r>
        <w:rPr>
          <w:rFonts w:ascii="Arial" w:hAnsi="Arial" w:cs="Arial"/>
          <w:sz w:val="20"/>
          <w:szCs w:val="20"/>
        </w:rPr>
        <w:instrText>1.36, P</w:instrText>
      </w:r>
      <w:r>
        <w:rPr>
          <w:rFonts w:ascii="Arial Unicode MS" w:eastAsia="Arial Unicode MS" w:hAnsi="Arial Unicode MS" w:cs="Arial Unicode MS" w:hint="eastAsia"/>
          <w:sz w:val="20"/>
          <w:szCs w:val="20"/>
        </w:rPr>
        <w:instrText> </w:instrText>
      </w:r>
      <w:r>
        <w:rPr>
          <w:rFonts w:ascii="Arial" w:hAnsi="Arial" w:cs="Arial"/>
          <w:sz w:val="20"/>
          <w:szCs w:val="20"/>
        </w:rPr>
        <w:instrText>=</w:instrText>
      </w:r>
      <w:r>
        <w:rPr>
          <w:rFonts w:ascii="Arial Unicode MS" w:eastAsia="Arial Unicode MS" w:hAnsi="Arial Unicode MS" w:cs="Arial Unicode MS" w:hint="eastAsia"/>
          <w:sz w:val="20"/>
          <w:szCs w:val="20"/>
        </w:rPr>
        <w:instrText> </w:instrText>
      </w:r>
      <w:r>
        <w:rPr>
          <w:rFonts w:ascii="Arial" w:hAnsi="Arial" w:cs="Arial"/>
          <w:sz w:val="20"/>
          <w:szCs w:val="20"/>
        </w:rPr>
        <w:instrText xml:space="preserve">0.6585) mutations. Most patients (afatinib, 72.6%; gefitinib, 76.8%) had at least one subsequent systemic anti-cancer treatment following discontinuation of afatinib/gefitinib; 20 (13.7%) and 23 (15.2%) patients received a third-generation EGFR tyrosine kinase inhibitor. Updated PFS (independent review), TTF and ORR data were significantly improved with afatinib.\nConclusion: In LUX-Lung 7, there was no significant difference in OS with afatinib versus gefitinib. Updated PFS (independent review), TTF and ORR data were significantly improved with afatinib.\nClinicaltrials.gov identifier: NCT01466660.","DOI":"10.1093/annonc/mdw611","ISSN":"1569-8041","note":"PMID: 28426106\nPMCID: PMC5391700","shortTitle":"Afatinib versus gefitinib in patients with EGFR mutation-positive advanced non-small-cell lung cancer","journalAbbreviation":"Ann. Oncol.","language":"eng","author":[{"family":"Paz-Ares","given":"L."},{"family":"Tan","given":"E.-H."},{"family":"O'Byrne","given":"K."},{"family":"Zhang","given":"L."},{"family":"Hirsh","given":"V."},{"family":"Boyer","given":"M."},{"family":"Yang","given":"J. C.-H."},{"family":"Mok","given":"T."},{"family":"Lee","given":"K. H."},{"family":"Lu","given":"S."},{"family":"Shi","given":"Y."},{"family":"Lee","given":"D. H."},{"family":"Laskin","given":"J."},{"family":"Kim","given":"D.-W."},{"family":"Laurie","given":"S. A."},{"family":"Kölbeck","given":"K."},{"family":"Fan","given":"J."},{"family":"Dodd","given":"N."},{"family":"Märten","given":"A."},{"family":"Park","given":"K."}],"issued":{"date-parts":[["2017"]],"season":"01"},"PMID":"28426106","PMCID":"PMC5391700"}}],"schema":"https://github.com/citation-style-language/schema/raw/master/csl-citation.json"} </w:instrText>
      </w:r>
      <w:r>
        <w:rPr>
          <w:rFonts w:ascii="Arial" w:hAnsi="Arial" w:cs="Arial"/>
          <w:sz w:val="20"/>
          <w:szCs w:val="20"/>
        </w:rPr>
        <w:fldChar w:fldCharType="separate"/>
      </w:r>
      <w:r>
        <w:rPr>
          <w:rFonts w:ascii="Arial" w:hAnsi="Arial" w:cs="Arial"/>
          <w:sz w:val="20"/>
          <w:szCs w:val="20"/>
        </w:rPr>
        <w:t>(27)</w:t>
      </w:r>
      <w:r>
        <w:rPr>
          <w:rFonts w:ascii="Arial" w:hAnsi="Arial" w:cs="Arial"/>
          <w:sz w:val="20"/>
          <w:szCs w:val="20"/>
        </w:rPr>
        <w:fldChar w:fldCharType="end"/>
      </w:r>
      <w:r>
        <w:rPr>
          <w:rFonts w:ascii="Arial" w:hAnsi="Arial" w:cs="Arial"/>
          <w:sz w:val="20"/>
          <w:szCs w:val="20"/>
        </w:rPr>
        <w:t xml:space="preserve">, ensayo clínico fase IIb que compara afatinib frente a gefitinib en primera línea en pacientes con CPNM avanzado o metastásico con mutaciones activadoras de EGFR mostraron un beneficio en términos de SLP a favor de afatinib, aunque en el análisis final de la SG no se detectaron diferencias significativas entre ambos fármacos.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lastRenderedPageBreak/>
        <w:t xml:space="preserve">Tampoco se comparó con dacomitinib, que también ha demostrado en un ensayo fase III beneficios en términos de SLP frente a gefitinib. </w:t>
      </w:r>
      <w:bookmarkStart w:id="64" w:name="OLE_LINK1"/>
      <w:bookmarkStart w:id="65" w:name="OLE_LINK2"/>
      <w:r>
        <w:rPr>
          <w:rFonts w:ascii="Arial" w:hAnsi="Arial" w:cs="Arial"/>
          <w:sz w:val="20"/>
          <w:szCs w:val="20"/>
        </w:rPr>
        <w:t>En este caso, está justificada su no utilización como comparador, ya que este fármaco es de un desarrollo posterior al inicio del ensayo FLAURA.</w:t>
      </w:r>
    </w:p>
    <w:bookmarkEnd w:id="64"/>
    <w:bookmarkEnd w:id="65"/>
    <w:p w:rsidR="00DD1521" w:rsidRDefault="00DD1521">
      <w:pPr>
        <w:pStyle w:val="Normal1"/>
        <w:spacing w:after="0" w:line="240" w:lineRule="auto"/>
        <w:jc w:val="both"/>
        <w:rPr>
          <w:rFonts w:ascii="Arial" w:hAnsi="Arial" w:cs="Arial"/>
          <w:sz w:val="20"/>
          <w:szCs w:val="20"/>
        </w:rPr>
      </w:pPr>
    </w:p>
    <w:p w:rsidR="00DD1521" w:rsidRDefault="00DD1521">
      <w:pPr>
        <w:autoSpaceDE w:val="0"/>
        <w:autoSpaceDN w:val="0"/>
        <w:adjustRightInd w:val="0"/>
        <w:spacing w:before="60" w:after="60" w:line="240" w:lineRule="auto"/>
        <w:jc w:val="both"/>
        <w:rPr>
          <w:rFonts w:ascii="Arial" w:hAnsi="Arial" w:cs="Arial"/>
          <w:color w:val="000000"/>
          <w:sz w:val="20"/>
          <w:szCs w:val="20"/>
        </w:rPr>
      </w:pPr>
      <w:r>
        <w:rPr>
          <w:rFonts w:ascii="Arial" w:hAnsi="Arial" w:cs="Arial"/>
          <w:color w:val="000000"/>
          <w:sz w:val="20"/>
          <w:szCs w:val="20"/>
        </w:rPr>
        <w:t>Aunque los datos preliminares sugieren que osimertinib no parece tener impacto negativo en las terapias de siguiente línea, se debe considerar que aún está por determinar la mejor secuencia de tratamiento. Sería conveniente realizar un estudio de secuenciación que aclarara este punto.</w:t>
      </w:r>
    </w:p>
    <w:p w:rsidR="00DD1521" w:rsidRDefault="00DD1521">
      <w:pPr>
        <w:autoSpaceDE w:val="0"/>
        <w:autoSpaceDN w:val="0"/>
        <w:adjustRightInd w:val="0"/>
        <w:spacing w:before="60" w:after="60" w:line="240" w:lineRule="auto"/>
        <w:jc w:val="both"/>
        <w:rPr>
          <w:rFonts w:ascii="Arial" w:hAnsi="Arial" w:cs="Arial"/>
          <w:color w:val="000000"/>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color w:val="000000"/>
          <w:sz w:val="20"/>
          <w:szCs w:val="20"/>
        </w:rPr>
        <w:t xml:space="preserve">No se incluyeron pacientes con ECOG 2, por lo que desconocemos la eficacia y seguridad del tratamiento en esta población.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El estudio excluyó a pacientes que no presentaban una de las dos mutaciones comunes en EGFR (Ex19del o L858R), no representando, por </w:t>
      </w:r>
      <w:r w:rsidR="00E172A8">
        <w:rPr>
          <w:rFonts w:ascii="Arial" w:hAnsi="Arial" w:cs="Arial"/>
          <w:sz w:val="20"/>
          <w:szCs w:val="20"/>
        </w:rPr>
        <w:t>tanto,</w:t>
      </w:r>
      <w:r>
        <w:rPr>
          <w:rFonts w:ascii="Arial" w:hAnsi="Arial" w:cs="Arial"/>
          <w:sz w:val="20"/>
          <w:szCs w:val="20"/>
        </w:rPr>
        <w:t xml:space="preserve"> a la totalidad de la población, ya que hay un pequeño porcentaje de pacientes que presentan otro tipo de mutaciones en EGFR que no son la Ex19del o L858R.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color w:val="000000"/>
          <w:sz w:val="20"/>
          <w:szCs w:val="20"/>
        </w:rPr>
      </w:pPr>
      <w:r>
        <w:rPr>
          <w:rFonts w:ascii="Arial" w:hAnsi="Arial" w:cs="Arial"/>
          <w:sz w:val="20"/>
          <w:szCs w:val="20"/>
        </w:rPr>
        <w:t>En el anexo II se muestra la tabla de evaluación de la validez ex</w:t>
      </w:r>
      <w:r>
        <w:rPr>
          <w:rFonts w:ascii="Arial" w:hAnsi="Arial" w:cs="Arial"/>
          <w:color w:val="000000"/>
          <w:sz w:val="20"/>
          <w:szCs w:val="20"/>
        </w:rPr>
        <w:t>terna del estudio.</w:t>
      </w:r>
    </w:p>
    <w:p w:rsidR="00DD1521" w:rsidRDefault="00DD1521">
      <w:pPr>
        <w:pStyle w:val="Normal1"/>
        <w:spacing w:after="0" w:line="240" w:lineRule="auto"/>
        <w:jc w:val="both"/>
        <w:rPr>
          <w:rFonts w:ascii="Arial" w:hAnsi="Arial" w:cs="Arial"/>
          <w:color w:val="000000"/>
          <w:sz w:val="20"/>
          <w:szCs w:val="20"/>
        </w:rPr>
      </w:pPr>
    </w:p>
    <w:p w:rsidR="00DD1521" w:rsidRDefault="00DD1521">
      <w:pPr>
        <w:pStyle w:val="Textoindependiente3"/>
        <w:spacing w:after="0" w:line="240" w:lineRule="auto"/>
        <w:jc w:val="both"/>
        <w:rPr>
          <w:rFonts w:ascii="Arial" w:hAnsi="Arial" w:cs="Arial"/>
          <w:sz w:val="20"/>
          <w:szCs w:val="20"/>
        </w:rPr>
      </w:pPr>
    </w:p>
    <w:p w:rsidR="00DD1521" w:rsidRDefault="00DD1521">
      <w:pPr>
        <w:pStyle w:val="Textoindependiente3"/>
        <w:pBdr>
          <w:top w:val="single" w:sz="4" w:space="1" w:color="auto"/>
          <w:left w:val="single" w:sz="4" w:space="4" w:color="auto"/>
          <w:bottom w:val="single" w:sz="4" w:space="1" w:color="auto"/>
          <w:right w:val="single" w:sz="4" w:space="4" w:color="auto"/>
        </w:pBdr>
        <w:shd w:val="clear" w:color="auto" w:fill="E6E6E6"/>
        <w:spacing w:after="0" w:line="240" w:lineRule="auto"/>
        <w:jc w:val="both"/>
        <w:outlineLvl w:val="2"/>
        <w:rPr>
          <w:rFonts w:ascii="Arial" w:hAnsi="Arial" w:cs="Arial"/>
          <w:color w:val="333300"/>
          <w:sz w:val="20"/>
          <w:szCs w:val="20"/>
        </w:rPr>
      </w:pPr>
      <w:bookmarkStart w:id="66" w:name="_Toc344399639"/>
      <w:bookmarkStart w:id="67" w:name="_Toc348931366"/>
      <w:bookmarkStart w:id="68" w:name="_Toc5793750"/>
      <w:r>
        <w:rPr>
          <w:rFonts w:ascii="Arial" w:hAnsi="Arial" w:cs="Arial"/>
          <w:color w:val="333300"/>
          <w:sz w:val="20"/>
          <w:szCs w:val="20"/>
        </w:rPr>
        <w:t>C. Relevancia clínica de los resultados</w:t>
      </w:r>
      <w:bookmarkEnd w:id="66"/>
      <w:bookmarkEnd w:id="67"/>
      <w:bookmarkEnd w:id="68"/>
    </w:p>
    <w:p w:rsidR="00DD1521" w:rsidRDefault="00DD1521">
      <w:pPr>
        <w:pStyle w:val="Textoindependiente3"/>
        <w:spacing w:after="0" w:line="240" w:lineRule="auto"/>
        <w:rPr>
          <w:rFonts w:ascii="Arial" w:hAnsi="Arial" w:cs="Arial"/>
          <w:color w:val="333300"/>
          <w:sz w:val="20"/>
          <w:szCs w:val="20"/>
        </w:rPr>
      </w:pPr>
    </w:p>
    <w:p w:rsidR="00DD1521" w:rsidRDefault="00DD1521">
      <w:pPr>
        <w:pStyle w:val="Textoindependiente3"/>
        <w:pBdr>
          <w:top w:val="single" w:sz="4" w:space="1" w:color="auto"/>
          <w:left w:val="single" w:sz="4" w:space="4" w:color="auto"/>
          <w:bottom w:val="single" w:sz="4" w:space="1" w:color="auto"/>
          <w:right w:val="single" w:sz="4" w:space="4" w:color="auto"/>
        </w:pBdr>
        <w:shd w:val="clear" w:color="auto" w:fill="E6E6E6"/>
        <w:spacing w:after="0" w:line="240" w:lineRule="auto"/>
        <w:outlineLvl w:val="2"/>
        <w:rPr>
          <w:rFonts w:ascii="Arial" w:hAnsi="Arial" w:cs="Arial"/>
          <w:color w:val="333300"/>
          <w:sz w:val="20"/>
          <w:szCs w:val="20"/>
        </w:rPr>
      </w:pPr>
      <w:bookmarkStart w:id="69" w:name="_Toc348931367"/>
      <w:bookmarkStart w:id="70" w:name="_Toc344399640"/>
      <w:bookmarkStart w:id="71" w:name="_Toc5793751"/>
      <w:r>
        <w:rPr>
          <w:rFonts w:ascii="Arial" w:hAnsi="Arial" w:cs="Arial"/>
          <w:color w:val="333300"/>
          <w:sz w:val="20"/>
          <w:szCs w:val="20"/>
        </w:rPr>
        <w:t xml:space="preserve">C.1 Valorar si la </w:t>
      </w:r>
      <w:r>
        <w:rPr>
          <w:rFonts w:ascii="Arial" w:hAnsi="Arial" w:cs="Arial"/>
          <w:color w:val="333300"/>
          <w:sz w:val="20"/>
          <w:szCs w:val="20"/>
          <w:u w:val="single"/>
        </w:rPr>
        <w:t>magnitud del efecto</w:t>
      </w:r>
      <w:r>
        <w:rPr>
          <w:rFonts w:ascii="Arial" w:hAnsi="Arial" w:cs="Arial"/>
          <w:color w:val="333300"/>
          <w:sz w:val="20"/>
          <w:szCs w:val="20"/>
        </w:rPr>
        <w:t xml:space="preserve"> del tratamiento es de relevancia clínica.</w:t>
      </w:r>
      <w:bookmarkEnd w:id="69"/>
      <w:bookmarkEnd w:id="70"/>
      <w:bookmarkEnd w:id="71"/>
      <w:r>
        <w:rPr>
          <w:rFonts w:ascii="Arial" w:hAnsi="Arial" w:cs="Arial"/>
          <w:color w:val="333300"/>
          <w:sz w:val="20"/>
          <w:szCs w:val="20"/>
        </w:rPr>
        <w:t xml:space="preserve"> </w:t>
      </w:r>
    </w:p>
    <w:p w:rsidR="00DD1521" w:rsidRPr="001E2650" w:rsidRDefault="00DD1521">
      <w:pPr>
        <w:pStyle w:val="Textoindependiente3"/>
        <w:spacing w:after="0" w:line="240" w:lineRule="auto"/>
        <w:ind w:left="708"/>
        <w:jc w:val="both"/>
        <w:rPr>
          <w:rFonts w:ascii="Arial" w:hAnsi="Arial" w:cs="Arial"/>
          <w:color w:val="000080"/>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segunda línea del CPNM avanzado o metastásico con mutación positiva del EGFR T790M: estudio AURA 3</w:t>
      </w: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De acuerdo a la evidencia disponible para otros tratamientos, la tasa de </w:t>
      </w:r>
      <w:r w:rsidR="00E172A8">
        <w:rPr>
          <w:rFonts w:ascii="Arial" w:hAnsi="Arial" w:cs="Arial"/>
          <w:sz w:val="20"/>
          <w:szCs w:val="20"/>
        </w:rPr>
        <w:t>supervivencia en</w:t>
      </w:r>
      <w:r>
        <w:rPr>
          <w:rFonts w:ascii="Arial" w:hAnsi="Arial" w:cs="Arial"/>
          <w:sz w:val="20"/>
          <w:szCs w:val="20"/>
        </w:rPr>
        <w:t xml:space="preserve"> pacientes con CPNM avanzado que progresan al tratamiento con ITK es muy baja, con una mediana de </w:t>
      </w:r>
      <w:r>
        <w:rPr>
          <w:rFonts w:ascii="Arial" w:hAnsi="Arial" w:cs="Arial"/>
          <w:b/>
          <w:bCs/>
          <w:sz w:val="20"/>
          <w:szCs w:val="20"/>
        </w:rPr>
        <w:t>SG</w:t>
      </w:r>
      <w:r>
        <w:rPr>
          <w:rFonts w:ascii="Arial" w:hAnsi="Arial" w:cs="Arial"/>
          <w:sz w:val="20"/>
          <w:szCs w:val="20"/>
        </w:rPr>
        <w:t xml:space="preserve"> de 1 a 2 años. En este ensayo, el análisis de SG no fue ajustado por los efectos de la confusión potenciales debido al cruzamiento (67% de pacientes en el brazo quimioterapia recibieron tratamiento subsiguiente con osimertinib).</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El HR de 0,3 (0,23-0,41) y la ganancia de 5,7 meses en </w:t>
      </w:r>
      <w:r>
        <w:rPr>
          <w:rFonts w:ascii="Arial" w:hAnsi="Arial" w:cs="Arial"/>
          <w:b/>
          <w:bCs/>
          <w:sz w:val="20"/>
          <w:szCs w:val="20"/>
        </w:rPr>
        <w:t xml:space="preserve">SLP </w:t>
      </w:r>
      <w:r>
        <w:rPr>
          <w:rFonts w:ascii="Arial" w:hAnsi="Arial" w:cs="Arial"/>
          <w:sz w:val="20"/>
          <w:szCs w:val="20"/>
        </w:rPr>
        <w:t>en los pacientes del grupo osimertinib es clínicamente relevante, al igual que la diferencia en tasa de respuesta. La ESMO valora osimertinib con una puntuación de 4 en su escala de beneficio clínico (escala 1 a 5).</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Los PRO (patient reported outcomes) mostraron una mejoría global de los síntomas asociados a la enfermedad, sin embargo, debido al carácter abierto del estudio, no se pueden extraer conclusiones firmes sobre </w:t>
      </w:r>
      <w:r>
        <w:rPr>
          <w:rFonts w:ascii="Arial" w:hAnsi="Arial" w:cs="Arial"/>
          <w:b/>
          <w:bCs/>
          <w:sz w:val="20"/>
          <w:szCs w:val="20"/>
        </w:rPr>
        <w:t>calidad de vida</w:t>
      </w:r>
      <w:r>
        <w:rPr>
          <w:rFonts w:ascii="Arial" w:hAnsi="Arial" w:cs="Arial"/>
          <w:sz w:val="20"/>
          <w:szCs w:val="20"/>
        </w:rPr>
        <w:t>.</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En general se puede afirmar que en pacientes con mutación T790M y que han recibido un ITK, osimertinib ofrece resultados de eficacia de relevancia clínica. Sin embargo, habrá que esperar a los resultados de supervivencia global y de SLP en pacientes que cruzaron al grupo osimertinib tras progresar con quimioterapia, para confirmar definitivamente este hecho.</w:t>
      </w:r>
    </w:p>
    <w:p w:rsidR="00DD1521" w:rsidRDefault="00DD1521">
      <w:pPr>
        <w:spacing w:after="0" w:line="240" w:lineRule="auto"/>
        <w:rPr>
          <w:rFonts w:ascii="Arial" w:hAnsi="Arial" w:cs="Arial"/>
          <w:sz w:val="20"/>
          <w:szCs w:val="20"/>
        </w:rPr>
      </w:pPr>
    </w:p>
    <w:p w:rsidR="00DD1521" w:rsidRDefault="00DD1521">
      <w:pPr>
        <w:spacing w:after="0" w:line="240" w:lineRule="auto"/>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primera línea del CPNM avanzado o metastásico con mutaciones activadoras de EGFR: estudio FLAURA.</w:t>
      </w:r>
    </w:p>
    <w:p w:rsidR="00DD1521" w:rsidRDefault="00DD1521">
      <w:pPr>
        <w:spacing w:after="0" w:line="240" w:lineRule="auto"/>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En este escenario clínico, la evidencia disponible muestra que la SLP presenta una correlación intermedia con la variable final SG </w:t>
      </w:r>
      <w:r>
        <w:rPr>
          <w:rFonts w:ascii="Arial" w:hAnsi="Arial" w:cs="Arial"/>
          <w:sz w:val="20"/>
          <w:szCs w:val="20"/>
        </w:rPr>
        <w:fldChar w:fldCharType="begin"/>
      </w:r>
      <w:r>
        <w:rPr>
          <w:rFonts w:ascii="Arial" w:hAnsi="Arial" w:cs="Arial"/>
          <w:sz w:val="20"/>
          <w:szCs w:val="20"/>
        </w:rPr>
        <w:instrText xml:space="preserve"> ADDIN ZOTERO_ITEM CSL_CITATION {"citationID":"kVfywTCg","properties":{"formattedCitation":"(32)","plainCitation":"(32)"},"citationItems":[{"id":1037,"uris":["http://zotero.org/users/local/zrSbuHrK/items/QZBFDA73"],"uri":["http://zotero.org/users/local/zrSbuHrK/items/QZBFDA73"],"itemData":{"id":1037,"type":"article-journal","title":"Surrogate endpoints for overall survival in lung cancer trials: a review","container-title":"Expert Review of Anticancer Therapy","page":"447-454","volume":"17","issue":"5","source":"PubMed","abstract":"INTRODUCTION: Intermediate endpoints are often used as primary endpoints instead of overall survival (OS) in lung cancer trials but they are not systematically validated as surrogate endpoints for OS. Areas covered: The aim of the study was to review the studies which assessed potential surrogate endpoints for OS in lung cancer trials. Expert commentary: Twenty studies were identified. In operable non-small cell lung cancer (NSCLC) (adjuvant trials) and locally advanced NSCLC (radiotherapy trials), one individual-patient data meta-analysis found a high correlation of disease-free survival (DFS) and progression-free survival (PFS) with OS at patient and trial level. In trials of adjuvant chemotherapy, correlation between disease-free survival DFS and OS were 0.83 at the individual level (95% CI 0.83-0.83) and 0.92 at trial level (95% CI 0.88-0.95). In locally advanced disease, correlation between PFS and OS was 0.77 to 0.85 at the individual level, and 0.89 to 0.97 at trial level. This study provides a 'proof' of the surrogacy of PFS and DFS on OS according to the IQWiG framework and the surrogacy of PFS and DFS on OS was classified level 2 according to Fleming hierarchy. In all the other setting, no endpoint was judged to be valid surrogate for OS.","DOI":"10.1080/14737140.2017.1316196","ISSN":"1744-8328","note":"PMID: 28399678","shortTitle":"Surrogate endpoints for overall survival in lung cancer trials","journalAbbreviation":"Expert Rev Anticancer Ther","language":"eng","author":[{"family":"Fiteni","given":"Frédéric"},{"family":"Westeel","given":"Virginie"},{"family":"Bonnetain","given":"Franck"}],"issued":{"date-parts":[["2017",5]]},"PMID":"28399678"}}],"schema":"https://github.com/citation-style-language/schema/raw/master/csl-citation.json"} </w:instrText>
      </w:r>
      <w:r>
        <w:rPr>
          <w:rFonts w:ascii="Arial" w:hAnsi="Arial" w:cs="Arial"/>
          <w:sz w:val="20"/>
          <w:szCs w:val="20"/>
        </w:rPr>
        <w:fldChar w:fldCharType="separate"/>
      </w:r>
      <w:r>
        <w:rPr>
          <w:rFonts w:ascii="Arial" w:hAnsi="Arial" w:cs="Arial"/>
          <w:sz w:val="20"/>
          <w:szCs w:val="20"/>
        </w:rPr>
        <w:t>(28)</w:t>
      </w:r>
      <w:r>
        <w:rPr>
          <w:rFonts w:ascii="Arial" w:hAnsi="Arial" w:cs="Arial"/>
          <w:sz w:val="20"/>
          <w:szCs w:val="20"/>
        </w:rPr>
        <w:fldChar w:fldCharType="end"/>
      </w:r>
      <w:r>
        <w:rPr>
          <w:rFonts w:ascii="Arial" w:hAnsi="Arial" w:cs="Arial"/>
          <w:sz w:val="20"/>
          <w:szCs w:val="20"/>
        </w:rPr>
        <w:t xml:space="preserve">, por lo que para validar la verdadera relevancia clínica que aportan los ITK en el tratamiento de primera línea en el CPNM avanzado o metastásico sigue siendo necesaria la evaluación de la SG. No obstante, el HR=0,46 (0,37 - 0,57) y la ganancia de 8,7 meses en SLP en los pacientes del grupo que recibió osimertinib frente a la terapia estándar con erlotinib </w:t>
      </w:r>
      <w:r>
        <w:rPr>
          <w:rFonts w:ascii="Arial" w:hAnsi="Arial" w:cs="Arial"/>
          <w:sz w:val="20"/>
          <w:szCs w:val="20"/>
        </w:rPr>
        <w:lastRenderedPageBreak/>
        <w:t xml:space="preserve">o gefitinib, puede considerarse como clínicamente relevante. Sin </w:t>
      </w:r>
      <w:r w:rsidR="00E172A8">
        <w:rPr>
          <w:rFonts w:ascii="Arial" w:hAnsi="Arial" w:cs="Arial"/>
          <w:sz w:val="20"/>
          <w:szCs w:val="20"/>
        </w:rPr>
        <w:t>embargo,</w:t>
      </w:r>
      <w:r>
        <w:rPr>
          <w:rFonts w:ascii="Arial" w:hAnsi="Arial" w:cs="Arial"/>
          <w:sz w:val="20"/>
          <w:szCs w:val="20"/>
        </w:rPr>
        <w:t xml:space="preserve"> para demostrar este hecho es necesario disponer de los datos finales de SG una vez se haya alcanzado la madurez de los datos necesaria.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Serían necesarios estudios de secuenciación para determinar cuál es el mejor tratamiento global del paciente con CPNM y mutaciones activadoras del EGFR. También está pendiente de posicionar decomitinib, otro anti-EGFR de segunda generación, también con indicación en primera línea y mejores resultados de SLP que gefitinib (al igual que osimertinib).</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Los PRO mostraron una mejoría global de los principales síntomas asociados a la enfermedad (tos, disnea, dolor torácico, fatiga y pérdida de apetito), no encontrándose diferencias estadísticamente significativas entre ambos tratamientos. La mejora en el estado global de salud y área de funcionamiento no fue considerada relevante en ninguno de los brazos de tratamiento. Sin embargo, estos resultados solo se han publicado en formato póster en Congresos y no en el artículo original, por lo que no se han sometido a un proceso de revisión por pares, y por tanto, los resultados deberían ser interpretados con cautela. Por otro lado, cabe destacar que estos resultados incluyen a más del 60% en cada grupo de pacientes, pero no a la totalidad de los participantes en el estudio.  </w:t>
      </w:r>
    </w:p>
    <w:p w:rsidR="00DD1521" w:rsidRDefault="00DD1521">
      <w:pPr>
        <w:spacing w:after="0" w:line="240" w:lineRule="auto"/>
        <w:rPr>
          <w:rFonts w:ascii="Arial" w:hAnsi="Arial" w:cs="Arial"/>
          <w:sz w:val="20"/>
          <w:szCs w:val="20"/>
        </w:rPr>
      </w:pPr>
    </w:p>
    <w:p w:rsidR="00DD1521" w:rsidRDefault="00DD1521">
      <w:pPr>
        <w:spacing w:after="0" w:line="240" w:lineRule="auto"/>
        <w:rPr>
          <w:rFonts w:ascii="Arial" w:hAnsi="Arial" w:cs="Arial"/>
          <w:sz w:val="20"/>
          <w:szCs w:val="20"/>
        </w:rPr>
      </w:pPr>
    </w:p>
    <w:p w:rsidR="00DD1521" w:rsidRDefault="00DD1521">
      <w:pPr>
        <w:pStyle w:val="Textoindependiente3"/>
        <w:pBdr>
          <w:top w:val="single" w:sz="4" w:space="1" w:color="auto"/>
          <w:left w:val="single" w:sz="4" w:space="4" w:color="auto"/>
          <w:bottom w:val="single" w:sz="4" w:space="1" w:color="auto"/>
          <w:right w:val="single" w:sz="4" w:space="4" w:color="auto"/>
        </w:pBdr>
        <w:shd w:val="clear" w:color="auto" w:fill="E6E6E6"/>
        <w:spacing w:after="0" w:line="240" w:lineRule="auto"/>
        <w:outlineLvl w:val="2"/>
        <w:rPr>
          <w:rFonts w:ascii="Arial" w:hAnsi="Arial" w:cs="Arial"/>
          <w:sz w:val="20"/>
          <w:szCs w:val="20"/>
        </w:rPr>
      </w:pPr>
      <w:bookmarkStart w:id="72" w:name="_Toc344399641"/>
      <w:bookmarkStart w:id="73" w:name="_Toc348931368"/>
      <w:bookmarkStart w:id="74" w:name="_Toc5793752"/>
      <w:r>
        <w:rPr>
          <w:rFonts w:ascii="Arial" w:hAnsi="Arial" w:cs="Arial"/>
          <w:sz w:val="20"/>
          <w:szCs w:val="20"/>
        </w:rPr>
        <w:t>C.2 La evidencia de equivalencia terapéutica.</w:t>
      </w:r>
      <w:bookmarkEnd w:id="72"/>
      <w:bookmarkEnd w:id="73"/>
      <w:bookmarkEnd w:id="74"/>
      <w:r>
        <w:rPr>
          <w:rFonts w:ascii="Arial" w:hAnsi="Arial" w:cs="Arial"/>
          <w:sz w:val="20"/>
          <w:szCs w:val="20"/>
        </w:rPr>
        <w:t xml:space="preserve"> </w:t>
      </w: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segunda línea del CPNM avanzado o metastásico con mutación positiva del EGFR T790M.</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El ensayo clínico fase III IMPRESS </w:t>
      </w:r>
      <w:r>
        <w:rPr>
          <w:rFonts w:ascii="Arial" w:hAnsi="Arial" w:cs="Arial"/>
          <w:sz w:val="20"/>
          <w:szCs w:val="20"/>
        </w:rPr>
        <w:fldChar w:fldCharType="begin"/>
      </w:r>
      <w:r>
        <w:rPr>
          <w:rFonts w:ascii="Arial" w:hAnsi="Arial" w:cs="Arial"/>
          <w:sz w:val="20"/>
          <w:szCs w:val="20"/>
        </w:rPr>
        <w:instrText xml:space="preserve"> ADDIN ZOTERO_ITEM CSL_CITATION {"citationID":"24emthu34j","properties":{"formattedCitation":"(33)","plainCitation":"(33)"},"citationItems":[{"id":608,"uris":["http://zotero.org/users/3130274/items/2TCKETAS"],"uri":["http://zotero.org/users/3130274/items/2TCKETAS"],"itemData":{"id":608,"type":"article-journal","title":"Gefitinib plus chemotherapy versus placebo plus chemotherapy in EGFR-mutation-positive non-small-cell lung cancer after progression on first-line gefitinib (IMPRESS): a phase 3 randomised trial","container-title":"The Lancet. Oncology","page":"990-998","volume":"16","issue":"8","source":"PubMed","abstract":"BACKGROUND: Optimum management strategies for patients with advanced non-small-cell lung cancer (NSCLC) with acquired resistance to EGFR tyrosine-kinase inhibitors are undefined. We aimed to assess the efficacy and safety of continuing gefitinib combined with chemotherapy versus chemotherapy alone in patients with EGFR-mutation-positive advanced NSCLC with acquired resistance to first-line gefitinib.\nMETHODS: The randomised, phase 3, multicentre IMPRESS study was done in 71 centres in 11 countries in Europe and the Asia-Pacific region. Eligible patients were aged at least 18 years with histologically confirmed, chemotherapy-naive, stage IIIB-IV EGFR-mutation-positive advanced NSCLC with previous disease control with first-line gefitinib and recent disease progression (Response Evaluation Criteria in Solid Tumors version 1.1). Participants were randomly assigned (1:1) by central block randomisation to oral gefitinib 250 mg or placebo once daily in tablet form; randomisation did not include stratification factors. All patients also received the platinum-based doublet chemotherapy cisplatin 75 mg/m(2) plus pemetrexed 500 mg/m(2) on the first day of each cycle. After completion of a maximum of six chemotherapy cycles, patients continued their randomly assigned treatment until disease progression or another discontinuation criterion was met. All study investigators and participants were masked to treatment allocation. The primary endpoint was progression-free survival in the intention-to-treat population. Safety was assessed in patients who received at least one dose of study treatment. The study has completed enrolment, but patients are still in follow-up for overall survival. This trial is registered with ClinicalTrials.gov, number NCT01544179.\nFINDINGS: Between March 29, 2012, and Dec 20, 2013, 265 patients were randomly assigned: 133 to the gefitinib group and 132 to the placebo group. At the time of data cutoff (May 5, 2014), 98 (74%) patients had disease progression in the gefitinib group compared with 107 (81%) in the placebo group (hazard ratio 0·86, 95% CI 0·65-1·13; p=0·27; median progression-free survival 5·4 months in both groups [95% CI 4·5-5·7 in the gefitinib group and 4·6-5·5 in the placebo group]). The most common adverse events of any grade were nausea (85 [64%] of 132 patients in the gefitinib group and 81 [61%] of 132 patients in the placebo group) and decreased appetite (65 [49%] and 45 [34%]). The most common adverse events of grade 3 or worse were anaemia (11 [8%] of 132 patients in the gefitinib group and five [4%] of 132 patients in the placebo group) and neutropenia (nine [7%] and seven [5%]). 37 (28%) of 132 patients in the gefitinib group and 28 (21%) of 132 patients in the placebo group reported serious adverse events.\nINTERPRETATION: Continuation of gefitinib after radiological disease progression on first-line gefitinib did not prolong progression-free survival in patients who received platinum-based doublet chemotherapy as subsequent line of treatment. Platinum-based doublet chemotherapy remains the standard of care in this setting.\nFUNDING: AstraZeneca.","DOI":"10.1016/S1470-2045(15)00121-7","ISSN":"1474-5488","note":"PMID: 26159065","shortTitle":"Gefitinib plus chemotherapy versus placebo plus chemotherapy in EGFR-mutation-positive non-small-cell lung cancer after progression on first-line gefitinib (IMPRESS)","journalAbbreviation":"Lancet Oncol.","language":"eng","author":[{"family":"Soria","given":"Jean-Charles"},{"family":"Wu","given":"Yi-Long"},{"family":"Nakagawa","given":"Kazuhiko"},{"family":"Kim","given":"Sang-We"},{"family":"Yang","given":"Jin-Ji"},{"family":"Ahn","given":"Myung-Ju"},{"family":"Wang","given":"Jie"},{"family":"Yang","given":"James Chih-Hsin"},{"family":"Lu","given":"You"},{"family":"Atagi","given":"Shinji"},{"family":"Ponce","given":"Santiago"},{"family":"Lee","given":"Dae Ho"},{"family":"Liu","given":"Yunpeng"},{"family":"Yoh","given":"Kiyotaka"},{"family":"Zhou","given":"Jian-Ying"},{"family":"Shi","given":"Xiaojin"},{"family":"Webster","given":"Alan"},{"family":"Jiang","given":"Haiyi"},{"family":"Mok","given":"Tony S. K."}],"issued":{"date-parts":[["2015",8]]},"PMID":"26159065"}}],"schema":"https://github.com/citation-style-language/schema/raw/master/csl-citation.json"} </w:instrText>
      </w:r>
      <w:r>
        <w:rPr>
          <w:rFonts w:ascii="Arial" w:hAnsi="Arial" w:cs="Arial"/>
          <w:sz w:val="20"/>
          <w:szCs w:val="20"/>
        </w:rPr>
        <w:fldChar w:fldCharType="separate"/>
      </w:r>
      <w:r>
        <w:rPr>
          <w:rFonts w:ascii="Arial" w:hAnsi="Arial" w:cs="Arial"/>
          <w:sz w:val="20"/>
          <w:szCs w:val="20"/>
        </w:rPr>
        <w:t>(29)</w:t>
      </w:r>
      <w:r>
        <w:rPr>
          <w:rFonts w:ascii="Arial" w:hAnsi="Arial" w:cs="Arial"/>
          <w:sz w:val="20"/>
          <w:szCs w:val="20"/>
        </w:rPr>
        <w:fldChar w:fldCharType="end"/>
      </w:r>
      <w:r>
        <w:rPr>
          <w:rFonts w:ascii="Arial" w:hAnsi="Arial" w:cs="Arial"/>
          <w:sz w:val="20"/>
          <w:szCs w:val="20"/>
        </w:rPr>
        <w:t xml:space="preserve"> incluyó pacientes con CPNM avanzado con mutación EGFR positiva y estadio III-IV que habían progresadoal tratamiento con </w:t>
      </w:r>
      <w:r>
        <w:rPr>
          <w:rFonts w:ascii="Arial" w:hAnsi="Arial" w:cs="Arial"/>
          <w:b/>
          <w:bCs/>
          <w:sz w:val="20"/>
          <w:szCs w:val="20"/>
        </w:rPr>
        <w:t>gefitinib</w:t>
      </w:r>
      <w:r>
        <w:rPr>
          <w:rFonts w:ascii="Arial" w:hAnsi="Arial" w:cs="Arial"/>
          <w:sz w:val="20"/>
          <w:szCs w:val="20"/>
        </w:rPr>
        <w:t xml:space="preserve">. Todos los pacientes recibieron </w:t>
      </w:r>
      <w:r w:rsidRPr="00960332">
        <w:rPr>
          <w:rFonts w:ascii="Arial" w:hAnsi="Arial" w:cs="Arial"/>
          <w:b/>
          <w:sz w:val="20"/>
          <w:szCs w:val="20"/>
        </w:rPr>
        <w:t>cisplatino y pemetrexed</w:t>
      </w:r>
      <w:r>
        <w:rPr>
          <w:rFonts w:ascii="Arial" w:hAnsi="Arial" w:cs="Arial"/>
          <w:sz w:val="20"/>
          <w:szCs w:val="20"/>
        </w:rPr>
        <w:t>, y fueron aleatorizados (1:1) para recibir gefitinib o placebo una vez al día. La variable principal de eficacia fue la SLP en la población ITT. La TRO fue una de las variables secundarias de eficacia. Los resultados no mostraron diferencias entre los pacientes tratados con gefitinib y aquellos tratados con placebo en términos de SLP y TRO. Se publicó un subanálisis para evaluar diferencias entre los pacientes con mutación T790M positiva y negativa. La comparación entre estos subgrupos no mostró beneficio clínico de gefitinib en ninguna de las variables analizadas, teniendo en cuenta el carácter exploratorio del análisis y el escaso número de pacientes incluidos en cada grupo. En el estudio IMPRESS, en el brazo de Placebo + pemetrexed/cisplatino (N=132) la TRO fue del 25,0 % (IC 95 %: 17,9 %-33,3 %), la mediana de SLP fue de 5,4 meses (IC 95 %: 4,6-5,5) y la de SG de 17,2 meses (IC 95 %: 15,6-NE). Los resultados de TRO y SLP son similares a los reportados en la rama platino/pemetrexed en el AURA3 (31% y 4,4 meses respectivamente).</w:t>
      </w:r>
    </w:p>
    <w:p w:rsidR="00DD1521" w:rsidRDefault="00DD1521">
      <w:pPr>
        <w:spacing w:after="0" w:line="240" w:lineRule="auto"/>
        <w:jc w:val="both"/>
        <w:rPr>
          <w:rFonts w:ascii="Arial" w:hAnsi="Arial" w:cs="Arial"/>
          <w:sz w:val="20"/>
          <w:szCs w:val="20"/>
        </w:rPr>
      </w:pPr>
    </w:p>
    <w:p w:rsidR="00DD1521" w:rsidRDefault="00DD1521" w:rsidP="00960332">
      <w:pPr>
        <w:spacing w:after="0" w:line="240" w:lineRule="auto"/>
        <w:jc w:val="both"/>
        <w:rPr>
          <w:rFonts w:ascii="Arial" w:hAnsi="Arial" w:cs="Arial"/>
          <w:sz w:val="20"/>
          <w:szCs w:val="20"/>
        </w:rPr>
      </w:pPr>
      <w:r>
        <w:rPr>
          <w:rFonts w:ascii="Arial" w:hAnsi="Arial" w:cs="Arial"/>
          <w:sz w:val="20"/>
          <w:szCs w:val="20"/>
        </w:rPr>
        <w:t xml:space="preserve">La </w:t>
      </w:r>
      <w:r w:rsidRPr="00960332">
        <w:rPr>
          <w:rFonts w:ascii="Arial" w:hAnsi="Arial" w:cs="Arial"/>
          <w:b/>
          <w:sz w:val="20"/>
          <w:szCs w:val="20"/>
        </w:rPr>
        <w:t>re-exposición al tratamiento con erlotinib o afatinib</w:t>
      </w:r>
      <w:r>
        <w:rPr>
          <w:rFonts w:ascii="Arial" w:hAnsi="Arial" w:cs="Arial"/>
          <w:sz w:val="20"/>
          <w:szCs w:val="20"/>
        </w:rPr>
        <w:t xml:space="preserve"> en pacientes con CPNM y mutación EGFR tampoco ha dado buenos resultados con medianas de SLP por debajo de 4 meses y una SG menor al año </w:t>
      </w:r>
      <w:r>
        <w:rPr>
          <w:rFonts w:ascii="Arial" w:hAnsi="Arial" w:cs="Arial"/>
          <w:sz w:val="20"/>
          <w:szCs w:val="20"/>
        </w:rPr>
        <w:fldChar w:fldCharType="begin"/>
      </w:r>
      <w:r>
        <w:rPr>
          <w:rFonts w:ascii="Arial" w:hAnsi="Arial" w:cs="Arial"/>
          <w:sz w:val="20"/>
          <w:szCs w:val="20"/>
        </w:rPr>
        <w:instrText xml:space="preserve"> ADDIN ZOTERO_ITEM CSL_CITATION {"citationID":"1i1iugspg9","properties":{"formattedCitation":"(34)","plainCitation":"(34)"},"citationItems":[{"id":579,"uris":["http://zotero.org/users/3130274/items/V54E44V4"],"uri":["http://zotero.org/users/3130274/items/V54E44V4"],"itemData":{"id":579,"type":"article-magazine","title":"Tagrisso(Osimertinib) European Assesment Report","URL":"https://www.ema.europa.eu/docs/en_GB/document_library/EPAR_-_Product_Information/human/004124/WC500202022.pdf","author":[{"family":"European Medicines Agency","given":""}],"issued":{"date-parts":[["2017",2,23]]},"accessed":{"date-parts":[["2018",9,28]]}}}],"schema":"https://github.com/citation-style-language/schema/raw/master/csl-citation.json"} </w:instrText>
      </w:r>
      <w:r>
        <w:rPr>
          <w:rFonts w:ascii="Arial" w:hAnsi="Arial" w:cs="Arial"/>
          <w:sz w:val="20"/>
          <w:szCs w:val="20"/>
        </w:rPr>
        <w:fldChar w:fldCharType="separate"/>
      </w:r>
      <w:r>
        <w:rPr>
          <w:rFonts w:ascii="Arial" w:hAnsi="Arial" w:cs="Arial"/>
          <w:sz w:val="20"/>
          <w:szCs w:val="20"/>
        </w:rPr>
        <w:t>(34)</w:t>
      </w:r>
      <w:r>
        <w:rPr>
          <w:rFonts w:ascii="Arial" w:hAnsi="Arial" w:cs="Arial"/>
          <w:sz w:val="20"/>
          <w:szCs w:val="20"/>
        </w:rPr>
        <w:fldChar w:fldCharType="end"/>
      </w:r>
      <w:r>
        <w:rPr>
          <w:rFonts w:ascii="Arial" w:hAnsi="Arial" w:cs="Arial"/>
          <w:sz w:val="20"/>
          <w:szCs w:val="20"/>
        </w:rPr>
        <w:t>. Esto confirma que no es mejor volver a tratar con ITK que con placebo en aquellos pacientes que ya han progresado a un ITK.</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sidRPr="00960332">
        <w:rPr>
          <w:rFonts w:ascii="Arial" w:hAnsi="Arial" w:cs="Arial"/>
          <w:b/>
          <w:sz w:val="20"/>
          <w:szCs w:val="20"/>
        </w:rPr>
        <w:t>Otros agentes antineoplásicos</w:t>
      </w:r>
      <w:r>
        <w:rPr>
          <w:rFonts w:ascii="Arial" w:hAnsi="Arial" w:cs="Arial"/>
          <w:sz w:val="20"/>
          <w:szCs w:val="20"/>
        </w:rPr>
        <w:t xml:space="preserve"> han sido investigados en monoterapia o en combinación en el tratamiento de la resistencia adquirida a ITK anti-EGFR, pero la respuesta fue bastante limitada. ITK + everolimus obtuvo una tasa de respuesta del 0%, neratinib del 3% y IPI-504 del 4%. La combinación de afatinib y cetuximab obtuvo una tasa de respuesta global del 29% y una SLP de menos de 5 meses, que es similar a la obtenida con quimioterapia.</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Por todo ello podemos decir que el retratamiento con ITK de primera o segunda generación o la quimioterapia parecen alternativas inferiores a osimertinib, no existiendo por el  momento otra terapia similar con la que compararse.</w:t>
      </w: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lastRenderedPageBreak/>
        <w:t>Tratamiento de primera línea del CPNM avanzado o metastásico con mutaciones activadoras de EGFR</w:t>
      </w:r>
    </w:p>
    <w:p w:rsidR="00DD1521" w:rsidRDefault="00DD1521">
      <w:pPr>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Aunque las guías de práctica clínica consideran que erlotinib, gefitinib y afatinib son alternativas válidas en el tratamiento de primera línea del CPNM con mutaciones activadoras del EGFR, no se disponen de ensayos clínicos fase III que avalen la equivalencia o superioridad entre ellos. En el ensayo clínico FLAURA, erlotinib y gefitinib forman parte brazo comparador: Sin embargo, el análisis de eficacia se hace de forma conjunta sobre ambos fármacos sin hacer un análisis comparativo de osimertinib por separado con cada uno de ellos.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Los resultados del ensayo clínico fase IIb, LUX-lung 7 en el que se comparó afatinib frente a gefitinib en primera línea en pacientes con CPNM con mutaciones activadoras de EGFR mostraron una eficacia similar entre ambos fármacos en términos de SG.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La evidencia disponible entre erlotinib y gefitinib, y entre erlotinib y afatinib se basa en comparaciones indirectas que apoyan similar eficacia entre ellos. Se dispone de un metaanálisis </w:t>
      </w:r>
      <w:r>
        <w:rPr>
          <w:rFonts w:ascii="Arial" w:hAnsi="Arial" w:cs="Arial"/>
          <w:sz w:val="20"/>
          <w:szCs w:val="20"/>
        </w:rPr>
        <w:fldChar w:fldCharType="begin"/>
      </w:r>
      <w:r>
        <w:rPr>
          <w:rFonts w:ascii="Arial" w:hAnsi="Arial" w:cs="Arial"/>
          <w:sz w:val="20"/>
          <w:szCs w:val="20"/>
        </w:rPr>
        <w:instrText xml:space="preserve"> ADDIN ZOTERO_ITEM CSL_CITATION {"citationID":"LrenWjNW","properties":{"formattedCitation":"(36)","plainCitation":"(36)"},"citationItems":[{"id":1071,"uris":["http://zotero.org/users/local/zrSbuHrK/items/4FZVCKSJ"],"uri":["http://zotero.org/users/local/zrSbuHrK/items/4FZVCKSJ"],"itemData":{"id":1071,"type":"article-journal","title":"Gefitinib provides similar effectiveness and improved safety than erlotinib for advanced non-small cell lung cancer: A meta-analysis","container-title":"Medicine","page":"e0460","volume":"97","issue":"16","source":"PubMed","abstract":"BACKGROUND: The epidermal growth factor receptor tyrosine kinase inhibitors gefitinib and erlotinib are effective for advanced non-small cell lung cancer (NSCLC). This meta-analysis compared their effectiveness and safety.\nMETHODS: We searched systematically in PubMed, ScienceDirect, The Cochrane Library, Scopus, Ovid MEDLINE, EMBASE, Web of Science, and Google Scholar for relevant clinical trials regarding gefitinib versus erlotinib for NSCLC. Antitumor effectiveness (overall survival [OS], progression-free survival [PFS], objective response rate [ORR] and disease control rate [DCR]) and adverse effects [AEs]) were assessed.\nRESULTS: Forty studies comprising 9376 participants were included. The results suggested that gefitinib and erlotinib are effective for advanced NSCLC with comparable PFS (95% confidence intervals [CI]: 0.98-1.11, P</w:instrText>
      </w:r>
      <w:r>
        <w:rPr>
          <w:rFonts w:ascii="Arial Unicode MS" w:eastAsia="Arial Unicode MS" w:hAnsi="Arial Unicode MS" w:cs="Arial Unicode MS" w:hint="eastAsia"/>
          <w:sz w:val="20"/>
          <w:szCs w:val="20"/>
        </w:rPr>
        <w:instrText> </w:instrText>
      </w:r>
      <w:r>
        <w:rPr>
          <w:rFonts w:ascii="Arial" w:hAnsi="Arial" w:cs="Arial"/>
          <w:sz w:val="20"/>
          <w:szCs w:val="20"/>
        </w:rPr>
        <w:instrText>=</w:instrText>
      </w:r>
      <w:r>
        <w:rPr>
          <w:rFonts w:ascii="Arial Unicode MS" w:eastAsia="Arial Unicode MS" w:hAnsi="Arial Unicode MS" w:cs="Arial Unicode MS" w:hint="eastAsia"/>
          <w:sz w:val="20"/>
          <w:szCs w:val="20"/>
        </w:rPr>
        <w:instrText> </w:instrText>
      </w:r>
      <w:r>
        <w:rPr>
          <w:rFonts w:ascii="Arial" w:hAnsi="Arial" w:cs="Arial"/>
          <w:sz w:val="20"/>
          <w:szCs w:val="20"/>
        </w:rPr>
        <w:instrText>.15), OS (95% CI: 0.93-1.19, P</w:instrText>
      </w:r>
      <w:r>
        <w:rPr>
          <w:rFonts w:ascii="Arial Unicode MS" w:eastAsia="Arial Unicode MS" w:hAnsi="Arial Unicode MS" w:cs="Arial Unicode MS" w:hint="eastAsia"/>
          <w:sz w:val="20"/>
          <w:szCs w:val="20"/>
        </w:rPr>
        <w:instrText> </w:instrText>
      </w:r>
      <w:r>
        <w:rPr>
          <w:rFonts w:ascii="Arial" w:hAnsi="Arial" w:cs="Arial"/>
          <w:sz w:val="20"/>
          <w:szCs w:val="20"/>
        </w:rPr>
        <w:instrText>=</w:instrText>
      </w:r>
      <w:r>
        <w:rPr>
          <w:rFonts w:ascii="Arial Unicode MS" w:eastAsia="Arial Unicode MS" w:hAnsi="Arial Unicode MS" w:cs="Arial Unicode MS" w:hint="eastAsia"/>
          <w:sz w:val="20"/>
          <w:szCs w:val="20"/>
        </w:rPr>
        <w:instrText> </w:instrText>
      </w:r>
      <w:r>
        <w:rPr>
          <w:rFonts w:ascii="Arial" w:hAnsi="Arial" w:cs="Arial"/>
          <w:sz w:val="20"/>
          <w:szCs w:val="20"/>
        </w:rPr>
        <w:instrText>.45), ORR (95% CI: 0.99-1.16, P</w:instrText>
      </w:r>
      <w:r>
        <w:rPr>
          <w:rFonts w:ascii="Arial Unicode MS" w:eastAsia="Arial Unicode MS" w:hAnsi="Arial Unicode MS" w:cs="Arial Unicode MS" w:hint="eastAsia"/>
          <w:sz w:val="20"/>
          <w:szCs w:val="20"/>
        </w:rPr>
        <w:instrText> </w:instrText>
      </w:r>
      <w:r>
        <w:rPr>
          <w:rFonts w:ascii="Arial" w:hAnsi="Arial" w:cs="Arial"/>
          <w:sz w:val="20"/>
          <w:szCs w:val="20"/>
        </w:rPr>
        <w:instrText>=</w:instrText>
      </w:r>
      <w:r>
        <w:rPr>
          <w:rFonts w:ascii="Arial Unicode MS" w:eastAsia="Arial Unicode MS" w:hAnsi="Arial Unicode MS" w:cs="Arial Unicode MS" w:hint="eastAsia"/>
          <w:sz w:val="20"/>
          <w:szCs w:val="20"/>
        </w:rPr>
        <w:instrText> </w:instrText>
      </w:r>
      <w:r>
        <w:rPr>
          <w:rFonts w:ascii="Arial" w:hAnsi="Arial" w:cs="Arial"/>
          <w:sz w:val="20"/>
          <w:szCs w:val="20"/>
        </w:rPr>
        <w:instrText>.07), and DCR (95% CI: 0.92-1.03, P</w:instrText>
      </w:r>
      <w:r>
        <w:rPr>
          <w:rFonts w:ascii="Arial Unicode MS" w:eastAsia="Arial Unicode MS" w:hAnsi="Arial Unicode MS" w:cs="Arial Unicode MS" w:hint="eastAsia"/>
          <w:sz w:val="20"/>
          <w:szCs w:val="20"/>
        </w:rPr>
        <w:instrText> </w:instrText>
      </w:r>
      <w:r>
        <w:rPr>
          <w:rFonts w:ascii="Arial" w:hAnsi="Arial" w:cs="Arial"/>
          <w:sz w:val="20"/>
          <w:szCs w:val="20"/>
        </w:rPr>
        <w:instrText>=</w:instrText>
      </w:r>
      <w:r>
        <w:rPr>
          <w:rFonts w:ascii="Arial Unicode MS" w:eastAsia="Arial Unicode MS" w:hAnsi="Arial Unicode MS" w:cs="Arial Unicode MS" w:hint="eastAsia"/>
          <w:sz w:val="20"/>
          <w:szCs w:val="20"/>
        </w:rPr>
        <w:instrText> </w:instrText>
      </w:r>
      <w:r>
        <w:rPr>
          <w:rFonts w:ascii="Arial" w:hAnsi="Arial" w:cs="Arial"/>
          <w:sz w:val="20"/>
          <w:szCs w:val="20"/>
        </w:rPr>
        <w:instrText>.35). For erlotinib, dose reduction was significantly more frequent (95% CI: 0.10-0.57, P</w:instrText>
      </w:r>
      <w:r>
        <w:rPr>
          <w:rFonts w:ascii="Arial Unicode MS" w:eastAsia="Arial Unicode MS" w:hAnsi="Arial Unicode MS" w:cs="Arial Unicode MS" w:hint="eastAsia"/>
          <w:sz w:val="20"/>
          <w:szCs w:val="20"/>
        </w:rPr>
        <w:instrText> </w:instrText>
      </w:r>
      <w:r>
        <w:rPr>
          <w:rFonts w:ascii="Arial" w:hAnsi="Arial" w:cs="Arial"/>
          <w:sz w:val="20"/>
          <w:szCs w:val="20"/>
        </w:rPr>
        <w:instrText>=</w:instrText>
      </w:r>
      <w:r>
        <w:rPr>
          <w:rFonts w:ascii="Arial Unicode MS" w:eastAsia="Arial Unicode MS" w:hAnsi="Arial Unicode MS" w:cs="Arial Unicode MS" w:hint="eastAsia"/>
          <w:sz w:val="20"/>
          <w:szCs w:val="20"/>
        </w:rPr>
        <w:instrText> </w:instrText>
      </w:r>
      <w:r>
        <w:rPr>
          <w:rFonts w:ascii="Arial" w:hAnsi="Arial" w:cs="Arial"/>
          <w:sz w:val="20"/>
          <w:szCs w:val="20"/>
        </w:rPr>
        <w:instrText>.001) as were grade 3 to 5 AEs (95% CI: 0.36-0.79, P</w:instrText>
      </w:r>
      <w:r>
        <w:rPr>
          <w:rFonts w:ascii="Arial Unicode MS" w:eastAsia="Arial Unicode MS" w:hAnsi="Arial Unicode MS" w:cs="Arial Unicode MS" w:hint="eastAsia"/>
          <w:sz w:val="20"/>
          <w:szCs w:val="20"/>
        </w:rPr>
        <w:instrText> </w:instrText>
      </w:r>
      <w:r>
        <w:rPr>
          <w:rFonts w:ascii="Arial" w:hAnsi="Arial" w:cs="Arial"/>
          <w:sz w:val="20"/>
          <w:szCs w:val="20"/>
        </w:rPr>
        <w:instrText>=</w:instrText>
      </w:r>
      <w:r>
        <w:rPr>
          <w:rFonts w:ascii="Arial Unicode MS" w:eastAsia="Arial Unicode MS" w:hAnsi="Arial Unicode MS" w:cs="Arial Unicode MS" w:hint="eastAsia"/>
          <w:sz w:val="20"/>
          <w:szCs w:val="20"/>
        </w:rPr>
        <w:instrText> </w:instrText>
      </w:r>
      <w:r>
        <w:rPr>
          <w:rFonts w:ascii="Arial" w:hAnsi="Arial" w:cs="Arial"/>
          <w:sz w:val="20"/>
          <w:szCs w:val="20"/>
        </w:rPr>
        <w:instrText xml:space="preserve">.002). In the subgroup analysis, the erlotinib group had a significant higher rate and severity of skin rash, nausea/vomiting, fatigue, and stomatitis.\nCONCLUSIONS: Gefitinib was proven to be the better choice for advanced NSCLC, with equal antitumor effectiveness and fewer AEs compared with erlotinib. Further large-scale, well-designed randomized controlled trials are warranted to confirm our validation.","DOI":"10.1097/MD.0000000000010460","ISSN":"1536-5964","note":"PMID: 29668619\nPMCID: PMC5916648","shortTitle":"Gefitinib provides similar effectiveness and improved safety than erlotinib for advanced non-small cell lung cancer","journalAbbreviation":"Medicine (Baltimore)","language":"eng","author":[{"family":"Zhang","given":"Wenxiong"},{"family":"Wei","given":"Yiping"},{"family":"Yu","given":"Dongliang"},{"family":"Xu","given":"Jianjun"},{"family":"Peng","given":"Jinhua"}],"issued":{"date-parts":[["2018",4]]},"PMID":"29668619","PMCID":"PMC5916648"}}],"schema":"https://github.com/citation-style-language/schema/raw/master/csl-citation.json"} </w:instrText>
      </w:r>
      <w:r>
        <w:rPr>
          <w:rFonts w:ascii="Arial" w:hAnsi="Arial" w:cs="Arial"/>
          <w:sz w:val="20"/>
          <w:szCs w:val="20"/>
        </w:rPr>
        <w:fldChar w:fldCharType="separate"/>
      </w:r>
      <w:r>
        <w:rPr>
          <w:rFonts w:ascii="Arial" w:hAnsi="Arial" w:cs="Arial"/>
          <w:sz w:val="20"/>
          <w:szCs w:val="20"/>
        </w:rPr>
        <w:t>(30)</w:t>
      </w:r>
      <w:r>
        <w:rPr>
          <w:rFonts w:ascii="Arial" w:hAnsi="Arial" w:cs="Arial"/>
          <w:sz w:val="20"/>
          <w:szCs w:val="20"/>
        </w:rPr>
        <w:fldChar w:fldCharType="end"/>
      </w:r>
      <w:r>
        <w:rPr>
          <w:rFonts w:ascii="Arial" w:hAnsi="Arial" w:cs="Arial"/>
          <w:sz w:val="20"/>
          <w:szCs w:val="20"/>
        </w:rPr>
        <w:t xml:space="preserve"> que compara erlotinib frente a gefitinib, en el que se incluyeron un total de 40 estudios, de los que solo tres fueron ensayos clínicos. En este metanálisis ambos fármacos presentaron una SG, SLP y tasa de respuesta global comparables, aunque erlotinib fue asociado a mayor toxicidad que geftinib. Sin embargo, la elevada heterogeneidad de la población y estudios incluidos limitan la fiabilidad de estas conclusiones.</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Otro metaanálisis disponible </w:t>
      </w:r>
      <w:r>
        <w:rPr>
          <w:rFonts w:ascii="Arial" w:hAnsi="Arial" w:cs="Arial"/>
          <w:sz w:val="20"/>
          <w:szCs w:val="20"/>
        </w:rPr>
        <w:fldChar w:fldCharType="begin"/>
      </w:r>
      <w:r>
        <w:rPr>
          <w:rFonts w:ascii="Arial" w:hAnsi="Arial" w:cs="Arial"/>
          <w:sz w:val="20"/>
          <w:szCs w:val="20"/>
        </w:rPr>
        <w:instrText xml:space="preserve"> ADDIN ZOTERO_ITEM CSL_CITATION {"citationID":"SSGK6FrI","properties":{"formattedCitation":"(37)","plainCitation":"(37)"},"citationItems":[{"id":1073,"uris":["http://zotero.org/users/local/zrSbuHrK/items/36SU8IGK"],"uri":["http://zotero.org/users/local/zrSbuHrK/items/36SU8IGK"],"itemData":{"id":1073,"type":"article-journal","title":"Comparison of gefitinib, erlotinib and afatinib in non-small cell lung cancer: A meta-analysis","container-title":"International Journal of Cancer","page":"2805-2819","volume":"140","issue":"12","source":"PubMed","abstract":"Gefitinib, erlotinib and afatinib are three widely used epidermal growth factor receptor tyrosine kinase inhibitors (EGFR TKIs) for treating advanced non-small cell lung cancer (NSCLC) with proven efficacy. We undertook a systematic review and meta-analysis to synthesize existing studies with direct comparisons of EGFR TKIs in NSCLC in terms of both efficacy and safety. Eight randomized trials and 82 cohort studies with a total of 17,621 patients were included for analysis. Gefitinib and erlotinib demonstrated comparable effects on progression-free survival (hazard ratio [HR], 1.00; 95% confidence interval [CI], 0.95 to 1.04), overall survival (HR, 0.99; 95% CI, 0.93 to 1.06), overall response rate (risk ratio [RR], 1.05; 95% CI, 1.00 to 1.11), and disease control rate (RR, 0.98; 95% CI, 0.96 to 1.01), which did not vary considerably with EGFR mutation status, ethnicity, line of treatment, and baseline brain metastasis status. Gefitinib was associated with more grade 3/4 liver dysfunction, but tended to cause lower rates of dose reduction, treatment discontinuation, total grade 3/4 adverse events (RR, 0.78; 95% CI 0.65 to 0.94), and a number of specific adverse events such as rash and diarrhea. No solid evidence was found that afatinib had greater efficacy than gefitinib or erlotinib in first-line treatment of EGFR-mutant NSCLC. However, afatinib was more effective than erlotinib as second-line treatment of patients with advanced squamous cell carcinoma. The grade 3/4 adverse events rate of afatinib was comparable to that of erlotinib but higher than that of gefitinib.","DOI":"10.1002/ijc.30691","ISSN":"1097-0215","note":"PMID: 28295308","shortTitle":"Comparison of gefitinib, erlotinib and afatinib in non-small cell lung cancer","journalAbbreviation":"Int. J. Cancer","language":"eng","author":[{"family":"Yang","given":"Zuyao"},{"family":"Hackshaw","given":"Allan"},{"family":"Feng","given":"Qi"},{"family":"Fu","given":"Xiaohong"},{"family":"Zhang","given":"Yuelun"},{"family":"Mao","given":"Chen"},{"family":"Tang","given":"Jinling"}],"issued":{"date-parts":[["2017"]],"season":"15"},"PMID":"28295308"}}],"schema":"https://github.com/citation-style-language/schema/raw/master/csl-citation.json"} </w:instrText>
      </w:r>
      <w:r>
        <w:rPr>
          <w:rFonts w:ascii="Arial" w:hAnsi="Arial" w:cs="Arial"/>
          <w:sz w:val="20"/>
          <w:szCs w:val="20"/>
        </w:rPr>
        <w:fldChar w:fldCharType="separate"/>
      </w:r>
      <w:r>
        <w:rPr>
          <w:rFonts w:ascii="Arial" w:hAnsi="Arial" w:cs="Arial"/>
          <w:sz w:val="20"/>
          <w:szCs w:val="20"/>
        </w:rPr>
        <w:t>(31)</w:t>
      </w:r>
      <w:r>
        <w:rPr>
          <w:rFonts w:ascii="Arial" w:hAnsi="Arial" w:cs="Arial"/>
          <w:sz w:val="20"/>
          <w:szCs w:val="20"/>
        </w:rPr>
        <w:fldChar w:fldCharType="end"/>
      </w:r>
      <w:r>
        <w:rPr>
          <w:rFonts w:ascii="Arial" w:hAnsi="Arial" w:cs="Arial"/>
          <w:sz w:val="20"/>
          <w:szCs w:val="20"/>
        </w:rPr>
        <w:t xml:space="preserve"> que compara los tres fármacos también refleja una eficacia similar entre los tres. Sin embargo, la comparación de afatinib frente a gefitinib o erlotinib se basa en un limitado número de estudios. Para la comparación de erlotinib vs gefitinib existía una mayor evidencia, observándose que gefitinib presenta un perfil de toxicidad más favorable que erlotinib.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Otro metanalisis</w:t>
      </w:r>
      <w:r w:rsidRPr="00C026A9">
        <w:rPr>
          <w:rFonts w:ascii="Arial" w:hAnsi="Arial" w:cs="Arial"/>
          <w:sz w:val="20"/>
          <w:szCs w:val="20"/>
        </w:rPr>
        <w:t xml:space="preserve"> in</w:t>
      </w:r>
      <w:r>
        <w:rPr>
          <w:rFonts w:ascii="Arial" w:hAnsi="Arial" w:cs="Arial"/>
          <w:sz w:val="20"/>
          <w:szCs w:val="20"/>
        </w:rPr>
        <w:t xml:space="preserve">dicó un patrón de alta eficacia y </w:t>
      </w:r>
      <w:r w:rsidRPr="00C026A9">
        <w:rPr>
          <w:rFonts w:ascii="Arial" w:hAnsi="Arial" w:cs="Arial"/>
          <w:sz w:val="20"/>
          <w:szCs w:val="20"/>
        </w:rPr>
        <w:t>alta toxicidad de afati</w:t>
      </w:r>
      <w:r>
        <w:rPr>
          <w:rFonts w:ascii="Arial" w:hAnsi="Arial" w:cs="Arial"/>
          <w:sz w:val="20"/>
          <w:szCs w:val="20"/>
        </w:rPr>
        <w:t xml:space="preserve">nib, un patrón de alta eficacia y </w:t>
      </w:r>
      <w:r w:rsidRPr="00C026A9">
        <w:rPr>
          <w:rFonts w:ascii="Arial" w:hAnsi="Arial" w:cs="Arial"/>
          <w:sz w:val="20"/>
          <w:szCs w:val="20"/>
        </w:rPr>
        <w:t xml:space="preserve">moderada toxicidad de erlotinib y un patrón de media eficacia </w:t>
      </w:r>
      <w:r>
        <w:rPr>
          <w:rFonts w:ascii="Arial" w:hAnsi="Arial" w:cs="Arial"/>
          <w:sz w:val="20"/>
          <w:szCs w:val="20"/>
        </w:rPr>
        <w:t xml:space="preserve">y </w:t>
      </w:r>
      <w:r w:rsidRPr="00C026A9">
        <w:rPr>
          <w:rFonts w:ascii="Arial" w:hAnsi="Arial" w:cs="Arial"/>
          <w:sz w:val="20"/>
          <w:szCs w:val="20"/>
        </w:rPr>
        <w:t>toxicidad moderada de gefitinib</w:t>
      </w:r>
      <w:r>
        <w:rPr>
          <w:rFonts w:ascii="Arial" w:hAnsi="Arial" w:cs="Arial"/>
          <w:sz w:val="20"/>
          <w:szCs w:val="20"/>
        </w:rPr>
        <w:t xml:space="preserve"> (45).</w:t>
      </w:r>
    </w:p>
    <w:p w:rsidR="00DD1521" w:rsidRDefault="00DD1521">
      <w:pPr>
        <w:pStyle w:val="Normal1"/>
        <w:spacing w:after="0" w:line="240" w:lineRule="auto"/>
        <w:jc w:val="both"/>
        <w:rPr>
          <w:rFonts w:ascii="Arial" w:hAnsi="Arial" w:cs="Arial"/>
          <w:sz w:val="20"/>
          <w:szCs w:val="20"/>
        </w:rPr>
      </w:pPr>
    </w:p>
    <w:p w:rsidR="00DD1521" w:rsidRPr="00C026A9" w:rsidRDefault="00DD1521" w:rsidP="00C026A9">
      <w:pPr>
        <w:pStyle w:val="NormalWeb"/>
        <w:spacing w:before="0" w:beforeAutospacing="0" w:after="0" w:afterAutospacing="0" w:line="240" w:lineRule="auto"/>
        <w:jc w:val="both"/>
        <w:rPr>
          <w:rFonts w:ascii="Arial" w:hAnsi="Arial" w:cs="Arial"/>
          <w:sz w:val="20"/>
          <w:szCs w:val="20"/>
        </w:rPr>
      </w:pPr>
      <w:r w:rsidRPr="00C026A9">
        <w:rPr>
          <w:rFonts w:ascii="Arial" w:hAnsi="Arial" w:cs="Arial"/>
          <w:sz w:val="20"/>
          <w:szCs w:val="20"/>
        </w:rPr>
        <w:t xml:space="preserve">Otro metanálisis concluye que sí existen diferencias entre los ITK de 1ª generación (erlotinib, gefitinib </w:t>
      </w:r>
      <w:r>
        <w:rPr>
          <w:rFonts w:ascii="Arial" w:hAnsi="Arial" w:cs="Arial"/>
          <w:sz w:val="20"/>
          <w:szCs w:val="20"/>
        </w:rPr>
        <w:t>e</w:t>
      </w:r>
      <w:r w:rsidRPr="00C026A9">
        <w:rPr>
          <w:rFonts w:ascii="Arial" w:hAnsi="Arial" w:cs="Arial"/>
          <w:sz w:val="20"/>
          <w:szCs w:val="20"/>
        </w:rPr>
        <w:t xml:space="preserve"> icotinib) y los de 2ª generación (afatinib y dacomitinib) a favor de estos últimos</w:t>
      </w:r>
      <w:r>
        <w:rPr>
          <w:rFonts w:ascii="Arial" w:hAnsi="Arial" w:cs="Arial"/>
          <w:sz w:val="20"/>
          <w:szCs w:val="20"/>
        </w:rPr>
        <w:t xml:space="preserve"> (46).</w:t>
      </w:r>
    </w:p>
    <w:p w:rsidR="00DD1521" w:rsidRDefault="00DD1521">
      <w:pPr>
        <w:pStyle w:val="Normal1"/>
        <w:spacing w:after="0" w:line="240" w:lineRule="auto"/>
        <w:jc w:val="both"/>
        <w:rPr>
          <w:rFonts w:ascii="Arial" w:hAnsi="Arial" w:cs="Arial"/>
          <w:sz w:val="20"/>
          <w:szCs w:val="20"/>
        </w:rPr>
      </w:pPr>
    </w:p>
    <w:p w:rsidR="00DD1521" w:rsidRDefault="00DD1521" w:rsidP="00521123">
      <w:pPr>
        <w:pStyle w:val="NormalWeb"/>
        <w:spacing w:before="0" w:beforeAutospacing="0" w:after="0" w:afterAutospacing="0" w:line="240" w:lineRule="auto"/>
        <w:jc w:val="both"/>
        <w:rPr>
          <w:rFonts w:ascii="Arial" w:hAnsi="Arial" w:cs="Arial"/>
          <w:sz w:val="20"/>
          <w:szCs w:val="20"/>
        </w:rPr>
      </w:pPr>
      <w:r>
        <w:rPr>
          <w:rFonts w:ascii="Arial" w:hAnsi="Arial" w:cs="Arial"/>
          <w:sz w:val="20"/>
          <w:szCs w:val="20"/>
        </w:rPr>
        <w:t>Un último network metanálisis, que ya incluye ensayos con osimertinib, concuye que</w:t>
      </w:r>
      <w:r w:rsidRPr="00521123">
        <w:rPr>
          <w:rFonts w:ascii="Arial" w:hAnsi="Arial" w:cs="Arial"/>
          <w:sz w:val="20"/>
          <w:szCs w:val="20"/>
        </w:rPr>
        <w:t xml:space="preserve"> los 3 ITK con mayor probabilidad de beneficio son osimertinib, dacomitinib y afatinib</w:t>
      </w:r>
      <w:r>
        <w:rPr>
          <w:rFonts w:ascii="Arial" w:hAnsi="Arial" w:cs="Arial"/>
          <w:sz w:val="20"/>
          <w:szCs w:val="20"/>
        </w:rPr>
        <w:t xml:space="preserve"> (33)</w:t>
      </w:r>
      <w:r w:rsidRPr="00521123">
        <w:rPr>
          <w:rFonts w:ascii="Arial" w:hAnsi="Arial" w:cs="Arial"/>
          <w:sz w:val="20"/>
          <w:szCs w:val="20"/>
        </w:rPr>
        <w:t>.</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Por tanto, existen metaanálisis que apoyan la equivalencia entre erlotinib, gefitinib y afatinib, y otros indican que existe cierto beneficio adicional con afatinib, aunque las deficiencias metodológicas de estos estudios hacen que estos datos deban interpretarse con cautela.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p>
    <w:p w:rsidR="00DD1521" w:rsidRPr="00B85537" w:rsidRDefault="00DD1521">
      <w:pPr>
        <w:pStyle w:val="Textoindependiente3"/>
        <w:pBdr>
          <w:top w:val="single" w:sz="4" w:space="1" w:color="auto"/>
          <w:left w:val="single" w:sz="4" w:space="4" w:color="auto"/>
          <w:bottom w:val="single" w:sz="4" w:space="1" w:color="auto"/>
          <w:right w:val="single" w:sz="4" w:space="4" w:color="auto"/>
        </w:pBdr>
        <w:shd w:val="clear" w:color="auto" w:fill="E6E6E6"/>
        <w:spacing w:after="0" w:line="240" w:lineRule="auto"/>
        <w:outlineLvl w:val="2"/>
        <w:rPr>
          <w:rFonts w:ascii="Arial" w:hAnsi="Arial" w:cs="Arial"/>
          <w:sz w:val="20"/>
          <w:szCs w:val="20"/>
          <w:lang w:val="pt-BR"/>
        </w:rPr>
      </w:pPr>
      <w:bookmarkStart w:id="75" w:name="_Toc344399642"/>
      <w:bookmarkStart w:id="76" w:name="_Toc348931369"/>
      <w:bookmarkStart w:id="77" w:name="_Toc5793753"/>
      <w:r w:rsidRPr="00B85537">
        <w:rPr>
          <w:rFonts w:ascii="Arial" w:hAnsi="Arial" w:cs="Arial"/>
          <w:sz w:val="20"/>
          <w:szCs w:val="20"/>
          <w:lang w:val="pt-BR"/>
        </w:rPr>
        <w:t>C.3 Alternativas terapéuticas equivalentes (ATE)</w:t>
      </w:r>
      <w:bookmarkEnd w:id="75"/>
      <w:bookmarkEnd w:id="76"/>
      <w:bookmarkEnd w:id="77"/>
      <w:r w:rsidRPr="00B85537">
        <w:rPr>
          <w:rFonts w:ascii="Arial" w:hAnsi="Arial" w:cs="Arial"/>
          <w:sz w:val="20"/>
          <w:szCs w:val="20"/>
          <w:lang w:val="pt-BR"/>
        </w:rPr>
        <w:t xml:space="preserve"> </w:t>
      </w:r>
    </w:p>
    <w:p w:rsidR="00DD1521" w:rsidRPr="00B85537" w:rsidRDefault="00DD1521">
      <w:pPr>
        <w:spacing w:after="0" w:line="240" w:lineRule="auto"/>
        <w:jc w:val="both"/>
        <w:rPr>
          <w:rFonts w:ascii="Arial" w:hAnsi="Arial" w:cs="Arial"/>
          <w:sz w:val="20"/>
          <w:szCs w:val="20"/>
          <w:lang w:val="pt-BR"/>
        </w:rPr>
      </w:pPr>
    </w:p>
    <w:p w:rsidR="00DD1521" w:rsidRDefault="00DD1521">
      <w:pPr>
        <w:spacing w:after="0" w:line="240" w:lineRule="auto"/>
        <w:jc w:val="both"/>
        <w:rPr>
          <w:rFonts w:ascii="Arial" w:hAnsi="Arial" w:cs="Arial"/>
          <w:sz w:val="20"/>
          <w:szCs w:val="20"/>
        </w:rPr>
      </w:pPr>
      <w:r>
        <w:rPr>
          <w:rFonts w:ascii="Arial" w:hAnsi="Arial" w:cs="Arial"/>
          <w:sz w:val="20"/>
          <w:szCs w:val="20"/>
        </w:rPr>
        <w:t>No procede</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right"/>
        <w:rPr>
          <w:rFonts w:ascii="Arial" w:hAnsi="Arial" w:cs="Arial"/>
          <w:color w:val="FF0000"/>
          <w:sz w:val="16"/>
          <w:szCs w:val="16"/>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78" w:name="_Toc344399643"/>
      <w:bookmarkStart w:id="79" w:name="_Toc348931370"/>
      <w:bookmarkStart w:id="80" w:name="_Toc5793754"/>
      <w:r>
        <w:rPr>
          <w:rFonts w:ascii="Arial" w:hAnsi="Arial" w:cs="Arial"/>
          <w:sz w:val="20"/>
          <w:szCs w:val="20"/>
        </w:rPr>
        <w:t>5.2.c Evaluación de las pruebas de cribado utilizadas</w:t>
      </w:r>
      <w:bookmarkEnd w:id="78"/>
      <w:bookmarkEnd w:id="79"/>
      <w:bookmarkEnd w:id="80"/>
      <w:r>
        <w:rPr>
          <w:rFonts w:ascii="Arial" w:hAnsi="Arial" w:cs="Arial"/>
          <w:sz w:val="20"/>
          <w:szCs w:val="20"/>
        </w:rPr>
        <w:t xml:space="preserve"> </w:t>
      </w:r>
    </w:p>
    <w:p w:rsidR="00DD1521" w:rsidRDefault="00DD1521">
      <w:pPr>
        <w:spacing w:after="0" w:line="240" w:lineRule="auto"/>
        <w:jc w:val="right"/>
        <w:rPr>
          <w:rFonts w:ascii="Arial" w:hAnsi="Arial" w:cs="Arial"/>
          <w:color w:val="0000FF"/>
          <w:sz w:val="20"/>
          <w:szCs w:val="20"/>
          <w:u w:val="single"/>
        </w:rPr>
      </w:pPr>
      <w:r>
        <w:rPr>
          <w:rFonts w:ascii="Arial" w:hAnsi="Arial" w:cs="Arial"/>
          <w:color w:val="FF0000"/>
          <w:sz w:val="20"/>
          <w:szCs w:val="20"/>
        </w:rPr>
        <w:t xml:space="preserve"> </w:t>
      </w:r>
    </w:p>
    <w:p w:rsidR="00DD1521" w:rsidRDefault="00DD1521">
      <w:pPr>
        <w:spacing w:after="0" w:line="240" w:lineRule="auto"/>
        <w:jc w:val="both"/>
        <w:rPr>
          <w:rFonts w:ascii="Arial" w:hAnsi="Arial" w:cs="Arial"/>
          <w:sz w:val="20"/>
          <w:szCs w:val="20"/>
        </w:rPr>
      </w:pPr>
      <w:r>
        <w:rPr>
          <w:rFonts w:ascii="Arial" w:hAnsi="Arial" w:cs="Arial"/>
          <w:sz w:val="20"/>
          <w:szCs w:val="20"/>
        </w:rPr>
        <w:t>Detección de mutación T790M: Cobas</w:t>
      </w:r>
      <w:r>
        <w:rPr>
          <w:rFonts w:ascii="Arial" w:hAnsi="Arial" w:cs="Arial"/>
          <w:sz w:val="20"/>
          <w:szCs w:val="20"/>
          <w:vertAlign w:val="superscript"/>
        </w:rPr>
        <w:t>®</w:t>
      </w:r>
      <w:r>
        <w:rPr>
          <w:rFonts w:ascii="Arial" w:hAnsi="Arial" w:cs="Arial"/>
          <w:sz w:val="20"/>
          <w:szCs w:val="20"/>
        </w:rPr>
        <w:t xml:space="preserve"> EGFR mutation test de Roche. Test aprobado por la FDA.</w:t>
      </w: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En el ensayo clínico FLAURA, la determinación del estado mutacional de EGFR fue realizado en una parte de la población por </w:t>
      </w:r>
      <w:r w:rsidR="00E172A8">
        <w:rPr>
          <w:rFonts w:ascii="Arial" w:hAnsi="Arial" w:cs="Arial"/>
          <w:sz w:val="20"/>
          <w:szCs w:val="20"/>
        </w:rPr>
        <w:t>un laboratorio central</w:t>
      </w:r>
      <w:r>
        <w:rPr>
          <w:rFonts w:ascii="Arial" w:hAnsi="Arial" w:cs="Arial"/>
          <w:sz w:val="20"/>
          <w:szCs w:val="20"/>
        </w:rPr>
        <w:t xml:space="preserve"> mediante el test validado de Cobas</w:t>
      </w:r>
      <w:r>
        <w:rPr>
          <w:rFonts w:ascii="Arial" w:hAnsi="Arial" w:cs="Arial"/>
          <w:sz w:val="20"/>
          <w:szCs w:val="20"/>
          <w:vertAlign w:val="superscript"/>
        </w:rPr>
        <w:t>®</w:t>
      </w:r>
      <w:r>
        <w:rPr>
          <w:rFonts w:ascii="Arial" w:hAnsi="Arial" w:cs="Arial"/>
          <w:sz w:val="20"/>
          <w:szCs w:val="20"/>
        </w:rPr>
        <w:t xml:space="preserve"> EGFR mutation test y en el resto de pacientes fue llevado a cabo por laboratorios locales certificados/acreditados a través de otras técnicas moleculares no especificadas. La mayoría de los pacientes con mutación EGFR positiva determinadas por un laboratorio local también fueron </w:t>
      </w:r>
      <w:r>
        <w:rPr>
          <w:rFonts w:ascii="Arial" w:hAnsi="Arial" w:cs="Arial"/>
          <w:sz w:val="20"/>
          <w:szCs w:val="20"/>
        </w:rPr>
        <w:lastRenderedPageBreak/>
        <w:t>determinadas posteriormente con el test de Cobas</w:t>
      </w:r>
      <w:r>
        <w:rPr>
          <w:rFonts w:ascii="Arial" w:hAnsi="Arial" w:cs="Arial"/>
          <w:sz w:val="20"/>
          <w:szCs w:val="20"/>
          <w:vertAlign w:val="superscript"/>
        </w:rPr>
        <w:t>®</w:t>
      </w:r>
      <w:r>
        <w:rPr>
          <w:rFonts w:ascii="Arial" w:hAnsi="Arial" w:cs="Arial"/>
          <w:sz w:val="20"/>
          <w:szCs w:val="20"/>
        </w:rPr>
        <w:t xml:space="preserve"> por el laboratorio central para contrastar los resultados.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81" w:name="_Toc348931371"/>
      <w:bookmarkStart w:id="82" w:name="_Toc344399644"/>
      <w:bookmarkStart w:id="83" w:name="_Toc5793755"/>
      <w:r>
        <w:rPr>
          <w:rFonts w:ascii="Arial" w:hAnsi="Arial" w:cs="Arial"/>
          <w:sz w:val="20"/>
          <w:szCs w:val="20"/>
        </w:rPr>
        <w:t>5.3 Revisiones sistemáticas publicadas, comparaciones indirectas y sus conclusiones</w:t>
      </w:r>
      <w:bookmarkEnd w:id="81"/>
      <w:bookmarkEnd w:id="82"/>
      <w:bookmarkEnd w:id="83"/>
      <w:r>
        <w:rPr>
          <w:rFonts w:ascii="Arial" w:hAnsi="Arial" w:cs="Arial"/>
          <w:sz w:val="20"/>
          <w:szCs w:val="20"/>
        </w:rPr>
        <w:t xml:space="preserve"> </w:t>
      </w:r>
    </w:p>
    <w:p w:rsidR="00DD1521" w:rsidRDefault="00DD1521">
      <w:pPr>
        <w:spacing w:after="0" w:line="240" w:lineRule="auto"/>
        <w:jc w:val="both"/>
        <w:rPr>
          <w:rFonts w:ascii="Arial" w:hAnsi="Arial" w:cs="Arial"/>
          <w:color w:val="000080"/>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84" w:name="_Toc348931440"/>
      <w:bookmarkStart w:id="85" w:name="_Toc5793756"/>
      <w:r>
        <w:rPr>
          <w:rFonts w:ascii="Arial" w:hAnsi="Arial" w:cs="Arial"/>
          <w:sz w:val="20"/>
          <w:szCs w:val="20"/>
        </w:rPr>
        <w:t>5.3.a Revisiones sistemáticas publicadas</w:t>
      </w:r>
      <w:bookmarkEnd w:id="84"/>
      <w:bookmarkEnd w:id="85"/>
    </w:p>
    <w:p w:rsidR="00DD1521" w:rsidRDefault="00DD1521">
      <w:pPr>
        <w:spacing w:after="0" w:line="240" w:lineRule="auto"/>
        <w:jc w:val="both"/>
        <w:rPr>
          <w:rFonts w:ascii="Arial" w:hAnsi="Arial" w:cs="Arial"/>
          <w:color w:val="000080"/>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b/>
          <w:bCs/>
          <w:sz w:val="20"/>
          <w:szCs w:val="20"/>
        </w:rPr>
        <w:t>Tratamiento de segunda línea del CPNM avanzado o metastásico con mutación positiva del EGFR T790M</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Se ha localizado una revisión, de tipo narrativo, recientemente publicada sobre terapias disponibles en cáncer de pulmón no microcítico con mutación T790M (32). Otros ITK anti-EGFR de tercera generación están en desarrollo clínico temprano. EGF816 ha demostrado una TRO de 44% y una TCE de 91%, procedentes de un ensayo fase I. Están en espera los resultados de los estudios Fase I / II de PF-06747775 y avitinib. Sin embargo, el programa de desarrollo de olmutinib (ensayos Eluxa) ha sido detenido debido a dos casos de necrólisis epidérmica tóxica y un síndrome de Stevens-Johnson. Otro ITK anti-EGFR cuyo desarrollo se ha detenido es rociletinib.</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primera línea del CPNM avanzado o metastásico con mutaciones activadoras de EGFR</w:t>
      </w:r>
    </w:p>
    <w:p w:rsidR="00DD1521" w:rsidRDefault="00DD1521">
      <w:pPr>
        <w:spacing w:after="0" w:line="240" w:lineRule="auto"/>
        <w:jc w:val="both"/>
        <w:rPr>
          <w:rFonts w:ascii="Arial" w:hAnsi="Arial" w:cs="Arial"/>
          <w:sz w:val="20"/>
          <w:szCs w:val="20"/>
        </w:rPr>
      </w:pPr>
    </w:p>
    <w:p w:rsidR="00DD1521" w:rsidRDefault="00DD1521">
      <w:pPr>
        <w:pStyle w:val="Normal1"/>
        <w:widowControl w:val="0"/>
        <w:spacing w:after="0" w:line="240" w:lineRule="auto"/>
        <w:jc w:val="both"/>
        <w:rPr>
          <w:rFonts w:ascii="Helvetica" w:hAnsi="Helvetica" w:cs="Helvetica"/>
          <w:sz w:val="20"/>
          <w:szCs w:val="20"/>
        </w:rPr>
      </w:pPr>
      <w:r>
        <w:rPr>
          <w:rFonts w:ascii="Helvetica" w:hAnsi="Helvetica" w:cs="Helvetica"/>
          <w:sz w:val="20"/>
          <w:szCs w:val="20"/>
        </w:rPr>
        <w:t xml:space="preserve">El informe inicial de la CADTH hace referencia a un network metaanálisis presentado por el laboratorio que comercializa osimertinib. En dicha comparación solo se incluye el estudio Lux-Lung 7 que compara gefitinib con afatinib y el estudio FLAURA, asumiendo, por </w:t>
      </w:r>
      <w:r w:rsidR="00E172A8">
        <w:rPr>
          <w:rFonts w:ascii="Helvetica" w:hAnsi="Helvetica" w:cs="Helvetica"/>
          <w:sz w:val="20"/>
          <w:szCs w:val="20"/>
        </w:rPr>
        <w:t>tanto,</w:t>
      </w:r>
      <w:r>
        <w:rPr>
          <w:rFonts w:ascii="Helvetica" w:hAnsi="Helvetica" w:cs="Helvetica"/>
          <w:sz w:val="20"/>
          <w:szCs w:val="20"/>
        </w:rPr>
        <w:t xml:space="preserve"> que gefitinib y erlotinib son equivalentes. </w:t>
      </w:r>
    </w:p>
    <w:p w:rsidR="00DD1521" w:rsidRDefault="00DD1521">
      <w:pPr>
        <w:pStyle w:val="Normal1"/>
        <w:widowControl w:val="0"/>
        <w:spacing w:after="0" w:line="240" w:lineRule="auto"/>
        <w:jc w:val="both"/>
        <w:rPr>
          <w:rFonts w:ascii="Helvetica" w:hAnsi="Helvetica" w:cs="Helvetica"/>
          <w:sz w:val="20"/>
          <w:szCs w:val="20"/>
        </w:rPr>
      </w:pPr>
    </w:p>
    <w:p w:rsidR="00DD1521" w:rsidRDefault="00DD1521">
      <w:pPr>
        <w:pStyle w:val="Normal1"/>
        <w:widowControl w:val="0"/>
        <w:spacing w:after="0" w:line="240" w:lineRule="auto"/>
        <w:jc w:val="both"/>
        <w:rPr>
          <w:rFonts w:ascii="Helvetica" w:hAnsi="Helvetica" w:cs="Helvetica"/>
          <w:sz w:val="20"/>
          <w:szCs w:val="20"/>
        </w:rPr>
      </w:pPr>
      <w:r>
        <w:rPr>
          <w:rFonts w:ascii="Helvetica" w:hAnsi="Helvetica" w:cs="Helvetica"/>
          <w:sz w:val="20"/>
          <w:szCs w:val="20"/>
        </w:rPr>
        <w:t xml:space="preserve">En noviembre de 2018 se realizó búsqueda bibliográfica en Medline aplicando como términos de búsqueda “osimertinib and lung cancer” y como filtros “systematic reviews” y “meta-analysis”, identificándose un network metaanálisis </w:t>
      </w:r>
      <w:r>
        <w:rPr>
          <w:rFonts w:ascii="Helvetica" w:hAnsi="Helvetica" w:cs="Helvetica"/>
          <w:sz w:val="20"/>
          <w:szCs w:val="20"/>
        </w:rPr>
        <w:fldChar w:fldCharType="begin"/>
      </w:r>
      <w:r>
        <w:rPr>
          <w:rFonts w:ascii="Helvetica" w:hAnsi="Helvetica" w:cs="Helvetica"/>
          <w:sz w:val="20"/>
          <w:szCs w:val="20"/>
        </w:rPr>
        <w:instrText xml:space="preserve"> ADDIN ZOTERO_ITEM CSL_CITATION {"citationID":"9LkhYSIh","properties":{"formattedCitation":"(39)","plainCitation":"(39)"},"citationItems":[{"id":1043,"uris":["http://zotero.org/users/local/zrSbuHrK/items/J3HN5PRV"],"uri":["http://zotero.org/users/local/zrSbuHrK/items/J3HN5PRV"],"itemData":{"id":1043,"type":"article-journal","title":"A network meta-analysis of nonsmall-cell lung cancer patients with an activating EGFR mutation: Should osimertinib be the first-line treatment?","container-title":"Medicine","page":"e11569","volume":"97","issue":"30","source":"PubMed","abstract":"BACKGROUND: Epidermal growth factor receptor (EGFR) tyrosine kinase inhibitors (TKIs) are the preferred first-line treatment for nonsmall-cell lung cancer (NSCLC) patients with an activating EGFR mutation. Osimertinib, compared with erlotinib or gefitinib, showed an improvement in progression-free survival (PFS) in a recent trial. The authors compared EGFR TKIs in terms of PFS in a network meta-analysis.\nMETHODS: The PubMed and Embase databases and meeting abstracts were screened for relevant studies between January 2009 and November 2017. A random-effect frequentist network meta-analysis model was conducted to assess PFS. P-score was used to rank treatment effects.\nRESULTS: Eleven trials with 3145 patients and 5 TKIs (gefitinib, erlotinib, afatinib, dacomitinib, and osimertinib) were included. Heterogeneity and inconsistency existed in the network analysis. Gefitinib and erlotinib had similar effects (hazard ratio [HR] 0.94, 95% confidence interval [CI] 0.76-1.15). For all patients, the 3 TKIs with the highest probability of benefit were osimertinib, dacomitinib, and afatinib, with P-scores of 91%, 78%, and 46%, respectively. Compared with erlotinib or gefitinib, osimertinib was associated with improvement in men (HR</w:instrText>
      </w:r>
      <w:r>
        <w:rPr>
          <w:rFonts w:ascii="Arial Unicode MS" w:eastAsia="Arial Unicode MS" w:hAnsi="Arial Unicode MS" w:cs="Arial Unicode MS" w:hint="eastAsia"/>
          <w:sz w:val="20"/>
          <w:szCs w:val="20"/>
        </w:rPr>
        <w:instrText> </w:instrText>
      </w:r>
      <w:r>
        <w:rPr>
          <w:rFonts w:ascii="Helvetica" w:hAnsi="Helvetica" w:cs="Helvetica"/>
          <w:sz w:val="20"/>
          <w:szCs w:val="20"/>
        </w:rPr>
        <w:instrText>=</w:instrText>
      </w:r>
      <w:r>
        <w:rPr>
          <w:rFonts w:ascii="Arial Unicode MS" w:eastAsia="Arial Unicode MS" w:hAnsi="Arial Unicode MS" w:cs="Arial Unicode MS" w:hint="eastAsia"/>
          <w:sz w:val="20"/>
          <w:szCs w:val="20"/>
        </w:rPr>
        <w:instrText> </w:instrText>
      </w:r>
      <w:r>
        <w:rPr>
          <w:rFonts w:ascii="Helvetica" w:hAnsi="Helvetica" w:cs="Helvetica"/>
          <w:sz w:val="20"/>
          <w:szCs w:val="20"/>
        </w:rPr>
        <w:instrText>0.79, 95% CI, 0.68-0.92), non-Asians (HR</w:instrText>
      </w:r>
      <w:r>
        <w:rPr>
          <w:rFonts w:ascii="Arial Unicode MS" w:eastAsia="Arial Unicode MS" w:hAnsi="Arial Unicode MS" w:cs="Arial Unicode MS" w:hint="eastAsia"/>
          <w:sz w:val="20"/>
          <w:szCs w:val="20"/>
        </w:rPr>
        <w:instrText> </w:instrText>
      </w:r>
      <w:r>
        <w:rPr>
          <w:rFonts w:ascii="Helvetica" w:hAnsi="Helvetica" w:cs="Helvetica"/>
          <w:sz w:val="20"/>
          <w:szCs w:val="20"/>
        </w:rPr>
        <w:instrText>=</w:instrText>
      </w:r>
      <w:r>
        <w:rPr>
          <w:rFonts w:ascii="Arial Unicode MS" w:eastAsia="Arial Unicode MS" w:hAnsi="Arial Unicode MS" w:cs="Arial Unicode MS" w:hint="eastAsia"/>
          <w:sz w:val="20"/>
          <w:szCs w:val="20"/>
        </w:rPr>
        <w:instrText> </w:instrText>
      </w:r>
      <w:r>
        <w:rPr>
          <w:rFonts w:ascii="Helvetica" w:hAnsi="Helvetica" w:cs="Helvetica"/>
          <w:sz w:val="20"/>
          <w:szCs w:val="20"/>
        </w:rPr>
        <w:instrText>0.63, 95% CI, 0.40-0.98), smokers (HR</w:instrText>
      </w:r>
      <w:r>
        <w:rPr>
          <w:rFonts w:ascii="Arial Unicode MS" w:eastAsia="Arial Unicode MS" w:hAnsi="Arial Unicode MS" w:cs="Arial Unicode MS" w:hint="eastAsia"/>
          <w:sz w:val="20"/>
          <w:szCs w:val="20"/>
        </w:rPr>
        <w:instrText> </w:instrText>
      </w:r>
      <w:r>
        <w:rPr>
          <w:rFonts w:ascii="Helvetica" w:hAnsi="Helvetica" w:cs="Helvetica"/>
          <w:sz w:val="20"/>
          <w:szCs w:val="20"/>
        </w:rPr>
        <w:instrText>=</w:instrText>
      </w:r>
      <w:r>
        <w:rPr>
          <w:rFonts w:ascii="Arial Unicode MS" w:eastAsia="Arial Unicode MS" w:hAnsi="Arial Unicode MS" w:cs="Arial Unicode MS" w:hint="eastAsia"/>
          <w:sz w:val="20"/>
          <w:szCs w:val="20"/>
        </w:rPr>
        <w:instrText> </w:instrText>
      </w:r>
      <w:r>
        <w:rPr>
          <w:rFonts w:ascii="Helvetica" w:hAnsi="Helvetica" w:cs="Helvetica"/>
          <w:sz w:val="20"/>
          <w:szCs w:val="20"/>
        </w:rPr>
        <w:instrText>0.73, 95% CI, 0.56-0.95), and those with a Del19 mutation (HR</w:instrText>
      </w:r>
      <w:r>
        <w:rPr>
          <w:rFonts w:ascii="Arial Unicode MS" w:eastAsia="Arial Unicode MS" w:hAnsi="Arial Unicode MS" w:cs="Arial Unicode MS" w:hint="eastAsia"/>
          <w:sz w:val="20"/>
          <w:szCs w:val="20"/>
        </w:rPr>
        <w:instrText> </w:instrText>
      </w:r>
      <w:r>
        <w:rPr>
          <w:rFonts w:ascii="Helvetica" w:hAnsi="Helvetica" w:cs="Helvetica"/>
          <w:sz w:val="20"/>
          <w:szCs w:val="20"/>
        </w:rPr>
        <w:instrText>=</w:instrText>
      </w:r>
      <w:r>
        <w:rPr>
          <w:rFonts w:ascii="Arial Unicode MS" w:eastAsia="Arial Unicode MS" w:hAnsi="Arial Unicode MS" w:cs="Arial Unicode MS" w:hint="eastAsia"/>
          <w:sz w:val="20"/>
          <w:szCs w:val="20"/>
        </w:rPr>
        <w:instrText> </w:instrText>
      </w:r>
      <w:r>
        <w:rPr>
          <w:rFonts w:ascii="Helvetica" w:hAnsi="Helvetica" w:cs="Helvetica"/>
          <w:sz w:val="20"/>
          <w:szCs w:val="20"/>
        </w:rPr>
        <w:instrText xml:space="preserve">0.69, 95% CI, 0.54-0.90); dacomitinib and afatinib showed no improvement. Toxicity profiles mostly overlapped in all the EGFR TKIs. Toxicity-related death was rare.\nCONCLUSIONS: Osimertinib was shown to be the best agent to achieve the longest PFS in NSCLC patients with an activating EGFR mutation. However, the benefit of osimertinib might be restricted to certain subgroups.","DOI":"10.1097/MD.0000000000011569","ISSN":"1536-5964","note":"PMID: 30045282\nPMCID: PMC6078751","shortTitle":"A network meta-analysis of nonsmall-cell lung cancer patients with an activating EGFR mutation","journalAbbreviation":"Medicine (Baltimore)","language":"eng","author":[{"family":"Lin","given":"Jia-Zhou"},{"family":"Ma","given":"Song-Kun"},{"family":"Wu","given":"Sheng-Xi"},{"family":"Yu","given":"Shu-Han"},{"family":"Li","given":"Xu-Yuan"}],"issued":{"date-parts":[["2018",7]]},"PMID":"30045282","PMCID":"PMC6078751"}}],"schema":"https://github.com/citation-style-language/schema/raw/master/csl-citation.json"} </w:instrText>
      </w:r>
      <w:r>
        <w:rPr>
          <w:rFonts w:ascii="Helvetica" w:hAnsi="Helvetica" w:cs="Helvetica"/>
          <w:sz w:val="20"/>
          <w:szCs w:val="20"/>
        </w:rPr>
        <w:fldChar w:fldCharType="separate"/>
      </w:r>
      <w:r>
        <w:rPr>
          <w:rFonts w:ascii="Helvetica" w:hAnsi="Helvetica" w:cs="Helvetica"/>
          <w:sz w:val="20"/>
          <w:szCs w:val="20"/>
        </w:rPr>
        <w:t>(33)</w:t>
      </w:r>
      <w:r>
        <w:rPr>
          <w:rFonts w:ascii="Helvetica" w:hAnsi="Helvetica" w:cs="Helvetica"/>
          <w:sz w:val="20"/>
          <w:szCs w:val="20"/>
        </w:rPr>
        <w:fldChar w:fldCharType="end"/>
      </w:r>
      <w:r>
        <w:rPr>
          <w:rFonts w:ascii="Helvetica" w:hAnsi="Helvetica" w:cs="Helvetica"/>
          <w:sz w:val="20"/>
          <w:szCs w:val="20"/>
        </w:rPr>
        <w:t>, con el objetivo de comparar la eficacia en términos de SLP y la toxicidad de osimertinib frente a los ITK de primera generación para el tratamiento de primera línea en el CPNM con mutación EGFR positiva.</w:t>
      </w:r>
    </w:p>
    <w:p w:rsidR="00DD1521" w:rsidRDefault="00DD1521">
      <w:pPr>
        <w:pStyle w:val="Normal1"/>
        <w:widowControl w:val="0"/>
        <w:spacing w:after="0" w:line="240" w:lineRule="auto"/>
        <w:jc w:val="both"/>
        <w:rPr>
          <w:rFonts w:ascii="Helvetica" w:hAnsi="Helvetica" w:cs="Helvetica"/>
          <w:sz w:val="20"/>
          <w:szCs w:val="20"/>
        </w:rPr>
      </w:pPr>
    </w:p>
    <w:p w:rsidR="00DD1521" w:rsidRDefault="00DD1521">
      <w:pPr>
        <w:pStyle w:val="Normal1"/>
        <w:widowControl w:val="0"/>
        <w:spacing w:after="0" w:line="240" w:lineRule="auto"/>
        <w:jc w:val="both"/>
        <w:rPr>
          <w:rFonts w:ascii="Helvetica" w:hAnsi="Helvetica" w:cs="Helvetica"/>
          <w:sz w:val="20"/>
          <w:szCs w:val="20"/>
        </w:rPr>
      </w:pPr>
      <w:r>
        <w:rPr>
          <w:rFonts w:ascii="Helvetica" w:hAnsi="Helvetica" w:cs="Helvetica"/>
          <w:sz w:val="20"/>
          <w:szCs w:val="20"/>
        </w:rPr>
        <w:t xml:space="preserve">En el metaanálisis se incluyeron un total de 11 ensayos clínicos, uno de ellos fase II y el resto fase III. Las características del diseño de los estudios incluidos no son especificadas, únicamente se exponen los brazos de tratamiento, número de pacientes en cada brazo en base a los subgrupos preespecificados (mediana de edad, sexo, raza, historia de tabaquismo, ECOG, histología de adenocarcinoma y presencia de mutación del exón 19 o del exón 21) y resultados obtenidos en cada ensayo clínico en términos de respuesta objetiva, SLP y SG. </w:t>
      </w:r>
    </w:p>
    <w:p w:rsidR="00DD1521" w:rsidRDefault="00DD1521">
      <w:pPr>
        <w:pStyle w:val="Normal1"/>
        <w:widowControl w:val="0"/>
        <w:spacing w:after="0" w:line="240" w:lineRule="auto"/>
        <w:jc w:val="both"/>
        <w:rPr>
          <w:rFonts w:ascii="Helvetica" w:hAnsi="Helvetica" w:cs="Helvetica"/>
          <w:sz w:val="20"/>
          <w:szCs w:val="20"/>
        </w:rPr>
      </w:pPr>
    </w:p>
    <w:p w:rsidR="00DD1521" w:rsidRDefault="00DD1521">
      <w:pPr>
        <w:pStyle w:val="Normal1"/>
        <w:widowControl w:val="0"/>
        <w:spacing w:after="0" w:line="240" w:lineRule="auto"/>
        <w:jc w:val="both"/>
        <w:rPr>
          <w:rFonts w:ascii="Helvetica" w:hAnsi="Helvetica" w:cs="Helvetica"/>
          <w:sz w:val="20"/>
          <w:szCs w:val="20"/>
        </w:rPr>
      </w:pPr>
      <w:r>
        <w:rPr>
          <w:rFonts w:ascii="Helvetica" w:hAnsi="Helvetica" w:cs="Helvetica"/>
          <w:sz w:val="20"/>
          <w:szCs w:val="20"/>
        </w:rPr>
        <w:t>Los autores consideraron a los ITK de primera generación (erlotinib y gefitinib) como un único comparador que denominaron SoC (standard of care) tras realizar un análisis inicial comparativo por separado entre ambos fármacos en términos de SLP en el que obtuvieron un HR de 0,94, (IC 95% 0,76-1,15), considerando ambos fármacos como equivalentes. La comparación entre osimertinib y SoC muestra consistencia con los resultados obtenidos en el ensayo FLAURA. Sin embargo, osimertinib no muestra superioridad al resto de ITKs evaluados individualmente (dacomitinib y afatinib).</w:t>
      </w:r>
    </w:p>
    <w:p w:rsidR="00DD1521" w:rsidRDefault="00DD1521">
      <w:pPr>
        <w:pStyle w:val="Normal1"/>
        <w:widowControl w:val="0"/>
        <w:spacing w:after="0" w:line="240" w:lineRule="auto"/>
        <w:jc w:val="both"/>
        <w:rPr>
          <w:rFonts w:ascii="Helvetica" w:hAnsi="Helvetica" w:cs="Helvetica"/>
          <w:sz w:val="20"/>
          <w:szCs w:val="20"/>
        </w:rPr>
      </w:pPr>
    </w:p>
    <w:p w:rsidR="00DD1521" w:rsidRDefault="00DD1521">
      <w:pPr>
        <w:pStyle w:val="Normal1"/>
        <w:widowControl w:val="0"/>
        <w:spacing w:after="0" w:line="240" w:lineRule="auto"/>
        <w:jc w:val="both"/>
        <w:rPr>
          <w:rFonts w:ascii="Arial" w:hAnsi="Arial" w:cs="Arial"/>
          <w:b/>
          <w:bCs/>
          <w:color w:val="FF0000"/>
          <w:sz w:val="20"/>
          <w:szCs w:val="20"/>
        </w:rPr>
      </w:pPr>
      <w:r>
        <w:rPr>
          <w:rFonts w:ascii="Helvetica" w:hAnsi="Helvetica" w:cs="Helvetica"/>
          <w:sz w:val="20"/>
          <w:szCs w:val="20"/>
        </w:rPr>
        <w:t>A pesar de la consistencia de la comparación de osimertinib frente a SoC, los resultados obtenidos en este estudio deben interpretarse con cautela debido a las importantes limitaciones metodológicas presentes en este trabajo.</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86" w:name="_Toc348931441"/>
      <w:bookmarkStart w:id="87" w:name="_Toc5793757"/>
      <w:r>
        <w:rPr>
          <w:rFonts w:ascii="Arial" w:hAnsi="Arial" w:cs="Arial"/>
          <w:sz w:val="20"/>
          <w:szCs w:val="20"/>
        </w:rPr>
        <w:lastRenderedPageBreak/>
        <w:t>5.3.b Comparaciones indirectas (CI)</w:t>
      </w:r>
      <w:bookmarkEnd w:id="86"/>
      <w:bookmarkEnd w:id="87"/>
    </w:p>
    <w:p w:rsidR="00DD1521" w:rsidRDefault="00DD1521">
      <w:pPr>
        <w:spacing w:after="0" w:line="240" w:lineRule="auto"/>
        <w:jc w:val="both"/>
        <w:rPr>
          <w:rFonts w:ascii="Arial" w:hAnsi="Arial" w:cs="Arial"/>
          <w:b/>
          <w:bCs/>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88" w:name="_Toc344026007"/>
      <w:bookmarkStart w:id="89" w:name="_Toc344396669"/>
      <w:bookmarkStart w:id="90" w:name="_Toc5793758"/>
      <w:r>
        <w:rPr>
          <w:rFonts w:ascii="Arial" w:hAnsi="Arial" w:cs="Arial"/>
          <w:sz w:val="20"/>
          <w:szCs w:val="20"/>
        </w:rPr>
        <w:t>5.3.b.1 Comparaciones indirectas de elaboración propia</w:t>
      </w:r>
      <w:bookmarkEnd w:id="88"/>
      <w:bookmarkEnd w:id="89"/>
      <w:bookmarkEnd w:id="90"/>
    </w:p>
    <w:p w:rsidR="00DD1521" w:rsidRDefault="00DD1521">
      <w:pPr>
        <w:spacing w:line="240" w:lineRule="auto"/>
        <w:jc w:val="both"/>
        <w:rPr>
          <w:rFonts w:ascii="Arial" w:hAnsi="Arial" w:cs="Arial"/>
          <w:sz w:val="20"/>
          <w:szCs w:val="20"/>
        </w:rPr>
      </w:pPr>
      <w:r>
        <w:rPr>
          <w:rFonts w:ascii="Arial" w:hAnsi="Arial" w:cs="Arial"/>
          <w:sz w:val="20"/>
          <w:szCs w:val="20"/>
        </w:rPr>
        <w:t>Ante la falta de comparaciones directas entre osimertinib y dacomitinib en primera línea de CPNM con mutaciones activadoras del EGFR, realizamos una comparación indirecta ajustada utilizando el método de Bucher.</w:t>
      </w:r>
    </w:p>
    <w:tbl>
      <w:tblPr>
        <w:tblW w:w="90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997"/>
        <w:gridCol w:w="1409"/>
        <w:gridCol w:w="2648"/>
        <w:gridCol w:w="2456"/>
      </w:tblGrid>
      <w:tr w:rsidR="00DD1521">
        <w:tc>
          <w:tcPr>
            <w:tcW w:w="9070" w:type="dxa"/>
            <w:gridSpan w:val="5"/>
            <w:shd w:val="clear" w:color="auto" w:fill="CCFFCC"/>
          </w:tcPr>
          <w:p w:rsidR="00DD1521" w:rsidRPr="006D30F5" w:rsidRDefault="00DD1521">
            <w:pPr>
              <w:spacing w:after="0" w:line="240" w:lineRule="auto"/>
              <w:rPr>
                <w:rFonts w:ascii="Arial" w:hAnsi="Arial" w:cs="Arial"/>
                <w:b/>
                <w:bCs/>
                <w:sz w:val="16"/>
                <w:szCs w:val="16"/>
              </w:rPr>
            </w:pPr>
            <w:r>
              <w:rPr>
                <w:rFonts w:ascii="Arial" w:hAnsi="Arial" w:cs="Arial"/>
                <w:b/>
                <w:bCs/>
                <w:sz w:val="16"/>
                <w:szCs w:val="16"/>
              </w:rPr>
              <w:t>Tabla 9. Comparación indirecta (Características de los estudios seleccionados)</w:t>
            </w:r>
          </w:p>
        </w:tc>
      </w:tr>
      <w:tr w:rsidR="00DD1521">
        <w:tc>
          <w:tcPr>
            <w:tcW w:w="1560" w:type="dxa"/>
            <w:shd w:val="clear" w:color="auto" w:fill="E6E6E6"/>
          </w:tcPr>
          <w:p w:rsidR="00DD1521" w:rsidRDefault="00DD1521">
            <w:pPr>
              <w:spacing w:after="0" w:line="240" w:lineRule="auto"/>
              <w:jc w:val="center"/>
              <w:rPr>
                <w:rFonts w:ascii="Arial" w:hAnsi="Arial" w:cs="Arial"/>
                <w:sz w:val="16"/>
                <w:szCs w:val="16"/>
              </w:rPr>
            </w:pPr>
          </w:p>
        </w:tc>
        <w:tc>
          <w:tcPr>
            <w:tcW w:w="997" w:type="dxa"/>
            <w:shd w:val="clear" w:color="auto" w:fill="E6E6E6"/>
          </w:tcPr>
          <w:p w:rsidR="00DD1521" w:rsidRDefault="00DD1521">
            <w:pPr>
              <w:spacing w:after="0" w:line="240" w:lineRule="auto"/>
              <w:jc w:val="center"/>
              <w:rPr>
                <w:rFonts w:ascii="Arial" w:hAnsi="Arial" w:cs="Arial"/>
                <w:sz w:val="16"/>
                <w:szCs w:val="16"/>
              </w:rPr>
            </w:pPr>
            <w:r>
              <w:rPr>
                <w:rFonts w:ascii="Arial" w:hAnsi="Arial" w:cs="Arial"/>
                <w:sz w:val="16"/>
                <w:szCs w:val="16"/>
              </w:rPr>
              <w:t>Diseño del estudio</w:t>
            </w:r>
          </w:p>
        </w:tc>
        <w:tc>
          <w:tcPr>
            <w:tcW w:w="1409" w:type="dxa"/>
            <w:shd w:val="clear" w:color="auto" w:fill="E6E6E6"/>
          </w:tcPr>
          <w:p w:rsidR="00DD1521" w:rsidRDefault="00DD1521">
            <w:pPr>
              <w:spacing w:after="0" w:line="240" w:lineRule="auto"/>
              <w:jc w:val="center"/>
              <w:rPr>
                <w:rFonts w:ascii="Arial" w:hAnsi="Arial" w:cs="Arial"/>
                <w:sz w:val="16"/>
                <w:szCs w:val="16"/>
              </w:rPr>
            </w:pPr>
            <w:r>
              <w:rPr>
                <w:rFonts w:ascii="Arial" w:hAnsi="Arial" w:cs="Arial"/>
                <w:sz w:val="16"/>
                <w:szCs w:val="16"/>
              </w:rPr>
              <w:t>Medidas de eficacia</w:t>
            </w:r>
          </w:p>
        </w:tc>
        <w:tc>
          <w:tcPr>
            <w:tcW w:w="2648" w:type="dxa"/>
            <w:shd w:val="clear" w:color="auto" w:fill="E6E6E6"/>
          </w:tcPr>
          <w:p w:rsidR="00DD1521" w:rsidRDefault="00DD1521">
            <w:pPr>
              <w:spacing w:after="0" w:line="240" w:lineRule="auto"/>
              <w:jc w:val="center"/>
              <w:rPr>
                <w:rFonts w:ascii="Arial" w:hAnsi="Arial" w:cs="Arial"/>
                <w:sz w:val="16"/>
                <w:szCs w:val="16"/>
              </w:rPr>
            </w:pPr>
            <w:r>
              <w:rPr>
                <w:rFonts w:ascii="Arial" w:hAnsi="Arial" w:cs="Arial"/>
                <w:sz w:val="16"/>
                <w:szCs w:val="16"/>
              </w:rPr>
              <w:t>Tipo Pacientes</w:t>
            </w:r>
          </w:p>
        </w:tc>
        <w:tc>
          <w:tcPr>
            <w:tcW w:w="2456" w:type="dxa"/>
            <w:shd w:val="clear" w:color="auto" w:fill="E6E6E6"/>
          </w:tcPr>
          <w:p w:rsidR="00DD1521" w:rsidRDefault="00DD1521">
            <w:pPr>
              <w:spacing w:after="0" w:line="240" w:lineRule="auto"/>
              <w:jc w:val="center"/>
              <w:rPr>
                <w:rFonts w:ascii="Arial" w:hAnsi="Arial" w:cs="Arial"/>
                <w:sz w:val="16"/>
                <w:szCs w:val="16"/>
              </w:rPr>
            </w:pPr>
            <w:r>
              <w:rPr>
                <w:rFonts w:ascii="Arial" w:hAnsi="Arial" w:cs="Arial"/>
                <w:sz w:val="16"/>
                <w:szCs w:val="16"/>
              </w:rPr>
              <w:t>Resultados grupo control</w:t>
            </w:r>
          </w:p>
        </w:tc>
      </w:tr>
      <w:tr w:rsidR="00DD1521">
        <w:tc>
          <w:tcPr>
            <w:tcW w:w="1560" w:type="dxa"/>
          </w:tcPr>
          <w:p w:rsidR="00DD1521" w:rsidRDefault="00DD1521">
            <w:pPr>
              <w:spacing w:after="0" w:line="240" w:lineRule="auto"/>
              <w:jc w:val="both"/>
              <w:rPr>
                <w:rFonts w:ascii="Arial" w:hAnsi="Arial" w:cs="Arial"/>
                <w:sz w:val="16"/>
                <w:szCs w:val="16"/>
              </w:rPr>
            </w:pPr>
            <w:r>
              <w:rPr>
                <w:rFonts w:ascii="Arial" w:hAnsi="Arial" w:cs="Arial"/>
                <w:sz w:val="16"/>
                <w:szCs w:val="16"/>
              </w:rPr>
              <w:t>FLAURA</w:t>
            </w:r>
          </w:p>
          <w:p w:rsidR="00DD1521" w:rsidRDefault="00DD1521">
            <w:pPr>
              <w:spacing w:after="0" w:line="240" w:lineRule="auto"/>
              <w:jc w:val="both"/>
              <w:rPr>
                <w:rFonts w:ascii="Arial" w:hAnsi="Arial" w:cs="Arial"/>
                <w:sz w:val="16"/>
                <w:szCs w:val="16"/>
              </w:rPr>
            </w:pPr>
            <w:r>
              <w:rPr>
                <w:rFonts w:ascii="Arial" w:hAnsi="Arial" w:cs="Arial"/>
                <w:sz w:val="16"/>
                <w:szCs w:val="16"/>
              </w:rPr>
              <w:t>Osimertinib vs Gefitinib/Erlotinib</w:t>
            </w:r>
          </w:p>
        </w:tc>
        <w:tc>
          <w:tcPr>
            <w:tcW w:w="997"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Doble ciego</w:t>
            </w:r>
          </w:p>
        </w:tc>
        <w:tc>
          <w:tcPr>
            <w:tcW w:w="1409"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Mediana de SLP</w:t>
            </w:r>
          </w:p>
        </w:tc>
        <w:tc>
          <w:tcPr>
            <w:tcW w:w="2648"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Mutación activadora EGFR</w:t>
            </w:r>
          </w:p>
          <w:p w:rsidR="00DD1521" w:rsidRDefault="00DD1521">
            <w:pPr>
              <w:spacing w:after="0" w:line="240" w:lineRule="auto"/>
              <w:jc w:val="center"/>
              <w:rPr>
                <w:rFonts w:ascii="Arial" w:hAnsi="Arial" w:cs="Arial"/>
                <w:sz w:val="16"/>
                <w:szCs w:val="16"/>
              </w:rPr>
            </w:pPr>
            <w:r>
              <w:rPr>
                <w:rFonts w:ascii="Arial" w:hAnsi="Arial" w:cs="Arial"/>
                <w:sz w:val="16"/>
                <w:szCs w:val="16"/>
              </w:rPr>
              <w:t>ECOG 0-1</w:t>
            </w:r>
          </w:p>
          <w:p w:rsidR="00DD1521" w:rsidRDefault="00DD1521">
            <w:pPr>
              <w:spacing w:after="0" w:line="240" w:lineRule="auto"/>
              <w:jc w:val="center"/>
              <w:rPr>
                <w:rFonts w:ascii="Arial" w:hAnsi="Arial" w:cs="Arial"/>
                <w:sz w:val="16"/>
                <w:szCs w:val="16"/>
              </w:rPr>
            </w:pPr>
            <w:r>
              <w:rPr>
                <w:rFonts w:ascii="Arial" w:hAnsi="Arial" w:cs="Arial"/>
                <w:sz w:val="16"/>
                <w:szCs w:val="16"/>
              </w:rPr>
              <w:t>Sin tratamiento previo</w:t>
            </w:r>
          </w:p>
          <w:p w:rsidR="00DD1521" w:rsidRDefault="00DD1521">
            <w:pPr>
              <w:spacing w:after="0" w:line="240" w:lineRule="auto"/>
              <w:jc w:val="center"/>
              <w:rPr>
                <w:rFonts w:ascii="Arial" w:hAnsi="Arial" w:cs="Arial"/>
                <w:sz w:val="16"/>
                <w:szCs w:val="16"/>
              </w:rPr>
            </w:pPr>
            <w:r>
              <w:rPr>
                <w:rFonts w:ascii="Arial" w:hAnsi="Arial" w:cs="Arial"/>
                <w:sz w:val="16"/>
                <w:szCs w:val="16"/>
              </w:rPr>
              <w:t>Mediana edad 64 años</w:t>
            </w:r>
          </w:p>
        </w:tc>
        <w:tc>
          <w:tcPr>
            <w:tcW w:w="2456"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 xml:space="preserve">9,7 meses </w:t>
            </w:r>
          </w:p>
        </w:tc>
      </w:tr>
      <w:tr w:rsidR="00DD1521">
        <w:tc>
          <w:tcPr>
            <w:tcW w:w="1560" w:type="dxa"/>
          </w:tcPr>
          <w:p w:rsidR="00DD1521" w:rsidRDefault="00DD1521">
            <w:pPr>
              <w:spacing w:after="0" w:line="240" w:lineRule="auto"/>
              <w:jc w:val="both"/>
              <w:rPr>
                <w:rFonts w:ascii="Arial" w:hAnsi="Arial" w:cs="Arial"/>
                <w:sz w:val="16"/>
                <w:szCs w:val="16"/>
              </w:rPr>
            </w:pPr>
            <w:r>
              <w:rPr>
                <w:rFonts w:ascii="Arial" w:hAnsi="Arial" w:cs="Arial"/>
                <w:sz w:val="16"/>
                <w:szCs w:val="16"/>
              </w:rPr>
              <w:t>ARCHER 1050</w:t>
            </w:r>
          </w:p>
          <w:p w:rsidR="00DD1521" w:rsidRDefault="00DD1521">
            <w:pPr>
              <w:spacing w:after="0" w:line="240" w:lineRule="auto"/>
              <w:jc w:val="both"/>
              <w:rPr>
                <w:rFonts w:ascii="Arial" w:hAnsi="Arial" w:cs="Arial"/>
                <w:sz w:val="16"/>
                <w:szCs w:val="16"/>
              </w:rPr>
            </w:pPr>
            <w:r>
              <w:rPr>
                <w:rFonts w:ascii="Arial" w:hAnsi="Arial" w:cs="Arial"/>
                <w:sz w:val="16"/>
                <w:szCs w:val="16"/>
              </w:rPr>
              <w:t>Dacomitinib vs Gefitinib</w:t>
            </w:r>
          </w:p>
        </w:tc>
        <w:tc>
          <w:tcPr>
            <w:tcW w:w="997"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Abierto</w:t>
            </w:r>
          </w:p>
        </w:tc>
        <w:tc>
          <w:tcPr>
            <w:tcW w:w="1409"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Mediana de SLP</w:t>
            </w:r>
          </w:p>
        </w:tc>
        <w:tc>
          <w:tcPr>
            <w:tcW w:w="2648"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Mutación activadora EGFR</w:t>
            </w:r>
          </w:p>
          <w:p w:rsidR="00DD1521" w:rsidRDefault="00DD1521">
            <w:pPr>
              <w:spacing w:after="0" w:line="240" w:lineRule="auto"/>
              <w:jc w:val="center"/>
              <w:rPr>
                <w:rFonts w:ascii="Arial" w:hAnsi="Arial" w:cs="Arial"/>
                <w:sz w:val="16"/>
                <w:szCs w:val="16"/>
              </w:rPr>
            </w:pPr>
            <w:r>
              <w:rPr>
                <w:rFonts w:ascii="Arial" w:hAnsi="Arial" w:cs="Arial"/>
                <w:sz w:val="16"/>
                <w:szCs w:val="16"/>
              </w:rPr>
              <w:t>ECOG 0-1</w:t>
            </w:r>
          </w:p>
          <w:p w:rsidR="00DD1521" w:rsidRDefault="00DD1521">
            <w:pPr>
              <w:spacing w:after="0" w:line="240" w:lineRule="auto"/>
              <w:jc w:val="center"/>
              <w:rPr>
                <w:rFonts w:ascii="Arial" w:hAnsi="Arial" w:cs="Arial"/>
                <w:sz w:val="16"/>
                <w:szCs w:val="16"/>
              </w:rPr>
            </w:pPr>
            <w:r>
              <w:rPr>
                <w:rFonts w:ascii="Arial" w:hAnsi="Arial" w:cs="Arial"/>
                <w:sz w:val="16"/>
                <w:szCs w:val="16"/>
              </w:rPr>
              <w:t>Sin tratamiento previo</w:t>
            </w:r>
          </w:p>
          <w:p w:rsidR="00DD1521" w:rsidRDefault="00DD1521">
            <w:pPr>
              <w:spacing w:after="0" w:line="240" w:lineRule="auto"/>
              <w:jc w:val="center"/>
              <w:rPr>
                <w:rFonts w:ascii="Arial" w:hAnsi="Arial" w:cs="Arial"/>
                <w:sz w:val="16"/>
                <w:szCs w:val="16"/>
              </w:rPr>
            </w:pPr>
            <w:r>
              <w:rPr>
                <w:rFonts w:ascii="Arial" w:hAnsi="Arial" w:cs="Arial"/>
                <w:sz w:val="16"/>
                <w:szCs w:val="16"/>
              </w:rPr>
              <w:t>Mediana edad 62 años</w:t>
            </w:r>
          </w:p>
        </w:tc>
        <w:tc>
          <w:tcPr>
            <w:tcW w:w="2456"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9,2 meses</w:t>
            </w:r>
          </w:p>
        </w:tc>
      </w:tr>
    </w:tbl>
    <w:p w:rsidR="00DD1521" w:rsidRDefault="00DD1521">
      <w:pPr>
        <w:spacing w:after="0" w:line="240" w:lineRule="auto"/>
        <w:rPr>
          <w:rFonts w:ascii="Arial" w:hAnsi="Arial" w:cs="Arial"/>
        </w:rPr>
      </w:pPr>
    </w:p>
    <w:p w:rsidR="00DD1521" w:rsidRDefault="00DD1521">
      <w:pPr>
        <w:spacing w:after="0" w:line="240" w:lineRule="auto"/>
        <w:rPr>
          <w:rFonts w:ascii="Arial" w:hAnsi="Arial" w:cs="Arial"/>
        </w:rPr>
      </w:pPr>
    </w:p>
    <w:tbl>
      <w:tblPr>
        <w:tblW w:w="89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1900"/>
        <w:gridCol w:w="2160"/>
        <w:gridCol w:w="1353"/>
        <w:gridCol w:w="267"/>
        <w:gridCol w:w="1440"/>
      </w:tblGrid>
      <w:tr w:rsidR="00DD1521">
        <w:tc>
          <w:tcPr>
            <w:tcW w:w="8928" w:type="dxa"/>
            <w:gridSpan w:val="6"/>
            <w:shd w:val="clear" w:color="auto" w:fill="CCFFCC"/>
          </w:tcPr>
          <w:p w:rsidR="00DD1521" w:rsidRDefault="00DD1521">
            <w:pPr>
              <w:spacing w:after="0" w:line="240" w:lineRule="auto"/>
              <w:rPr>
                <w:rFonts w:ascii="Arial" w:hAnsi="Arial" w:cs="Arial"/>
                <w:b/>
                <w:bCs/>
                <w:sz w:val="16"/>
                <w:szCs w:val="16"/>
              </w:rPr>
            </w:pPr>
            <w:r>
              <w:rPr>
                <w:rFonts w:ascii="Arial" w:hAnsi="Arial" w:cs="Arial"/>
                <w:b/>
                <w:bCs/>
                <w:sz w:val="16"/>
                <w:szCs w:val="16"/>
              </w:rPr>
              <w:t>Tabla 10. COMPARACIÓN INDIRECTA PROPIA (Método Bucher, Calculadora Wells 2009)</w:t>
            </w:r>
          </w:p>
        </w:tc>
      </w:tr>
      <w:tr w:rsidR="00DD1521">
        <w:tc>
          <w:tcPr>
            <w:tcW w:w="1808" w:type="dxa"/>
            <w:shd w:val="clear" w:color="auto" w:fill="E6E6E6"/>
          </w:tcPr>
          <w:p w:rsidR="00DD1521" w:rsidRDefault="00DD1521">
            <w:pPr>
              <w:spacing w:after="0" w:line="240" w:lineRule="auto"/>
              <w:jc w:val="center"/>
              <w:rPr>
                <w:rFonts w:ascii="Arial" w:hAnsi="Arial" w:cs="Arial"/>
                <w:sz w:val="16"/>
                <w:szCs w:val="16"/>
              </w:rPr>
            </w:pPr>
          </w:p>
        </w:tc>
        <w:tc>
          <w:tcPr>
            <w:tcW w:w="1900" w:type="dxa"/>
            <w:shd w:val="clear" w:color="auto" w:fill="E6E6E6"/>
          </w:tcPr>
          <w:p w:rsidR="00DD1521" w:rsidRDefault="00DD1521">
            <w:pPr>
              <w:spacing w:after="0" w:line="240" w:lineRule="auto"/>
              <w:jc w:val="center"/>
              <w:rPr>
                <w:rFonts w:ascii="Arial" w:hAnsi="Arial" w:cs="Arial"/>
                <w:sz w:val="16"/>
                <w:szCs w:val="16"/>
                <w:lang w:val="pt-BR"/>
              </w:rPr>
            </w:pPr>
            <w:r>
              <w:rPr>
                <w:rFonts w:ascii="Arial" w:hAnsi="Arial" w:cs="Arial"/>
                <w:sz w:val="16"/>
                <w:szCs w:val="16"/>
                <w:lang w:val="pt-BR"/>
              </w:rPr>
              <w:t>Mediana de SLP CRI fármaco activo</w:t>
            </w:r>
          </w:p>
        </w:tc>
        <w:tc>
          <w:tcPr>
            <w:tcW w:w="2160" w:type="dxa"/>
            <w:shd w:val="clear" w:color="auto" w:fill="E6E6E6"/>
          </w:tcPr>
          <w:p w:rsidR="00DD1521" w:rsidRDefault="00DD1521">
            <w:pPr>
              <w:spacing w:after="0" w:line="240" w:lineRule="auto"/>
              <w:jc w:val="center"/>
              <w:rPr>
                <w:rFonts w:ascii="Arial" w:hAnsi="Arial" w:cs="Arial"/>
                <w:sz w:val="16"/>
                <w:szCs w:val="16"/>
                <w:lang w:val="pt-BR"/>
              </w:rPr>
            </w:pPr>
            <w:r>
              <w:rPr>
                <w:rFonts w:ascii="Arial" w:hAnsi="Arial" w:cs="Arial"/>
                <w:sz w:val="16"/>
                <w:szCs w:val="16"/>
                <w:lang w:val="pt-BR"/>
              </w:rPr>
              <w:t>Mediana de SLP CRI fármaco control</w:t>
            </w:r>
          </w:p>
        </w:tc>
        <w:tc>
          <w:tcPr>
            <w:tcW w:w="1620" w:type="dxa"/>
            <w:gridSpan w:val="2"/>
            <w:shd w:val="clear" w:color="auto" w:fill="E6E6E6"/>
          </w:tcPr>
          <w:p w:rsidR="00DD1521" w:rsidRDefault="00DD1521">
            <w:pPr>
              <w:spacing w:after="0" w:line="240" w:lineRule="auto"/>
              <w:jc w:val="center"/>
              <w:rPr>
                <w:rFonts w:ascii="Arial" w:hAnsi="Arial" w:cs="Arial"/>
                <w:sz w:val="16"/>
                <w:szCs w:val="16"/>
                <w:lang w:val="de-DE"/>
              </w:rPr>
            </w:pPr>
            <w:r>
              <w:rPr>
                <w:rFonts w:ascii="Arial" w:hAnsi="Arial" w:cs="Arial"/>
                <w:sz w:val="16"/>
                <w:szCs w:val="16"/>
                <w:lang w:val="de-DE"/>
              </w:rPr>
              <w:t>HR (IC 95%)</w:t>
            </w:r>
          </w:p>
        </w:tc>
        <w:tc>
          <w:tcPr>
            <w:tcW w:w="1440" w:type="dxa"/>
            <w:shd w:val="clear" w:color="auto" w:fill="E6E6E6"/>
          </w:tcPr>
          <w:p w:rsidR="00DD1521" w:rsidRDefault="00DD1521">
            <w:pPr>
              <w:spacing w:after="0" w:line="240" w:lineRule="auto"/>
              <w:jc w:val="center"/>
              <w:rPr>
                <w:rFonts w:ascii="Arial" w:hAnsi="Arial" w:cs="Arial"/>
                <w:sz w:val="16"/>
                <w:szCs w:val="16"/>
              </w:rPr>
            </w:pPr>
            <w:r>
              <w:rPr>
                <w:rFonts w:ascii="Arial" w:hAnsi="Arial" w:cs="Arial"/>
                <w:sz w:val="16"/>
                <w:szCs w:val="16"/>
              </w:rPr>
              <w:t>p</w:t>
            </w:r>
          </w:p>
        </w:tc>
      </w:tr>
      <w:tr w:rsidR="00DD1521">
        <w:tc>
          <w:tcPr>
            <w:tcW w:w="1808" w:type="dxa"/>
          </w:tcPr>
          <w:p w:rsidR="00DD1521" w:rsidRDefault="00DD1521">
            <w:pPr>
              <w:spacing w:after="0" w:line="240" w:lineRule="auto"/>
              <w:jc w:val="both"/>
              <w:rPr>
                <w:rFonts w:ascii="Arial" w:hAnsi="Arial" w:cs="Arial"/>
                <w:sz w:val="16"/>
                <w:szCs w:val="16"/>
              </w:rPr>
            </w:pPr>
            <w:r>
              <w:rPr>
                <w:rFonts w:ascii="Arial" w:hAnsi="Arial" w:cs="Arial"/>
                <w:sz w:val="16"/>
                <w:szCs w:val="16"/>
              </w:rPr>
              <w:t>FLAURA</w:t>
            </w:r>
          </w:p>
          <w:p w:rsidR="00DD1521" w:rsidRDefault="00DD1521">
            <w:pPr>
              <w:spacing w:after="0" w:line="240" w:lineRule="auto"/>
              <w:jc w:val="both"/>
              <w:rPr>
                <w:rFonts w:ascii="Arial" w:hAnsi="Arial" w:cs="Arial"/>
                <w:sz w:val="16"/>
                <w:szCs w:val="16"/>
              </w:rPr>
            </w:pPr>
            <w:r>
              <w:rPr>
                <w:rFonts w:ascii="Arial" w:hAnsi="Arial" w:cs="Arial"/>
                <w:sz w:val="16"/>
                <w:szCs w:val="16"/>
              </w:rPr>
              <w:t>Osimertinib vs Gefitinib/Erlotinib</w:t>
            </w:r>
          </w:p>
        </w:tc>
        <w:tc>
          <w:tcPr>
            <w:tcW w:w="1900"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17,7 meses</w:t>
            </w:r>
          </w:p>
        </w:tc>
        <w:tc>
          <w:tcPr>
            <w:tcW w:w="2160"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9,7 meses</w:t>
            </w:r>
          </w:p>
        </w:tc>
        <w:tc>
          <w:tcPr>
            <w:tcW w:w="1620" w:type="dxa"/>
            <w:gridSpan w:val="2"/>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0,45 (0,36 a 0,57)</w:t>
            </w:r>
          </w:p>
        </w:tc>
        <w:tc>
          <w:tcPr>
            <w:tcW w:w="1440"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&lt;0,001</w:t>
            </w:r>
          </w:p>
        </w:tc>
      </w:tr>
      <w:tr w:rsidR="00DD1521">
        <w:tc>
          <w:tcPr>
            <w:tcW w:w="1808" w:type="dxa"/>
          </w:tcPr>
          <w:p w:rsidR="00DD1521" w:rsidRDefault="00DD1521">
            <w:pPr>
              <w:spacing w:after="0" w:line="240" w:lineRule="auto"/>
              <w:jc w:val="both"/>
              <w:rPr>
                <w:rFonts w:ascii="Arial" w:hAnsi="Arial" w:cs="Arial"/>
                <w:sz w:val="16"/>
                <w:szCs w:val="16"/>
              </w:rPr>
            </w:pPr>
            <w:r>
              <w:rPr>
                <w:rFonts w:ascii="Arial" w:hAnsi="Arial" w:cs="Arial"/>
                <w:sz w:val="16"/>
                <w:szCs w:val="16"/>
              </w:rPr>
              <w:t>ARCHER 1050</w:t>
            </w:r>
          </w:p>
          <w:p w:rsidR="00DD1521" w:rsidRDefault="00DD1521">
            <w:pPr>
              <w:spacing w:after="0" w:line="240" w:lineRule="auto"/>
              <w:jc w:val="both"/>
              <w:rPr>
                <w:rFonts w:ascii="Arial" w:hAnsi="Arial" w:cs="Arial"/>
                <w:sz w:val="16"/>
                <w:szCs w:val="16"/>
              </w:rPr>
            </w:pPr>
            <w:r>
              <w:rPr>
                <w:rFonts w:ascii="Arial" w:hAnsi="Arial" w:cs="Arial"/>
                <w:sz w:val="16"/>
                <w:szCs w:val="16"/>
              </w:rPr>
              <w:t>Dacomitinib vs Gefitinib</w:t>
            </w:r>
          </w:p>
        </w:tc>
        <w:tc>
          <w:tcPr>
            <w:tcW w:w="1900"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14,7 meses</w:t>
            </w:r>
          </w:p>
        </w:tc>
        <w:tc>
          <w:tcPr>
            <w:tcW w:w="2160"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9,2 meses</w:t>
            </w:r>
          </w:p>
        </w:tc>
        <w:tc>
          <w:tcPr>
            <w:tcW w:w="1620" w:type="dxa"/>
            <w:gridSpan w:val="2"/>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0,59 (0,47 a 0,74)</w:t>
            </w:r>
          </w:p>
        </w:tc>
        <w:tc>
          <w:tcPr>
            <w:tcW w:w="1440"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&lt;0,0001</w:t>
            </w:r>
          </w:p>
        </w:tc>
      </w:tr>
      <w:tr w:rsidR="00DD1521">
        <w:tc>
          <w:tcPr>
            <w:tcW w:w="8928" w:type="dxa"/>
            <w:gridSpan w:val="6"/>
            <w:shd w:val="clear" w:color="auto" w:fill="E6E6E6"/>
          </w:tcPr>
          <w:p w:rsidR="00DD1521" w:rsidRDefault="00DD1521">
            <w:pPr>
              <w:spacing w:after="0" w:line="240" w:lineRule="auto"/>
              <w:jc w:val="both"/>
              <w:rPr>
                <w:rFonts w:ascii="Arial" w:hAnsi="Arial" w:cs="Arial"/>
                <w:sz w:val="16"/>
                <w:szCs w:val="16"/>
              </w:rPr>
            </w:pPr>
            <w:r>
              <w:rPr>
                <w:rFonts w:ascii="Arial" w:hAnsi="Arial" w:cs="Arial"/>
                <w:sz w:val="16"/>
                <w:szCs w:val="16"/>
              </w:rPr>
              <w:t>Comparación indirecta ajustada</w:t>
            </w:r>
          </w:p>
        </w:tc>
      </w:tr>
      <w:tr w:rsidR="00DD1521">
        <w:tc>
          <w:tcPr>
            <w:tcW w:w="1808" w:type="dxa"/>
          </w:tcPr>
          <w:p w:rsidR="00DD1521" w:rsidRDefault="00DD1521">
            <w:pPr>
              <w:spacing w:after="0" w:line="240" w:lineRule="auto"/>
              <w:jc w:val="both"/>
              <w:rPr>
                <w:rFonts w:ascii="Arial" w:hAnsi="Arial" w:cs="Arial"/>
                <w:sz w:val="16"/>
                <w:szCs w:val="16"/>
              </w:rPr>
            </w:pPr>
          </w:p>
        </w:tc>
        <w:tc>
          <w:tcPr>
            <w:tcW w:w="5413" w:type="dxa"/>
            <w:gridSpan w:val="3"/>
          </w:tcPr>
          <w:p w:rsidR="00DD1521" w:rsidRDefault="00DD1521">
            <w:pPr>
              <w:spacing w:after="0" w:line="240" w:lineRule="auto"/>
              <w:jc w:val="center"/>
              <w:rPr>
                <w:rFonts w:ascii="Arial" w:hAnsi="Arial" w:cs="Arial"/>
                <w:sz w:val="16"/>
                <w:szCs w:val="16"/>
                <w:lang w:val="de-DE"/>
              </w:rPr>
            </w:pPr>
            <w:r>
              <w:rPr>
                <w:rFonts w:ascii="Arial" w:hAnsi="Arial" w:cs="Arial"/>
                <w:sz w:val="16"/>
                <w:szCs w:val="16"/>
                <w:lang w:val="de-DE"/>
              </w:rPr>
              <w:t>HR (IC 95%)</w:t>
            </w:r>
          </w:p>
        </w:tc>
        <w:tc>
          <w:tcPr>
            <w:tcW w:w="1707" w:type="dxa"/>
            <w:gridSpan w:val="2"/>
          </w:tcPr>
          <w:p w:rsidR="00DD1521" w:rsidRDefault="00DD1521">
            <w:pPr>
              <w:spacing w:after="0" w:line="240" w:lineRule="auto"/>
              <w:jc w:val="center"/>
              <w:rPr>
                <w:rFonts w:ascii="Arial" w:hAnsi="Arial" w:cs="Arial"/>
                <w:sz w:val="16"/>
                <w:szCs w:val="16"/>
              </w:rPr>
            </w:pPr>
            <w:r>
              <w:rPr>
                <w:rFonts w:ascii="Arial" w:hAnsi="Arial" w:cs="Arial"/>
                <w:sz w:val="16"/>
                <w:szCs w:val="16"/>
              </w:rPr>
              <w:t>p</w:t>
            </w:r>
          </w:p>
        </w:tc>
      </w:tr>
      <w:tr w:rsidR="00DD1521">
        <w:tc>
          <w:tcPr>
            <w:tcW w:w="1808" w:type="dxa"/>
          </w:tcPr>
          <w:p w:rsidR="00DD1521" w:rsidRDefault="00DD1521">
            <w:pPr>
              <w:spacing w:after="0" w:line="240" w:lineRule="auto"/>
              <w:jc w:val="both"/>
              <w:rPr>
                <w:rFonts w:ascii="Arial" w:hAnsi="Arial" w:cs="Arial"/>
                <w:sz w:val="16"/>
                <w:szCs w:val="16"/>
                <w:lang w:val="sv-SE"/>
              </w:rPr>
            </w:pPr>
            <w:r>
              <w:rPr>
                <w:rFonts w:ascii="Arial" w:hAnsi="Arial" w:cs="Arial"/>
                <w:sz w:val="16"/>
                <w:szCs w:val="16"/>
                <w:lang w:val="sv-SE"/>
              </w:rPr>
              <w:t>SLP</w:t>
            </w:r>
          </w:p>
          <w:p w:rsidR="00DD1521" w:rsidRDefault="00DD1521">
            <w:pPr>
              <w:spacing w:after="0" w:line="240" w:lineRule="auto"/>
              <w:jc w:val="both"/>
              <w:rPr>
                <w:rFonts w:ascii="Arial" w:hAnsi="Arial" w:cs="Arial"/>
                <w:sz w:val="16"/>
                <w:szCs w:val="16"/>
                <w:lang w:val="sv-SE"/>
              </w:rPr>
            </w:pPr>
            <w:r>
              <w:rPr>
                <w:rFonts w:ascii="Arial" w:hAnsi="Arial" w:cs="Arial"/>
                <w:sz w:val="16"/>
                <w:szCs w:val="16"/>
                <w:lang w:val="sv-SE"/>
              </w:rPr>
              <w:t>Osimertinib vs Dacomitinib</w:t>
            </w:r>
          </w:p>
        </w:tc>
        <w:tc>
          <w:tcPr>
            <w:tcW w:w="5413" w:type="dxa"/>
            <w:gridSpan w:val="3"/>
            <w:vAlign w:val="center"/>
          </w:tcPr>
          <w:p w:rsidR="00DD1521" w:rsidRDefault="00DD1521">
            <w:pPr>
              <w:spacing w:after="0" w:line="240" w:lineRule="auto"/>
              <w:jc w:val="center"/>
              <w:rPr>
                <w:rFonts w:ascii="Arial" w:hAnsi="Arial" w:cs="Arial"/>
                <w:sz w:val="16"/>
                <w:szCs w:val="16"/>
                <w:lang w:val="sv-SE"/>
              </w:rPr>
            </w:pPr>
            <w:r>
              <w:rPr>
                <w:rFonts w:ascii="Arial" w:hAnsi="Arial" w:cs="Arial"/>
                <w:sz w:val="16"/>
                <w:szCs w:val="16"/>
                <w:lang w:val="sv-SE"/>
              </w:rPr>
              <w:t>0,76 (0,55 a 1,05)</w:t>
            </w:r>
          </w:p>
        </w:tc>
        <w:tc>
          <w:tcPr>
            <w:tcW w:w="1707" w:type="dxa"/>
            <w:gridSpan w:val="2"/>
            <w:vAlign w:val="center"/>
          </w:tcPr>
          <w:p w:rsidR="00DD1521" w:rsidRDefault="00DD1521">
            <w:pPr>
              <w:spacing w:after="0" w:line="240" w:lineRule="auto"/>
              <w:jc w:val="center"/>
              <w:rPr>
                <w:rFonts w:ascii="Arial" w:hAnsi="Arial" w:cs="Arial"/>
                <w:sz w:val="16"/>
                <w:szCs w:val="16"/>
                <w:lang w:val="sv-SE"/>
              </w:rPr>
            </w:pPr>
            <w:r>
              <w:rPr>
                <w:rFonts w:ascii="Arial" w:hAnsi="Arial" w:cs="Arial"/>
                <w:sz w:val="16"/>
                <w:szCs w:val="16"/>
                <w:lang w:val="sv-SE"/>
              </w:rPr>
              <w:t>ns</w:t>
            </w:r>
          </w:p>
        </w:tc>
      </w:tr>
      <w:tr w:rsidR="00DD1521" w:rsidRPr="00D048CE">
        <w:trPr>
          <w:trHeight w:val="230"/>
        </w:trPr>
        <w:tc>
          <w:tcPr>
            <w:tcW w:w="8890" w:type="dxa"/>
            <w:gridSpan w:val="6"/>
            <w:shd w:val="clear" w:color="auto" w:fill="E6E6E6"/>
            <w:tcMar>
              <w:top w:w="0" w:type="dxa"/>
              <w:left w:w="70" w:type="dxa"/>
              <w:bottom w:w="0" w:type="dxa"/>
              <w:right w:w="70" w:type="dxa"/>
            </w:tcMar>
          </w:tcPr>
          <w:p w:rsidR="00DD1521" w:rsidRPr="00AD7CD1" w:rsidRDefault="00DD1521">
            <w:pPr>
              <w:spacing w:after="0" w:line="240" w:lineRule="auto"/>
              <w:jc w:val="both"/>
              <w:rPr>
                <w:rFonts w:ascii="Arial" w:hAnsi="Arial" w:cs="Arial"/>
                <w:sz w:val="16"/>
                <w:szCs w:val="16"/>
                <w:lang w:val="en-US"/>
              </w:rPr>
            </w:pPr>
            <w:r w:rsidRPr="00B85537">
              <w:rPr>
                <w:rFonts w:ascii="Arial" w:hAnsi="Arial" w:cs="Arial"/>
                <w:sz w:val="16"/>
                <w:szCs w:val="16"/>
              </w:rPr>
              <w:t xml:space="preserve">-Software ITC Wells GA, Sultan SA, Chen L, Khan M, Coyle D.Indirect treatment comparison [computer program]. </w:t>
            </w:r>
            <w:r>
              <w:rPr>
                <w:rFonts w:ascii="Arial" w:hAnsi="Arial" w:cs="Arial"/>
                <w:sz w:val="16"/>
                <w:szCs w:val="16"/>
                <w:lang w:val="en-GB"/>
              </w:rPr>
              <w:t xml:space="preserve">Version 1.0. </w:t>
            </w:r>
            <w:r>
              <w:rPr>
                <w:rFonts w:ascii="Arial" w:hAnsi="Arial" w:cs="Arial"/>
                <w:sz w:val="16"/>
                <w:szCs w:val="16"/>
                <w:lang w:val="en-US"/>
              </w:rPr>
              <w:t>Ottawa: Canadian Agency for Drugs and Technologies in Health; 2009.</w:t>
            </w:r>
          </w:p>
        </w:tc>
      </w:tr>
    </w:tbl>
    <w:p w:rsidR="00DD1521" w:rsidRPr="00AD7CD1" w:rsidRDefault="00DD1521">
      <w:pPr>
        <w:spacing w:after="0" w:line="240" w:lineRule="auto"/>
        <w:jc w:val="both"/>
        <w:rPr>
          <w:rFonts w:ascii="Arial" w:hAnsi="Arial" w:cs="Arial"/>
          <w:sz w:val="20"/>
          <w:szCs w:val="20"/>
          <w:lang w:val="en-US"/>
        </w:rPr>
      </w:pPr>
    </w:p>
    <w:p w:rsidR="00DD1521" w:rsidRDefault="00DD1521">
      <w:pPr>
        <w:spacing w:after="0" w:line="240" w:lineRule="auto"/>
        <w:jc w:val="both"/>
        <w:rPr>
          <w:rFonts w:ascii="Arial" w:hAnsi="Arial" w:cs="Arial"/>
          <w:sz w:val="20"/>
          <w:szCs w:val="20"/>
        </w:rPr>
      </w:pPr>
      <w:r>
        <w:rPr>
          <w:rFonts w:ascii="Arial" w:hAnsi="Arial" w:cs="Arial"/>
          <w:sz w:val="20"/>
          <w:szCs w:val="20"/>
        </w:rPr>
        <w:t>Al realizar la comparación indirecta ajustada por el método de Bucher entre osimertinib y dacomitinib se calcula un HR (IC95%) de 0,76 (0,55 – 1,05), sin diferencias estadísticamente significativas entre los dos fármacos en cuanto a SLP. Si realizamos la misma comparación con los resultados registrados por el investigador el HR (IC95%) calculado es similar: 0,74 (0,54 – 1,01).</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Style w:val="Ttulo2"/>
        <w:pBdr>
          <w:top w:val="single" w:sz="4" w:space="0" w:color="auto"/>
          <w:left w:val="single" w:sz="4" w:space="4" w:color="auto"/>
          <w:bottom w:val="single" w:sz="4" w:space="1" w:color="auto"/>
          <w:right w:val="single" w:sz="4" w:space="4" w:color="auto"/>
        </w:pBdr>
        <w:shd w:val="clear" w:color="auto" w:fill="D9D9D9"/>
        <w:spacing w:after="0" w:line="240" w:lineRule="auto"/>
        <w:rPr>
          <w:rFonts w:ascii="Arial" w:hAnsi="Arial" w:cs="Arial"/>
          <w:i w:val="0"/>
          <w:iCs w:val="0"/>
          <w:sz w:val="20"/>
          <w:szCs w:val="20"/>
        </w:rPr>
      </w:pPr>
      <w:bookmarkStart w:id="91" w:name="_Toc344399649"/>
      <w:bookmarkStart w:id="92" w:name="_Toc348931376"/>
      <w:bookmarkStart w:id="93" w:name="_Toc5793759"/>
      <w:r>
        <w:rPr>
          <w:rFonts w:ascii="Arial" w:hAnsi="Arial" w:cs="Arial"/>
          <w:i w:val="0"/>
          <w:iCs w:val="0"/>
          <w:sz w:val="20"/>
          <w:szCs w:val="20"/>
        </w:rPr>
        <w:t>5.4 Evaluación de fuentes secundarias</w:t>
      </w:r>
      <w:bookmarkEnd w:id="91"/>
      <w:bookmarkEnd w:id="92"/>
      <w:bookmarkEnd w:id="93"/>
      <w:r>
        <w:rPr>
          <w:rFonts w:ascii="Arial" w:hAnsi="Arial" w:cs="Arial"/>
          <w:i w:val="0"/>
          <w:iCs w:val="0"/>
          <w:sz w:val="20"/>
          <w:szCs w:val="20"/>
        </w:rPr>
        <w:t xml:space="preserve"> </w:t>
      </w:r>
    </w:p>
    <w:p w:rsidR="00DD1521" w:rsidRDefault="00DD1521">
      <w:pPr>
        <w:spacing w:after="0" w:line="240" w:lineRule="auto"/>
        <w:jc w:val="both"/>
        <w:rPr>
          <w:rFonts w:ascii="Arial" w:hAnsi="Arial" w:cs="Arial"/>
          <w:b/>
          <w:bCs/>
          <w:color w:val="0000FF"/>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i w:val="0"/>
          <w:iCs w:val="0"/>
          <w:sz w:val="20"/>
          <w:szCs w:val="20"/>
        </w:rPr>
      </w:pPr>
      <w:bookmarkStart w:id="94" w:name="_Toc348931377"/>
      <w:bookmarkStart w:id="95" w:name="_Toc5793760"/>
      <w:r>
        <w:rPr>
          <w:rFonts w:ascii="Arial" w:hAnsi="Arial" w:cs="Arial"/>
          <w:i w:val="0"/>
          <w:iCs w:val="0"/>
          <w:sz w:val="20"/>
          <w:szCs w:val="20"/>
        </w:rPr>
        <w:t>5.4.1 Guías de Práctica clínica</w:t>
      </w:r>
      <w:bookmarkEnd w:id="94"/>
      <w:bookmarkEnd w:id="95"/>
      <w:r>
        <w:rPr>
          <w:rFonts w:ascii="Arial" w:hAnsi="Arial" w:cs="Arial"/>
          <w:i w:val="0"/>
          <w:iCs w:val="0"/>
          <w:sz w:val="20"/>
          <w:szCs w:val="20"/>
        </w:rPr>
        <w:t xml:space="preserve"> </w:t>
      </w:r>
    </w:p>
    <w:p w:rsidR="00DD1521" w:rsidRDefault="00DD1521">
      <w:pPr>
        <w:spacing w:after="0" w:line="240" w:lineRule="auto"/>
        <w:jc w:val="both"/>
        <w:rPr>
          <w:rFonts w:ascii="Arial" w:hAnsi="Arial" w:cs="Arial"/>
          <w:b/>
          <w:bCs/>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lang w:val="en-US"/>
        </w:rPr>
      </w:pPr>
      <w:r>
        <w:rPr>
          <w:rFonts w:ascii="Arial" w:hAnsi="Arial" w:cs="Arial"/>
          <w:b/>
          <w:bCs/>
          <w:sz w:val="20"/>
          <w:szCs w:val="20"/>
          <w:lang w:val="en-US"/>
        </w:rPr>
        <w:t xml:space="preserve">Metastatic non-small-cell lung cancer: ESMO Clinical Practice Guidelines for diagnosis, treatment and follow-up (2018) </w:t>
      </w:r>
      <w:r>
        <w:rPr>
          <w:rFonts w:ascii="Arial" w:hAnsi="Arial" w:cs="Arial"/>
          <w:b/>
          <w:bCs/>
          <w:sz w:val="20"/>
          <w:szCs w:val="20"/>
          <w:lang w:val="en-US"/>
        </w:rPr>
        <w:fldChar w:fldCharType="begin"/>
      </w:r>
      <w:r>
        <w:rPr>
          <w:rFonts w:ascii="Arial" w:hAnsi="Arial" w:cs="Arial"/>
          <w:b/>
          <w:bCs/>
          <w:sz w:val="20"/>
          <w:szCs w:val="20"/>
          <w:lang w:val="en-US"/>
        </w:rPr>
        <w:instrText xml:space="preserve"> ADDIN ZOTERO_ITEM CSL_CITATION {"citationID":"ZzBcCNTm","properties":{"formattedCitation":"(41)","plainCitation":"(41)"},"citationItems":[{"id":1045,"uris":["http://zotero.org/users/local/zrSbuHrK/items/DGNJPC63"],"uri":["http://zotero.org/users/local/zrSbuHrK/items/DGNJPC63"],"itemData":{"id":1045,"type":"article-journal","title":"Metastatic non-small-cell lung cancer: ESMO Clinical Practice Guidelines for diagnosis, treatment and follow-up","container-title":"Annals of Oncology: Official Journal of the European Society for Medical Oncology","page":"v1-v27","volume":"27","issue":"suppl 5","source":"PubMed","DOI":"10.1093/annonc/mdw326","ISSN":"1569-8041","note":"PMID: 27664245","shortTitle":"Metastatic non-small-cell lung cancer","journalAbbreviation":"Ann. Oncol.","language":"eng","author":[{"family":"Novello","given":"S."},{"family":"Barlesi","given":"F."},{"family":"Califano","given":"R."},{"family":"Cufer","given":"T."},{"family":"Ekman","given":"S."},{"family":"Levra","given":"M. Giaj"},{"family":"Kerr","given":"K."},{"family":"Popat","given":"S."},{"family":"Reck","given":"M."},{"family":"Senan","given":"S."},{"family":"Simo","given":"G. V."},{"family":"Vansteenkiste","given":"J."},{"family":"Peters","given":"S."},{"family":"ESMO Guidelines Committee","given":""}],"issued":{"date-parts":[["2016",9]]},"PMID":"27664245"}}],"schema":"https://github.com/citation-style-language/schema/raw/master/csl-citation.json"} </w:instrText>
      </w:r>
      <w:r>
        <w:rPr>
          <w:rFonts w:ascii="Arial" w:hAnsi="Arial" w:cs="Arial"/>
          <w:b/>
          <w:bCs/>
          <w:sz w:val="20"/>
          <w:szCs w:val="20"/>
          <w:lang w:val="en-US"/>
        </w:rPr>
        <w:fldChar w:fldCharType="separate"/>
      </w:r>
      <w:r>
        <w:rPr>
          <w:rFonts w:ascii="Arial" w:hAnsi="Arial" w:cs="Arial"/>
          <w:b/>
          <w:bCs/>
          <w:sz w:val="20"/>
          <w:szCs w:val="20"/>
          <w:lang w:val="en-US"/>
        </w:rPr>
        <w:t>(34)</w:t>
      </w:r>
      <w:r>
        <w:rPr>
          <w:rFonts w:ascii="Arial" w:hAnsi="Arial" w:cs="Arial"/>
          <w:b/>
          <w:bCs/>
          <w:sz w:val="20"/>
          <w:szCs w:val="20"/>
          <w:lang w:val="en-US"/>
        </w:rPr>
        <w:fldChar w:fldCharType="end"/>
      </w:r>
      <w:r>
        <w:rPr>
          <w:rFonts w:ascii="Arial" w:hAnsi="Arial" w:cs="Arial"/>
          <w:b/>
          <w:bCs/>
          <w:sz w:val="20"/>
          <w:szCs w:val="20"/>
          <w:lang w:val="en-US"/>
        </w:rPr>
        <w:t>.</w:t>
      </w:r>
    </w:p>
    <w:p w:rsidR="00DD1521" w:rsidRDefault="00DD1521">
      <w:pPr>
        <w:pStyle w:val="Normal1"/>
        <w:spacing w:after="0" w:line="240" w:lineRule="auto"/>
        <w:jc w:val="both"/>
        <w:rPr>
          <w:rFonts w:ascii="Arial" w:hAnsi="Arial" w:cs="Arial"/>
          <w:sz w:val="20"/>
          <w:szCs w:val="20"/>
          <w:lang w:val="en-US"/>
        </w:rPr>
      </w:pPr>
    </w:p>
    <w:p w:rsidR="00DD1521" w:rsidRDefault="00DD1521">
      <w:pPr>
        <w:pStyle w:val="Normal1"/>
        <w:spacing w:after="0" w:line="240" w:lineRule="auto"/>
        <w:jc w:val="both"/>
        <w:rPr>
          <w:sz w:val="20"/>
          <w:szCs w:val="20"/>
        </w:rPr>
      </w:pPr>
      <w:r>
        <w:rPr>
          <w:rFonts w:ascii="Arial" w:hAnsi="Arial" w:cs="Arial"/>
          <w:sz w:val="20"/>
          <w:szCs w:val="20"/>
        </w:rPr>
        <w:t xml:space="preserve">En pacientes con </w:t>
      </w:r>
      <w:r>
        <w:rPr>
          <w:rFonts w:ascii="Arial" w:hAnsi="Arial" w:cs="Arial"/>
          <w:b/>
          <w:bCs/>
          <w:sz w:val="20"/>
          <w:szCs w:val="20"/>
        </w:rPr>
        <w:t>mutación EGFR positiva</w:t>
      </w:r>
      <w:r>
        <w:rPr>
          <w:rFonts w:ascii="Arial" w:hAnsi="Arial" w:cs="Arial"/>
          <w:sz w:val="20"/>
          <w:szCs w:val="20"/>
        </w:rPr>
        <w:t xml:space="preserve">, osimertinib se considera como una opción de tratamiento de primera línea, al igual que el resto de ITK erlotinib, gefitinib, afatintib y dacomitinib (no comercializado en España). Todos presentan un nivel de </w:t>
      </w:r>
      <w:r w:rsidR="00E172A8">
        <w:rPr>
          <w:rFonts w:ascii="Arial" w:hAnsi="Arial" w:cs="Arial"/>
          <w:sz w:val="20"/>
          <w:szCs w:val="20"/>
        </w:rPr>
        <w:t>evidencia IA</w:t>
      </w:r>
      <w:r>
        <w:rPr>
          <w:rFonts w:ascii="Arial" w:hAnsi="Arial" w:cs="Arial"/>
          <w:sz w:val="20"/>
          <w:szCs w:val="20"/>
        </w:rPr>
        <w:t>. Por tanto, en base a la guía ESMO no se considera por el momento el uso preferente de osimertinib sobre otros ITK, debido fundamentalmente a la falta de datos maduros en SG del estudio FLAURA. Según la escala ESMO de magnitud de beneficio clínico (ESMO-MCBS), osimertinib tiene un nivel 4.</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lastRenderedPageBreak/>
        <w:t xml:space="preserve">En pacientes con </w:t>
      </w:r>
      <w:r>
        <w:rPr>
          <w:rFonts w:ascii="Arial" w:hAnsi="Arial" w:cs="Arial"/>
          <w:b/>
          <w:bCs/>
          <w:sz w:val="20"/>
          <w:szCs w:val="20"/>
        </w:rPr>
        <w:t>mutación EGFR positiva y progresión</w:t>
      </w:r>
      <w:r>
        <w:rPr>
          <w:rFonts w:ascii="Arial" w:hAnsi="Arial" w:cs="Arial"/>
          <w:sz w:val="20"/>
          <w:szCs w:val="20"/>
        </w:rPr>
        <w:t xml:space="preserve"> sistémica a ITK anti-EGFR se recomienda rebiopsiar o biopsia líquida para localizar la mutación T790M. Si ésta resulta positiva, se recomienda osimertinib (nivel de evidencia III, grado de recomendación A).</w:t>
      </w:r>
    </w:p>
    <w:p w:rsidR="00DD1521" w:rsidRDefault="00DD1521">
      <w:pPr>
        <w:spacing w:after="0" w:line="240" w:lineRule="auto"/>
        <w:jc w:val="both"/>
        <w:rPr>
          <w:rFonts w:ascii="Arial" w:hAnsi="Arial" w:cs="Arial"/>
          <w:b/>
          <w:bCs/>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lang w:val="en-US"/>
        </w:rPr>
      </w:pPr>
      <w:r>
        <w:rPr>
          <w:rFonts w:ascii="Arial" w:hAnsi="Arial" w:cs="Arial"/>
          <w:b/>
          <w:bCs/>
          <w:sz w:val="20"/>
          <w:szCs w:val="20"/>
          <w:lang w:val="en-US"/>
        </w:rPr>
        <w:t xml:space="preserve">Non-small cell lung cancer. NCCN Clinical Practice Guidelines in Oncology (2018) </w:t>
      </w:r>
      <w:r>
        <w:rPr>
          <w:rFonts w:ascii="Arial" w:hAnsi="Arial" w:cs="Arial"/>
          <w:b/>
          <w:bCs/>
          <w:sz w:val="20"/>
          <w:szCs w:val="20"/>
          <w:lang w:val="en-US"/>
        </w:rPr>
        <w:fldChar w:fldCharType="begin"/>
      </w:r>
      <w:r>
        <w:rPr>
          <w:rFonts w:ascii="Arial" w:hAnsi="Arial" w:cs="Arial"/>
          <w:b/>
          <w:bCs/>
          <w:sz w:val="20"/>
          <w:szCs w:val="20"/>
          <w:lang w:val="en-US"/>
        </w:rPr>
        <w:instrText xml:space="preserve"> ADDIN ZOTERO_ITEM CSL_CITATION {"citationID":"TzrIHQ0z","properties":{"formattedCitation":"(7)","plainCitation":"(7)"},"citationItems":[{"id":1003,"uris":["http://zotero.org/users/local/zrSbuHrK/items/DQ9W8PG2"],"uri":["http://zotero.org/users/local/zrSbuHrK/items/DQ9W8PG2"],"itemData":{"id":1003,"type":"webpage","title":"nscl.pdf","URL":"https://www.nccn.org/professionals/physician_gls/pdf/nscl.pdf","accessed":{"date-parts":[["2018",12,5]]}}}],"schema":"https://github.com/citation-style-language/schema/raw/master/csl-citation.json"} </w:instrText>
      </w:r>
      <w:r>
        <w:rPr>
          <w:rFonts w:ascii="Arial" w:hAnsi="Arial" w:cs="Arial"/>
          <w:b/>
          <w:bCs/>
          <w:sz w:val="20"/>
          <w:szCs w:val="20"/>
          <w:lang w:val="en-US"/>
        </w:rPr>
        <w:fldChar w:fldCharType="separate"/>
      </w:r>
      <w:r>
        <w:rPr>
          <w:rFonts w:ascii="Arial" w:hAnsi="Arial" w:cs="Arial"/>
          <w:b/>
          <w:bCs/>
          <w:sz w:val="20"/>
          <w:szCs w:val="20"/>
          <w:lang w:val="en-US"/>
        </w:rPr>
        <w:t>(5)</w:t>
      </w:r>
      <w:r>
        <w:rPr>
          <w:rFonts w:ascii="Arial" w:hAnsi="Arial" w:cs="Arial"/>
          <w:b/>
          <w:bCs/>
          <w:sz w:val="20"/>
          <w:szCs w:val="20"/>
          <w:lang w:val="en-US"/>
        </w:rPr>
        <w:fldChar w:fldCharType="end"/>
      </w:r>
      <w:r>
        <w:rPr>
          <w:rFonts w:ascii="Arial" w:hAnsi="Arial" w:cs="Arial"/>
          <w:b/>
          <w:bCs/>
          <w:sz w:val="20"/>
          <w:szCs w:val="20"/>
          <w:lang w:val="en-US"/>
        </w:rPr>
        <w:t>.</w:t>
      </w:r>
    </w:p>
    <w:p w:rsidR="00DD1521" w:rsidRDefault="00DD1521">
      <w:pPr>
        <w:spacing w:after="0" w:line="240" w:lineRule="auto"/>
        <w:jc w:val="both"/>
        <w:rPr>
          <w:rFonts w:ascii="Arial" w:hAnsi="Arial" w:cs="Arial"/>
          <w:sz w:val="20"/>
          <w:szCs w:val="20"/>
          <w:lang w:val="en-US"/>
        </w:rPr>
      </w:pPr>
    </w:p>
    <w:p w:rsidR="00DD1521" w:rsidRDefault="00DD1521">
      <w:pPr>
        <w:pStyle w:val="Normal1"/>
        <w:spacing w:after="0" w:line="240" w:lineRule="auto"/>
        <w:jc w:val="both"/>
        <w:rPr>
          <w:sz w:val="20"/>
          <w:szCs w:val="20"/>
        </w:rPr>
      </w:pPr>
      <w:r>
        <w:rPr>
          <w:rFonts w:ascii="Arial" w:hAnsi="Arial" w:cs="Arial"/>
          <w:sz w:val="20"/>
          <w:szCs w:val="20"/>
        </w:rPr>
        <w:t xml:space="preserve">Las guías NCCN contemplan el uso de osimertinib en </w:t>
      </w:r>
      <w:r>
        <w:rPr>
          <w:rFonts w:ascii="Arial" w:hAnsi="Arial" w:cs="Arial"/>
          <w:b/>
          <w:bCs/>
          <w:sz w:val="20"/>
          <w:szCs w:val="20"/>
        </w:rPr>
        <w:t>primera línea</w:t>
      </w:r>
      <w:r>
        <w:rPr>
          <w:rFonts w:ascii="Arial" w:hAnsi="Arial" w:cs="Arial"/>
          <w:sz w:val="20"/>
          <w:szCs w:val="20"/>
        </w:rPr>
        <w:t xml:space="preserve"> de pacientes con mutación EGFR positiva junto con el resto de ITK (erlotinib, gefitinib, afatinib y dacomitinib), considerándolos todos como categoría 1.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En pacientes que </w:t>
      </w:r>
      <w:r>
        <w:rPr>
          <w:rFonts w:ascii="Arial" w:hAnsi="Arial" w:cs="Arial"/>
          <w:b/>
          <w:bCs/>
          <w:sz w:val="20"/>
          <w:szCs w:val="20"/>
        </w:rPr>
        <w:t>progresan a ITK anti-EGFR</w:t>
      </w:r>
      <w:r>
        <w:rPr>
          <w:rFonts w:ascii="Arial" w:hAnsi="Arial" w:cs="Arial"/>
          <w:sz w:val="20"/>
          <w:szCs w:val="20"/>
        </w:rPr>
        <w:t xml:space="preserve"> y presentan mutación T790M con enfermedad sistémica y múltiples lesiones, recomiendan osimertinib como única opción de tratamiento si este no se ha utilizado ya en primera línea (categoría 1).</w:t>
      </w: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lang w:val="en-US"/>
        </w:rPr>
        <w:t xml:space="preserve">Systemic therapy for stage IV non-small-cell lung cancer: American Society of Clinical Oncology (ASCO) clinical practice guideline update (2017) </w:t>
      </w:r>
      <w:r w:rsidRPr="00AD7CD1">
        <w:rPr>
          <w:rFonts w:ascii="Arial" w:hAnsi="Arial" w:cs="Arial"/>
          <w:b/>
          <w:bCs/>
          <w:sz w:val="20"/>
          <w:szCs w:val="20"/>
          <w:lang w:val="en-US"/>
        </w:rPr>
        <w:fldChar w:fldCharType="begin"/>
      </w:r>
      <w:r w:rsidRPr="00AD7CD1">
        <w:rPr>
          <w:rFonts w:ascii="Arial" w:hAnsi="Arial" w:cs="Arial"/>
          <w:b/>
          <w:bCs/>
          <w:sz w:val="20"/>
          <w:szCs w:val="20"/>
          <w:lang w:val="en-US"/>
        </w:rPr>
        <w:instrText xml:space="preserve"> ADDIN ZOTERO_ITEM CSL_CITATION {"citationID":"hCirhxcB","properties":{"formattedCitation":"(42)","plainCitation":"(42)"},"citationItems":[{"id":1047,"uris":["http://zotero.org/users/local/zrSbuHrK/items/QVSQ6SNG"],"uri":["http://zotero.org/users/local/zrSbuHrK/items/QVSQ6SNG"],"itemData":{"id":1047,"type":"article-journal","title":"Systemic Therapy for Stage IV Non-Small-Cell Lung Cancer: American Society of Clinical Oncology Clinical Practice Guideline Update","container-title":"Journal of Clinical Oncology: Official Journal of the American Society of Clinical Oncology","page":"3484-3515","volume":"35","issue":"30","source":"PubMed","abstract":"Purpose Provide evidence-based recommendations updating the 2015 ASCO guideline on systemic therapy for patients with stage IV non-small-cell lung cancer (NSCLC). Methods The ASCO NSCLC Expert Panel made recommendations based on a systematic review of randomized controlled trials from February 2014 to December 2016 plus the Cancer Care Ontario Program in Evidence-Based Care's update of a previous ASCO search. Results This guideline update reflects changes in evidence since the previous guideline update. Fourteen randomized controlled trials provide the evidence base; earlier phase trials also informed recommendation development. Recommendations New or revised recommendations include the following. Regarding first-line treatment for patients with non-squamous cell carcinoma or squamous cell carcinoma (without positive markers, eg, EGFR/ALK /ROS1), if the patient has high programmed death ligand 1 (PD-L1) expression, pembrolizumab should be used alone; if the patient has low PD-L1 expression, clinicians should offer standard chemotherapy. All other clinical scenarios follow 2015 recommendations. Regarding second-line treatment in patients who received first-line chemotherapy, without prior immune checkpoint therapy, if NSCLC tumor is positive for PD-L1 expression, clinicians should use single-agent nivolumab, pembrolizumab, or atezolizumab; if tumor has negative or unknown PD-L1 expression, clinicians should use nivolumab or atezolizumab. All immune checkpoint therapy is recommended alone plus in the absence of contraindications. For patients who received a prior first-line immune checkpoint inhibitor, clinicians should offer standard chemotherapy. For patients who cannot receive immune checkpoint inhibitor after chemotherapy, docetaxel is recommended; in patients with nonsquamous NSCLC, pemetrexed is recommended. In patients with a sensitizing EGFR mutation, disease progression after first-line epidermal growth factor receptor tyrosine kinase inhibitor therapy, and T790M mutation, osimertinib is recommended; if NSCLC lacks the T790M mutation, then chemotherapy is recommended. Patients with ROS1 gene rearrangement without prior crizotinib may be offered crizotini</w:instrText>
      </w:r>
      <w:r>
        <w:rPr>
          <w:rFonts w:ascii="Arial" w:hAnsi="Arial" w:cs="Arial"/>
          <w:b/>
          <w:bCs/>
          <w:sz w:val="20"/>
          <w:szCs w:val="20"/>
        </w:rPr>
        <w:instrText xml:space="preserve">b, or if they previously received crizotinib, they may be offered chemotherapy.","DOI":"10.1200/JCO.2017.74.6065","ISSN":"1527-7755","note":"PMID: 28806116","shortTitle":"Systemic Therapy for Stage IV Non-Small-Cell Lung Cancer","journalAbbreviation":"J. Clin. Oncol.","language":"eng","author":[{"family":"Hanna","given":"Nasser"},{"family":"Johnson","given":"David"},{"family":"Temin","given":"Sarah"},{"family":"Baker","given":"Sherman"},{"family":"Brahmer","given":"Julie"},{"family":"Ellis","given":"Peter M."},{"family":"Giaccone","given":"Giuseppe"},{"family":"Hesketh","given":"Paul J."},{"family":"Jaiyesimi","given":"Ishmael"},{"family":"Leighl","given":"Natasha B."},{"family":"Riely","given":"Gregory J."},{"family":"Schiller","given":"Joan H."},{"family":"Schneider","given":"Bryan J."},{"family":"Smith","given":"Thomas J."},{"family":"Tashbar","given":"Joan"},{"family":"Biermann","given":"William A."},{"family":"Masters","given":"Gregory"}],"issued":{"date-parts":[["2017",10,20]]},"PMID":"28806116"}}],"schema":"https://github.com/citation-style-language/schema/raw/master/csl-citation.json"} </w:instrText>
      </w:r>
      <w:r w:rsidRPr="00AD7CD1">
        <w:rPr>
          <w:rFonts w:ascii="Arial" w:hAnsi="Arial" w:cs="Arial"/>
          <w:b/>
          <w:bCs/>
          <w:sz w:val="20"/>
          <w:szCs w:val="20"/>
          <w:lang w:val="en-US"/>
        </w:rPr>
        <w:fldChar w:fldCharType="separate"/>
      </w:r>
      <w:r>
        <w:rPr>
          <w:rFonts w:ascii="Arial" w:hAnsi="Arial" w:cs="Arial"/>
          <w:b/>
          <w:bCs/>
          <w:sz w:val="20"/>
          <w:szCs w:val="20"/>
        </w:rPr>
        <w:t>(35)</w:t>
      </w:r>
      <w:r w:rsidRPr="00AD7CD1">
        <w:rPr>
          <w:rFonts w:ascii="Arial" w:hAnsi="Arial" w:cs="Arial"/>
          <w:b/>
          <w:bCs/>
          <w:sz w:val="20"/>
          <w:szCs w:val="20"/>
          <w:lang w:val="en-US"/>
        </w:rPr>
        <w:fldChar w:fldCharType="end"/>
      </w:r>
      <w:r>
        <w:rPr>
          <w:rFonts w:ascii="Arial" w:hAnsi="Arial" w:cs="Arial"/>
          <w:b/>
          <w:bCs/>
          <w:sz w:val="20"/>
          <w:szCs w:val="20"/>
        </w:rPr>
        <w:t>.</w:t>
      </w: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Con mutaciones EGFR sensibilizantes:</w:t>
      </w:r>
    </w:p>
    <w:p w:rsidR="00DD1521" w:rsidRDefault="00DD1521">
      <w:pPr>
        <w:pStyle w:val="Normal1"/>
        <w:numPr>
          <w:ilvl w:val="0"/>
          <w:numId w:val="8"/>
        </w:numPr>
        <w:spacing w:after="0" w:line="240" w:lineRule="auto"/>
        <w:jc w:val="both"/>
        <w:rPr>
          <w:rFonts w:ascii="Arial" w:hAnsi="Arial" w:cs="Arial"/>
          <w:sz w:val="20"/>
          <w:szCs w:val="20"/>
        </w:rPr>
      </w:pPr>
      <w:r>
        <w:rPr>
          <w:rFonts w:ascii="Arial" w:hAnsi="Arial" w:cs="Arial"/>
          <w:sz w:val="20"/>
          <w:szCs w:val="20"/>
        </w:rPr>
        <w:t xml:space="preserve">En esta guía no se contempla el uso de osimertinib en </w:t>
      </w:r>
      <w:r>
        <w:rPr>
          <w:rFonts w:ascii="Arial" w:hAnsi="Arial" w:cs="Arial"/>
          <w:b/>
          <w:bCs/>
          <w:sz w:val="20"/>
          <w:szCs w:val="20"/>
        </w:rPr>
        <w:t>primera línea</w:t>
      </w:r>
      <w:r>
        <w:rPr>
          <w:rFonts w:ascii="Arial" w:hAnsi="Arial" w:cs="Arial"/>
          <w:sz w:val="20"/>
          <w:szCs w:val="20"/>
        </w:rPr>
        <w:t xml:space="preserve"> en pacientes con mutación EGFR positiva debido a que la autorización de osimertinib en esta indicación fue posterior.</w:t>
      </w:r>
    </w:p>
    <w:p w:rsidR="00DD1521" w:rsidRDefault="00DD1521">
      <w:pPr>
        <w:numPr>
          <w:ilvl w:val="0"/>
          <w:numId w:val="8"/>
        </w:numPr>
        <w:spacing w:after="0" w:line="240" w:lineRule="auto"/>
        <w:jc w:val="both"/>
        <w:rPr>
          <w:rFonts w:ascii="Arial" w:hAnsi="Arial" w:cs="Arial"/>
          <w:sz w:val="20"/>
          <w:szCs w:val="20"/>
        </w:rPr>
      </w:pPr>
      <w:r>
        <w:rPr>
          <w:rFonts w:ascii="Arial" w:hAnsi="Arial" w:cs="Arial"/>
          <w:sz w:val="20"/>
          <w:szCs w:val="20"/>
        </w:rPr>
        <w:t xml:space="preserve">En pacientes con </w:t>
      </w:r>
      <w:r>
        <w:rPr>
          <w:rFonts w:ascii="Arial" w:hAnsi="Arial" w:cs="Arial"/>
          <w:b/>
          <w:bCs/>
          <w:sz w:val="20"/>
          <w:szCs w:val="20"/>
        </w:rPr>
        <w:t>progresión</w:t>
      </w:r>
      <w:r>
        <w:rPr>
          <w:rFonts w:ascii="Arial" w:hAnsi="Arial" w:cs="Arial"/>
          <w:sz w:val="20"/>
          <w:szCs w:val="20"/>
        </w:rPr>
        <w:t xml:space="preserve"> de la enfermedad después del tratamiento de primera línea con un ITK anti-EGFR y presencia de la mutación de resistencia T790M, se recomienda osimertinib (calidad de la evidencia: alta, recomendación: fuerte).</w:t>
      </w:r>
    </w:p>
    <w:p w:rsidR="00DD1521" w:rsidRDefault="00DD1521">
      <w:pPr>
        <w:numPr>
          <w:ilvl w:val="0"/>
          <w:numId w:val="8"/>
        </w:numPr>
        <w:spacing w:after="0" w:line="240" w:lineRule="auto"/>
        <w:jc w:val="both"/>
        <w:rPr>
          <w:rFonts w:ascii="Arial" w:hAnsi="Arial" w:cs="Arial"/>
          <w:sz w:val="20"/>
          <w:szCs w:val="20"/>
        </w:rPr>
      </w:pPr>
      <w:r>
        <w:rPr>
          <w:rFonts w:ascii="Arial" w:hAnsi="Arial" w:cs="Arial"/>
          <w:sz w:val="20"/>
          <w:szCs w:val="20"/>
        </w:rPr>
        <w:t>Si la mutación de T790 no está presente, se recomienda doblete de platino (Tipo: consenso informal; Calidad de la evidencia: bajo; Fuerza de la recomendación: fuerte).</w:t>
      </w:r>
    </w:p>
    <w:p w:rsidR="00DD1521" w:rsidRDefault="00DD1521">
      <w:pPr>
        <w:numPr>
          <w:ilvl w:val="0"/>
          <w:numId w:val="8"/>
        </w:numPr>
        <w:spacing w:after="0" w:line="240" w:lineRule="auto"/>
        <w:jc w:val="both"/>
        <w:rPr>
          <w:rFonts w:ascii="Arial" w:hAnsi="Arial" w:cs="Arial"/>
          <w:sz w:val="20"/>
          <w:szCs w:val="20"/>
        </w:rPr>
      </w:pPr>
      <w:r>
        <w:rPr>
          <w:rFonts w:ascii="Arial" w:hAnsi="Arial" w:cs="Arial"/>
          <w:sz w:val="20"/>
          <w:szCs w:val="20"/>
        </w:rPr>
        <w:t>En pacientes que recibieron un ITK anti-EGFR en primera línea, tuvieron una respuesta inicial y posteriormente experimentaron progresión lenta o mínima de la enfermedad en sitios aislados, un ITK anti-EGFR con terapia local en los sitios aislados es una opción (Tipo: consenso informal; Calidad de la evidencia: insuficiente; Fuerza de la recomendación: débil).</w:t>
      </w:r>
    </w:p>
    <w:p w:rsidR="00DD1521" w:rsidRDefault="00DD1521">
      <w:pPr>
        <w:spacing w:after="0" w:line="240" w:lineRule="auto"/>
        <w:ind w:left="720"/>
        <w:jc w:val="both"/>
        <w:rPr>
          <w:rFonts w:ascii="Arial" w:hAnsi="Arial" w:cs="Arial"/>
          <w:sz w:val="20"/>
          <w:szCs w:val="20"/>
        </w:rPr>
      </w:pPr>
    </w:p>
    <w:p w:rsidR="00DD1521" w:rsidRDefault="00DD1521">
      <w:pPr>
        <w:spacing w:after="0" w:line="240" w:lineRule="auto"/>
        <w:jc w:val="both"/>
        <w:rPr>
          <w:rFonts w:ascii="Arial" w:hAnsi="Arial" w:cs="Arial"/>
          <w:b/>
          <w:bCs/>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96" w:name="_Toc348931378"/>
      <w:bookmarkStart w:id="97" w:name="_Toc5793761"/>
      <w:r>
        <w:rPr>
          <w:rFonts w:ascii="Arial" w:hAnsi="Arial" w:cs="Arial"/>
          <w:sz w:val="20"/>
          <w:szCs w:val="20"/>
        </w:rPr>
        <w:t>5.4.2 Evaluaciones previas por organismos independientes</w:t>
      </w:r>
      <w:bookmarkEnd w:id="96"/>
      <w:bookmarkEnd w:id="97"/>
    </w:p>
    <w:p w:rsidR="00DD1521" w:rsidRDefault="00DD1521">
      <w:pPr>
        <w:spacing w:after="0" w:line="240" w:lineRule="auto"/>
        <w:jc w:val="both"/>
        <w:rPr>
          <w:rFonts w:ascii="Arial" w:hAnsi="Arial" w:cs="Arial"/>
          <w:sz w:val="20"/>
          <w:szCs w:val="20"/>
        </w:rPr>
      </w:pPr>
      <w:r>
        <w:rPr>
          <w:rFonts w:ascii="Arial" w:hAnsi="Arial" w:cs="Arial"/>
          <w:sz w:val="20"/>
          <w:szCs w:val="20"/>
        </w:rPr>
        <w:tab/>
      </w: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b/>
          <w:bCs/>
          <w:sz w:val="20"/>
          <w:szCs w:val="20"/>
        </w:rPr>
        <w:t>Tratamiento de segunda línea del CPNM avanzado o metastásico con mutación positiva del EGFR T790M</w:t>
      </w:r>
    </w:p>
    <w:p w:rsidR="00DD1521" w:rsidRDefault="00DD1521">
      <w:pPr>
        <w:spacing w:after="0" w:line="240" w:lineRule="auto"/>
        <w:ind w:firstLine="708"/>
        <w:jc w:val="both"/>
        <w:rPr>
          <w:rFonts w:ascii="Arial" w:hAnsi="Arial" w:cs="Arial"/>
          <w:sz w:val="20"/>
          <w:szCs w:val="20"/>
        </w:rPr>
      </w:pPr>
      <w:r>
        <w:rPr>
          <w:rFonts w:ascii="Arial" w:hAnsi="Arial" w:cs="Arial"/>
          <w:sz w:val="20"/>
          <w:szCs w:val="20"/>
        </w:rPr>
        <w:t xml:space="preserve"> </w:t>
      </w:r>
    </w:p>
    <w:p w:rsidR="00DD1521" w:rsidRDefault="00DD1521">
      <w:pPr>
        <w:spacing w:after="0" w:line="240" w:lineRule="auto"/>
        <w:jc w:val="both"/>
        <w:rPr>
          <w:rFonts w:ascii="Arial" w:hAnsi="Arial" w:cs="Arial"/>
          <w:b/>
          <w:bCs/>
          <w:sz w:val="20"/>
          <w:szCs w:val="20"/>
        </w:rPr>
      </w:pPr>
      <w:r>
        <w:rPr>
          <w:rFonts w:ascii="Arial" w:hAnsi="Arial" w:cs="Arial"/>
          <w:b/>
          <w:bCs/>
          <w:sz w:val="20"/>
          <w:szCs w:val="20"/>
        </w:rPr>
        <w:t xml:space="preserve">IPT osimertinib en cáncer de pulmón no microcítico con mutación T790M (3 de agosto de 2018) </w:t>
      </w:r>
      <w:r>
        <w:rPr>
          <w:rFonts w:ascii="Arial" w:hAnsi="Arial" w:cs="Arial"/>
          <w:b/>
          <w:bCs/>
          <w:sz w:val="20"/>
          <w:szCs w:val="20"/>
        </w:rPr>
        <w:fldChar w:fldCharType="begin"/>
      </w:r>
      <w:r>
        <w:rPr>
          <w:rFonts w:ascii="Arial" w:hAnsi="Arial" w:cs="Arial"/>
          <w:b/>
          <w:bCs/>
          <w:sz w:val="20"/>
          <w:szCs w:val="20"/>
        </w:rPr>
        <w:instrText xml:space="preserve"> ADDIN ZOTERO_ITEM CSL_CITATION {"citationID":"FdA9adDb","properties":{"formattedCitation":"(6)","plainCitation":"(6)"},"citationItems":[{"id":989,"uris":["http://zotero.org/users/local/zrSbuHrK/items/CBZXZJH8"],"uri":["http://zotero.org/users/local/zrSbuHrK/items/CBZXZJH8"],"itemData":{"id":989,"type":"webpage","title":"Informe de Posicionamiento Terapéutico de osimertinib (Tagrisso®) en el cáncer de pulmón no microcítico con presencia de la mutación T790M - IPT-osimertinib-Tagrisso-cancer-pulmon-NM-MT790.pdf","URL":"https://www.aemps.gob.es/medicamentosUsoHumano/informesPublicos/docs/IPT-osimertinib-Tagrisso-cancer-pulmon-NM-MT790.pdf","accessed":{"date-parts":[["2018",12,5]]}}}],"schema":"https://github.com/citation-style-language/schema/raw/master/csl-citation.json"} </w:instrText>
      </w:r>
      <w:r>
        <w:rPr>
          <w:rFonts w:ascii="Arial" w:hAnsi="Arial" w:cs="Arial"/>
          <w:b/>
          <w:bCs/>
          <w:sz w:val="20"/>
          <w:szCs w:val="20"/>
        </w:rPr>
        <w:fldChar w:fldCharType="separate"/>
      </w:r>
      <w:r>
        <w:rPr>
          <w:rFonts w:ascii="Arial" w:hAnsi="Arial" w:cs="Arial"/>
          <w:b/>
          <w:bCs/>
          <w:sz w:val="20"/>
          <w:szCs w:val="20"/>
        </w:rPr>
        <w:t>(4)</w:t>
      </w:r>
      <w:r>
        <w:rPr>
          <w:rFonts w:ascii="Arial" w:hAnsi="Arial" w:cs="Arial"/>
          <w:b/>
          <w:bCs/>
          <w:sz w:val="20"/>
          <w:szCs w:val="20"/>
        </w:rPr>
        <w:fldChar w:fldCharType="end"/>
      </w:r>
      <w:r>
        <w:rPr>
          <w:rFonts w:ascii="Arial" w:hAnsi="Arial" w:cs="Arial"/>
          <w:b/>
          <w:bCs/>
          <w:sz w:val="20"/>
          <w:szCs w:val="20"/>
        </w:rPr>
        <w:t>.</w:t>
      </w: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El tratamiento con osimertinib en pacientes con la presencia de la mutación T790M ha demostrado ser superior a la quimioterapia en términos de SLP (mediana de 10,1 frente a 4,4 meses) y en tasas de respuesta tras tratamiento con ITK-EGFR, aunque no disponemos de resultados que confirmen esta eficacia en términos de SG.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CONSIDERACIONES FINALES DEL GCPT: “Osimertinib ha sido financiado en pacientes adultos con CPNM localmente avanzado o metastásico con mutación positiva del EGFR T790M que hayan progresado tras una primera línea con ITK anti-EGFR o en los que el tratamiento de primera línea de ITK anti-EGFR no esté indicado”.</w:t>
      </w: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b/>
          <w:bCs/>
          <w:sz w:val="20"/>
          <w:szCs w:val="20"/>
        </w:rPr>
      </w:pPr>
      <w:r>
        <w:rPr>
          <w:rFonts w:ascii="Arial" w:hAnsi="Arial" w:cs="Arial"/>
          <w:b/>
          <w:bCs/>
          <w:sz w:val="20"/>
          <w:szCs w:val="20"/>
        </w:rPr>
        <w:t xml:space="preserve">Informe SEOM de evaluación de fármacos (abril 2017) </w:t>
      </w:r>
      <w:r>
        <w:rPr>
          <w:rFonts w:ascii="Arial" w:hAnsi="Arial" w:cs="Arial"/>
          <w:b/>
          <w:bCs/>
          <w:sz w:val="20"/>
          <w:szCs w:val="20"/>
        </w:rPr>
        <w:fldChar w:fldCharType="begin"/>
      </w:r>
      <w:r>
        <w:rPr>
          <w:rFonts w:ascii="Arial" w:hAnsi="Arial" w:cs="Arial"/>
          <w:b/>
          <w:bCs/>
          <w:sz w:val="20"/>
          <w:szCs w:val="20"/>
        </w:rPr>
        <w:instrText xml:space="preserve"> ADDIN ZOTERO_ITEM CSL_CITATION {"citationID":"TDLwhByK","properties":{"formattedCitation":"(43)","plainCitation":"(43)"},"citationItems":[{"id":1049,"uris":["http://zotero.org/users/local/zrSbuHrK/items/A3FKAQ9B"],"uri":["http://zotero.org/users/local/zrSbuHrK/items/A3FKAQ9B"],"itemData":{"id":1049,"type":"webpage","title":"IPT_OSIMERTINIB.pdf","URL":"https://seom.org/seomcms/images/stories/Informes_SEOM/IPT_OSIMERTINIB.pdf","accessed":{"date-parts":[["2018",12,5]]}}}],"schema":"https://github.com/citation-style-language/schema/raw/master/csl-citation.json"} </w:instrText>
      </w:r>
      <w:r>
        <w:rPr>
          <w:rFonts w:ascii="Arial" w:hAnsi="Arial" w:cs="Arial"/>
          <w:b/>
          <w:bCs/>
          <w:sz w:val="20"/>
          <w:szCs w:val="20"/>
        </w:rPr>
        <w:fldChar w:fldCharType="separate"/>
      </w:r>
      <w:r>
        <w:rPr>
          <w:rFonts w:ascii="Arial" w:hAnsi="Arial" w:cs="Arial"/>
          <w:b/>
          <w:bCs/>
          <w:sz w:val="20"/>
          <w:szCs w:val="20"/>
        </w:rPr>
        <w:t>(36)</w:t>
      </w:r>
      <w:r>
        <w:rPr>
          <w:rFonts w:ascii="Arial" w:hAnsi="Arial" w:cs="Arial"/>
          <w:b/>
          <w:bCs/>
          <w:sz w:val="20"/>
          <w:szCs w:val="20"/>
        </w:rPr>
        <w:fldChar w:fldCharType="end"/>
      </w:r>
      <w:r>
        <w:rPr>
          <w:rFonts w:ascii="Arial" w:hAnsi="Arial" w:cs="Arial"/>
          <w:b/>
          <w:bCs/>
          <w:sz w:val="20"/>
          <w:szCs w:val="20"/>
        </w:rPr>
        <w:t>.</w:t>
      </w: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lastRenderedPageBreak/>
        <w:t>La SEOM recomienda osimertinib como tratamiento de los pacientes con CPNM avanzado EGFR-positivo que han progresado al tratamiento con ITK de 1ª o 2ª generación y que presentan la mutación de resistencia T790M positiva.</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Pr="00AD7CD1" w:rsidRDefault="00DD1521">
      <w:pPr>
        <w:spacing w:after="0" w:line="240" w:lineRule="auto"/>
        <w:jc w:val="both"/>
        <w:rPr>
          <w:rFonts w:ascii="Arial" w:hAnsi="Arial" w:cs="Arial"/>
          <w:b/>
          <w:bCs/>
          <w:sz w:val="20"/>
          <w:szCs w:val="20"/>
          <w:lang w:val="en-US"/>
        </w:rPr>
      </w:pPr>
      <w:r>
        <w:rPr>
          <w:rFonts w:ascii="Arial" w:hAnsi="Arial" w:cs="Arial"/>
          <w:b/>
          <w:bCs/>
          <w:sz w:val="20"/>
          <w:szCs w:val="20"/>
          <w:lang w:val="en-US"/>
        </w:rPr>
        <w:t xml:space="preserve">NICE Guidance: Osimertinib for treating locally advanced or metastatic EGFR T790M mutation-positive non-small-cell lung cáncer (octubre de 2016) </w:t>
      </w:r>
      <w:r>
        <w:rPr>
          <w:rFonts w:ascii="Arial" w:hAnsi="Arial" w:cs="Arial"/>
          <w:b/>
          <w:bCs/>
          <w:sz w:val="20"/>
          <w:szCs w:val="20"/>
          <w:lang w:val="en-US"/>
        </w:rPr>
        <w:fldChar w:fldCharType="begin"/>
      </w:r>
      <w:r>
        <w:rPr>
          <w:rFonts w:ascii="Arial" w:hAnsi="Arial" w:cs="Arial"/>
          <w:b/>
          <w:bCs/>
          <w:sz w:val="20"/>
          <w:szCs w:val="20"/>
          <w:lang w:val="en-US"/>
        </w:rPr>
        <w:instrText xml:space="preserve"> ADDIN ZOTERO_ITEM CSL_CITATION {"citationID":"1QtLJWhS","properties":{"formattedCitation":"(9)","plainCitation":"(9)"},"citationItems":[{"id":969,"uris":["http://zotero.org/users/local/zrSbuHrK/items/AWXNH3Q3"],"uri":["http://zotero.org/users/local/zrSbuHrK/items/AWXNH3Q3"],"itemData":{"id":969,"type":"webpage","title":"Osimertinib for treating locally advanced or metastatic EGFR T790M mutation-positive non-small-cell lung cancer | Guidance and guidelines | NICE","URL":"https://www.nice.org.uk/guidance/TA416/chapter/1-Recommendations","language":"eng","accessed":{"date-parts":[["2018",12,5]]}}}],"schema":"https://github.com/citation-style-language/schema/raw/master/csl-citation.json"} </w:instrText>
      </w:r>
      <w:r>
        <w:rPr>
          <w:rFonts w:ascii="Arial" w:hAnsi="Arial" w:cs="Arial"/>
          <w:b/>
          <w:bCs/>
          <w:sz w:val="20"/>
          <w:szCs w:val="20"/>
          <w:lang w:val="en-US"/>
        </w:rPr>
        <w:fldChar w:fldCharType="separate"/>
      </w:r>
      <w:r>
        <w:rPr>
          <w:rFonts w:ascii="Arial" w:hAnsi="Arial" w:cs="Arial"/>
          <w:b/>
          <w:bCs/>
          <w:sz w:val="20"/>
          <w:szCs w:val="20"/>
          <w:lang w:val="en-US"/>
        </w:rPr>
        <w:t>(7)</w:t>
      </w:r>
      <w:r>
        <w:rPr>
          <w:rFonts w:ascii="Arial" w:hAnsi="Arial" w:cs="Arial"/>
          <w:b/>
          <w:bCs/>
          <w:sz w:val="20"/>
          <w:szCs w:val="20"/>
          <w:lang w:val="en-US"/>
        </w:rPr>
        <w:fldChar w:fldCharType="end"/>
      </w:r>
    </w:p>
    <w:p w:rsidR="00DD1521" w:rsidRDefault="00DD1521">
      <w:pPr>
        <w:spacing w:after="0" w:line="240" w:lineRule="auto"/>
        <w:jc w:val="both"/>
        <w:rPr>
          <w:rFonts w:ascii="Arial" w:hAnsi="Arial" w:cs="Arial"/>
          <w:b/>
          <w:bCs/>
          <w:sz w:val="20"/>
          <w:szCs w:val="20"/>
          <w:lang w:val="en-US"/>
        </w:rPr>
      </w:pPr>
    </w:p>
    <w:p w:rsidR="00DD1521" w:rsidRDefault="00DD1521">
      <w:pPr>
        <w:spacing w:after="0" w:line="240" w:lineRule="auto"/>
        <w:jc w:val="both"/>
        <w:rPr>
          <w:rFonts w:ascii="Arial" w:hAnsi="Arial" w:cs="Arial"/>
          <w:sz w:val="20"/>
          <w:szCs w:val="20"/>
        </w:rPr>
      </w:pPr>
      <w:r>
        <w:rPr>
          <w:rFonts w:ascii="Arial" w:hAnsi="Arial" w:cs="Arial"/>
          <w:sz w:val="20"/>
          <w:szCs w:val="20"/>
        </w:rPr>
        <w:t>Osimertinib se recomienda como una opción para usar dentro del Cancer Drugs Fund para el tratamiento del CPNM con mutación T790M del EGFR localmente avanzado o metastásico en adultos cuya enfermedad ha progresado después del tratamiento de primera línea con un ITK anti-EGFR y únicamente si se siguen las condiciones en el acuerdo de acceso para osimertinib.</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b/>
          <w:bCs/>
          <w:sz w:val="20"/>
          <w:szCs w:val="20"/>
        </w:rPr>
      </w:pPr>
      <w:r>
        <w:rPr>
          <w:rFonts w:ascii="Arial" w:hAnsi="Arial" w:cs="Arial"/>
          <w:b/>
          <w:bCs/>
          <w:sz w:val="20"/>
          <w:szCs w:val="20"/>
        </w:rPr>
        <w:t xml:space="preserve">Comission de la Transparence Has Sante (septiembre 2017) </w:t>
      </w:r>
      <w:r>
        <w:rPr>
          <w:rFonts w:ascii="Arial" w:hAnsi="Arial" w:cs="Arial"/>
          <w:b/>
          <w:bCs/>
          <w:sz w:val="20"/>
          <w:szCs w:val="20"/>
        </w:rPr>
        <w:fldChar w:fldCharType="begin"/>
      </w:r>
      <w:r>
        <w:rPr>
          <w:rFonts w:ascii="Arial" w:hAnsi="Arial" w:cs="Arial"/>
          <w:b/>
          <w:bCs/>
          <w:sz w:val="20"/>
          <w:szCs w:val="20"/>
        </w:rPr>
        <w:instrText xml:space="preserve"> ADDIN ZOTERO_ITEM CSL_CITATION {"citationID":"uS9RyeL4","properties":{"formattedCitation":"(8)","plainCitation":"(8)"},"citationItems":[{"id":971,"uris":["http://zotero.org/users/local/zrSbuHrK/items/2K8J9QV6"],"uri":["http://zotero.org/users/local/zrSbuHrK/items/2K8J9QV6"],"itemData":{"id":971,"type":"webpage","title":"Haute Autorité de Santé - TAGRISSO (osimertinib), tyrosine kinase inhibitor","URL":"https://www.has-sante.fr/portail/jcms/c_2676714/en/tagrisso-osimertinib-tyrosine-kinase-inhibitor","accessed":{"date-parts":[["2018",12,5]]}}}],"schema":"https://github.com/citation-style-language/schema/raw/master/csl-citation.json"} </w:instrText>
      </w:r>
      <w:r>
        <w:rPr>
          <w:rFonts w:ascii="Arial" w:hAnsi="Arial" w:cs="Arial"/>
          <w:b/>
          <w:bCs/>
          <w:sz w:val="20"/>
          <w:szCs w:val="20"/>
        </w:rPr>
        <w:fldChar w:fldCharType="separate"/>
      </w:r>
      <w:r>
        <w:rPr>
          <w:rFonts w:ascii="Arial" w:hAnsi="Arial" w:cs="Arial"/>
          <w:b/>
          <w:bCs/>
          <w:sz w:val="20"/>
          <w:szCs w:val="20"/>
        </w:rPr>
        <w:t>(6)</w:t>
      </w:r>
      <w:r>
        <w:rPr>
          <w:rFonts w:ascii="Arial" w:hAnsi="Arial" w:cs="Arial"/>
          <w:b/>
          <w:bCs/>
          <w:sz w:val="20"/>
          <w:szCs w:val="20"/>
        </w:rPr>
        <w:fldChar w:fldCharType="end"/>
      </w:r>
      <w:r>
        <w:rPr>
          <w:rFonts w:ascii="Arial" w:hAnsi="Arial" w:cs="Arial"/>
          <w:b/>
          <w:bCs/>
          <w:sz w:val="20"/>
          <w:szCs w:val="20"/>
        </w:rPr>
        <w:t>.</w:t>
      </w: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Osimertinib proporciona un valor añadido clínico menor en comparación con platino + pemetrexed en el tratamiento del CPNM con mutación T790M que ha progresado a ITK anti-EGFR. Los motivos son: osimertinib presenta superioridad frente a la quimioterapia establecida en términos de supervivencia libre de progresión (ganancia absoluta de 5,7 meses), y el perfil de tolerancia es más favorable en comparación con la quimioterapia con sal de platino, pero falta la demostración de una ganancia en la supervivencia global en comparación con la quimioterapia y, además, la naturaleza abierta del estudio no permite apreciar el aumento en la calidad de vida.</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primera línea del CPNM avanzado o metastásico con mutaciones activadoras de EGFR</w:t>
      </w:r>
    </w:p>
    <w:p w:rsidR="00DD1521" w:rsidRDefault="00DD1521">
      <w:pPr>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A nivel nacional, no se dispone de IPT ni tampoco informe de evaluación llevado a cabo por la SEOM.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A nivel internacional, el informe de la guía NICE, de la Haute Autorité de la Santé y del Scottish Medicines Consortium están todavía en desarrollo para esta indicación.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El informe provisional de la </w:t>
      </w:r>
      <w:r>
        <w:rPr>
          <w:rFonts w:ascii="Arial" w:hAnsi="Arial" w:cs="Arial"/>
          <w:b/>
          <w:bCs/>
          <w:sz w:val="20"/>
          <w:szCs w:val="20"/>
        </w:rPr>
        <w:t>CADTH</w:t>
      </w:r>
      <w:r>
        <w:rPr>
          <w:rFonts w:ascii="Arial" w:hAnsi="Arial" w:cs="Arial"/>
          <w:sz w:val="20"/>
          <w:szCs w:val="20"/>
        </w:rPr>
        <w:t xml:space="preserve"> (publicado en noviembre de 2018) </w:t>
      </w:r>
      <w:r>
        <w:rPr>
          <w:rFonts w:ascii="Arial" w:hAnsi="Arial" w:cs="Arial"/>
          <w:sz w:val="20"/>
          <w:szCs w:val="20"/>
        </w:rPr>
        <w:fldChar w:fldCharType="begin"/>
      </w:r>
      <w:r>
        <w:rPr>
          <w:rFonts w:ascii="Arial" w:hAnsi="Arial" w:cs="Arial"/>
          <w:sz w:val="20"/>
          <w:szCs w:val="20"/>
        </w:rPr>
        <w:instrText xml:space="preserve"> ADDIN ZOTERO_ITEM CSL_CITATION {"citationID":"XRgL61Fh","properties":{"formattedCitation":"(44)","plainCitation":"(44)"},"citationItems":[{"id":1057,"uris":["http://zotero.org/users/local/zrSbuHrK/items/WWTB7CMZ"],"uri":["http://zotero.org/users/local/zrSbuHrK/items/WWTB7CMZ"],"itemData":{"id":1057,"type":"webpage","title":"Tagrisso for Non-Small Cell Lung Cancer (first line) – Details | CADTH.ca","URL":"https://www.cadth.ca/tagrisso-non-small-cell-lung-cancer-first-line-details","accessed":{"date-parts":[["2018",12,5]]}}}],"schema":"https://github.com/citation-style-language/schema/raw/master/csl-citation.json"}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(37)</w:t>
      </w:r>
      <w:r>
        <w:rPr>
          <w:rFonts w:ascii="Arial" w:hAnsi="Arial" w:cs="Arial"/>
          <w:sz w:val="20"/>
          <w:szCs w:val="20"/>
        </w:rPr>
        <w:fldChar w:fldCharType="end"/>
      </w:r>
      <w:r>
        <w:rPr>
          <w:rFonts w:ascii="Arial" w:hAnsi="Arial" w:cs="Arial"/>
          <w:b/>
          <w:bCs/>
          <w:sz w:val="20"/>
          <w:szCs w:val="20"/>
        </w:rPr>
        <w:t xml:space="preserve"> </w:t>
      </w:r>
      <w:r>
        <w:rPr>
          <w:rFonts w:ascii="Arial" w:hAnsi="Arial" w:cs="Arial"/>
          <w:sz w:val="20"/>
          <w:szCs w:val="20"/>
        </w:rPr>
        <w:t>recomienda el reembolso de osimertinib para el tratamiento en primera línea del CPNM localmente avanzado o metastásico en pacientes que presenten una de las mutaciones más comunes en EGFR (deleción exón 19 o L858R) siempre y cuando se mejore el ratio coste-efectividad alcanzando niveles de aceptabilidad y que permitan la viabilidad del impacto presupuestario</w:t>
      </w:r>
      <w:r>
        <w:rPr>
          <w:rFonts w:ascii="Arial" w:hAnsi="Arial" w:cs="Arial"/>
          <w:b/>
          <w:bCs/>
          <w:sz w:val="20"/>
          <w:szCs w:val="20"/>
        </w:rPr>
        <w:t>.</w:t>
      </w:r>
      <w:r>
        <w:rPr>
          <w:rFonts w:ascii="Arial" w:hAnsi="Arial" w:cs="Arial"/>
          <w:sz w:val="20"/>
          <w:szCs w:val="20"/>
        </w:rPr>
        <w:t xml:space="preserve">  Esta recomendación se basa en el beneficio estadísticamente y clínicamente significativo de osimertinib en términos de SLP, además del perfil manejable de toxicidad que no impactó de forma negativa en la calidad de vida de los pacientes. Este beneficio también fue observado en pacientes con metástasis a nivel de SNC. Sin embargo, el comité de expertos concluye que al precio actualmente presentado osimertinib no se considera coste-efectivo y se requeriría una reducción sustancial del pecio para alcanzar los umbrales aceptados.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98" w:name="_Toc348931379"/>
      <w:bookmarkStart w:id="99" w:name="_Toc5793762"/>
      <w:r>
        <w:rPr>
          <w:rFonts w:ascii="Arial" w:hAnsi="Arial" w:cs="Arial"/>
          <w:sz w:val="20"/>
          <w:szCs w:val="20"/>
        </w:rPr>
        <w:t>5.4.3 Opiniones de expertos</w:t>
      </w:r>
      <w:bookmarkEnd w:id="98"/>
      <w:bookmarkEnd w:id="99"/>
      <w:r>
        <w:rPr>
          <w:rFonts w:ascii="Arial" w:hAnsi="Arial" w:cs="Arial"/>
          <w:sz w:val="20"/>
          <w:szCs w:val="20"/>
        </w:rPr>
        <w:t xml:space="preserve"> </w:t>
      </w:r>
    </w:p>
    <w:p w:rsidR="00DD1521" w:rsidRDefault="00DD1521">
      <w:pPr>
        <w:spacing w:after="0" w:line="240" w:lineRule="auto"/>
        <w:rPr>
          <w:rFonts w:ascii="Arial" w:hAnsi="Arial" w:cs="Arial"/>
          <w:sz w:val="20"/>
          <w:szCs w:val="20"/>
        </w:rPr>
      </w:pPr>
    </w:p>
    <w:p w:rsidR="00DD1521" w:rsidRDefault="00DD1521">
      <w:pPr>
        <w:spacing w:after="0" w:line="240" w:lineRule="auto"/>
        <w:rPr>
          <w:rFonts w:ascii="Arial" w:hAnsi="Arial" w:cs="Arial"/>
          <w:sz w:val="20"/>
          <w:szCs w:val="20"/>
        </w:rPr>
      </w:pPr>
      <w:r>
        <w:rPr>
          <w:rFonts w:ascii="Arial" w:hAnsi="Arial" w:cs="Arial"/>
          <w:sz w:val="20"/>
          <w:szCs w:val="20"/>
        </w:rPr>
        <w:t>No procede.</w:t>
      </w:r>
    </w:p>
    <w:p w:rsidR="00DD1521" w:rsidRDefault="00DD1521">
      <w:pPr>
        <w:spacing w:after="0" w:line="240" w:lineRule="auto"/>
        <w:rPr>
          <w:rFonts w:ascii="Arial" w:hAnsi="Arial" w:cs="Arial"/>
          <w:sz w:val="20"/>
          <w:szCs w:val="20"/>
        </w:rPr>
      </w:pPr>
    </w:p>
    <w:p w:rsidR="00DD1521" w:rsidRDefault="00DD1521">
      <w:pPr>
        <w:spacing w:after="0" w:line="240" w:lineRule="auto"/>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00" w:name="_Toc348931380"/>
      <w:bookmarkStart w:id="101" w:name="_Toc5793763"/>
      <w:r>
        <w:rPr>
          <w:rFonts w:ascii="Arial" w:hAnsi="Arial" w:cs="Arial"/>
          <w:sz w:val="20"/>
          <w:szCs w:val="20"/>
        </w:rPr>
        <w:t>5.4.4 Otras fuentes.</w:t>
      </w:r>
      <w:bookmarkEnd w:id="100"/>
      <w:bookmarkEnd w:id="101"/>
    </w:p>
    <w:p w:rsidR="00DD1521" w:rsidRDefault="00DD1521">
      <w:pPr>
        <w:spacing w:after="0" w:line="240" w:lineRule="auto"/>
        <w:rPr>
          <w:rFonts w:ascii="Arial" w:hAnsi="Arial" w:cs="Arial"/>
          <w:sz w:val="20"/>
          <w:szCs w:val="20"/>
        </w:rPr>
      </w:pPr>
      <w:r>
        <w:rPr>
          <w:rFonts w:ascii="Arial" w:hAnsi="Arial" w:cs="Arial"/>
          <w:sz w:val="20"/>
          <w:szCs w:val="20"/>
        </w:rPr>
        <w:t xml:space="preserve">                 </w:t>
      </w:r>
    </w:p>
    <w:p w:rsidR="00DD1521" w:rsidRDefault="00DD1521">
      <w:pPr>
        <w:spacing w:after="0" w:line="240" w:lineRule="auto"/>
        <w:rPr>
          <w:rFonts w:ascii="Arial" w:hAnsi="Arial" w:cs="Arial"/>
          <w:sz w:val="20"/>
          <w:szCs w:val="20"/>
        </w:rPr>
      </w:pPr>
      <w:r>
        <w:rPr>
          <w:rFonts w:ascii="Arial" w:hAnsi="Arial" w:cs="Arial"/>
          <w:sz w:val="20"/>
          <w:szCs w:val="20"/>
        </w:rPr>
        <w:t>No procede.</w:t>
      </w:r>
    </w:p>
    <w:p w:rsidR="00DD1521" w:rsidRDefault="00DD1521">
      <w:pPr>
        <w:spacing w:after="0" w:line="240" w:lineRule="auto"/>
        <w:rPr>
          <w:rFonts w:ascii="Arial" w:hAnsi="Arial" w:cs="Arial"/>
          <w:sz w:val="20"/>
          <w:szCs w:val="20"/>
        </w:rPr>
      </w:pPr>
    </w:p>
    <w:p w:rsidR="00DD1521" w:rsidRDefault="00DD1521">
      <w:pPr>
        <w:spacing w:after="0" w:line="240" w:lineRule="auto"/>
        <w:rPr>
          <w:rFonts w:ascii="Arial" w:hAnsi="Arial" w:cs="Arial"/>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DD1521">
        <w:trPr>
          <w:trHeight w:val="228"/>
        </w:trPr>
        <w:tc>
          <w:tcPr>
            <w:tcW w:w="8890" w:type="dxa"/>
            <w:shd w:val="clear" w:color="auto" w:fill="B3B3B3"/>
          </w:tcPr>
          <w:p w:rsidR="00DD1521" w:rsidRPr="00E23D29" w:rsidRDefault="00DD1521">
            <w:pPr>
              <w:pStyle w:val="Ttulo1"/>
              <w:shd w:val="clear" w:color="auto" w:fill="A6A6A6"/>
              <w:spacing w:after="0" w:line="240" w:lineRule="auto"/>
              <w:rPr>
                <w:rFonts w:ascii="Arial" w:hAnsi="Arial" w:cs="Arial"/>
                <w:kern w:val="0"/>
                <w:sz w:val="20"/>
                <w:szCs w:val="20"/>
              </w:rPr>
            </w:pPr>
            <w:bookmarkStart w:id="102" w:name="_Toc348931381"/>
            <w:bookmarkStart w:id="103" w:name="_Toc344399650"/>
            <w:bookmarkStart w:id="104" w:name="_Toc5793764"/>
            <w:r w:rsidRPr="00E23D29">
              <w:rPr>
                <w:rFonts w:ascii="Arial" w:hAnsi="Arial" w:cs="Arial"/>
                <w:kern w:val="0"/>
                <w:sz w:val="20"/>
                <w:szCs w:val="20"/>
              </w:rPr>
              <w:t>6. EVALUACIÓN DE LA SEGURIDAD.</w:t>
            </w:r>
            <w:bookmarkEnd w:id="102"/>
            <w:bookmarkEnd w:id="103"/>
            <w:bookmarkEnd w:id="104"/>
            <w:r w:rsidRPr="00E23D29">
              <w:rPr>
                <w:rFonts w:ascii="Arial" w:hAnsi="Arial" w:cs="Arial"/>
                <w:kern w:val="0"/>
                <w:sz w:val="20"/>
                <w:szCs w:val="20"/>
              </w:rPr>
              <w:t xml:space="preserve"> </w:t>
            </w:r>
          </w:p>
        </w:tc>
      </w:tr>
    </w:tbl>
    <w:p w:rsidR="00DD1521" w:rsidRDefault="00DD1521">
      <w:pPr>
        <w:spacing w:after="0" w:line="240" w:lineRule="auto"/>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05" w:name="_Toc344399651"/>
      <w:bookmarkStart w:id="106" w:name="_Toc348931382"/>
      <w:bookmarkStart w:id="107" w:name="_Toc5793765"/>
      <w:r>
        <w:rPr>
          <w:rFonts w:ascii="Arial" w:hAnsi="Arial" w:cs="Arial"/>
          <w:sz w:val="20"/>
          <w:szCs w:val="20"/>
        </w:rPr>
        <w:t>6.1.a Descripción de la búsqueda bibliográfica</w:t>
      </w:r>
      <w:bookmarkEnd w:id="105"/>
      <w:bookmarkEnd w:id="106"/>
      <w:bookmarkEnd w:id="107"/>
    </w:p>
    <w:p w:rsidR="00DD1521" w:rsidRDefault="00DD1521">
      <w:pPr>
        <w:shd w:val="clear" w:color="auto" w:fill="FFFFFF"/>
        <w:spacing w:after="0" w:line="240" w:lineRule="auto"/>
        <w:jc w:val="both"/>
        <w:rPr>
          <w:rFonts w:ascii="Arial" w:hAnsi="Arial" w:cs="Arial"/>
          <w:sz w:val="20"/>
          <w:szCs w:val="20"/>
        </w:rPr>
      </w:pPr>
    </w:p>
    <w:p w:rsidR="00DD1521" w:rsidRDefault="00DD1521">
      <w:pPr>
        <w:shd w:val="clear" w:color="auto" w:fill="FFFFFF"/>
        <w:spacing w:after="0" w:line="240" w:lineRule="auto"/>
        <w:jc w:val="both"/>
        <w:rPr>
          <w:rFonts w:ascii="Arial" w:hAnsi="Arial" w:cs="Arial"/>
          <w:sz w:val="20"/>
          <w:szCs w:val="20"/>
        </w:rPr>
      </w:pPr>
      <w:r>
        <w:rPr>
          <w:rFonts w:ascii="Arial" w:hAnsi="Arial" w:cs="Arial"/>
          <w:sz w:val="20"/>
          <w:szCs w:val="20"/>
        </w:rPr>
        <w:t>La descrita en el apartado de eficacia.</w:t>
      </w:r>
    </w:p>
    <w:p w:rsidR="00DD1521" w:rsidRDefault="00DD1521">
      <w:pPr>
        <w:shd w:val="clear" w:color="auto" w:fill="FFFFFF"/>
        <w:spacing w:after="0" w:line="240" w:lineRule="auto"/>
        <w:jc w:val="both"/>
        <w:rPr>
          <w:rFonts w:ascii="Arial" w:hAnsi="Arial" w:cs="Arial"/>
          <w:sz w:val="20"/>
          <w:szCs w:val="20"/>
        </w:rPr>
      </w:pPr>
    </w:p>
    <w:p w:rsidR="00DD1521" w:rsidRDefault="00DD1521">
      <w:pPr>
        <w:shd w:val="clear" w:color="auto" w:fill="FFFFFF"/>
        <w:spacing w:after="0" w:line="240" w:lineRule="auto"/>
        <w:jc w:val="both"/>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08" w:name="_Toc348931383"/>
      <w:bookmarkStart w:id="109" w:name="_Toc344399652"/>
      <w:bookmarkStart w:id="110" w:name="_Toc5793766"/>
      <w:r>
        <w:rPr>
          <w:rFonts w:ascii="Arial" w:hAnsi="Arial" w:cs="Arial"/>
          <w:sz w:val="20"/>
          <w:szCs w:val="20"/>
        </w:rPr>
        <w:t>6.1.b Descripción de los efectos adversos más significativos</w:t>
      </w:r>
      <w:bookmarkEnd w:id="108"/>
      <w:bookmarkEnd w:id="109"/>
      <w:r>
        <w:rPr>
          <w:rFonts w:ascii="Arial" w:hAnsi="Arial" w:cs="Arial"/>
          <w:sz w:val="20"/>
          <w:szCs w:val="20"/>
        </w:rPr>
        <w:t xml:space="preserve"> (19)</w:t>
      </w:r>
      <w:bookmarkEnd w:id="110"/>
    </w:p>
    <w:p w:rsidR="00DD1521" w:rsidRDefault="00DD1521">
      <w:pPr>
        <w:shd w:val="clear" w:color="auto" w:fill="FFFFFF"/>
        <w:spacing w:after="0" w:line="240" w:lineRule="auto"/>
        <w:jc w:val="both"/>
        <w:rPr>
          <w:rFonts w:ascii="Arial" w:hAnsi="Arial" w:cs="Arial"/>
          <w:sz w:val="20"/>
          <w:szCs w:val="20"/>
        </w:rPr>
      </w:pPr>
    </w:p>
    <w:p w:rsidR="00DD1521" w:rsidRDefault="00DD1521">
      <w:pPr>
        <w:shd w:val="clear" w:color="auto" w:fill="FFFFFF"/>
        <w:spacing w:after="0" w:line="240" w:lineRule="auto"/>
        <w:jc w:val="both"/>
        <w:rPr>
          <w:rFonts w:ascii="Arial" w:hAnsi="Arial" w:cs="Arial"/>
          <w:sz w:val="20"/>
          <w:szCs w:val="20"/>
        </w:rPr>
      </w:pPr>
      <w:r>
        <w:rPr>
          <w:rFonts w:ascii="Arial" w:hAnsi="Arial" w:cs="Arial"/>
          <w:sz w:val="20"/>
          <w:szCs w:val="20"/>
        </w:rPr>
        <w:t xml:space="preserve">Para la evaluación de la seguridad, disponemos de dos ensayos clínicos, el estudio AURA 3, que compara osimertinib frente a quimioterapia y el ensayo FLAURA que compara osimertinib frente los ITK estándar de primera generación (erlotinib/gefitinib). </w:t>
      </w:r>
    </w:p>
    <w:p w:rsidR="00DD1521" w:rsidRDefault="00DD1521">
      <w:pPr>
        <w:shd w:val="clear" w:color="auto" w:fill="FFFFFF"/>
        <w:spacing w:after="0" w:line="240" w:lineRule="auto"/>
        <w:jc w:val="both"/>
        <w:rPr>
          <w:rFonts w:ascii="Arial" w:hAnsi="Arial" w:cs="Arial"/>
          <w:sz w:val="20"/>
          <w:szCs w:val="20"/>
        </w:rPr>
      </w:pPr>
    </w:p>
    <w:p w:rsidR="00DD1521" w:rsidRDefault="00DD1521">
      <w:pPr>
        <w:shd w:val="clear" w:color="auto" w:fill="FFFFFF"/>
        <w:spacing w:after="0" w:line="240" w:lineRule="auto"/>
        <w:jc w:val="both"/>
        <w:rPr>
          <w:rFonts w:ascii="Arial" w:hAnsi="Arial" w:cs="Arial"/>
          <w:sz w:val="20"/>
          <w:szCs w:val="20"/>
        </w:rPr>
      </w:pPr>
      <w:r>
        <w:rPr>
          <w:rFonts w:ascii="Arial" w:hAnsi="Arial" w:cs="Arial"/>
          <w:sz w:val="20"/>
          <w:szCs w:val="20"/>
        </w:rPr>
        <w:t xml:space="preserve">A </w:t>
      </w:r>
      <w:r w:rsidR="00CA0E55">
        <w:rPr>
          <w:rFonts w:ascii="Arial" w:hAnsi="Arial" w:cs="Arial"/>
          <w:sz w:val="20"/>
          <w:szCs w:val="20"/>
        </w:rPr>
        <w:t>continuación,</w:t>
      </w:r>
      <w:r>
        <w:rPr>
          <w:rFonts w:ascii="Arial" w:hAnsi="Arial" w:cs="Arial"/>
          <w:sz w:val="20"/>
          <w:szCs w:val="20"/>
        </w:rPr>
        <w:t xml:space="preserve"> se detallan los principales resultados obtenidos en cada uno de los estudios.</w:t>
      </w:r>
    </w:p>
    <w:p w:rsidR="00DD1521" w:rsidRDefault="00DD1521">
      <w:pPr>
        <w:shd w:val="clear" w:color="auto" w:fill="FFFFFF"/>
        <w:spacing w:after="0" w:line="240" w:lineRule="auto"/>
        <w:jc w:val="both"/>
        <w:rPr>
          <w:rFonts w:ascii="Arial" w:hAnsi="Arial" w:cs="Arial"/>
          <w:sz w:val="20"/>
          <w:szCs w:val="20"/>
        </w:rPr>
      </w:pPr>
    </w:p>
    <w:p w:rsidR="00DD1521" w:rsidRDefault="00DD1521">
      <w:pPr>
        <w:shd w:val="clear" w:color="auto" w:fill="FFFFFF"/>
        <w:spacing w:after="0" w:line="240" w:lineRule="auto"/>
        <w:jc w:val="both"/>
        <w:rPr>
          <w:rFonts w:ascii="Arial" w:hAnsi="Arial" w:cs="Arial"/>
          <w:sz w:val="20"/>
          <w:szCs w:val="20"/>
        </w:rPr>
      </w:pPr>
    </w:p>
    <w:p w:rsidR="00DD1521" w:rsidRDefault="00DD1521">
      <w:pPr>
        <w:shd w:val="clear" w:color="auto" w:fill="FFFFFF"/>
        <w:spacing w:after="0" w:line="240" w:lineRule="auto"/>
        <w:jc w:val="both"/>
        <w:rPr>
          <w:rFonts w:ascii="Arial" w:hAnsi="Arial" w:cs="Arial"/>
          <w:sz w:val="20"/>
          <w:szCs w:val="20"/>
        </w:rPr>
      </w:pPr>
    </w:p>
    <w:p w:rsidR="00DD1521" w:rsidRDefault="00DD1521">
      <w:pPr>
        <w:pStyle w:val="Normal1"/>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w:hAnsi="Arial" w:cs="Arial"/>
          <w:b/>
          <w:bCs/>
          <w:sz w:val="20"/>
          <w:szCs w:val="20"/>
        </w:rPr>
      </w:pPr>
      <w:r>
        <w:rPr>
          <w:rFonts w:ascii="Arial" w:hAnsi="Arial" w:cs="Arial"/>
          <w:b/>
          <w:bCs/>
          <w:sz w:val="20"/>
          <w:szCs w:val="20"/>
        </w:rPr>
        <w:t>AURA 3</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La evaluación principal de seguridad en el ensayo clínico AURA 3 procede de 415 pacientes en los que se comparó́ osimertinib frente a quimioterapia. Además, en el momento de la solicitud de autorización se presentaron resultados actualizados del </w:t>
      </w:r>
      <w:r>
        <w:rPr>
          <w:rFonts w:ascii="Arial" w:hAnsi="Arial" w:cs="Arial"/>
          <w:i/>
          <w:iCs/>
          <w:sz w:val="20"/>
          <w:szCs w:val="20"/>
        </w:rPr>
        <w:t xml:space="preserve">pool </w:t>
      </w:r>
      <w:r>
        <w:rPr>
          <w:rFonts w:ascii="Arial" w:hAnsi="Arial" w:cs="Arial"/>
          <w:sz w:val="20"/>
          <w:szCs w:val="20"/>
        </w:rPr>
        <w:t>de los estudios fase II con otros 411 pacientes. En general, el perfil de seguridad de osimertinib resultó más favorable que el de la quimioterapia.</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En el estudio AURA 3, la </w:t>
      </w:r>
      <w:r>
        <w:rPr>
          <w:rFonts w:ascii="Arial" w:hAnsi="Arial" w:cs="Arial"/>
          <w:b/>
          <w:bCs/>
          <w:sz w:val="20"/>
          <w:szCs w:val="20"/>
        </w:rPr>
        <w:t>mediana de exposición a osimertinib fue de 8,1 meses</w:t>
      </w:r>
      <w:r>
        <w:rPr>
          <w:rFonts w:ascii="Arial" w:hAnsi="Arial" w:cs="Arial"/>
          <w:sz w:val="20"/>
          <w:szCs w:val="20"/>
        </w:rPr>
        <w:t xml:space="preserve"> [0,2 – 18,5] mientras que en el brazo de quimioterapia fue de </w:t>
      </w:r>
      <w:r>
        <w:rPr>
          <w:rFonts w:ascii="Arial" w:hAnsi="Arial" w:cs="Arial"/>
          <w:b/>
          <w:bCs/>
          <w:sz w:val="20"/>
          <w:szCs w:val="20"/>
        </w:rPr>
        <w:t>4,2 meses</w:t>
      </w:r>
      <w:r>
        <w:rPr>
          <w:rFonts w:ascii="Arial" w:hAnsi="Arial" w:cs="Arial"/>
          <w:sz w:val="20"/>
          <w:szCs w:val="20"/>
        </w:rPr>
        <w:t>. En aquellos pacientes que recibieron terapia de mantenimiento con pemetrexed su mediana de la duración fue de 3,1 meses.</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En el estudio AURA 3, no hubo diferencias en el </w:t>
      </w:r>
      <w:r>
        <w:rPr>
          <w:rFonts w:ascii="Arial" w:hAnsi="Arial" w:cs="Arial"/>
          <w:b/>
          <w:bCs/>
          <w:sz w:val="20"/>
          <w:szCs w:val="20"/>
        </w:rPr>
        <w:t xml:space="preserve">porcentaje de pacientes que experimentaron acontecimientos adversos </w:t>
      </w:r>
      <w:r>
        <w:rPr>
          <w:rFonts w:ascii="Arial" w:hAnsi="Arial" w:cs="Arial"/>
          <w:sz w:val="20"/>
          <w:szCs w:val="20"/>
        </w:rPr>
        <w:t xml:space="preserve">entre los brazos de osimertinib (97,8%) y de quimioterapia (99,3%). </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Los acontecimientos adversos que se registraron de manera </w:t>
      </w:r>
      <w:r>
        <w:rPr>
          <w:rFonts w:ascii="Arial" w:hAnsi="Arial" w:cs="Arial"/>
          <w:b/>
          <w:bCs/>
          <w:sz w:val="20"/>
          <w:szCs w:val="20"/>
        </w:rPr>
        <w:t>más frecuente (&gt;50%)</w:t>
      </w:r>
      <w:r>
        <w:rPr>
          <w:rFonts w:ascii="Arial" w:hAnsi="Arial" w:cs="Arial"/>
          <w:sz w:val="20"/>
          <w:szCs w:val="20"/>
        </w:rPr>
        <w:t xml:space="preserve"> fueron gastrointestinales, alteraciones de la piel y del tejido subcutáneo, así́ como infecciones e infestaciones. En el brazo de quimioterapia fueron los trastornos generales y los efectos adversos en el lugar de administración.</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El perfil de acontecimientos adversos de osimertinib </w:t>
      </w:r>
      <w:r>
        <w:rPr>
          <w:rFonts w:ascii="Arial" w:hAnsi="Arial" w:cs="Arial"/>
          <w:b/>
          <w:bCs/>
          <w:sz w:val="20"/>
          <w:szCs w:val="20"/>
        </w:rPr>
        <w:t>frecuentes (&gt;15%)</w:t>
      </w:r>
      <w:r>
        <w:rPr>
          <w:rFonts w:ascii="Arial" w:hAnsi="Arial" w:cs="Arial"/>
          <w:sz w:val="20"/>
          <w:szCs w:val="20"/>
        </w:rPr>
        <w:t xml:space="preserve"> se caracteriza principalmente por diarrea, piel seca, falta de apetito, paroniquia, tos, nausea y fatiga. En particular, el brazo de osimertinib comparado con el brazo de quimioterapia presentó mayor frecuencia de diarrea (40,5% vs. 11,0%), piel seca (18,6% vs. 4,4%), paroniquia (16,5% vs. 1,5%) y dermatitis acneiforme (12,9% vs. 2,2%). Sin </w:t>
      </w:r>
      <w:r w:rsidR="00CA0E55">
        <w:rPr>
          <w:rFonts w:ascii="Arial" w:hAnsi="Arial" w:cs="Arial"/>
          <w:sz w:val="20"/>
          <w:szCs w:val="20"/>
        </w:rPr>
        <w:t>embargo,</w:t>
      </w:r>
      <w:r>
        <w:rPr>
          <w:rFonts w:ascii="Arial" w:hAnsi="Arial" w:cs="Arial"/>
          <w:sz w:val="20"/>
          <w:szCs w:val="20"/>
        </w:rPr>
        <w:t xml:space="preserve"> las náuseas (16,1% vs. 49,3%), la falta de apetito (17,9% vs. 36,0%), el estreñimiento (14,0% vs. 34,6%), la fatiga (15,8% vs. 27,9%), la anemia (6,8% vs. 27,9%) y la disminución en el recuento de plaquetas (4,3% vs. 15,4%) fueron más frecuentes en el brazo de quimioterapia.</w:t>
      </w:r>
    </w:p>
    <w:p w:rsidR="00DD1521" w:rsidRDefault="00DD1521">
      <w:pPr>
        <w:pStyle w:val="Normal1"/>
        <w:shd w:val="clear" w:color="auto" w:fill="FFFFFF"/>
        <w:spacing w:after="0" w:line="240" w:lineRule="auto"/>
        <w:jc w:val="both"/>
        <w:rPr>
          <w:rFonts w:ascii="Arial" w:eastAsia="Arial Unicode MS" w:hAnsi="Arial"/>
          <w:sz w:val="20"/>
          <w:szCs w:val="20"/>
        </w:rPr>
      </w:pPr>
    </w:p>
    <w:p w:rsidR="00DD1521" w:rsidRDefault="00DD1521">
      <w:pPr>
        <w:pStyle w:val="Normal1"/>
        <w:shd w:val="clear" w:color="auto" w:fill="FFFFFF"/>
        <w:spacing w:after="0" w:line="240" w:lineRule="auto"/>
        <w:jc w:val="both"/>
        <w:rPr>
          <w:rFonts w:ascii="Arial" w:eastAsia="Arial Unicode MS" w:hAnsi="Arial"/>
          <w:sz w:val="20"/>
          <w:szCs w:val="20"/>
        </w:rPr>
      </w:pPr>
      <w:r>
        <w:rPr>
          <w:rFonts w:ascii="Arial" w:eastAsia="Arial Unicode MS" w:hAnsi="Arial" w:cs="Arial"/>
          <w:sz w:val="20"/>
          <w:szCs w:val="20"/>
        </w:rPr>
        <w:t xml:space="preserve">En el estudio AURA 3, los </w:t>
      </w:r>
      <w:r>
        <w:rPr>
          <w:rFonts w:ascii="Arial" w:eastAsia="Arial Unicode MS" w:hAnsi="Arial" w:cs="Arial"/>
          <w:b/>
          <w:bCs/>
          <w:sz w:val="20"/>
          <w:szCs w:val="20"/>
        </w:rPr>
        <w:t>acontecimientos adversos grado ≥ 3</w:t>
      </w:r>
      <w:r>
        <w:rPr>
          <w:rFonts w:ascii="Arial" w:eastAsia="Arial Unicode MS" w:hAnsi="Arial" w:cs="Arial"/>
          <w:sz w:val="20"/>
          <w:szCs w:val="20"/>
        </w:rPr>
        <w:t xml:space="preserve"> fueron más frecuentes en el brazo de quimioterapia (47,1% vs. 22,6%). En el brazo de osimertinib se registraron cuatro casos de embolia pulmonar (1,4%) y tres casos (1,1%) de cada uno de los siguientes acontecimientos adversos grado ≥ 3: disminución del recuento de neutrófilos, astenia, disminución del apetito, diarrea, fatiga, aumento de alanina aminotransferasa (ALT), aumento de aspartato aminotransferasa (AST) y disnea.</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lastRenderedPageBreak/>
        <w:t>Los pacientes tratados con osimertinib presentaron mayor frecuencia de enfermedad pulmonar intersticial y acontecimientos relacionados que el grupo control (3,6% vs. 0,7%). La prolongación del intervalo QTc (QTcF&gt; 500</w:t>
      </w:r>
      <w:r w:rsidR="00CA0E55">
        <w:rPr>
          <w:rFonts w:ascii="Arial" w:hAnsi="Arial" w:cs="Arial"/>
          <w:sz w:val="20"/>
          <w:szCs w:val="20"/>
        </w:rPr>
        <w:t xml:space="preserve"> </w:t>
      </w:r>
      <w:r>
        <w:rPr>
          <w:rFonts w:ascii="Arial" w:hAnsi="Arial" w:cs="Arial"/>
          <w:sz w:val="20"/>
          <w:szCs w:val="20"/>
        </w:rPr>
        <w:t>mseg) también se registró con mayor frecuencia en el brazo de osimertinib (1,4% vs. 0,7%).</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La </w:t>
      </w:r>
      <w:r>
        <w:rPr>
          <w:rFonts w:ascii="Arial" w:hAnsi="Arial" w:cs="Arial"/>
          <w:b/>
          <w:bCs/>
          <w:sz w:val="20"/>
          <w:szCs w:val="20"/>
        </w:rPr>
        <w:t>interrupción de tratamiento</w:t>
      </w:r>
      <w:r>
        <w:rPr>
          <w:rFonts w:ascii="Arial" w:hAnsi="Arial" w:cs="Arial"/>
          <w:sz w:val="20"/>
          <w:szCs w:val="20"/>
        </w:rPr>
        <w:t xml:space="preserve"> debida a acontecimientos adversos tuvo lugar en un </w:t>
      </w:r>
      <w:r>
        <w:rPr>
          <w:rFonts w:ascii="Arial" w:hAnsi="Arial" w:cs="Arial"/>
          <w:b/>
          <w:bCs/>
          <w:sz w:val="20"/>
          <w:szCs w:val="20"/>
        </w:rPr>
        <w:t>6,8%</w:t>
      </w:r>
      <w:r>
        <w:rPr>
          <w:rFonts w:ascii="Arial" w:hAnsi="Arial" w:cs="Arial"/>
          <w:sz w:val="20"/>
          <w:szCs w:val="20"/>
        </w:rPr>
        <w:t xml:space="preserve"> de los pacientes en el brazo de osimertinib y en un </w:t>
      </w:r>
      <w:r>
        <w:rPr>
          <w:rFonts w:ascii="Arial" w:hAnsi="Arial" w:cs="Arial"/>
          <w:b/>
          <w:bCs/>
          <w:sz w:val="20"/>
          <w:szCs w:val="20"/>
        </w:rPr>
        <w:t>10,3%</w:t>
      </w:r>
      <w:r>
        <w:rPr>
          <w:rFonts w:ascii="Arial" w:hAnsi="Arial" w:cs="Arial"/>
          <w:sz w:val="20"/>
          <w:szCs w:val="20"/>
        </w:rPr>
        <w:t xml:space="preserve"> de los pacientes en el brazo de quimioterapia.</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En el brazo de osimertinib se registraron cuatro </w:t>
      </w:r>
      <w:r>
        <w:rPr>
          <w:rFonts w:ascii="Arial" w:hAnsi="Arial" w:cs="Arial"/>
          <w:b/>
          <w:bCs/>
          <w:sz w:val="20"/>
          <w:szCs w:val="20"/>
        </w:rPr>
        <w:t>acontecimientos adversos mortales</w:t>
      </w:r>
      <w:r>
        <w:rPr>
          <w:rFonts w:ascii="Arial" w:hAnsi="Arial" w:cs="Arial"/>
          <w:sz w:val="20"/>
          <w:szCs w:val="20"/>
        </w:rPr>
        <w:t xml:space="preserve"> (dos por fallo respiratorio, uno por neumonitis y uno por accidente cerebrovascular). En el brazo de quimioterapia se registró un acontecimiento adverso mortal (por shock hipovolémico).</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eastAsia="Arial Unicode MS" w:hAnsi="Arial" w:cs="Arial"/>
          <w:sz w:val="20"/>
          <w:szCs w:val="20"/>
        </w:rPr>
      </w:pPr>
      <w:r>
        <w:rPr>
          <w:rFonts w:ascii="Arial" w:eastAsia="Arial Unicode MS" w:hAnsi="Arial" w:cs="Arial"/>
          <w:sz w:val="20"/>
          <w:szCs w:val="20"/>
        </w:rPr>
        <w:t xml:space="preserve">En la tabla se muestran las </w:t>
      </w:r>
      <w:r>
        <w:rPr>
          <w:rFonts w:ascii="Arial" w:eastAsia="Arial Unicode MS" w:hAnsi="Arial" w:cs="Arial"/>
          <w:b/>
          <w:bCs/>
          <w:sz w:val="20"/>
          <w:szCs w:val="20"/>
        </w:rPr>
        <w:t>reacciones adversas de grado ≥ 3</w:t>
      </w:r>
      <w:r>
        <w:rPr>
          <w:rFonts w:ascii="Arial" w:eastAsia="Arial Unicode MS" w:hAnsi="Arial" w:cs="Arial"/>
          <w:sz w:val="20"/>
          <w:szCs w:val="20"/>
        </w:rPr>
        <w:t xml:space="preserve"> registradas en el estudio AURA3 en los brazos osimertinib y quimioterapia. Hubo diferencias significativas en la frecuencia de las siguientes reacciones adversas: embolismo pulmonar, astenia, náuseas, anemia, neutropenia y trombocitopenia, siendo todas ellas de mayor frecuencia en el grupo de quimioterapia y destacando el embolismo pulmonar.</w:t>
      </w:r>
    </w:p>
    <w:p w:rsidR="00DD1521" w:rsidRDefault="00DD1521">
      <w:pPr>
        <w:pStyle w:val="Normal1"/>
        <w:shd w:val="clear" w:color="auto" w:fill="FFFFFF"/>
        <w:spacing w:after="0" w:line="240" w:lineRule="auto"/>
        <w:jc w:val="both"/>
        <w:rPr>
          <w:rFonts w:ascii="Arial" w:eastAsia="Arial Unicode MS" w:hAnsi="Arial" w:cs="Arial"/>
          <w:sz w:val="20"/>
          <w:szCs w:val="20"/>
        </w:rPr>
      </w:pPr>
    </w:p>
    <w:p w:rsidR="00DD1521" w:rsidRDefault="00DD1521">
      <w:pPr>
        <w:pStyle w:val="Normal1"/>
        <w:shd w:val="clear" w:color="auto" w:fill="FFFFFF"/>
        <w:spacing w:after="0" w:line="240" w:lineRule="auto"/>
        <w:jc w:val="both"/>
        <w:rPr>
          <w:rFonts w:ascii="Arial" w:eastAsia="Arial Unicode MS" w:hAnsi="Arial" w:cs="Arial"/>
          <w:sz w:val="20"/>
          <w:szCs w:val="20"/>
        </w:rPr>
      </w:pPr>
    </w:p>
    <w:p w:rsidR="00DD1521" w:rsidRDefault="00DD1521">
      <w:pPr>
        <w:pStyle w:val="Normal1"/>
        <w:shd w:val="clear" w:color="auto" w:fill="FFFFFF"/>
        <w:spacing w:after="0" w:line="240" w:lineRule="auto"/>
        <w:jc w:val="both"/>
        <w:rPr>
          <w:rFonts w:ascii="Arial" w:eastAsia="Arial Unicode MS" w:hAnsi="Arial" w:cs="Arial"/>
          <w:sz w:val="20"/>
          <w:szCs w:val="20"/>
        </w:rPr>
      </w:pPr>
    </w:p>
    <w:tbl>
      <w:tblPr>
        <w:tblW w:w="887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08"/>
        <w:gridCol w:w="1074"/>
        <w:gridCol w:w="1276"/>
        <w:gridCol w:w="2022"/>
        <w:gridCol w:w="634"/>
        <w:gridCol w:w="1265"/>
      </w:tblGrid>
      <w:tr w:rsidR="00DD1521">
        <w:tc>
          <w:tcPr>
            <w:tcW w:w="8879" w:type="dxa"/>
            <w:gridSpan w:val="6"/>
            <w:shd w:val="clear" w:color="auto" w:fill="CCFFCC"/>
          </w:tcPr>
          <w:p w:rsidR="00DD1521" w:rsidRDefault="00DD1521">
            <w:pPr>
              <w:spacing w:after="0" w:line="240" w:lineRule="auto"/>
              <w:jc w:val="both"/>
              <w:rPr>
                <w:rFonts w:ascii="Arial" w:hAnsi="Arial" w:cs="Arial"/>
                <w:b/>
                <w:bCs/>
                <w:sz w:val="18"/>
                <w:szCs w:val="18"/>
              </w:rPr>
            </w:pPr>
            <w:r>
              <w:rPr>
                <w:rFonts w:ascii="Arial" w:hAnsi="Arial" w:cs="Arial"/>
                <w:b/>
                <w:bCs/>
                <w:sz w:val="18"/>
                <w:szCs w:val="18"/>
              </w:rPr>
              <w:t>Tabla 11. Referencia: Estudio AURA 3: Osimertinib or platinum-pemetrexed in EGFR T790M-positive lung cancer. Mok TS, Wu Y-L, Ahn M-J, Garassino MC,  et al. N Engl J Med. 2017;376(7):629-40.</w:t>
            </w:r>
          </w:p>
        </w:tc>
      </w:tr>
      <w:tr w:rsidR="00DD1521">
        <w:tc>
          <w:tcPr>
            <w:tcW w:w="8879" w:type="dxa"/>
            <w:gridSpan w:val="6"/>
            <w:shd w:val="clear" w:color="auto" w:fill="CCFFCC"/>
          </w:tcPr>
          <w:p w:rsidR="00DD1521" w:rsidRDefault="00DD1521">
            <w:pPr>
              <w:spacing w:after="0" w:line="240" w:lineRule="auto"/>
              <w:jc w:val="both"/>
              <w:rPr>
                <w:rFonts w:ascii="Arial" w:hAnsi="Arial" w:cs="Arial"/>
                <w:i/>
                <w:iCs/>
                <w:sz w:val="16"/>
                <w:szCs w:val="16"/>
              </w:rPr>
            </w:pPr>
            <w:r>
              <w:rPr>
                <w:rFonts w:ascii="Arial" w:hAnsi="Arial" w:cs="Arial"/>
                <w:b/>
                <w:bCs/>
                <w:sz w:val="16"/>
                <w:szCs w:val="16"/>
              </w:rPr>
              <w:t>Resultados de seguridad</w:t>
            </w:r>
          </w:p>
        </w:tc>
      </w:tr>
      <w:tr w:rsidR="00DD1521">
        <w:trPr>
          <w:trHeight w:val="586"/>
        </w:trPr>
        <w:tc>
          <w:tcPr>
            <w:tcW w:w="2608" w:type="dxa"/>
          </w:tcPr>
          <w:p w:rsidR="00DD1521" w:rsidRDefault="00DD1521">
            <w:pPr>
              <w:spacing w:after="0" w:line="240" w:lineRule="auto"/>
              <w:jc w:val="both"/>
              <w:rPr>
                <w:rFonts w:ascii="Arial" w:hAnsi="Arial" w:cs="Arial"/>
                <w:b/>
                <w:bCs/>
                <w:i/>
                <w:iCs/>
                <w:sz w:val="16"/>
                <w:szCs w:val="16"/>
              </w:rPr>
            </w:pPr>
            <w:r>
              <w:rPr>
                <w:rFonts w:ascii="Arial" w:hAnsi="Arial" w:cs="Arial"/>
                <w:b/>
                <w:bCs/>
                <w:i/>
                <w:iCs/>
                <w:sz w:val="16"/>
                <w:szCs w:val="16"/>
              </w:rPr>
              <w:t>Variable de seguridad evaluada en el estudio</w:t>
            </w:r>
          </w:p>
        </w:tc>
        <w:tc>
          <w:tcPr>
            <w:tcW w:w="1074" w:type="dxa"/>
          </w:tcPr>
          <w:p w:rsidR="00DD1521" w:rsidRDefault="00DD1521">
            <w:pPr>
              <w:tabs>
                <w:tab w:val="left" w:pos="1673"/>
              </w:tabs>
              <w:spacing w:after="0" w:line="240" w:lineRule="auto"/>
              <w:jc w:val="center"/>
              <w:rPr>
                <w:rFonts w:ascii="Arial" w:hAnsi="Arial" w:cs="Arial"/>
                <w:b/>
                <w:bCs/>
                <w:i/>
                <w:iCs/>
                <w:sz w:val="16"/>
                <w:szCs w:val="16"/>
                <w:lang w:val="pt-BR"/>
              </w:rPr>
            </w:pPr>
            <w:r>
              <w:rPr>
                <w:rFonts w:ascii="Arial" w:hAnsi="Arial" w:cs="Arial"/>
                <w:b/>
                <w:bCs/>
                <w:i/>
                <w:iCs/>
                <w:sz w:val="16"/>
                <w:szCs w:val="16"/>
                <w:lang w:val="pt-BR"/>
              </w:rPr>
              <w:t>Osimertinib 80 mg</w:t>
            </w:r>
          </w:p>
          <w:p w:rsidR="00DD1521" w:rsidRDefault="00DD1521">
            <w:pPr>
              <w:tabs>
                <w:tab w:val="left" w:pos="1673"/>
              </w:tabs>
              <w:spacing w:after="0" w:line="240" w:lineRule="auto"/>
              <w:jc w:val="center"/>
              <w:rPr>
                <w:rFonts w:ascii="Arial" w:hAnsi="Arial" w:cs="Arial"/>
                <w:b/>
                <w:bCs/>
                <w:i/>
                <w:iCs/>
                <w:sz w:val="16"/>
                <w:szCs w:val="16"/>
                <w:lang w:val="pt-BR"/>
              </w:rPr>
            </w:pPr>
            <w:r>
              <w:rPr>
                <w:rFonts w:ascii="Arial" w:hAnsi="Arial" w:cs="Arial"/>
                <w:b/>
                <w:bCs/>
                <w:i/>
                <w:iCs/>
                <w:sz w:val="16"/>
                <w:szCs w:val="16"/>
                <w:lang w:val="pt-BR"/>
              </w:rPr>
              <w:t>N=279</w:t>
            </w:r>
          </w:p>
        </w:tc>
        <w:tc>
          <w:tcPr>
            <w:tcW w:w="1276" w:type="dxa"/>
          </w:tcPr>
          <w:p w:rsidR="00DD1521" w:rsidRDefault="00DD1521">
            <w:pPr>
              <w:tabs>
                <w:tab w:val="left" w:pos="1673"/>
              </w:tabs>
              <w:spacing w:after="0" w:line="240" w:lineRule="auto"/>
              <w:jc w:val="center"/>
              <w:rPr>
                <w:rFonts w:ascii="Arial" w:hAnsi="Arial" w:cs="Arial"/>
                <w:b/>
                <w:bCs/>
                <w:i/>
                <w:iCs/>
                <w:sz w:val="16"/>
                <w:szCs w:val="16"/>
                <w:lang w:val="pt-BR"/>
              </w:rPr>
            </w:pPr>
            <w:r>
              <w:rPr>
                <w:rFonts w:ascii="Arial" w:hAnsi="Arial" w:cs="Arial"/>
                <w:b/>
                <w:bCs/>
                <w:i/>
                <w:iCs/>
                <w:sz w:val="16"/>
                <w:szCs w:val="16"/>
                <w:lang w:val="pt-BR"/>
              </w:rPr>
              <w:t>Quimioterapia</w:t>
            </w:r>
          </w:p>
          <w:p w:rsidR="00DD1521" w:rsidRDefault="00DD1521">
            <w:pPr>
              <w:tabs>
                <w:tab w:val="left" w:pos="1673"/>
              </w:tabs>
              <w:spacing w:after="0" w:line="240" w:lineRule="auto"/>
              <w:jc w:val="center"/>
              <w:rPr>
                <w:rFonts w:ascii="Arial" w:hAnsi="Arial" w:cs="Arial"/>
                <w:b/>
                <w:bCs/>
                <w:i/>
                <w:iCs/>
                <w:sz w:val="16"/>
                <w:szCs w:val="16"/>
                <w:lang w:val="pt-BR"/>
              </w:rPr>
            </w:pPr>
            <w:r>
              <w:rPr>
                <w:rFonts w:ascii="Arial" w:hAnsi="Arial" w:cs="Arial"/>
                <w:b/>
                <w:bCs/>
                <w:i/>
                <w:iCs/>
                <w:sz w:val="16"/>
                <w:szCs w:val="16"/>
                <w:lang w:val="pt-BR"/>
              </w:rPr>
              <w:t>N=136</w:t>
            </w:r>
          </w:p>
        </w:tc>
        <w:tc>
          <w:tcPr>
            <w:tcW w:w="2022" w:type="dxa"/>
          </w:tcPr>
          <w:p w:rsidR="00DD1521" w:rsidRDefault="00DD1521">
            <w:pPr>
              <w:tabs>
                <w:tab w:val="left" w:pos="1673"/>
              </w:tabs>
              <w:spacing w:after="0" w:line="240" w:lineRule="auto"/>
              <w:jc w:val="center"/>
              <w:rPr>
                <w:rFonts w:ascii="Arial" w:hAnsi="Arial" w:cs="Arial"/>
                <w:b/>
                <w:bCs/>
                <w:i/>
                <w:iCs/>
                <w:sz w:val="16"/>
                <w:szCs w:val="16"/>
              </w:rPr>
            </w:pPr>
            <w:r>
              <w:rPr>
                <w:rFonts w:ascii="Arial" w:hAnsi="Arial" w:cs="Arial"/>
                <w:b/>
                <w:bCs/>
                <w:i/>
                <w:iCs/>
                <w:sz w:val="16"/>
                <w:szCs w:val="16"/>
              </w:rPr>
              <w:t>RAR (IC 95%)</w:t>
            </w:r>
          </w:p>
        </w:tc>
        <w:tc>
          <w:tcPr>
            <w:tcW w:w="634" w:type="dxa"/>
          </w:tcPr>
          <w:p w:rsidR="00DD1521" w:rsidRDefault="00DD1521">
            <w:pPr>
              <w:tabs>
                <w:tab w:val="left" w:pos="1673"/>
              </w:tabs>
              <w:spacing w:after="0" w:line="240" w:lineRule="auto"/>
              <w:jc w:val="center"/>
              <w:rPr>
                <w:rFonts w:ascii="Arial" w:hAnsi="Arial" w:cs="Arial"/>
                <w:b/>
                <w:bCs/>
                <w:i/>
                <w:iCs/>
                <w:sz w:val="16"/>
                <w:szCs w:val="16"/>
                <w:lang w:val="en-GB"/>
              </w:rPr>
            </w:pPr>
            <w:r>
              <w:rPr>
                <w:rFonts w:ascii="Arial" w:hAnsi="Arial" w:cs="Arial"/>
                <w:b/>
                <w:bCs/>
                <w:i/>
                <w:iCs/>
                <w:sz w:val="16"/>
                <w:szCs w:val="16"/>
                <w:lang w:val="en-GB"/>
              </w:rPr>
              <w:t>P</w:t>
            </w:r>
          </w:p>
        </w:tc>
        <w:tc>
          <w:tcPr>
            <w:tcW w:w="1265" w:type="dxa"/>
          </w:tcPr>
          <w:p w:rsidR="00DD1521" w:rsidRDefault="00DD1521">
            <w:pPr>
              <w:spacing w:after="0" w:line="240" w:lineRule="auto"/>
              <w:jc w:val="center"/>
              <w:rPr>
                <w:rFonts w:ascii="Arial" w:hAnsi="Arial" w:cs="Arial"/>
                <w:b/>
                <w:bCs/>
                <w:i/>
                <w:iCs/>
                <w:sz w:val="16"/>
                <w:szCs w:val="16"/>
                <w:lang w:val="fr-FR"/>
              </w:rPr>
            </w:pPr>
            <w:r>
              <w:rPr>
                <w:rFonts w:ascii="Arial" w:hAnsi="Arial" w:cs="Arial"/>
                <w:b/>
                <w:bCs/>
                <w:i/>
                <w:iCs/>
                <w:sz w:val="16"/>
                <w:szCs w:val="16"/>
                <w:lang w:val="fr-FR"/>
              </w:rPr>
              <w:t>NNH o NND (IC 95%)</w:t>
            </w:r>
          </w:p>
        </w:tc>
      </w:tr>
      <w:tr w:rsidR="00DD1521" w:rsidRPr="00AD7CD1">
        <w:trPr>
          <w:cantSplit/>
          <w:trHeight w:val="3742"/>
        </w:trPr>
        <w:tc>
          <w:tcPr>
            <w:tcW w:w="2608" w:type="dxa"/>
          </w:tcPr>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Embolismo pulmonar</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Neutropenia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Astenia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Disminución del apetito</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Diarrea</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Fatiga</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Aumento de ALT</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Aumento de AST</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Disnea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Nauseas</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Neumonia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Compresión medular</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Fallo respiratorio</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Eritema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Anemia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Neutropenia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Trombocitopenia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Hiperglucemia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Hiponatremia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Vómitos</w:t>
            </w:r>
          </w:p>
        </w:tc>
        <w:tc>
          <w:tcPr>
            <w:tcW w:w="1074" w:type="dxa"/>
          </w:tcPr>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63 (22,6%)</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4 (1,4%)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2(0,7%)</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2(0,7%)</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2(0,7%)</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2(0,7%)</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2(0,7%)</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1(0,4%)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1(0,4%)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1(0,4%)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1(0,4%)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1(0,4%)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1(0,4%)</w:t>
            </w:r>
          </w:p>
        </w:tc>
        <w:tc>
          <w:tcPr>
            <w:tcW w:w="1276" w:type="dxa"/>
          </w:tcPr>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64(47,1%)</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 (2,2%)</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6 (4,4%)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4 (2,9%)</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2 (1,5%)</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1(0,7%)</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1(0,7%)</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1(0,7%)</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5(3,7%)</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1(0,7%)</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1(0,7%)</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15(11%)</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8(5,9%)</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5(3,7%)</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3(2,2%)</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3(2,2%)</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3(2,2%)</w:t>
            </w:r>
          </w:p>
        </w:tc>
        <w:tc>
          <w:tcPr>
            <w:tcW w:w="2022" w:type="dxa"/>
          </w:tcPr>
          <w:p w:rsidR="00DD1521" w:rsidRPr="00B85537" w:rsidRDefault="00DD1521">
            <w:pPr>
              <w:spacing w:after="0" w:line="240" w:lineRule="auto"/>
              <w:rPr>
                <w:rFonts w:ascii="Arial" w:hAnsi="Arial" w:cs="Arial"/>
                <w:i/>
                <w:iCs/>
                <w:sz w:val="16"/>
                <w:szCs w:val="16"/>
                <w:lang w:val="pt-BR"/>
              </w:rPr>
            </w:pPr>
            <w:r w:rsidRPr="00B85537">
              <w:rPr>
                <w:rFonts w:ascii="Arial" w:hAnsi="Arial" w:cs="Arial"/>
                <w:i/>
                <w:iCs/>
                <w:sz w:val="16"/>
                <w:szCs w:val="16"/>
                <w:lang w:val="pt-BR"/>
              </w:rPr>
              <w:t>24,48%(14,98 a 34,21)</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ab/>
              <w:t>0,77% (-3,4% a 3,4%)</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3,34%(-1,59% a 6,47%)</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1,87%(-2,57% a 4,58%)</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0,4% (-3,4% a 2,7%)</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-0,34%(-3,73% a 1,79%)</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-0,34%(-3,73% a 1,79%)</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-0,34%(-3,73% a 1,79%)</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-1,08%(3,91% a 0,96%)</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2,96%(-1,71% a 5,76%)</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0,02%(-3,33% a 1,97%)</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0,02%(-3,33% a 1,97%)</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-0,72%(-3,51% a 1,14%)</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0,72%(-3,51% a 1,14%)</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10,67%(4,29% a 15,21%)</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5,52% (0,22% a 8,83%)</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3,32%(-1,33% a 5,98%)</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1,85%(-2,24% a 4,04%)</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1,85%(-2,24% a 4,04%)</w:t>
            </w:r>
          </w:p>
          <w:p w:rsidR="00DD1521" w:rsidRPr="00B85537" w:rsidRDefault="00DD1521">
            <w:pPr>
              <w:tabs>
                <w:tab w:val="center" w:pos="851"/>
              </w:tabs>
              <w:spacing w:after="0" w:line="240" w:lineRule="auto"/>
              <w:rPr>
                <w:rFonts w:ascii="Arial" w:hAnsi="Arial" w:cs="Arial"/>
                <w:i/>
                <w:iCs/>
                <w:sz w:val="16"/>
                <w:szCs w:val="16"/>
                <w:lang w:val="pt-BR"/>
              </w:rPr>
            </w:pPr>
            <w:r w:rsidRPr="00B85537">
              <w:rPr>
                <w:rFonts w:ascii="Arial" w:hAnsi="Arial" w:cs="Arial"/>
                <w:i/>
                <w:iCs/>
                <w:sz w:val="16"/>
                <w:szCs w:val="16"/>
                <w:lang w:val="pt-BR"/>
              </w:rPr>
              <w:t>1,85%(-2,24% a 4,04%)</w:t>
            </w:r>
          </w:p>
        </w:tc>
        <w:tc>
          <w:tcPr>
            <w:tcW w:w="634" w:type="dxa"/>
          </w:tcPr>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&lt;0,001</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0,5664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0,0285</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0,1659</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0,7290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0,7393</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0,7393</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0,7393</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0,2249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0,0280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0,9834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0,9834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0,3223</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0,3223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lang w:val="fr-FR"/>
              </w:rPr>
              <w:t>&lt;0,001</w:t>
            </w:r>
            <w:r>
              <w:rPr>
                <w:rFonts w:ascii="Arial" w:hAnsi="Arial" w:cs="Arial"/>
                <w:i/>
                <w:iCs/>
                <w:sz w:val="16"/>
                <w:szCs w:val="16"/>
              </w:rPr>
              <w:t xml:space="preserve">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0,0003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0,0079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0,0706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0,0706   </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 xml:space="preserve">0,0706   </w:t>
            </w:r>
          </w:p>
        </w:tc>
        <w:tc>
          <w:tcPr>
            <w:tcW w:w="1265" w:type="dxa"/>
          </w:tcPr>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4 (3 a 7)</w:t>
            </w:r>
          </w:p>
          <w:p w:rsidR="00DD1521" w:rsidRDefault="00DD1521">
            <w:pPr>
              <w:spacing w:after="0" w:line="240" w:lineRule="auto"/>
              <w:jc w:val="center"/>
              <w:rPr>
                <w:rFonts w:ascii="Arial" w:hAnsi="Arial" w:cs="Arial"/>
                <w:i/>
                <w:iCs/>
                <w:sz w:val="16"/>
                <w:szCs w:val="16"/>
                <w:lang w:val="pt-BR"/>
              </w:rPr>
            </w:pPr>
            <w:r>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30 (15 a -63)</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34 (17 a -58)</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NS</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9 (7 a 23)</w:t>
            </w:r>
          </w:p>
          <w:p w:rsidR="00DD1521" w:rsidRDefault="00DD1521">
            <w:pPr>
              <w:spacing w:after="0" w:line="240" w:lineRule="auto"/>
              <w:jc w:val="center"/>
              <w:rPr>
                <w:rFonts w:ascii="Arial" w:hAnsi="Arial" w:cs="Arial"/>
                <w:i/>
                <w:iCs/>
                <w:sz w:val="16"/>
                <w:szCs w:val="16"/>
                <w:lang w:val="en-US"/>
              </w:rPr>
            </w:pPr>
            <w:r>
              <w:rPr>
                <w:rFonts w:ascii="Arial" w:hAnsi="Arial" w:cs="Arial"/>
                <w:i/>
                <w:iCs/>
                <w:sz w:val="16"/>
                <w:szCs w:val="16"/>
                <w:lang w:val="en-US"/>
              </w:rPr>
              <w:t>18 (11 a 454)</w:t>
            </w:r>
          </w:p>
          <w:p w:rsidR="00DD1521" w:rsidRDefault="00DD1521">
            <w:pPr>
              <w:spacing w:after="0" w:line="240" w:lineRule="auto"/>
              <w:jc w:val="center"/>
              <w:rPr>
                <w:rFonts w:ascii="Arial" w:hAnsi="Arial" w:cs="Arial"/>
                <w:i/>
                <w:iCs/>
                <w:sz w:val="16"/>
                <w:szCs w:val="16"/>
                <w:lang w:val="en-US"/>
              </w:rPr>
            </w:pPr>
            <w:r>
              <w:rPr>
                <w:rFonts w:ascii="Arial" w:hAnsi="Arial" w:cs="Arial"/>
                <w:i/>
                <w:iCs/>
                <w:sz w:val="16"/>
                <w:szCs w:val="16"/>
                <w:lang w:val="en-US"/>
              </w:rPr>
              <w:t>30 (17 a -75)</w:t>
            </w:r>
          </w:p>
          <w:p w:rsidR="00DD1521" w:rsidRDefault="00DD1521">
            <w:pPr>
              <w:spacing w:after="0" w:line="240" w:lineRule="auto"/>
              <w:jc w:val="center"/>
              <w:rPr>
                <w:rFonts w:ascii="Arial" w:hAnsi="Arial" w:cs="Arial"/>
                <w:i/>
                <w:iCs/>
                <w:sz w:val="16"/>
                <w:szCs w:val="16"/>
                <w:lang w:val="en-US"/>
              </w:rPr>
            </w:pPr>
            <w:r>
              <w:rPr>
                <w:rFonts w:ascii="Arial" w:hAnsi="Arial" w:cs="Arial"/>
                <w:i/>
                <w:iCs/>
                <w:sz w:val="16"/>
                <w:szCs w:val="16"/>
                <w:lang w:val="en-US"/>
              </w:rPr>
              <w:t>NS</w:t>
            </w:r>
          </w:p>
          <w:p w:rsidR="00DD1521" w:rsidRDefault="00DD1521">
            <w:pPr>
              <w:spacing w:after="0" w:line="240" w:lineRule="auto"/>
              <w:jc w:val="center"/>
              <w:rPr>
                <w:rFonts w:ascii="Arial" w:hAnsi="Arial" w:cs="Arial"/>
                <w:i/>
                <w:iCs/>
                <w:sz w:val="16"/>
                <w:szCs w:val="16"/>
                <w:lang w:val="en-US"/>
              </w:rPr>
            </w:pPr>
            <w:r>
              <w:rPr>
                <w:rFonts w:ascii="Arial" w:hAnsi="Arial" w:cs="Arial"/>
                <w:i/>
                <w:iCs/>
                <w:sz w:val="16"/>
                <w:szCs w:val="16"/>
                <w:lang w:val="en-US"/>
              </w:rPr>
              <w:t>NS</w:t>
            </w:r>
          </w:p>
          <w:p w:rsidR="00DD1521" w:rsidRDefault="00DD1521">
            <w:pPr>
              <w:spacing w:after="0" w:line="240" w:lineRule="auto"/>
              <w:jc w:val="center"/>
              <w:rPr>
                <w:rFonts w:ascii="Arial" w:hAnsi="Arial" w:cs="Arial"/>
                <w:i/>
                <w:iCs/>
                <w:sz w:val="16"/>
                <w:szCs w:val="16"/>
                <w:lang w:val="en-US"/>
              </w:rPr>
            </w:pPr>
            <w:r>
              <w:rPr>
                <w:rFonts w:ascii="Arial" w:hAnsi="Arial" w:cs="Arial"/>
                <w:i/>
                <w:iCs/>
                <w:sz w:val="16"/>
                <w:szCs w:val="16"/>
                <w:lang w:val="en-US"/>
              </w:rPr>
              <w:t>NS</w:t>
            </w:r>
          </w:p>
        </w:tc>
      </w:tr>
    </w:tbl>
    <w:p w:rsidR="00DD1521" w:rsidRDefault="00DD1521">
      <w:pPr>
        <w:pStyle w:val="Normal1"/>
        <w:shd w:val="clear" w:color="auto" w:fill="FFFFFF"/>
        <w:spacing w:after="0" w:line="240" w:lineRule="auto"/>
        <w:jc w:val="both"/>
        <w:rPr>
          <w:rFonts w:ascii="Arial" w:eastAsia="Arial Unicode MS" w:hAnsi="Arial"/>
          <w:sz w:val="20"/>
          <w:szCs w:val="20"/>
          <w:lang w:val="en-US"/>
        </w:rPr>
      </w:pPr>
    </w:p>
    <w:p w:rsidR="00DD1521" w:rsidRDefault="00DD1521">
      <w:pPr>
        <w:pStyle w:val="Normal1"/>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w:hAnsi="Arial" w:cs="Arial"/>
          <w:b/>
          <w:bCs/>
          <w:sz w:val="20"/>
          <w:szCs w:val="20"/>
        </w:rPr>
      </w:pPr>
      <w:r>
        <w:rPr>
          <w:rFonts w:ascii="Arial" w:hAnsi="Arial" w:cs="Arial"/>
          <w:b/>
          <w:bCs/>
          <w:sz w:val="20"/>
          <w:szCs w:val="20"/>
        </w:rPr>
        <w:t>FLAURA</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En cuanto a los resultados de seguridad del ensayo clínico FLAURA, el perfil de efectos adversos asociados a osimertinib fue similar al detectado en el estudio AURA 3, no apareciendo nuevas toxicidades no descritas anteriormente. El análisis de seguridad fue realizado en todos los pacientes que recibieron al menos una dosis, lo que se traduce en 279 pacientes en el grupo de osimertinib y 277 pacientes en el grupo de ITK estándar con erlotinib o gefitinib. </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La </w:t>
      </w:r>
      <w:r>
        <w:rPr>
          <w:rFonts w:ascii="Arial" w:hAnsi="Arial" w:cs="Arial"/>
          <w:b/>
          <w:bCs/>
          <w:sz w:val="20"/>
          <w:szCs w:val="20"/>
        </w:rPr>
        <w:t>duración mediana del tratamiento fue de</w:t>
      </w:r>
      <w:r>
        <w:rPr>
          <w:rFonts w:ascii="Arial" w:hAnsi="Arial" w:cs="Arial"/>
          <w:sz w:val="20"/>
          <w:szCs w:val="20"/>
        </w:rPr>
        <w:t xml:space="preserve"> </w:t>
      </w:r>
      <w:r>
        <w:rPr>
          <w:rFonts w:ascii="Arial" w:hAnsi="Arial" w:cs="Arial"/>
          <w:b/>
          <w:bCs/>
          <w:sz w:val="20"/>
          <w:szCs w:val="20"/>
        </w:rPr>
        <w:t>16,2 y 11,5 meses</w:t>
      </w:r>
      <w:r>
        <w:rPr>
          <w:rFonts w:ascii="Arial" w:hAnsi="Arial" w:cs="Arial"/>
          <w:sz w:val="20"/>
          <w:szCs w:val="20"/>
        </w:rPr>
        <w:t xml:space="preserve"> en la rama de tratamiento con osimertinib e ITK estándar, respectivamente. Al igual que en el estudio AURA 3, no hubo diferencias significativas en la tasa de reacciones adversas de cualquier grado, siendo del 98% en ambos brazos de tratamiento. </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lastRenderedPageBreak/>
        <w:t xml:space="preserve">Los </w:t>
      </w:r>
      <w:r>
        <w:rPr>
          <w:rFonts w:ascii="Arial" w:hAnsi="Arial" w:cs="Arial"/>
          <w:b/>
          <w:bCs/>
          <w:sz w:val="20"/>
          <w:szCs w:val="20"/>
        </w:rPr>
        <w:t>efectos adversos más frecuentes</w:t>
      </w:r>
      <w:r>
        <w:rPr>
          <w:rFonts w:ascii="Arial" w:hAnsi="Arial" w:cs="Arial"/>
          <w:sz w:val="20"/>
          <w:szCs w:val="20"/>
        </w:rPr>
        <w:t xml:space="preserve"> en el brazo de tratamiento de osimertinib y del ITK estándar fueron diarrea (58,1% en ambos grupos), sequedad de piel (36% en los dos grupos), paroniquia (29,4% vs 29,6%), estomatitis (28,7% vs 20,2%), dermatitis acneiforme (25,4% vs 48,4%) y disminución del apetito (22,2% vs 20,2%). La incidencia de reacciones adversas relacionadas con la piel y tejido subcutáneo fue mayor en el grupo que recibió ITK estándar, mientras que la estomatitis fue más frecuente en el que recibió osimertinib. Respecto a las alteraciones cardíacas éstas fueron más frecuentes en el grupo tratado con osimertinib. Un 10% de los pacientes que recibieron osimertinib presentaron prolongación del intervalo QT comparado con el 4,3% en el grupo de ITK estándar, aunque todos los casos fueron grado 1 y 2 y no tuvieron repercusión clínica grave. La frecuencia de fallo cardíaco, fue baja en ambos grupos aunque superior en los pacientes que recibieron osimertinib (4,7% en el brazo de osimertinib y 2,2% en el de ITK estándar). Respecto a la enfermedad pulmonar intersticial y neumonitis, la presentaron un 4,3% de los pacientes tratados con osimertinib y un 2,2% los que recibieron el ITK estándar y no hubo ninguna muerte asociada a este evento adverso. La queratitis fue reportada en menos del 2% de los pacientes tratados con osimertinib y del 1% de los pacientes con ITK estándar. La elevación de las AST y ALT fue más frecuente en el grupo que recibió un ITK estándar que en el grupo de osimertinib (9,3% vs 24,5% y 6,5% vs 27,1%, respectivamente).</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El 25,1% de los pacientes del grupo de osimertinib y el 23,8% de los de ITK estándar requirieron </w:t>
      </w:r>
      <w:r>
        <w:rPr>
          <w:rFonts w:ascii="Arial" w:hAnsi="Arial" w:cs="Arial"/>
          <w:b/>
          <w:bCs/>
          <w:sz w:val="20"/>
          <w:szCs w:val="20"/>
        </w:rPr>
        <w:t xml:space="preserve">interrupciones de dosis </w:t>
      </w:r>
      <w:r>
        <w:rPr>
          <w:rFonts w:ascii="Arial" w:hAnsi="Arial" w:cs="Arial"/>
          <w:sz w:val="20"/>
          <w:szCs w:val="20"/>
        </w:rPr>
        <w:t xml:space="preserve">por efectos adversos al tratamiento. En el grupo de osimertinib los principales efectos adversos responsables fueron prolongación del intervalo QT, disminución del apetito, diarrea y neumonía, mientras que en el grupo de ITK estándar fueron elevación de las transaminasas, prolongación del intervalo QT y dermatitis acneiforme. </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La </w:t>
      </w:r>
      <w:r>
        <w:rPr>
          <w:rFonts w:ascii="Arial" w:hAnsi="Arial" w:cs="Arial"/>
          <w:b/>
          <w:bCs/>
          <w:sz w:val="20"/>
          <w:szCs w:val="20"/>
        </w:rPr>
        <w:t>reducción de dosis</w:t>
      </w:r>
      <w:r>
        <w:rPr>
          <w:rFonts w:ascii="Arial" w:hAnsi="Arial" w:cs="Arial"/>
          <w:sz w:val="20"/>
          <w:szCs w:val="20"/>
        </w:rPr>
        <w:t xml:space="preserve"> por reacciones adversas fue necesaria en un 3,9% y 5,4% de los pacientes tratados con osimertinib e ITK estándar, respectivamente. Las principales causas fueron prolongación del intervalo QT y toxicidad cutánea. Un 13% de los pacientes del brazo de osimertinib y un 18% del ITK estándar tuvieron que discontinuar el tratamiento por eventos adversos.</w:t>
      </w:r>
    </w:p>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Normal1"/>
        <w:shd w:val="clear" w:color="auto" w:fill="FFFFFF"/>
        <w:spacing w:after="0" w:line="240" w:lineRule="auto"/>
        <w:jc w:val="both"/>
        <w:rPr>
          <w:rFonts w:ascii="Arial" w:hAnsi="Arial" w:cs="Arial"/>
          <w:sz w:val="20"/>
          <w:szCs w:val="20"/>
        </w:rPr>
      </w:pPr>
      <w:r>
        <w:rPr>
          <w:rFonts w:ascii="Arial" w:hAnsi="Arial" w:cs="Arial"/>
          <w:sz w:val="20"/>
          <w:szCs w:val="20"/>
        </w:rPr>
        <w:t xml:space="preserve">En el estudio FLAURA, 16 pacientes (8 en cada brazo de tratamiento) </w:t>
      </w:r>
      <w:r>
        <w:rPr>
          <w:rFonts w:ascii="Arial" w:hAnsi="Arial" w:cs="Arial"/>
          <w:b/>
          <w:bCs/>
          <w:sz w:val="20"/>
          <w:szCs w:val="20"/>
        </w:rPr>
        <w:t>fallecieron</w:t>
      </w:r>
      <w:r>
        <w:rPr>
          <w:rFonts w:ascii="Arial" w:hAnsi="Arial" w:cs="Arial"/>
          <w:sz w:val="20"/>
          <w:szCs w:val="20"/>
        </w:rPr>
        <w:t xml:space="preserve"> a causa de efectos adversos. Una de las muertes en el grupo de tratamiento de ITK estándar fue relacionada con el tratamiento administrado, mientras que el resto de casos no fue relacionado con ninguna de las ramas de tratamiento. </w:t>
      </w:r>
      <w:r>
        <w:rPr>
          <w:rFonts w:ascii="Arial" w:eastAsia="Arial Unicode MS" w:hAnsi="Arial" w:cs="Arial"/>
          <w:sz w:val="20"/>
          <w:szCs w:val="20"/>
        </w:rPr>
        <w:t xml:space="preserve">En la tabla, se muestran los </w:t>
      </w:r>
      <w:r>
        <w:rPr>
          <w:rFonts w:ascii="Arial" w:eastAsia="Arial Unicode MS" w:hAnsi="Arial" w:cs="Arial"/>
          <w:b/>
          <w:bCs/>
          <w:sz w:val="20"/>
          <w:szCs w:val="20"/>
        </w:rPr>
        <w:t>efectos adversos grado ≥ 3</w:t>
      </w:r>
      <w:r>
        <w:rPr>
          <w:rFonts w:ascii="Arial" w:eastAsia="Arial Unicode MS" w:hAnsi="Arial" w:cs="Arial"/>
          <w:sz w:val="20"/>
          <w:szCs w:val="20"/>
        </w:rPr>
        <w:t xml:space="preserve"> en cada rama de tratamiento y presentes en al menos el 1% de la población de la población analizada del ensayo pivotal FLAURA. </w:t>
      </w:r>
    </w:p>
    <w:p w:rsidR="00DD1521" w:rsidRDefault="00DD1521">
      <w:pPr>
        <w:shd w:val="clear" w:color="auto" w:fill="FFFFFF"/>
        <w:spacing w:after="0" w:line="240" w:lineRule="auto"/>
        <w:jc w:val="both"/>
        <w:rPr>
          <w:rFonts w:ascii="Arial" w:hAnsi="Arial" w:cs="Arial"/>
          <w:b/>
          <w:bCs/>
          <w:sz w:val="20"/>
          <w:szCs w:val="20"/>
          <w:shd w:val="clear" w:color="auto" w:fill="C0C0C0"/>
        </w:rPr>
      </w:pPr>
    </w:p>
    <w:tbl>
      <w:tblPr>
        <w:tblW w:w="887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08"/>
        <w:gridCol w:w="1246"/>
        <w:gridCol w:w="1251"/>
        <w:gridCol w:w="1875"/>
        <w:gridCol w:w="634"/>
        <w:gridCol w:w="1265"/>
      </w:tblGrid>
      <w:tr w:rsidR="00DD1521">
        <w:tc>
          <w:tcPr>
            <w:tcW w:w="8879" w:type="dxa"/>
            <w:gridSpan w:val="6"/>
            <w:shd w:val="clear" w:color="auto" w:fill="CCFFCC"/>
          </w:tcPr>
          <w:p w:rsidR="00DD1521" w:rsidRDefault="00DD1521">
            <w:pPr>
              <w:spacing w:after="0" w:line="240" w:lineRule="auto"/>
              <w:jc w:val="both"/>
              <w:rPr>
                <w:rFonts w:ascii="Arial" w:hAnsi="Arial" w:cs="Arial"/>
                <w:b/>
                <w:bCs/>
                <w:sz w:val="18"/>
                <w:szCs w:val="18"/>
              </w:rPr>
            </w:pPr>
            <w:r>
              <w:rPr>
                <w:rFonts w:ascii="Arial" w:hAnsi="Arial" w:cs="Arial"/>
                <w:b/>
                <w:bCs/>
                <w:sz w:val="18"/>
                <w:szCs w:val="18"/>
                <w:lang w:val="en-US"/>
              </w:rPr>
              <w:t xml:space="preserve">Tabla 12. Referencia: Estudio FLAURA: Osimertinib in Untreated EGFR-Mutated Advanced Non–Small-Cell Lung Cancer. </w:t>
            </w:r>
            <w:r>
              <w:rPr>
                <w:rFonts w:ascii="Arial" w:hAnsi="Arial" w:cs="Arial"/>
                <w:b/>
                <w:bCs/>
                <w:sz w:val="18"/>
                <w:szCs w:val="18"/>
              </w:rPr>
              <w:t>Soria JC, Ohe Y, Vansteenkiste J et al. N Engl J Med. 2018;378(2):113-25</w:t>
            </w:r>
          </w:p>
        </w:tc>
      </w:tr>
      <w:tr w:rsidR="00DD1521">
        <w:tc>
          <w:tcPr>
            <w:tcW w:w="8879" w:type="dxa"/>
            <w:gridSpan w:val="6"/>
            <w:shd w:val="clear" w:color="auto" w:fill="CCFFCC"/>
          </w:tcPr>
          <w:p w:rsidR="00DD1521" w:rsidRDefault="00DD1521">
            <w:pPr>
              <w:spacing w:after="0" w:line="240" w:lineRule="auto"/>
              <w:jc w:val="both"/>
              <w:rPr>
                <w:rFonts w:ascii="Arial" w:hAnsi="Arial" w:cs="Arial"/>
                <w:i/>
                <w:iCs/>
                <w:sz w:val="16"/>
                <w:szCs w:val="16"/>
              </w:rPr>
            </w:pPr>
            <w:r>
              <w:rPr>
                <w:rFonts w:ascii="Arial" w:hAnsi="Arial" w:cs="Arial"/>
                <w:b/>
                <w:bCs/>
                <w:sz w:val="16"/>
                <w:szCs w:val="16"/>
              </w:rPr>
              <w:t>Resultados de seguridad</w:t>
            </w:r>
          </w:p>
        </w:tc>
      </w:tr>
      <w:tr w:rsidR="00DD1521">
        <w:trPr>
          <w:trHeight w:val="610"/>
        </w:trPr>
        <w:tc>
          <w:tcPr>
            <w:tcW w:w="2608" w:type="dxa"/>
          </w:tcPr>
          <w:p w:rsidR="00DD1521" w:rsidRDefault="00DD1521">
            <w:pPr>
              <w:spacing w:after="0" w:line="240" w:lineRule="auto"/>
              <w:jc w:val="both"/>
              <w:rPr>
                <w:rFonts w:ascii="Arial" w:hAnsi="Arial" w:cs="Arial"/>
                <w:b/>
                <w:bCs/>
                <w:i/>
                <w:iCs/>
                <w:sz w:val="16"/>
                <w:szCs w:val="16"/>
              </w:rPr>
            </w:pPr>
            <w:r>
              <w:rPr>
                <w:rFonts w:ascii="Arial" w:hAnsi="Arial" w:cs="Arial"/>
                <w:b/>
                <w:bCs/>
                <w:i/>
                <w:iCs/>
                <w:sz w:val="16"/>
                <w:szCs w:val="16"/>
              </w:rPr>
              <w:t>Variable de seguridad evaluada en el estudio</w:t>
            </w:r>
          </w:p>
        </w:tc>
        <w:tc>
          <w:tcPr>
            <w:tcW w:w="1246" w:type="dxa"/>
          </w:tcPr>
          <w:p w:rsidR="00DD1521" w:rsidRDefault="00DD1521">
            <w:pPr>
              <w:pStyle w:val="Normal1"/>
              <w:tabs>
                <w:tab w:val="left" w:pos="1673"/>
              </w:tabs>
              <w:spacing w:after="0" w:line="240" w:lineRule="auto"/>
              <w:jc w:val="center"/>
              <w:rPr>
                <w:rFonts w:ascii="Arial" w:hAnsi="Arial" w:cs="Arial"/>
                <w:b/>
                <w:bCs/>
                <w:sz w:val="16"/>
                <w:szCs w:val="16"/>
              </w:rPr>
            </w:pPr>
            <w:r>
              <w:rPr>
                <w:rFonts w:ascii="Arial" w:hAnsi="Arial" w:cs="Arial"/>
                <w:b/>
                <w:bCs/>
                <w:sz w:val="16"/>
                <w:szCs w:val="16"/>
              </w:rPr>
              <w:t>Osimertinib</w:t>
            </w:r>
          </w:p>
          <w:p w:rsidR="00DD1521" w:rsidRDefault="00DD1521">
            <w:pPr>
              <w:pStyle w:val="Normal1"/>
              <w:tabs>
                <w:tab w:val="left" w:pos="1673"/>
              </w:tabs>
              <w:spacing w:after="0" w:line="240" w:lineRule="auto"/>
              <w:jc w:val="center"/>
              <w:rPr>
                <w:rFonts w:ascii="Arial" w:hAnsi="Arial" w:cs="Arial"/>
                <w:b/>
                <w:bCs/>
                <w:sz w:val="16"/>
                <w:szCs w:val="16"/>
              </w:rPr>
            </w:pPr>
            <w:r>
              <w:rPr>
                <w:rFonts w:ascii="Arial" w:hAnsi="Arial" w:cs="Arial"/>
                <w:b/>
                <w:bCs/>
                <w:sz w:val="16"/>
                <w:szCs w:val="16"/>
              </w:rPr>
              <w:t>(N=279)</w:t>
            </w:r>
          </w:p>
        </w:tc>
        <w:tc>
          <w:tcPr>
            <w:tcW w:w="1251" w:type="dxa"/>
          </w:tcPr>
          <w:p w:rsidR="00DD1521" w:rsidRDefault="00DD1521">
            <w:pPr>
              <w:pStyle w:val="Normal1"/>
              <w:tabs>
                <w:tab w:val="left" w:pos="1673"/>
              </w:tabs>
              <w:spacing w:after="0" w:line="240" w:lineRule="auto"/>
              <w:jc w:val="center"/>
              <w:rPr>
                <w:rFonts w:ascii="Arial" w:hAnsi="Arial" w:cs="Arial"/>
                <w:b/>
                <w:bCs/>
                <w:sz w:val="16"/>
                <w:szCs w:val="16"/>
              </w:rPr>
            </w:pPr>
            <w:r>
              <w:rPr>
                <w:rFonts w:ascii="Arial" w:hAnsi="Arial" w:cs="Arial"/>
                <w:b/>
                <w:bCs/>
                <w:sz w:val="16"/>
                <w:szCs w:val="16"/>
              </w:rPr>
              <w:t>Erlotinib (94)</w:t>
            </w:r>
          </w:p>
          <w:p w:rsidR="00DD1521" w:rsidRDefault="00DD1521">
            <w:pPr>
              <w:pStyle w:val="Normal1"/>
              <w:tabs>
                <w:tab w:val="left" w:pos="1673"/>
              </w:tabs>
              <w:spacing w:after="0" w:line="240" w:lineRule="auto"/>
              <w:jc w:val="center"/>
              <w:rPr>
                <w:rFonts w:ascii="Arial" w:hAnsi="Arial" w:cs="Arial"/>
                <w:b/>
                <w:bCs/>
                <w:sz w:val="16"/>
                <w:szCs w:val="16"/>
              </w:rPr>
            </w:pPr>
            <w:r>
              <w:rPr>
                <w:rFonts w:ascii="Arial" w:hAnsi="Arial" w:cs="Arial"/>
                <w:b/>
                <w:bCs/>
                <w:sz w:val="16"/>
                <w:szCs w:val="16"/>
              </w:rPr>
              <w:t>Gefitinib (183)</w:t>
            </w:r>
          </w:p>
          <w:p w:rsidR="00DD1521" w:rsidRDefault="00DD1521">
            <w:pPr>
              <w:pStyle w:val="Normal1"/>
              <w:tabs>
                <w:tab w:val="left" w:pos="1673"/>
              </w:tabs>
              <w:spacing w:after="0" w:line="240" w:lineRule="auto"/>
              <w:jc w:val="center"/>
              <w:rPr>
                <w:rFonts w:ascii="Arial" w:hAnsi="Arial" w:cs="Arial"/>
                <w:b/>
                <w:bCs/>
                <w:sz w:val="16"/>
                <w:szCs w:val="16"/>
              </w:rPr>
            </w:pPr>
            <w:r>
              <w:rPr>
                <w:rFonts w:ascii="Arial" w:hAnsi="Arial" w:cs="Arial"/>
                <w:b/>
                <w:bCs/>
                <w:sz w:val="16"/>
                <w:szCs w:val="16"/>
              </w:rPr>
              <w:t>(N=277)</w:t>
            </w:r>
          </w:p>
        </w:tc>
        <w:tc>
          <w:tcPr>
            <w:tcW w:w="1875" w:type="dxa"/>
          </w:tcPr>
          <w:p w:rsidR="00DD1521" w:rsidRDefault="00DD1521">
            <w:pPr>
              <w:tabs>
                <w:tab w:val="left" w:pos="1673"/>
              </w:tabs>
              <w:spacing w:after="0" w:line="240" w:lineRule="auto"/>
              <w:jc w:val="center"/>
              <w:rPr>
                <w:rFonts w:ascii="Arial" w:hAnsi="Arial" w:cs="Arial"/>
                <w:b/>
                <w:bCs/>
                <w:i/>
                <w:iCs/>
                <w:sz w:val="16"/>
                <w:szCs w:val="16"/>
              </w:rPr>
            </w:pPr>
            <w:r>
              <w:rPr>
                <w:rFonts w:ascii="Arial" w:hAnsi="Arial" w:cs="Arial"/>
                <w:b/>
                <w:bCs/>
                <w:i/>
                <w:iCs/>
                <w:sz w:val="16"/>
                <w:szCs w:val="16"/>
              </w:rPr>
              <w:t>RAR (IC 95%)</w:t>
            </w:r>
          </w:p>
        </w:tc>
        <w:tc>
          <w:tcPr>
            <w:tcW w:w="634" w:type="dxa"/>
          </w:tcPr>
          <w:p w:rsidR="00DD1521" w:rsidRDefault="00DD1521">
            <w:pPr>
              <w:tabs>
                <w:tab w:val="left" w:pos="1673"/>
              </w:tabs>
              <w:spacing w:after="0" w:line="240" w:lineRule="auto"/>
              <w:jc w:val="center"/>
              <w:rPr>
                <w:rFonts w:ascii="Arial" w:hAnsi="Arial" w:cs="Arial"/>
                <w:b/>
                <w:bCs/>
                <w:i/>
                <w:iCs/>
                <w:sz w:val="16"/>
                <w:szCs w:val="16"/>
                <w:lang w:val="en-GB"/>
              </w:rPr>
            </w:pPr>
            <w:r>
              <w:rPr>
                <w:rFonts w:ascii="Arial" w:hAnsi="Arial" w:cs="Arial"/>
                <w:b/>
                <w:bCs/>
                <w:i/>
                <w:iCs/>
                <w:sz w:val="16"/>
                <w:szCs w:val="16"/>
                <w:lang w:val="en-GB"/>
              </w:rPr>
              <w:t>P</w:t>
            </w:r>
          </w:p>
        </w:tc>
        <w:tc>
          <w:tcPr>
            <w:tcW w:w="1265" w:type="dxa"/>
          </w:tcPr>
          <w:p w:rsidR="00DD1521" w:rsidRDefault="00DD1521">
            <w:pPr>
              <w:spacing w:after="0" w:line="240" w:lineRule="auto"/>
              <w:jc w:val="center"/>
              <w:rPr>
                <w:rFonts w:ascii="Arial" w:hAnsi="Arial" w:cs="Arial"/>
                <w:b/>
                <w:bCs/>
                <w:i/>
                <w:iCs/>
                <w:sz w:val="16"/>
                <w:szCs w:val="16"/>
                <w:lang w:val="fr-FR"/>
              </w:rPr>
            </w:pPr>
            <w:r>
              <w:rPr>
                <w:rFonts w:ascii="Arial" w:hAnsi="Arial" w:cs="Arial"/>
                <w:b/>
                <w:bCs/>
                <w:i/>
                <w:iCs/>
                <w:sz w:val="16"/>
                <w:szCs w:val="16"/>
                <w:lang w:val="fr-FR"/>
              </w:rPr>
              <w:t>NNH o NND (IC 95%)</w:t>
            </w:r>
          </w:p>
        </w:tc>
      </w:tr>
      <w:tr w:rsidR="00DD1521">
        <w:trPr>
          <w:cantSplit/>
          <w:trHeight w:val="4827"/>
        </w:trPr>
        <w:tc>
          <w:tcPr>
            <w:tcW w:w="2608" w:type="dxa"/>
          </w:tcPr>
          <w:p w:rsidR="00DD1521" w:rsidRDefault="00DD1521">
            <w:pPr>
              <w:snapToGrid w:val="0"/>
              <w:spacing w:after="0" w:line="240" w:lineRule="auto"/>
              <w:rPr>
                <w:rFonts w:ascii="Arial" w:hAnsi="Arial" w:cs="Arial"/>
                <w:i/>
                <w:iCs/>
                <w:sz w:val="16"/>
                <w:szCs w:val="16"/>
              </w:rPr>
            </w:pPr>
            <w:r>
              <w:rPr>
                <w:rFonts w:ascii="Arial" w:hAnsi="Arial" w:cs="Arial"/>
                <w:i/>
                <w:iCs/>
                <w:sz w:val="16"/>
                <w:szCs w:val="16"/>
              </w:rPr>
              <w:lastRenderedPageBreak/>
              <w:t>Cualquier efecto adverso grado ≥3</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Descenso del apetito</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Diarrea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Neumonía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Prolongación del QT</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Hiponatremia</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Embolismo pulmonar</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Descenso de neutrófilos</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Aumento de GGT</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Descenso de linfocitos</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Anemia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Hipopotasemia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Enfermedad pulmonar intersticial</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Pérdida de peso</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Catararas</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Desc. de la fracción de eyección</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Aumento de ASAT</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Aumento de ALAT</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Rash maculopapular</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Disnea</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Piel seca</w:t>
            </w:r>
          </w:p>
          <w:p w:rsidR="00DD1521" w:rsidRPr="00B85537" w:rsidRDefault="00DD1521">
            <w:pPr>
              <w:snapToGrid w:val="0"/>
              <w:spacing w:after="0" w:line="240" w:lineRule="auto"/>
              <w:rPr>
                <w:rFonts w:ascii="Arial" w:hAnsi="Arial" w:cs="Arial"/>
                <w:i/>
                <w:iCs/>
                <w:sz w:val="16"/>
                <w:szCs w:val="16"/>
                <w:lang w:val="pt-BR"/>
              </w:rPr>
            </w:pPr>
            <w:r w:rsidRPr="00B85537">
              <w:rPr>
                <w:rFonts w:ascii="Arial" w:hAnsi="Arial" w:cs="Arial"/>
                <w:i/>
                <w:iCs/>
                <w:sz w:val="16"/>
                <w:szCs w:val="16"/>
                <w:lang w:val="pt-BR"/>
              </w:rPr>
              <w:t>Dermatitis acneiforme</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Vómitos</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Daño hepático</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Anormalidades función hepática</w:t>
            </w:r>
          </w:p>
          <w:p w:rsidR="00DD1521" w:rsidRDefault="00DD1521">
            <w:pPr>
              <w:snapToGrid w:val="0"/>
              <w:spacing w:after="0" w:line="240" w:lineRule="auto"/>
              <w:rPr>
                <w:rFonts w:ascii="Arial" w:hAnsi="Arial" w:cs="Arial"/>
                <w:i/>
                <w:iCs/>
                <w:sz w:val="16"/>
                <w:szCs w:val="16"/>
              </w:rPr>
            </w:pPr>
            <w:r>
              <w:rPr>
                <w:rFonts w:ascii="Arial" w:hAnsi="Arial" w:cs="Arial"/>
                <w:i/>
                <w:iCs/>
                <w:sz w:val="16"/>
                <w:szCs w:val="16"/>
              </w:rPr>
              <w:t>Aumento de fosfatasa alcalina</w:t>
            </w:r>
          </w:p>
        </w:tc>
        <w:tc>
          <w:tcPr>
            <w:tcW w:w="1246" w:type="dxa"/>
          </w:tcPr>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103 (36,9%)</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7 (2,5%)</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6 (2,2%)</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6 (2,2%)</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6 (2,2%)</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5 (1,8%)</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4 (1,4%)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5 (1,8%)</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4 (1,4%)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4 (1,4%)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4 (1,4%)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2 (0,7%)</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 (0,4%)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 (0,4%)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 (0,4%)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1 (0,4%)</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napToGrid w:val="0"/>
              <w:spacing w:after="0" w:line="240" w:lineRule="auto"/>
              <w:jc w:val="center"/>
              <w:rPr>
                <w:rFonts w:ascii="Arial" w:hAnsi="Arial" w:cs="Arial"/>
                <w:i/>
                <w:iCs/>
                <w:sz w:val="16"/>
                <w:szCs w:val="16"/>
                <w:lang w:val="fr-FR"/>
              </w:rPr>
            </w:pPr>
            <w:r>
              <w:rPr>
                <w:rFonts w:ascii="Arial" w:hAnsi="Arial" w:cs="Arial"/>
                <w:i/>
                <w:iCs/>
                <w:sz w:val="16"/>
                <w:szCs w:val="16"/>
                <w:lang w:val="fr-FR"/>
              </w:rPr>
              <w:t>0</w:t>
            </w:r>
          </w:p>
        </w:tc>
        <w:tc>
          <w:tcPr>
            <w:tcW w:w="1251" w:type="dxa"/>
          </w:tcPr>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125 (44,8%)</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5 (1,8%)</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7 (2,5%)</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7 (2,5%)</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2 (0,7%)</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4 (1,4%)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 (0,4%)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 (0,4%)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0</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 (0,4%)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 (0,4%)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12 (4,3%)</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25 (9%)</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5 (1,8%)</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4 (1,4%)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13 (4,7%)</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4 (1,4%)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 (1,1%)</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3 (1,1%)</w:t>
            </w:r>
          </w:p>
        </w:tc>
        <w:tc>
          <w:tcPr>
            <w:tcW w:w="1875" w:type="dxa"/>
          </w:tcPr>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-8,2% (-16,4 a –0,1)</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1,4 % (0 a 2,8)</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1,4 % (0 a 2,8)</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-3,6% (-6,2 a -1,0)</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-8,7% (-12,1 a -5,2)</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-4,7% (-7,2 a -2,2)</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-1,4% (-2,8 a 0)</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tabs>
                <w:tab w:val="center" w:pos="851"/>
              </w:tabs>
              <w:spacing w:after="0" w:line="240" w:lineRule="auto"/>
              <w:jc w:val="center"/>
              <w:rPr>
                <w:rFonts w:ascii="Arial" w:hAnsi="Arial" w:cs="Arial"/>
                <w:i/>
                <w:iCs/>
                <w:sz w:val="16"/>
                <w:szCs w:val="16"/>
                <w:lang w:val="fr-FR"/>
              </w:rPr>
            </w:pPr>
            <w:r>
              <w:rPr>
                <w:rFonts w:ascii="Arial" w:hAnsi="Arial" w:cs="Arial"/>
                <w:i/>
                <w:iCs/>
                <w:sz w:val="16"/>
                <w:szCs w:val="16"/>
                <w:lang w:val="fr-FR"/>
              </w:rPr>
              <w:t>-</w:t>
            </w:r>
          </w:p>
        </w:tc>
        <w:tc>
          <w:tcPr>
            <w:tcW w:w="634" w:type="dxa"/>
          </w:tcPr>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&lt;0,05</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&lt;0,05</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&lt;0,05</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&lt;0,05</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&lt;0,05</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&lt;0,05</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&lt;0,05</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Pr="00B85537" w:rsidRDefault="00DD1521">
            <w:pPr>
              <w:spacing w:after="0" w:line="240" w:lineRule="auto"/>
              <w:jc w:val="center"/>
              <w:rPr>
                <w:rFonts w:ascii="Arial" w:hAnsi="Arial" w:cs="Arial"/>
                <w:i/>
                <w:iCs/>
                <w:sz w:val="16"/>
                <w:szCs w:val="16"/>
                <w:lang w:val="fr-FR"/>
              </w:rPr>
            </w:pPr>
            <w:r w:rsidRPr="00B85537">
              <w:rPr>
                <w:rFonts w:ascii="Arial" w:hAnsi="Arial" w:cs="Arial"/>
                <w:i/>
                <w:iCs/>
                <w:sz w:val="16"/>
                <w:szCs w:val="16"/>
                <w:lang w:val="fr-FR"/>
              </w:rPr>
              <w:t>ns</w:t>
            </w:r>
          </w:p>
          <w:p w:rsidR="00DD1521" w:rsidRDefault="00DD1521">
            <w:pPr>
              <w:spacing w:after="0" w:line="240" w:lineRule="auto"/>
              <w:jc w:val="center"/>
              <w:rPr>
                <w:rFonts w:ascii="Arial" w:hAnsi="Arial" w:cs="Arial"/>
                <w:i/>
                <w:iCs/>
                <w:sz w:val="16"/>
                <w:szCs w:val="16"/>
              </w:rPr>
            </w:pPr>
            <w:r>
              <w:rPr>
                <w:rFonts w:ascii="Arial" w:hAnsi="Arial" w:cs="Arial"/>
                <w:i/>
                <w:iCs/>
                <w:sz w:val="16"/>
                <w:szCs w:val="16"/>
              </w:rPr>
              <w:t>ns</w:t>
            </w:r>
          </w:p>
        </w:tc>
        <w:tc>
          <w:tcPr>
            <w:tcW w:w="1265" w:type="dxa"/>
          </w:tcPr>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-13 (-1000 a -7)</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70 (36 a NC)</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70 (36 a NC)</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-28 (-100 a -17)</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-12 (-20 a -9)</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w:t>
            </w:r>
          </w:p>
          <w:p w:rsidR="00DD1521" w:rsidRPr="00B85537" w:rsidRDefault="00DD1521">
            <w:pPr>
              <w:spacing w:after="0" w:line="240" w:lineRule="auto"/>
              <w:jc w:val="center"/>
              <w:rPr>
                <w:rFonts w:ascii="Arial" w:hAnsi="Arial" w:cs="Arial"/>
                <w:i/>
                <w:iCs/>
                <w:sz w:val="16"/>
                <w:szCs w:val="16"/>
                <w:lang w:val="pt-BR"/>
              </w:rPr>
            </w:pPr>
            <w:r w:rsidRPr="00B85537">
              <w:rPr>
                <w:rFonts w:ascii="Arial" w:hAnsi="Arial" w:cs="Arial"/>
                <w:i/>
                <w:iCs/>
                <w:sz w:val="16"/>
                <w:szCs w:val="16"/>
                <w:lang w:val="pt-BR"/>
              </w:rPr>
              <w:t>-22 (-46 a -14)</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-70 (NC a -36)</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w:t>
            </w:r>
          </w:p>
          <w:p w:rsidR="00DD1521" w:rsidRDefault="00DD1521">
            <w:pPr>
              <w:spacing w:after="0" w:line="240" w:lineRule="auto"/>
              <w:jc w:val="center"/>
              <w:rPr>
                <w:rFonts w:ascii="Arial" w:hAnsi="Arial" w:cs="Arial"/>
                <w:i/>
                <w:iCs/>
                <w:sz w:val="16"/>
                <w:szCs w:val="16"/>
                <w:lang w:val="fr-FR"/>
              </w:rPr>
            </w:pPr>
            <w:r>
              <w:rPr>
                <w:rFonts w:ascii="Arial" w:hAnsi="Arial" w:cs="Arial"/>
                <w:i/>
                <w:iCs/>
                <w:sz w:val="16"/>
                <w:szCs w:val="16"/>
                <w:lang w:val="fr-FR"/>
              </w:rPr>
              <w:t>-</w:t>
            </w:r>
          </w:p>
        </w:tc>
      </w:tr>
    </w:tbl>
    <w:p w:rsidR="00DD1521" w:rsidRDefault="00DD1521">
      <w:pPr>
        <w:pStyle w:val="Normal1"/>
        <w:shd w:val="clear" w:color="auto" w:fill="FFFFFF"/>
        <w:spacing w:after="0" w:line="240" w:lineRule="auto"/>
        <w:jc w:val="both"/>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11" w:name="_Toc348931384"/>
      <w:bookmarkStart w:id="112" w:name="_Toc344399653"/>
      <w:bookmarkStart w:id="113" w:name="_Toc5793767"/>
      <w:r>
        <w:rPr>
          <w:rFonts w:ascii="Arial" w:hAnsi="Arial" w:cs="Arial"/>
          <w:sz w:val="18"/>
          <w:szCs w:val="18"/>
        </w:rPr>
        <w:t>6.2 Ensayos Clínicos comparativos</w:t>
      </w:r>
      <w:r>
        <w:rPr>
          <w:rFonts w:ascii="Arial" w:hAnsi="Arial" w:cs="Arial"/>
          <w:sz w:val="20"/>
          <w:szCs w:val="20"/>
        </w:rPr>
        <w:t>.</w:t>
      </w:r>
      <w:bookmarkEnd w:id="111"/>
      <w:bookmarkEnd w:id="112"/>
      <w:bookmarkEnd w:id="113"/>
      <w:r>
        <w:rPr>
          <w:rFonts w:ascii="Arial" w:hAnsi="Arial" w:cs="Arial"/>
          <w:sz w:val="20"/>
          <w:szCs w:val="20"/>
        </w:rPr>
        <w:t xml:space="preserve"> </w:t>
      </w:r>
    </w:p>
    <w:p w:rsidR="00DD1521" w:rsidRDefault="00DD1521">
      <w:pPr>
        <w:spacing w:after="0" w:line="240" w:lineRule="auto"/>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No se dispone de resultados de seguridad procedentes de otros estudios comparativos de osimertinib en las indicaciones evaluadas. </w:t>
      </w:r>
    </w:p>
    <w:p w:rsidR="00DD1521" w:rsidRDefault="00DD1521">
      <w:pPr>
        <w:spacing w:after="0" w:line="240" w:lineRule="auto"/>
        <w:jc w:val="both"/>
        <w:rPr>
          <w:rFonts w:ascii="Arial" w:hAnsi="Arial" w:cs="Arial"/>
          <w:b/>
          <w:bCs/>
          <w:color w:val="000080"/>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14" w:name="_Toc344399654"/>
      <w:bookmarkStart w:id="115" w:name="_Toc348931385"/>
      <w:bookmarkStart w:id="116" w:name="_Toc5793768"/>
      <w:r>
        <w:rPr>
          <w:rFonts w:ascii="Arial" w:hAnsi="Arial" w:cs="Arial"/>
          <w:sz w:val="20"/>
          <w:szCs w:val="20"/>
        </w:rPr>
        <w:t>6.3 Fuentes secundarias sobre seguridad</w:t>
      </w:r>
      <w:bookmarkEnd w:id="114"/>
      <w:bookmarkEnd w:id="115"/>
      <w:bookmarkEnd w:id="116"/>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En una </w:t>
      </w:r>
      <w:r>
        <w:rPr>
          <w:rFonts w:ascii="Arial" w:hAnsi="Arial" w:cs="Arial"/>
          <w:b/>
          <w:bCs/>
          <w:sz w:val="20"/>
          <w:szCs w:val="20"/>
        </w:rPr>
        <w:t>carta al editor</w:t>
      </w:r>
      <w:r>
        <w:rPr>
          <w:rFonts w:ascii="Arial" w:hAnsi="Arial" w:cs="Arial"/>
          <w:sz w:val="20"/>
          <w:szCs w:val="20"/>
        </w:rPr>
        <w:t xml:space="preserve"> escrita por Yin y colaboradores en respuesta al ensayo clínico AURA3 </w:t>
      </w:r>
      <w:r>
        <w:rPr>
          <w:rFonts w:ascii="Arial" w:hAnsi="Arial" w:cs="Arial"/>
          <w:sz w:val="20"/>
          <w:szCs w:val="20"/>
        </w:rPr>
        <w:fldChar w:fldCharType="begin"/>
      </w:r>
      <w:r>
        <w:rPr>
          <w:rFonts w:ascii="Arial" w:hAnsi="Arial" w:cs="Arial"/>
          <w:sz w:val="20"/>
          <w:szCs w:val="20"/>
        </w:rPr>
        <w:instrText xml:space="preserve"> ADDIN ZOTERO_ITEM CSL_CITATION {"citationID":"ppmfrb0gu","properties":{"formattedCitation":"(45)","plainCitation":"(45)"},"citationItems":[{"id":611,"uris":["http://zotero.org/users/3130274/items/SHDSVWGX"],"uri":["http://zotero.org/users/3130274/items/SHDSVWGX"],"itemData":{"id":611,"type":"article-journal","title":"Osimertinib in EGFR T790M-Positive Lung Cancer","container-title":"The New England Journal of Medicine","page":"1993","volume":"376","issue":"20","source":"PubMed","DOI":"10.1056/NEJMc1703339","ISSN":"1533-4406","note":"PMID: 28514611","journalAbbreviation":"N. Engl. J. Med.","language":"eng","author":[{"family":"Yin","given":"Yue"},{"family":"Li","given":"Jun"}],"issued":{"date-parts":[["2017"]],"season":"18"},"PMID":"28514611"}}],"schema":"https://github.com/citation-style-language/schema/raw/master/csl-citation.json"} </w:instrText>
      </w:r>
      <w:r>
        <w:rPr>
          <w:rFonts w:ascii="Arial" w:hAnsi="Arial" w:cs="Arial"/>
          <w:sz w:val="20"/>
          <w:szCs w:val="20"/>
        </w:rPr>
        <w:fldChar w:fldCharType="separate"/>
      </w:r>
      <w:r>
        <w:rPr>
          <w:rFonts w:ascii="Arial" w:hAnsi="Arial" w:cs="Arial"/>
          <w:sz w:val="20"/>
          <w:szCs w:val="20"/>
        </w:rPr>
        <w:t>(38)</w:t>
      </w:r>
      <w:r>
        <w:rPr>
          <w:rFonts w:ascii="Arial" w:hAnsi="Arial" w:cs="Arial"/>
          <w:sz w:val="20"/>
          <w:szCs w:val="20"/>
        </w:rPr>
        <w:fldChar w:fldCharType="end"/>
      </w:r>
      <w:r>
        <w:rPr>
          <w:rFonts w:ascii="Arial" w:hAnsi="Arial" w:cs="Arial"/>
          <w:sz w:val="20"/>
          <w:szCs w:val="20"/>
        </w:rPr>
        <w:t xml:space="preserve">, se hace referencia a la mayor frecuencia de acontecimientos adversos mortales en el brazo osimertinib 1,4% frente al brazo quimioterapia 0,7%, y se cita que, aunque la diferencia puede no ser significativa, </w:t>
      </w:r>
      <w:r w:rsidR="00E172A8">
        <w:rPr>
          <w:rFonts w:ascii="Arial" w:hAnsi="Arial" w:cs="Arial"/>
          <w:sz w:val="20"/>
          <w:szCs w:val="20"/>
        </w:rPr>
        <w:t>sí</w:t>
      </w:r>
      <w:r>
        <w:rPr>
          <w:rFonts w:ascii="Arial" w:hAnsi="Arial" w:cs="Arial"/>
          <w:sz w:val="20"/>
          <w:szCs w:val="20"/>
        </w:rPr>
        <w:t xml:space="preserve"> que genera preocupación en cuanto a la seguridad del fármaco. Se preguntan también si osimertinib podría inducir algún mecanismo de resistencia. Los autores relacionan la diferencia en acontecimientos adversos mortales al mayor tiempo de exposición al tratamiento en el brazo osimertinib. </w:t>
      </w:r>
      <w:r w:rsidR="00E172A8">
        <w:rPr>
          <w:rFonts w:ascii="Arial" w:hAnsi="Arial" w:cs="Arial"/>
          <w:sz w:val="20"/>
          <w:szCs w:val="20"/>
        </w:rPr>
        <w:t>Además,</w:t>
      </w:r>
      <w:r>
        <w:rPr>
          <w:rFonts w:ascii="Arial" w:hAnsi="Arial" w:cs="Arial"/>
          <w:sz w:val="20"/>
          <w:szCs w:val="20"/>
        </w:rPr>
        <w:t xml:space="preserve"> aclaran que los investigadores asociaron que el 0,4% y el 0,7% de estos eventos se debían a osimertinib y quimioterapia respectivamente, es decir, estaban directamente relacionados con el tratamiento.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Las mutaciones de resistencia a los ITK anti-EGFR de tercera generación están descritas en un artículo y suelen aparecer aproximadamente a los diez meses de haber comenzado la terapia </w:t>
      </w:r>
      <w:r>
        <w:rPr>
          <w:rFonts w:ascii="Arial" w:hAnsi="Arial" w:cs="Arial"/>
          <w:sz w:val="20"/>
          <w:szCs w:val="20"/>
        </w:rPr>
        <w:fldChar w:fldCharType="begin"/>
      </w:r>
      <w:r>
        <w:rPr>
          <w:rFonts w:ascii="Arial" w:hAnsi="Arial" w:cs="Arial"/>
          <w:sz w:val="20"/>
          <w:szCs w:val="20"/>
        </w:rPr>
        <w:instrText xml:space="preserve"> ADDIN ZOTERO_ITEM CSL_CITATION {"citationID":"17hl9r51ts","properties":{"formattedCitation":"(46)","plainCitation":"(46)"},"citationItems":[{"id":613,"uris":["http://zotero.org/users/3130274/items/GCWHKB7M"],"uri":["http://zotero.org/users/3130274/items/GCWHKB7M"],"itemData":{"id":613,"type":"article-journal","title":"Third-generation epidermal growth factor receptor-tyrosine kinase inhibitors in T790M-positive non-small cell lung cancer: review on emerged mechanisms of resistance","container-title":"Translational Lung Cancer Research","page":"695-708","volume":"5","issue":"6","source":"PubMed","abstract":"Osimertinib, third-generation epidermal growth factor receptor-tyrosine kinase inhibitor (EGFR-TKI), has been approved in the US and EU for the treatment of EGFR mutant T790M-positive non-small cell lung cancer (NSCLC) patients resistant to first- or second-generation EGFR-TKIs, such as gefitinib, erlotinib and afatinib. Although exciting survival data and response rates have been registered in patients treated with this and other third-generation EGFR-TKIs, unfortunately acquired resistance still occurs after approximately 10 months. Mechanisms determining progression of disease are heterogeneous and not fully understood. EGFR-dependent resistance mechanisms (such as new EGFR mutations), bypass pathway activation [as erb-b2 receptor tyrosine kinase 2 (HER2) or MET amplification] and histological transformation [in small cell lung cancer (SCLC)] have been reported, similarly to previous generation TKIs. Here, we review principle mechanisms of innate and acquired resistance described in literature both in clinical and preclinical settings during NSCLC treatment with third-generation EGFR-TKIs.","DOI":"10.21037/tlcr.2016.12.02","ISSN":"2218-6751","note":"PMID: 28149764\nPMCID: PMC5233880","shortTitle":"Third-generation epidermal growth factor receptor-tyrosine kinase inhibitors in T790M-positive non-small cell lung cancer","journalAbbreviation":"Transl Lung Cancer Res","language":"eng","author":[{"family":"Minari","given":"Roberta"},{"family":"Bordi","given":"Paola"},{"family":"Tiseo","given":"Marcello"}],"issued":{"date-parts":[["2016",12]]},"PMID":"28149764","PMCID":"PMC5233880"}}],"schema":"https://github.com/citation-style-language/schema/raw/master/csl-citation.json"} </w:instrText>
      </w:r>
      <w:r>
        <w:rPr>
          <w:rFonts w:ascii="Arial" w:hAnsi="Arial" w:cs="Arial"/>
          <w:sz w:val="20"/>
          <w:szCs w:val="20"/>
        </w:rPr>
        <w:fldChar w:fldCharType="separate"/>
      </w:r>
      <w:r>
        <w:rPr>
          <w:rFonts w:ascii="Arial" w:hAnsi="Arial" w:cs="Arial"/>
          <w:sz w:val="20"/>
          <w:szCs w:val="20"/>
        </w:rPr>
        <w:t>(39)</w:t>
      </w:r>
      <w:r>
        <w:rPr>
          <w:rFonts w:ascii="Arial" w:hAnsi="Arial" w:cs="Arial"/>
          <w:sz w:val="20"/>
          <w:szCs w:val="20"/>
        </w:rPr>
        <w:fldChar w:fldCharType="end"/>
      </w:r>
      <w:r>
        <w:rPr>
          <w:rFonts w:ascii="Arial" w:hAnsi="Arial" w:cs="Arial"/>
          <w:sz w:val="20"/>
          <w:szCs w:val="20"/>
        </w:rPr>
        <w:t>.</w:t>
      </w:r>
    </w:p>
    <w:p w:rsidR="00DD1521" w:rsidRDefault="00DD1521">
      <w:pPr>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Actualmente se está llevando a cabo el </w:t>
      </w:r>
      <w:r>
        <w:rPr>
          <w:rFonts w:ascii="Arial" w:hAnsi="Arial" w:cs="Arial"/>
          <w:b/>
          <w:bCs/>
          <w:sz w:val="20"/>
          <w:szCs w:val="20"/>
        </w:rPr>
        <w:t>estudio ASTRIS</w:t>
      </w:r>
      <w:r>
        <w:rPr>
          <w:rFonts w:ascii="Arial" w:hAnsi="Arial" w:cs="Arial"/>
          <w:sz w:val="20"/>
          <w:szCs w:val="20"/>
        </w:rPr>
        <w:t xml:space="preserve"> en pacientes con CPNM con mutación T790M positiva para evaluar la seguridad y efectividad de osimertinib en condiciones de práctica clínica real. En 2017 se presentaron datos preliminares de 1217 pacientes tratados con osimertinib a nivel mundial desde septiembre de 2015 hasta noviembre de 2016 (fecha de corte para el análisis de los datos) </w:t>
      </w:r>
      <w:r>
        <w:rPr>
          <w:rFonts w:ascii="Arial" w:hAnsi="Arial" w:cs="Arial"/>
          <w:sz w:val="20"/>
          <w:szCs w:val="20"/>
        </w:rPr>
        <w:fldChar w:fldCharType="begin"/>
      </w:r>
      <w:r>
        <w:rPr>
          <w:rFonts w:ascii="Arial" w:hAnsi="Arial" w:cs="Arial"/>
          <w:sz w:val="20"/>
          <w:szCs w:val="20"/>
        </w:rPr>
        <w:instrText xml:space="preserve"> ADDIN ZOTERO_ITEM CSL_CITATION {"citationID":"O5ctk6xD","properties":{"formattedCitation":"(47)","plainCitation":"(47)"},"citationItems":[{"id":1059,"uris":["http://zotero.org/users/local/zrSbuHrK/items/G4QWPX86"],"uri":["http://zotero.org/users/local/zrSbuHrK/items/G4QWPX86"],"itemData":{"id":1059,"type":"article-journal","title":"ASTRIS: A real world treatment study of osimertinib in patients (pts) with EGFR T790M positive non-small cell lung cancer (NSCLC).","container-title":"Journal of Clinical Oncology","page":"9036-9036","volume":"35","issue":"15_suppl","source":"ascopubs.org (Atypon)","abstract":"9036Background: Osimertinib is an oral, irreversible, central nervous system (CNS) active EGFR tyrosine kinase inhibitor (TKI) selective for both EGFR-TKI sensitizing and T790M resistance mutations. We report results from the first predefined interim analysis of the ongoing ASTRIS study (NCT02474355). Methods: Pts received osimertinib 80 mg once daily. Eligible pts had Stage IIIB-IV NSCLC harbouring a T790M mutation determined by local validated molecular test (not restricted by sample type), received prior EGFR-TKI therapy, WHO performance status (PS) 0−2, acceptable organ and bone marrow function and no history of interstitial lung disease (ILD) or QTc prolongation. Asymptomatic, stable CNS metastases were permitted. The primary efficacy outcome was overall survival; other outcomes included investigator-assessed response rate (RR), progression-free survival and time to treatment discontinuation. Safety data are also reported. Results: From study start (18 Sept 2015) to data cut-off (DCO; 3 Nov 2016), 1217 pts received osimertinib from 120 sites with a median follow-up of 4.1 mths ( &lt; 1−14 mths), median age 64 yrs (27–92 yrs), 67% female, 61% White, 37% Asian, 87% WHO PS 0/1, 44% prior chemotherapy, 45% prior radiotherapy. All pts tested positive for T790M, identified from tissue in 682 pts (56%), plasma ctDNA in 433 pts (36%) and from other specimens in 102 pts (8%). At DCO, 317 pts (26%) had discontinued treatment, 900 pts (74%) were ongoing, median duration of exposure 3.8 mths ( &lt; 1–13.2 mths), 168 pts (14%) had disease progression and 156 pts (13%) had died. In pts evaluable for response, the investigator-assessed RR was 64% (569/886; 95% CI 61, 67). Adverse events (AEs) leading to dose modification and treatment discontinuation were reported in 122 (10%) and 54 pts (4%), respectively. Serious AEs were reported in 165 pts (14%) and AEs leading to death in 30 pts (2%). ILD/pneumonitis-like events were reported in 25 pts (2%), and QTc prolongation in 9 pts (1%). Conclusions: ASTRIS, the largest reported clinical study of osimertinib in T790M-positive NSCLC, demonstrates clinical activity similar to that observed in the osimertinib clinical trial program with no new safety signals. Clinical trial information: NCT02474355.","DOI":"10.1200/JCO.2017.35.15_suppl.9036","ISSN":"0732-183X","shortTitle":"ASTRIS","journalAbbreviation":"JCO","author":[{"family":"De Marinis","given":"Filippo"},{"family":"Cho","given":"Byoung Chul"},{"family":"Kim","given":"Dong-Wan"},{"family":"Kim","given":"Sang-We"},{"family":"Hochmair","given":"Maximilian J."},{"family":"Metro","given":"Giulio"},{"family":"Vansteenkiste","given":"Johan F."},{"family":"Vicente","given":"David"},{"family":"Solomon","given":"Benjamin J."},{"family":"Cheema","given":"Parneet K."},{"family":"Freitas","given":"Helano C."},{"family":"Provencio","given":"Mariano"},{"family":"Chen","given":"Yuh-Min"},{"family":"Wu","given":"Yi-Long"},{"family":"Milner","given":"Alvin"},{"family":"Rigas","given":"James R."}],"issued":{"date-parts":[["2017",5,20]]},"accessed":{"date-parts":[["2018",12,5]]}}}],"schema":"https://github.com/citation-style-language/schema/raw/master/csl-citation.json"}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(40)</w:t>
      </w:r>
      <w:r>
        <w:rPr>
          <w:rFonts w:ascii="Arial" w:hAnsi="Arial" w:cs="Arial"/>
          <w:sz w:val="20"/>
          <w:szCs w:val="20"/>
        </w:rPr>
        <w:fldChar w:fldCharType="end"/>
      </w:r>
      <w:r>
        <w:rPr>
          <w:rFonts w:ascii="Arial" w:hAnsi="Arial" w:cs="Arial"/>
          <w:color w:val="FF0000"/>
          <w:sz w:val="20"/>
          <w:szCs w:val="20"/>
        </w:rPr>
        <w:t xml:space="preserve">. </w:t>
      </w:r>
      <w:r>
        <w:rPr>
          <w:rFonts w:ascii="Arial" w:hAnsi="Arial" w:cs="Arial"/>
          <w:sz w:val="20"/>
          <w:szCs w:val="20"/>
        </w:rPr>
        <w:t xml:space="preserve">Según los datos de este estudio, el 19% de los pacientes (n=234) presentaron efectos adversos de cualquier grado, siendo el 2% de especial interés. La frecuencia de prolongación del intervalo QT y de enfermedad pulmonar intersticial fue baja, 1% y 2%, respectivamente. En la cohorte analizada no se han notificado nuevas reacciones adversas con respecto a las detectadas en los ensayos clínicos disponibles. </w:t>
      </w:r>
    </w:p>
    <w:p w:rsidR="00DD1521" w:rsidRDefault="00DD1521">
      <w:pPr>
        <w:pStyle w:val="Normal1"/>
        <w:spacing w:after="0" w:line="240" w:lineRule="auto"/>
        <w:jc w:val="both"/>
        <w:rPr>
          <w:rFonts w:ascii="Arial" w:hAnsi="Arial" w:cs="Arial"/>
          <w:color w:val="FF0000"/>
          <w:sz w:val="20"/>
          <w:szCs w:val="20"/>
        </w:rPr>
      </w:pPr>
    </w:p>
    <w:p w:rsidR="00DD1521" w:rsidRDefault="00DD1521">
      <w:pPr>
        <w:pStyle w:val="Normal1"/>
        <w:spacing w:after="0" w:line="240" w:lineRule="auto"/>
        <w:jc w:val="both"/>
        <w:rPr>
          <w:rFonts w:ascii="Arial" w:hAnsi="Arial" w:cs="Arial"/>
          <w:color w:val="FF0000"/>
          <w:sz w:val="20"/>
          <w:szCs w:val="20"/>
        </w:rPr>
      </w:pPr>
      <w:r>
        <w:rPr>
          <w:rFonts w:ascii="Arial" w:hAnsi="Arial" w:cs="Arial"/>
          <w:sz w:val="20"/>
          <w:szCs w:val="20"/>
        </w:rPr>
        <w:t xml:space="preserve">En el congreso ESMO del año 2016 se publicaron en formato poster </w:t>
      </w:r>
      <w:r>
        <w:rPr>
          <w:rFonts w:ascii="Arial" w:hAnsi="Arial" w:cs="Arial"/>
          <w:sz w:val="20"/>
          <w:szCs w:val="20"/>
        </w:rPr>
        <w:fldChar w:fldCharType="begin"/>
      </w:r>
      <w:r>
        <w:rPr>
          <w:rFonts w:ascii="Arial" w:hAnsi="Arial" w:cs="Arial"/>
          <w:sz w:val="20"/>
          <w:szCs w:val="20"/>
        </w:rPr>
        <w:instrText xml:space="preserve"> ADDIN ZOTERO_ITEM CSL_CITATION {"citationID":"MOcU2cXF","properties":{"formattedCitation":"(48)","plainCitation":"(48)"},"citationItems":[{"id":1069,"uris":["http://zotero.org/users/local/zrSbuHrK/items/3XBP56G9"],"uri":["http://zotero.org/users/local/zrSbuHrK/items/3XBP56G9"],"itemData":{"id":1069,"type":"webpage","title":"Osimertinib in EGFR T790M positive advanced NSCLC (aNSCLC) – real–life data from the French temporary authorization for use (ATU) program | OncologyPRO","URL":"https://oncologypro.esmo.org/Meeting-Resources/ESMO-2016/Osimertinib-in-EGFR-T790M-positive-advanced-NSCLC-aNSCLC-real-life-data-from-the-French-temporary-authorization-for-use-ATU-program","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(41)</w:t>
      </w:r>
      <w:r>
        <w:rPr>
          <w:rFonts w:ascii="Arial" w:hAnsi="Arial" w:cs="Arial"/>
          <w:sz w:val="20"/>
          <w:szCs w:val="20"/>
        </w:rPr>
        <w:fldChar w:fldCharType="end"/>
      </w:r>
      <w:r>
        <w:rPr>
          <w:rFonts w:ascii="Arial" w:hAnsi="Arial" w:cs="Arial"/>
          <w:sz w:val="20"/>
          <w:szCs w:val="20"/>
        </w:rPr>
        <w:t xml:space="preserve"> los datos de seguridad de un </w:t>
      </w:r>
      <w:r>
        <w:rPr>
          <w:rFonts w:ascii="Arial" w:hAnsi="Arial" w:cs="Arial"/>
          <w:b/>
          <w:bCs/>
          <w:sz w:val="20"/>
          <w:szCs w:val="20"/>
        </w:rPr>
        <w:t>programa de acceso expandido</w:t>
      </w:r>
      <w:r>
        <w:rPr>
          <w:rFonts w:ascii="Arial" w:hAnsi="Arial" w:cs="Arial"/>
          <w:sz w:val="20"/>
          <w:szCs w:val="20"/>
        </w:rPr>
        <w:t xml:space="preserve"> de osimertinib en Francia que incluyó a 364 pacientes, de los </w:t>
      </w:r>
      <w:r>
        <w:rPr>
          <w:rFonts w:ascii="Arial" w:hAnsi="Arial" w:cs="Arial"/>
          <w:sz w:val="20"/>
          <w:szCs w:val="20"/>
        </w:rPr>
        <w:lastRenderedPageBreak/>
        <w:t xml:space="preserve">que el 10,3% de ellos presentaron al menos un efecto secundario,  el 3,7% discontinuaron  el tratamiento como consecuencia de reacciones adversas y el 2,6% requirieron reducción de dosis.  </w:t>
      </w:r>
    </w:p>
    <w:p w:rsidR="00DD1521" w:rsidRDefault="00DD1521">
      <w:pPr>
        <w:spacing w:after="0" w:line="240" w:lineRule="auto"/>
        <w:jc w:val="right"/>
        <w:rPr>
          <w:rFonts w:ascii="Arial" w:hAnsi="Arial" w:cs="Arial"/>
          <w:sz w:val="20"/>
          <w:szCs w:val="20"/>
        </w:rPr>
      </w:pPr>
      <w:r>
        <w:rPr>
          <w:rFonts w:ascii="Arial" w:hAnsi="Arial" w:cs="Arial"/>
          <w:sz w:val="20"/>
          <w:szCs w:val="20"/>
        </w:rPr>
        <w:t xml:space="preserve">                  </w:t>
      </w: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17" w:name="_Toc344399655"/>
      <w:bookmarkStart w:id="118" w:name="_Toc348931386"/>
      <w:bookmarkStart w:id="119" w:name="_Toc5793769"/>
      <w:r>
        <w:rPr>
          <w:rFonts w:ascii="Arial" w:hAnsi="Arial" w:cs="Arial"/>
          <w:sz w:val="20"/>
          <w:szCs w:val="20"/>
        </w:rPr>
        <w:t>6.4 Precauciones de empleo en casos especiales</w:t>
      </w:r>
      <w:bookmarkEnd w:id="117"/>
      <w:bookmarkEnd w:id="118"/>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fsq68alp8","properties":{"formattedCitation":"(2,14)","plainCitation":"(2,14)","dontUpdate":true},"citationItems":[{"id":579,"uris":["http://zotero.org/users/3130274/items/V54E44V4"],"uri":["http://zotero.org/users/3130274/items/V54E44V4"],"itemData":{"id":579,"type":"article-magazine","title":"Tagrisso(Osimertinib) European Assesment Report","URL":"https://www.ema.europa.eu/docs/en_GB/document_library/EPAR_-_Product_Information/human/004124/WC500202022.pdf","author":[{"family":"European Medicines Agency","given":""}],"issued":{"date-parts":[["2017",2,23]]},"accessed":{"date-parts":[["2018",9,28]]}}},{"id":590,"uris":["http://zotero.org/users/3130274/items/EVU8588P"],"uri":["http://zotero.org/users/3130274/items/EVU8588P"],"itemData":{"id":590,"type":"article-magazine","title":"Ficha tecnica Tagrisso","URL":"https://cima.aemps.es/cima/pdfs/es/ft/1161086002/FT_1161086002.pdf","author":[{"family":"CIMA AEMPS","given":""}],"issued":{"date-parts":[["2016"]],"season":"diciembre"},"accessed":{"date-parts":[["2018",9,30]]}}}],"schema":"https://github.com/citation-style-language/schema/raw/master/csl-citation.json"} </w:instrText>
      </w:r>
      <w:r>
        <w:rPr>
          <w:rFonts w:ascii="Arial" w:hAnsi="Arial" w:cs="Arial"/>
          <w:sz w:val="20"/>
          <w:szCs w:val="20"/>
        </w:rPr>
        <w:fldChar w:fldCharType="separate"/>
      </w:r>
      <w:r>
        <w:rPr>
          <w:rFonts w:ascii="Arial" w:hAnsi="Arial" w:cs="Arial"/>
          <w:sz w:val="20"/>
          <w:szCs w:val="20"/>
        </w:rPr>
        <w:t>(4)</w:t>
      </w:r>
      <w:bookmarkEnd w:id="119"/>
      <w:r>
        <w:rPr>
          <w:rFonts w:ascii="Arial" w:hAnsi="Arial" w:cs="Arial"/>
          <w:sz w:val="20"/>
          <w:szCs w:val="20"/>
        </w:rPr>
        <w:fldChar w:fldCharType="end"/>
      </w:r>
      <w:r>
        <w:rPr>
          <w:rFonts w:ascii="Arial" w:hAnsi="Arial" w:cs="Arial"/>
          <w:sz w:val="20"/>
          <w:szCs w:val="20"/>
        </w:rPr>
        <w:t xml:space="preserve"> </w:t>
      </w:r>
    </w:p>
    <w:p w:rsidR="00DD1521" w:rsidRDefault="00DD1521">
      <w:pPr>
        <w:spacing w:after="0" w:line="240" w:lineRule="auto"/>
        <w:rPr>
          <w:rFonts w:ascii="Arial" w:hAnsi="Arial" w:cs="Arial"/>
          <w:sz w:val="20"/>
          <w:szCs w:val="20"/>
          <w:u w:val="single"/>
        </w:rPr>
      </w:pPr>
    </w:p>
    <w:p w:rsidR="00DD1521" w:rsidRDefault="00DD1521">
      <w:pPr>
        <w:spacing w:after="0" w:line="240" w:lineRule="auto"/>
        <w:jc w:val="both"/>
        <w:rPr>
          <w:rFonts w:ascii="Arial" w:hAnsi="Arial" w:cs="Arial"/>
          <w:b/>
          <w:bCs/>
          <w:sz w:val="20"/>
          <w:szCs w:val="20"/>
        </w:rPr>
      </w:pPr>
      <w:r>
        <w:rPr>
          <w:rFonts w:ascii="Arial" w:hAnsi="Arial" w:cs="Arial"/>
          <w:b/>
          <w:bCs/>
          <w:sz w:val="20"/>
          <w:szCs w:val="20"/>
        </w:rPr>
        <w:t>Evaluación del estado de la mutación del EGFR.</w:t>
      </w:r>
    </w:p>
    <w:p w:rsidR="00DD1521" w:rsidRDefault="00DD1521">
      <w:pPr>
        <w:spacing w:after="0" w:line="240" w:lineRule="auto"/>
        <w:jc w:val="both"/>
        <w:rPr>
          <w:rFonts w:ascii="Arial" w:hAnsi="Arial" w:cs="Arial"/>
          <w:sz w:val="20"/>
          <w:szCs w:val="20"/>
        </w:rPr>
      </w:pPr>
      <w:r>
        <w:rPr>
          <w:rFonts w:ascii="Arial" w:hAnsi="Arial" w:cs="Arial"/>
          <w:sz w:val="20"/>
          <w:szCs w:val="20"/>
        </w:rPr>
        <w:t>Al valorar el uso de osimertinib como un tratamiento para el CPNM localmente avanzado o metastásico, es importante que se determine el estado positivo de la mutación del EGFR. Se debe realizar un ensayo validado usando, ya sea ADN tumoral obtenido de una muestra de tejido, o ADN tumoral circulante (ADNtc) obtenido a partir de una muestra de plasma. Sólo se deben usar pruebas robustas, seguras y sensibles, con utilidad demostrada para la determinación del estado de la mutación del EGFR a partir del ADN tumoral (a partir de una muestra de tejido o de plasma).</w:t>
      </w:r>
    </w:p>
    <w:p w:rsidR="00DD1521" w:rsidRDefault="00DD1521">
      <w:pPr>
        <w:spacing w:after="0" w:line="240" w:lineRule="auto"/>
        <w:jc w:val="both"/>
        <w:rPr>
          <w:rFonts w:ascii="Arial" w:hAnsi="Arial" w:cs="Arial"/>
          <w:sz w:val="20"/>
          <w:szCs w:val="20"/>
        </w:rPr>
      </w:pPr>
      <w:r>
        <w:rPr>
          <w:rFonts w:ascii="Arial" w:hAnsi="Arial" w:cs="Arial"/>
          <w:sz w:val="20"/>
          <w:szCs w:val="20"/>
        </w:rPr>
        <w:t>La determinación positiva del estado de la mutación del EGFR empleando, o bien un test basado en tejido, o bien un test basado en plasma, indica la elegibilidad para el tratamiento con Osimertinib. No obstante, si se utiliza un test del ADNtc basado en plasma y el resultado es negativo, es aconsejable el seguimiento con un test tisular, siempre que sea posible, debido a la posibilidad de que se produzcan resultados falsos negativos al usar un test basado en plasma.</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b/>
          <w:bCs/>
          <w:sz w:val="20"/>
          <w:szCs w:val="20"/>
        </w:rPr>
      </w:pPr>
      <w:r>
        <w:rPr>
          <w:rFonts w:ascii="Arial" w:hAnsi="Arial" w:cs="Arial"/>
          <w:b/>
          <w:bCs/>
          <w:sz w:val="20"/>
          <w:szCs w:val="20"/>
        </w:rPr>
        <w:t>Enfermedad Pulmonar Intersticial (EPI)</w:t>
      </w:r>
    </w:p>
    <w:p w:rsidR="00DD1521" w:rsidRDefault="00DD1521">
      <w:pPr>
        <w:spacing w:after="0" w:line="240" w:lineRule="auto"/>
        <w:jc w:val="both"/>
        <w:rPr>
          <w:rFonts w:ascii="Arial" w:hAnsi="Arial" w:cs="Arial"/>
          <w:sz w:val="20"/>
          <w:szCs w:val="20"/>
        </w:rPr>
      </w:pPr>
      <w:r>
        <w:rPr>
          <w:rFonts w:ascii="Arial" w:hAnsi="Arial" w:cs="Arial"/>
          <w:sz w:val="20"/>
          <w:szCs w:val="20"/>
        </w:rPr>
        <w:t>En los ensayos clínicos se han observado EPI o reacciones adversas de tipo EPI (p. ej., neumonitis) graves, potencialmente mortales o mortales en pacientes tratados con osimertinib. Con el fin de excluir EPI, se debe realizar una evaluación cuidadosa de todos los pacientes con un empeoramiento inicial agudo y/o inexplicable de los síntomas pulmonares (disnea, tos, fiebre). El tratamiento con este medicamento se debe interrumpir, pendiente de la investigación de estos síntomas. En el caso de que se diagnostique EPI, osimertinib debe ser suspendido de forma definitiva y se iniciará un tratamiento apropiado, según se precise.</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b/>
          <w:bCs/>
          <w:sz w:val="20"/>
          <w:szCs w:val="20"/>
        </w:rPr>
      </w:pPr>
      <w:r>
        <w:rPr>
          <w:rFonts w:ascii="Arial" w:hAnsi="Arial" w:cs="Arial"/>
          <w:b/>
          <w:bCs/>
          <w:sz w:val="20"/>
          <w:szCs w:val="20"/>
        </w:rPr>
        <w:t>Prolongación del intervalo QTc</w:t>
      </w:r>
    </w:p>
    <w:p w:rsidR="00DD1521" w:rsidRDefault="00DD1521">
      <w:pPr>
        <w:spacing w:after="0" w:line="240" w:lineRule="auto"/>
        <w:jc w:val="both"/>
        <w:rPr>
          <w:rFonts w:ascii="Arial" w:hAnsi="Arial" w:cs="Arial"/>
          <w:sz w:val="20"/>
          <w:szCs w:val="20"/>
        </w:rPr>
      </w:pPr>
      <w:r>
        <w:rPr>
          <w:rFonts w:ascii="Arial" w:hAnsi="Arial" w:cs="Arial"/>
          <w:sz w:val="20"/>
          <w:szCs w:val="20"/>
        </w:rPr>
        <w:t>Siempre que sea posible, se debe evitar el uso de osimertinib en pacientes con síndrome de QT largo congénito. Se debe considerar realizar monitorización periódica con electrocardiogramas (ECGs) y electrolitos en pacientes con insuficiencia cardiaca congestiva, anomalías electrolíticas o en aquellos que estén tomando medicamentos que se sabe que prolongan el intervalo QTc. El tratamiento se debe suspender en pacientes que desarrollen un intervalo QTc superior a 500 ms en al menos 2 ECGs independientes, hasta que el intervalo QTc sea inferior a 481 ms o se recupere el valor basal si el intervalo QTc es mayor o igual a 481 ms, luego reiniciar tratamiento con osimertinib a una dosis reducida. Osimertinib debe ser definitivamente suspendido en pacientes que desarrollen una prolongación del intervalo QTc en combinación con cualquiera de lo siguiente: Torsade de pointes, taquicardia ventricular polimórfica, signos/síntomas de arritmia grave.</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b/>
          <w:bCs/>
          <w:sz w:val="20"/>
          <w:szCs w:val="20"/>
        </w:rPr>
      </w:pPr>
      <w:r>
        <w:rPr>
          <w:rFonts w:ascii="Arial" w:hAnsi="Arial" w:cs="Arial"/>
          <w:b/>
          <w:bCs/>
          <w:sz w:val="20"/>
          <w:szCs w:val="20"/>
        </w:rPr>
        <w:t>Cambios en la contractilidad cardiaca</w:t>
      </w:r>
    </w:p>
    <w:p w:rsidR="00DD1521" w:rsidRDefault="00DD1521">
      <w:pPr>
        <w:spacing w:after="0" w:line="240" w:lineRule="auto"/>
        <w:jc w:val="both"/>
        <w:rPr>
          <w:rFonts w:ascii="Arial" w:hAnsi="Arial" w:cs="Arial"/>
          <w:sz w:val="20"/>
          <w:szCs w:val="20"/>
        </w:rPr>
      </w:pPr>
      <w:r>
        <w:rPr>
          <w:rFonts w:ascii="Arial" w:hAnsi="Arial" w:cs="Arial"/>
          <w:sz w:val="20"/>
          <w:szCs w:val="20"/>
        </w:rPr>
        <w:t>En pacientes con factores de riesgo cardíaco, en aquellos con condiciones que pueden afectar la FEVI y en los que desarrollan signos/síntomas cardiacos relevantes durante el tratamiento se debe considerar la monitorización cardiaca.</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b/>
          <w:bCs/>
          <w:sz w:val="20"/>
          <w:szCs w:val="20"/>
        </w:rPr>
      </w:pPr>
      <w:r>
        <w:rPr>
          <w:rFonts w:ascii="Arial" w:hAnsi="Arial" w:cs="Arial"/>
          <w:b/>
          <w:bCs/>
          <w:sz w:val="20"/>
          <w:szCs w:val="20"/>
        </w:rPr>
        <w:t>Queratitis</w:t>
      </w:r>
    </w:p>
    <w:p w:rsidR="00DD1521" w:rsidRDefault="00DD1521">
      <w:pPr>
        <w:spacing w:after="0" w:line="240" w:lineRule="auto"/>
        <w:jc w:val="both"/>
        <w:rPr>
          <w:rFonts w:ascii="Arial" w:hAnsi="Arial" w:cs="Arial"/>
          <w:sz w:val="20"/>
          <w:szCs w:val="20"/>
        </w:rPr>
      </w:pPr>
      <w:r>
        <w:rPr>
          <w:rFonts w:ascii="Arial" w:hAnsi="Arial" w:cs="Arial"/>
          <w:sz w:val="20"/>
          <w:szCs w:val="20"/>
        </w:rPr>
        <w:t>Los pacientes que presenten signos y síntomas que sugieran queratitis, ya sea aguda o empeoramiento: inflamación ocular, lagrimeo, sensibilidad a la luz, visión borrosa, dolor ocular y/o ojos rojos, deben ser derivados de inmediato a un especialista en oftalmología.</w:t>
      </w: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b/>
          <w:bCs/>
          <w:sz w:val="20"/>
          <w:szCs w:val="20"/>
        </w:rPr>
      </w:pPr>
      <w:r>
        <w:rPr>
          <w:rFonts w:ascii="Arial" w:hAnsi="Arial" w:cs="Arial"/>
          <w:b/>
          <w:bCs/>
          <w:sz w:val="20"/>
          <w:szCs w:val="20"/>
        </w:rPr>
        <w:t>Edad y peso corporal</w:t>
      </w:r>
    </w:p>
    <w:p w:rsidR="00DD1521" w:rsidRDefault="00DD1521">
      <w:pPr>
        <w:spacing w:after="0" w:line="240" w:lineRule="auto"/>
        <w:jc w:val="both"/>
        <w:rPr>
          <w:rFonts w:ascii="Arial" w:hAnsi="Arial" w:cs="Arial"/>
          <w:sz w:val="20"/>
          <w:szCs w:val="20"/>
        </w:rPr>
      </w:pPr>
      <w:r>
        <w:rPr>
          <w:rFonts w:ascii="Arial" w:hAnsi="Arial" w:cs="Arial"/>
          <w:sz w:val="20"/>
          <w:szCs w:val="20"/>
        </w:rPr>
        <w:t>Los pacientes de edad avanzada (&gt;65 años) o los pacientes con peso corporal bajo (&lt;50 kg) pueden tener mayor riesgo de desarrollar acontecimientos de grado 3 o mayor. Se recomienda una monitorización estrecha en estos pacientes.</w:t>
      </w:r>
    </w:p>
    <w:p w:rsidR="00DD1521" w:rsidRDefault="00DD1521">
      <w:pPr>
        <w:spacing w:after="0" w:line="240" w:lineRule="auto"/>
        <w:jc w:val="both"/>
        <w:rPr>
          <w:rFonts w:ascii="Arial" w:hAnsi="Arial" w:cs="Arial"/>
          <w:b/>
          <w:bCs/>
          <w:sz w:val="20"/>
          <w:szCs w:val="20"/>
        </w:rPr>
      </w:pPr>
    </w:p>
    <w:p w:rsidR="00DD1521" w:rsidRDefault="00DD1521">
      <w:pPr>
        <w:spacing w:after="0" w:line="240" w:lineRule="auto"/>
        <w:jc w:val="both"/>
        <w:rPr>
          <w:rFonts w:ascii="Arial" w:hAnsi="Arial" w:cs="Arial"/>
          <w:b/>
          <w:bCs/>
          <w:sz w:val="20"/>
          <w:szCs w:val="20"/>
        </w:rPr>
      </w:pPr>
      <w:r>
        <w:rPr>
          <w:rFonts w:ascii="Arial" w:hAnsi="Arial" w:cs="Arial"/>
          <w:b/>
          <w:bCs/>
          <w:sz w:val="20"/>
          <w:szCs w:val="20"/>
        </w:rPr>
        <w:t>Interacciones</w:t>
      </w:r>
    </w:p>
    <w:p w:rsidR="00DD1521" w:rsidRDefault="00DD1521">
      <w:pPr>
        <w:spacing w:after="0" w:line="240" w:lineRule="auto"/>
        <w:jc w:val="both"/>
        <w:rPr>
          <w:rFonts w:ascii="Arial" w:hAnsi="Arial" w:cs="Arial"/>
          <w:sz w:val="20"/>
          <w:szCs w:val="20"/>
        </w:rPr>
      </w:pPr>
      <w:r>
        <w:rPr>
          <w:rFonts w:ascii="Arial" w:hAnsi="Arial" w:cs="Arial"/>
          <w:sz w:val="20"/>
          <w:szCs w:val="20"/>
        </w:rPr>
        <w:lastRenderedPageBreak/>
        <w:t xml:space="preserve">Los </w:t>
      </w:r>
      <w:r>
        <w:rPr>
          <w:rFonts w:ascii="Arial" w:hAnsi="Arial" w:cs="Arial"/>
          <w:sz w:val="20"/>
          <w:szCs w:val="20"/>
          <w:u w:val="single"/>
        </w:rPr>
        <w:t>inductores potentes del CYP3A4</w:t>
      </w:r>
      <w:r>
        <w:rPr>
          <w:rFonts w:ascii="Arial" w:hAnsi="Arial" w:cs="Arial"/>
          <w:sz w:val="20"/>
          <w:szCs w:val="20"/>
        </w:rPr>
        <w:t xml:space="preserve"> pueden disminuir la exposición a osimertinib y éste puede aumentar la exposición a los sustratos de la proteína de resistencia al cáncer de mama (BCRP) y de la glicoproteína P (P-gp). Se recomienda evitar el uso concomitante de inductores potentes del CYP3A (p. ej., fenitoína, rifampicina y carbamazepina) con osimertinib. Los inductores moderados del CYP3A4 (p. ej., bosentan, efavirenz, etravirina, modafinilo) también pueden disminuir la exposición de osimertinib y se deben usar con precaución o evitarse cuando sea posible. Está contraindicado el uso concomitante de la hierba de San Juan.</w:t>
      </w: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No es probable que los </w:t>
      </w:r>
      <w:r>
        <w:rPr>
          <w:rFonts w:ascii="Arial" w:hAnsi="Arial" w:cs="Arial"/>
          <w:sz w:val="20"/>
          <w:szCs w:val="20"/>
          <w:u w:val="single"/>
        </w:rPr>
        <w:t>inhibidores del CYP3A4</w:t>
      </w:r>
      <w:r>
        <w:rPr>
          <w:rFonts w:ascii="Arial" w:hAnsi="Arial" w:cs="Arial"/>
          <w:sz w:val="20"/>
          <w:szCs w:val="20"/>
        </w:rPr>
        <w:t xml:space="preserve"> afecten a la exposición de osimertinib.</w:t>
      </w: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Los </w:t>
      </w:r>
      <w:r>
        <w:rPr>
          <w:rFonts w:ascii="Arial" w:hAnsi="Arial" w:cs="Arial"/>
          <w:sz w:val="20"/>
          <w:szCs w:val="20"/>
          <w:u w:val="single"/>
        </w:rPr>
        <w:t>agentes modificadores del pH gástrico</w:t>
      </w:r>
      <w:r>
        <w:rPr>
          <w:rFonts w:ascii="Arial" w:hAnsi="Arial" w:cs="Arial"/>
          <w:sz w:val="20"/>
          <w:szCs w:val="20"/>
        </w:rPr>
        <w:t xml:space="preserve"> se pueden utilizar simultáneamente con osimertinib sin ninguna restricción.</w:t>
      </w:r>
    </w:p>
    <w:p w:rsidR="00DD1521" w:rsidRDefault="00DD1521">
      <w:pPr>
        <w:spacing w:after="0" w:line="240" w:lineRule="auto"/>
        <w:jc w:val="both"/>
        <w:rPr>
          <w:rFonts w:ascii="Arial" w:hAnsi="Arial" w:cs="Arial"/>
          <w:sz w:val="20"/>
          <w:szCs w:val="20"/>
        </w:rPr>
      </w:pPr>
      <w:r>
        <w:rPr>
          <w:rFonts w:ascii="Arial" w:hAnsi="Arial" w:cs="Arial"/>
          <w:sz w:val="20"/>
          <w:szCs w:val="20"/>
          <w:u w:val="single"/>
        </w:rPr>
        <w:t>Principios activos</w:t>
      </w:r>
      <w:r>
        <w:rPr>
          <w:rFonts w:ascii="Arial" w:hAnsi="Arial" w:cs="Arial"/>
          <w:sz w:val="20"/>
          <w:szCs w:val="20"/>
        </w:rPr>
        <w:t xml:space="preserve"> cuyas concentraciones plasmáticas podrían verse alteradas por osimertinib:</w:t>
      </w:r>
    </w:p>
    <w:p w:rsidR="00DD1521" w:rsidRDefault="00DD1521">
      <w:pPr>
        <w:pStyle w:val="Prrafodelista"/>
        <w:numPr>
          <w:ilvl w:val="0"/>
          <w:numId w:val="7"/>
        </w:numPr>
        <w:spacing w:after="0" w:line="240" w:lineRule="auto"/>
        <w:jc w:val="both"/>
        <w:rPr>
          <w:rFonts w:ascii="Arial" w:hAnsi="Arial" w:cs="Arial"/>
          <w:sz w:val="20"/>
          <w:szCs w:val="20"/>
        </w:rPr>
      </w:pPr>
      <w:r>
        <w:rPr>
          <w:rFonts w:ascii="Arial" w:hAnsi="Arial" w:cs="Arial"/>
          <w:sz w:val="20"/>
          <w:szCs w:val="20"/>
        </w:rPr>
        <w:t xml:space="preserve">En un estudio de farmacocinética clínica, la </w:t>
      </w:r>
      <w:r w:rsidR="00E172A8">
        <w:rPr>
          <w:rFonts w:ascii="Arial" w:hAnsi="Arial" w:cs="Arial"/>
          <w:sz w:val="20"/>
          <w:szCs w:val="20"/>
        </w:rPr>
        <w:t>coadministración</w:t>
      </w:r>
      <w:r>
        <w:rPr>
          <w:rFonts w:ascii="Arial" w:hAnsi="Arial" w:cs="Arial"/>
          <w:sz w:val="20"/>
          <w:szCs w:val="20"/>
        </w:rPr>
        <w:t xml:space="preserve"> con rosuvastatina (sustrato sensible de la BCRP) elevó el AUC y la C</w:t>
      </w:r>
      <w:r>
        <w:rPr>
          <w:rFonts w:ascii="Arial" w:hAnsi="Arial" w:cs="Arial"/>
          <w:sz w:val="20"/>
          <w:szCs w:val="20"/>
          <w:vertAlign w:val="subscript"/>
        </w:rPr>
        <w:t>max</w:t>
      </w:r>
      <w:r>
        <w:rPr>
          <w:rFonts w:ascii="Arial" w:hAnsi="Arial" w:cs="Arial"/>
          <w:sz w:val="20"/>
          <w:szCs w:val="20"/>
        </w:rPr>
        <w:t xml:space="preserve"> de rosuvastatina en un 35% y en un 72%, respectivamente. Los pacientes que toman medicamentos concomitantes con eliminación dependiente de la BCRP y con un índice terapéutico estrecho deben ser monitorizados estrechamente, en cuanto a signos de modificación de la tolerabilidad de la medicación concomitante, como una consecuencia del aumento de la exposición mientras reciben osimertinib.</w:t>
      </w:r>
    </w:p>
    <w:p w:rsidR="00DD1521" w:rsidRDefault="00DD1521">
      <w:pPr>
        <w:pStyle w:val="Prrafodelista"/>
        <w:numPr>
          <w:ilvl w:val="0"/>
          <w:numId w:val="7"/>
        </w:numPr>
        <w:spacing w:after="0" w:line="240" w:lineRule="auto"/>
        <w:jc w:val="both"/>
        <w:rPr>
          <w:rFonts w:ascii="Arial" w:hAnsi="Arial" w:cs="Arial"/>
          <w:sz w:val="20"/>
          <w:szCs w:val="20"/>
        </w:rPr>
      </w:pPr>
      <w:r>
        <w:rPr>
          <w:rFonts w:ascii="Arial" w:hAnsi="Arial" w:cs="Arial"/>
          <w:sz w:val="20"/>
          <w:szCs w:val="20"/>
        </w:rPr>
        <w:t>Existe riesgo de que la exposición a los anticonceptivos hormonales disminuya.</w:t>
      </w:r>
    </w:p>
    <w:p w:rsidR="00DD1521" w:rsidRDefault="00DD1521">
      <w:pPr>
        <w:pStyle w:val="Prrafodelista"/>
        <w:numPr>
          <w:ilvl w:val="0"/>
          <w:numId w:val="7"/>
        </w:numPr>
        <w:spacing w:after="0" w:line="240" w:lineRule="auto"/>
        <w:jc w:val="both"/>
        <w:rPr>
          <w:rFonts w:ascii="Arial" w:hAnsi="Arial" w:cs="Arial"/>
          <w:sz w:val="20"/>
          <w:szCs w:val="20"/>
        </w:rPr>
      </w:pPr>
      <w:r>
        <w:rPr>
          <w:rFonts w:ascii="Arial" w:hAnsi="Arial" w:cs="Arial"/>
          <w:sz w:val="20"/>
          <w:szCs w:val="20"/>
        </w:rPr>
        <w:t>Se debe controlar estrechamente a los pacientes que toman medicación concomitante con disposición dependiente de la P-gp y con un índice terapéutico estrecho (p. ej. digoxina, dabigatrán, aliskireno) para detectar signos de tolerabilidad alterada como resultado de una mayor exposición a la medicación concomitante mientras reciben tratamiento con osimertinib.</w:t>
      </w:r>
    </w:p>
    <w:p w:rsidR="00DD1521" w:rsidRDefault="00DD1521">
      <w:pPr>
        <w:spacing w:after="0" w:line="240" w:lineRule="auto"/>
        <w:rPr>
          <w:rFonts w:ascii="Arial" w:hAnsi="Arial" w:cs="Arial"/>
          <w:b/>
          <w:bCs/>
          <w:sz w:val="20"/>
          <w:szCs w:val="20"/>
        </w:rPr>
      </w:pPr>
    </w:p>
    <w:p w:rsidR="00DD1521" w:rsidRDefault="00DD1521">
      <w:pPr>
        <w:spacing w:after="0" w:line="240" w:lineRule="auto"/>
        <w:rPr>
          <w:rFonts w:ascii="Arial" w:hAnsi="Arial" w:cs="Arial"/>
          <w:b/>
          <w:bCs/>
          <w:sz w:val="20"/>
          <w:szCs w:val="20"/>
        </w:rPr>
      </w:pPr>
      <w:r>
        <w:rPr>
          <w:rFonts w:ascii="Arial" w:hAnsi="Arial" w:cs="Arial"/>
          <w:b/>
          <w:bCs/>
          <w:sz w:val="20"/>
          <w:szCs w:val="20"/>
        </w:rPr>
        <w:t>Fertilidad, embarazo y lactancia</w:t>
      </w:r>
    </w:p>
    <w:p w:rsidR="00DD1521" w:rsidRDefault="00DD1521">
      <w:pPr>
        <w:spacing w:after="0" w:line="240" w:lineRule="auto"/>
        <w:jc w:val="both"/>
        <w:rPr>
          <w:rFonts w:ascii="Arial" w:hAnsi="Arial" w:cs="Arial"/>
          <w:sz w:val="20"/>
          <w:szCs w:val="20"/>
        </w:rPr>
      </w:pPr>
      <w:r>
        <w:rPr>
          <w:rFonts w:ascii="Arial" w:hAnsi="Arial" w:cs="Arial"/>
          <w:sz w:val="20"/>
          <w:szCs w:val="20"/>
        </w:rPr>
        <w:t>Se debe aconsejar a las mujeres en edad fértil que eviten quedarse embarazadas mientras reciben osimertinib. Se debe recomendar a los pacientes que utilicen métodos anticonceptivos eficaces durante los siguientes periodos después de la finalización del tratamiento con este medicamento: al menos 2 meses para las mujeres y 4 meses para los varones. No puede excluirse el riesgo de que la exposición a los anticonceptivos hormonales disminuya.</w:t>
      </w:r>
    </w:p>
    <w:p w:rsidR="00DD1521" w:rsidRDefault="00DD1521">
      <w:pPr>
        <w:spacing w:after="0" w:line="240" w:lineRule="auto"/>
        <w:jc w:val="both"/>
        <w:rPr>
          <w:rFonts w:ascii="Arial" w:hAnsi="Arial" w:cs="Arial"/>
          <w:sz w:val="20"/>
          <w:szCs w:val="20"/>
        </w:rPr>
      </w:pPr>
      <w:r>
        <w:rPr>
          <w:rFonts w:ascii="Arial" w:hAnsi="Arial" w:cs="Arial"/>
          <w:sz w:val="20"/>
          <w:szCs w:val="20"/>
          <w:u w:val="single"/>
        </w:rPr>
        <w:t>Embarazo.</w:t>
      </w:r>
      <w:r>
        <w:rPr>
          <w:rFonts w:ascii="Arial" w:hAnsi="Arial" w:cs="Arial"/>
          <w:sz w:val="20"/>
          <w:szCs w:val="20"/>
        </w:rPr>
        <w:t xml:space="preserve"> Durante el embarazo no se debe usar osimertinib a menos que la situación clínica de la mujer requiera tratamiento con osimertinib.</w:t>
      </w:r>
    </w:p>
    <w:p w:rsidR="00DD1521" w:rsidRDefault="00DD1521">
      <w:pPr>
        <w:spacing w:after="0" w:line="240" w:lineRule="auto"/>
        <w:jc w:val="both"/>
        <w:rPr>
          <w:rFonts w:ascii="Arial" w:hAnsi="Arial" w:cs="Arial"/>
          <w:sz w:val="20"/>
          <w:szCs w:val="20"/>
        </w:rPr>
      </w:pPr>
      <w:r>
        <w:rPr>
          <w:rFonts w:ascii="Arial" w:hAnsi="Arial" w:cs="Arial"/>
          <w:sz w:val="20"/>
          <w:szCs w:val="20"/>
          <w:u w:val="single"/>
        </w:rPr>
        <w:t>Lactancia.</w:t>
      </w:r>
      <w:r>
        <w:rPr>
          <w:rFonts w:ascii="Arial" w:hAnsi="Arial" w:cs="Arial"/>
          <w:sz w:val="20"/>
          <w:szCs w:val="20"/>
        </w:rPr>
        <w:t xml:space="preserve"> Se debe interrumpir la lactancia materna durante el tratamiento con osimertinib.</w:t>
      </w:r>
    </w:p>
    <w:p w:rsidR="00DD1521" w:rsidRDefault="00DD1521">
      <w:pPr>
        <w:spacing w:after="0" w:line="240" w:lineRule="auto"/>
        <w:jc w:val="both"/>
        <w:rPr>
          <w:rFonts w:ascii="Arial" w:hAnsi="Arial" w:cs="Arial"/>
          <w:sz w:val="20"/>
          <w:szCs w:val="20"/>
        </w:rPr>
      </w:pPr>
      <w:r>
        <w:rPr>
          <w:rFonts w:ascii="Arial" w:hAnsi="Arial" w:cs="Arial"/>
          <w:sz w:val="20"/>
          <w:szCs w:val="20"/>
          <w:u w:val="single"/>
        </w:rPr>
        <w:t>Fertilidad.</w:t>
      </w:r>
      <w:r>
        <w:rPr>
          <w:rFonts w:ascii="Arial" w:hAnsi="Arial" w:cs="Arial"/>
          <w:sz w:val="20"/>
          <w:szCs w:val="20"/>
        </w:rPr>
        <w:t xml:space="preserve"> No hay datos sobre el efecto de osimertinib sobre la fertilidad humana. Los resultados de estudios en animales han indicado que osimertinib tiene efectos sobre los órganos reproductores masculinos y femeninos y </w:t>
      </w:r>
      <w:r w:rsidR="00E172A8">
        <w:rPr>
          <w:rFonts w:ascii="Arial" w:hAnsi="Arial" w:cs="Arial"/>
          <w:sz w:val="20"/>
          <w:szCs w:val="20"/>
        </w:rPr>
        <w:t>podría</w:t>
      </w:r>
      <w:r>
        <w:rPr>
          <w:rFonts w:ascii="Arial" w:hAnsi="Arial" w:cs="Arial"/>
          <w:sz w:val="20"/>
          <w:szCs w:val="20"/>
        </w:rPr>
        <w:t xml:space="preserve"> perjudicar a la fertilidad.</w:t>
      </w:r>
    </w:p>
    <w:p w:rsidR="00DD1521" w:rsidRDefault="00DD1521">
      <w:pPr>
        <w:spacing w:after="0" w:line="240" w:lineRule="auto"/>
        <w:jc w:val="both"/>
        <w:rPr>
          <w:rFonts w:ascii="Arial" w:hAnsi="Arial" w:cs="Arial"/>
          <w:sz w:val="20"/>
          <w:szCs w:val="20"/>
        </w:rPr>
      </w:pPr>
    </w:p>
    <w:tbl>
      <w:tblPr>
        <w:tblW w:w="900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01"/>
      </w:tblGrid>
      <w:tr w:rsidR="00DD1521">
        <w:tc>
          <w:tcPr>
            <w:tcW w:w="9001" w:type="dxa"/>
            <w:shd w:val="clear" w:color="auto" w:fill="B3B3B3"/>
          </w:tcPr>
          <w:p w:rsidR="00DD1521" w:rsidRPr="00E23D29" w:rsidRDefault="00DD1521">
            <w:pPr>
              <w:pStyle w:val="Ttulo1"/>
              <w:shd w:val="clear" w:color="auto" w:fill="A6A6A6"/>
              <w:spacing w:after="0" w:line="240" w:lineRule="auto"/>
              <w:rPr>
                <w:rFonts w:ascii="Arial" w:hAnsi="Arial" w:cs="Arial"/>
                <w:kern w:val="0"/>
                <w:sz w:val="20"/>
                <w:szCs w:val="20"/>
              </w:rPr>
            </w:pPr>
            <w:bookmarkStart w:id="120" w:name="_Toc344399656"/>
            <w:bookmarkStart w:id="121" w:name="_Toc348931387"/>
            <w:bookmarkStart w:id="122" w:name="_Toc5793770"/>
            <w:r w:rsidRPr="00E23D29">
              <w:rPr>
                <w:rFonts w:ascii="Arial" w:hAnsi="Arial" w:cs="Arial"/>
                <w:kern w:val="0"/>
                <w:sz w:val="20"/>
                <w:szCs w:val="20"/>
              </w:rPr>
              <w:t>7. AREA ECONÓMICA</w:t>
            </w:r>
            <w:bookmarkEnd w:id="120"/>
            <w:bookmarkEnd w:id="121"/>
            <w:bookmarkEnd w:id="122"/>
          </w:p>
        </w:tc>
      </w:tr>
    </w:tbl>
    <w:p w:rsidR="00DD1521" w:rsidRDefault="00DD1521">
      <w:pPr>
        <w:spacing w:after="0" w:line="240" w:lineRule="auto"/>
        <w:jc w:val="both"/>
        <w:rPr>
          <w:rFonts w:ascii="Arial" w:hAnsi="Arial" w:cs="Arial"/>
          <w:sz w:val="20"/>
          <w:szCs w:val="20"/>
          <w:shd w:val="clear" w:color="auto" w:fill="C0C0C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23" w:name="_Toc344399657"/>
      <w:bookmarkStart w:id="124" w:name="_Toc348931388"/>
      <w:bookmarkStart w:id="125" w:name="_Toc5793771"/>
      <w:r>
        <w:rPr>
          <w:rFonts w:ascii="Arial" w:hAnsi="Arial" w:cs="Arial"/>
          <w:sz w:val="20"/>
          <w:szCs w:val="20"/>
        </w:rPr>
        <w:t>7.1 Costes. Coste incremental</w:t>
      </w:r>
      <w:bookmarkEnd w:id="123"/>
      <w:bookmarkEnd w:id="124"/>
      <w:bookmarkEnd w:id="125"/>
    </w:p>
    <w:p w:rsidR="00DD1521" w:rsidRDefault="00DD1521">
      <w:pPr>
        <w:spacing w:after="0" w:line="240" w:lineRule="auto"/>
        <w:jc w:val="both"/>
        <w:rPr>
          <w:rFonts w:ascii="Arial" w:hAnsi="Arial" w:cs="Arial"/>
          <w:b/>
          <w:bCs/>
          <w:sz w:val="20"/>
          <w:szCs w:val="20"/>
          <w:shd w:val="clear" w:color="auto" w:fill="C0C0C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Coste incremental de las distintas alternativas disponibles para tratamiento de segunda línea del CPNM avanzado o metastásico con mutación positiva del EGFR T790M</w:t>
      </w:r>
    </w:p>
    <w:p w:rsidR="00DD1521" w:rsidRDefault="00DD1521">
      <w:pPr>
        <w:spacing w:after="0" w:line="240" w:lineRule="auto"/>
        <w:jc w:val="both"/>
        <w:rPr>
          <w:rFonts w:ascii="Arial" w:hAnsi="Arial" w:cs="Arial"/>
          <w:sz w:val="20"/>
          <w:szCs w:val="20"/>
        </w:rPr>
      </w:pPr>
    </w:p>
    <w:tbl>
      <w:tblPr>
        <w:tblW w:w="931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60"/>
        <w:gridCol w:w="1275"/>
        <w:gridCol w:w="1681"/>
        <w:gridCol w:w="2288"/>
        <w:gridCol w:w="2410"/>
      </w:tblGrid>
      <w:tr w:rsidR="00DD1521">
        <w:trPr>
          <w:trHeight w:val="277"/>
        </w:trPr>
        <w:tc>
          <w:tcPr>
            <w:tcW w:w="9314" w:type="dxa"/>
            <w:gridSpan w:val="5"/>
            <w:shd w:val="clear" w:color="auto" w:fill="CCFFCC"/>
            <w:vAlign w:val="center"/>
          </w:tcPr>
          <w:p w:rsidR="00DD1521" w:rsidRDefault="00DD1521">
            <w:pPr>
              <w:spacing w:after="0" w:line="240" w:lineRule="auto"/>
              <w:rPr>
                <w:rFonts w:ascii="Arial" w:hAnsi="Arial" w:cs="Arial"/>
                <w:b/>
                <w:bCs/>
                <w:sz w:val="16"/>
                <w:szCs w:val="16"/>
              </w:rPr>
            </w:pPr>
            <w:r>
              <w:rPr>
                <w:rFonts w:ascii="Arial" w:hAnsi="Arial" w:cs="Arial"/>
                <w:b/>
                <w:bCs/>
                <w:sz w:val="16"/>
                <w:szCs w:val="16"/>
              </w:rPr>
              <w:t>Tabla 13. Comparación de costes del tratamiento evaluado frente a otra/s alternativa/s.</w:t>
            </w:r>
          </w:p>
        </w:tc>
      </w:tr>
      <w:tr w:rsidR="00DD1521">
        <w:trPr>
          <w:trHeight w:val="277"/>
        </w:trPr>
        <w:tc>
          <w:tcPr>
            <w:tcW w:w="1660" w:type="dxa"/>
            <w:shd w:val="clear" w:color="auto" w:fill="CCFFCC"/>
            <w:vAlign w:val="center"/>
          </w:tcPr>
          <w:p w:rsidR="00DD1521" w:rsidRDefault="00DD1521">
            <w:pPr>
              <w:spacing w:after="0" w:line="240" w:lineRule="auto"/>
              <w:rPr>
                <w:rFonts w:ascii="Arial" w:hAnsi="Arial" w:cs="Arial"/>
                <w:b/>
                <w:bCs/>
                <w:sz w:val="16"/>
                <w:szCs w:val="16"/>
              </w:rPr>
            </w:pPr>
          </w:p>
        </w:tc>
        <w:tc>
          <w:tcPr>
            <w:tcW w:w="1275" w:type="dxa"/>
            <w:shd w:val="clear" w:color="auto" w:fill="CCFFCC"/>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Osimertinib</w:t>
            </w:r>
          </w:p>
        </w:tc>
        <w:tc>
          <w:tcPr>
            <w:tcW w:w="1681" w:type="dxa"/>
            <w:shd w:val="clear" w:color="auto" w:fill="CCFFCC"/>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QT basada en platino</w:t>
            </w:r>
          </w:p>
        </w:tc>
        <w:tc>
          <w:tcPr>
            <w:tcW w:w="2288" w:type="dxa"/>
            <w:shd w:val="clear" w:color="auto" w:fill="CCFFCC"/>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Docetaxel</w:t>
            </w:r>
          </w:p>
        </w:tc>
        <w:tc>
          <w:tcPr>
            <w:tcW w:w="2410" w:type="dxa"/>
            <w:shd w:val="clear" w:color="auto" w:fill="CCFFCC"/>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Pemetrexed</w:t>
            </w:r>
          </w:p>
        </w:tc>
      </w:tr>
      <w:tr w:rsidR="00DD1521">
        <w:trPr>
          <w:cantSplit/>
          <w:trHeight w:val="270"/>
        </w:trPr>
        <w:tc>
          <w:tcPr>
            <w:tcW w:w="1660" w:type="dxa"/>
            <w:vMerge w:val="restart"/>
            <w:vAlign w:val="center"/>
          </w:tcPr>
          <w:p w:rsidR="00DD1521" w:rsidRDefault="00DD1521">
            <w:pPr>
              <w:spacing w:after="0" w:line="240" w:lineRule="auto"/>
            </w:pPr>
            <w:r>
              <w:rPr>
                <w:rFonts w:ascii="Arial" w:hAnsi="Arial" w:cs="Arial"/>
                <w:b/>
                <w:bCs/>
                <w:sz w:val="16"/>
                <w:szCs w:val="16"/>
              </w:rPr>
              <w:t>Presentación</w:t>
            </w:r>
          </w:p>
        </w:tc>
        <w:tc>
          <w:tcPr>
            <w:tcW w:w="1275" w:type="dxa"/>
            <w:vMerge w:val="restart"/>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Tagrisso</w:t>
            </w:r>
            <w:r>
              <w:rPr>
                <w:rFonts w:ascii="Arial" w:hAnsi="Arial" w:cs="Arial"/>
                <w:sz w:val="16"/>
                <w:szCs w:val="16"/>
                <w:vertAlign w:val="superscript"/>
              </w:rPr>
              <w:t xml:space="preserve">® </w:t>
            </w:r>
            <w:r>
              <w:rPr>
                <w:rFonts w:ascii="Arial" w:hAnsi="Arial" w:cs="Arial"/>
                <w:sz w:val="16"/>
                <w:szCs w:val="16"/>
              </w:rPr>
              <w:t>80 y 40 mg comprimidos</w:t>
            </w:r>
          </w:p>
        </w:tc>
        <w:tc>
          <w:tcPr>
            <w:tcW w:w="1681" w:type="dxa"/>
            <w:vAlign w:val="center"/>
          </w:tcPr>
          <w:p w:rsidR="00DD1521" w:rsidRDefault="00DD1521">
            <w:pPr>
              <w:snapToGrid w:val="0"/>
              <w:spacing w:after="0" w:line="240" w:lineRule="auto"/>
              <w:jc w:val="center"/>
            </w:pPr>
            <w:r>
              <w:rPr>
                <w:rFonts w:ascii="Arial" w:hAnsi="Arial" w:cs="Arial"/>
                <w:sz w:val="16"/>
                <w:szCs w:val="16"/>
                <w:u w:val="single"/>
              </w:rPr>
              <w:t>Cisplatino</w:t>
            </w:r>
            <w:r>
              <w:rPr>
                <w:rFonts w:ascii="Arial" w:hAnsi="Arial" w:cs="Arial"/>
                <w:sz w:val="16"/>
                <w:szCs w:val="16"/>
              </w:rPr>
              <w:t>:  viales de 100 mg.</w:t>
            </w:r>
          </w:p>
        </w:tc>
        <w:tc>
          <w:tcPr>
            <w:tcW w:w="2288" w:type="dxa"/>
            <w:vMerge w:val="restart"/>
            <w:vAlign w:val="center"/>
          </w:tcPr>
          <w:p w:rsidR="00DD1521" w:rsidRDefault="00DD1521">
            <w:pPr>
              <w:snapToGrid w:val="0"/>
              <w:spacing w:after="0" w:line="240" w:lineRule="auto"/>
              <w:jc w:val="center"/>
            </w:pPr>
            <w:r>
              <w:rPr>
                <w:rFonts w:ascii="Arial" w:hAnsi="Arial" w:cs="Arial"/>
                <w:sz w:val="16"/>
                <w:szCs w:val="16"/>
              </w:rPr>
              <w:t>Docetaxel EFG viales de 160 mg.</w:t>
            </w:r>
          </w:p>
        </w:tc>
        <w:tc>
          <w:tcPr>
            <w:tcW w:w="2410" w:type="dxa"/>
            <w:vMerge w:val="restart"/>
            <w:vAlign w:val="center"/>
          </w:tcPr>
          <w:p w:rsidR="00DD1521" w:rsidRDefault="00DD1521">
            <w:pPr>
              <w:snapToGrid w:val="0"/>
              <w:spacing w:after="0" w:line="240" w:lineRule="auto"/>
              <w:jc w:val="center"/>
            </w:pPr>
            <w:r>
              <w:rPr>
                <w:rFonts w:ascii="Arial" w:hAnsi="Arial" w:cs="Arial"/>
                <w:sz w:val="16"/>
                <w:szCs w:val="16"/>
              </w:rPr>
              <w:t>Pemetrexed, viales de 500 mg.</w:t>
            </w:r>
          </w:p>
        </w:tc>
      </w:tr>
      <w:tr w:rsidR="00DD1521">
        <w:trPr>
          <w:cantSplit/>
          <w:trHeight w:val="415"/>
        </w:trPr>
        <w:tc>
          <w:tcPr>
            <w:tcW w:w="1660" w:type="dxa"/>
            <w:vMerge/>
            <w:vAlign w:val="center"/>
          </w:tcPr>
          <w:p w:rsidR="00DD1521" w:rsidRDefault="00DD1521">
            <w:pPr>
              <w:snapToGrid w:val="0"/>
              <w:spacing w:after="0" w:line="240" w:lineRule="auto"/>
            </w:pPr>
          </w:p>
        </w:tc>
        <w:tc>
          <w:tcPr>
            <w:tcW w:w="1275" w:type="dxa"/>
            <w:vMerge/>
            <w:vAlign w:val="center"/>
          </w:tcPr>
          <w:p w:rsidR="00DD1521" w:rsidRDefault="00DD1521">
            <w:pPr>
              <w:snapToGrid w:val="0"/>
              <w:spacing w:after="0" w:line="240" w:lineRule="auto"/>
            </w:pPr>
          </w:p>
        </w:tc>
        <w:tc>
          <w:tcPr>
            <w:tcW w:w="1681" w:type="dxa"/>
            <w:vAlign w:val="center"/>
          </w:tcPr>
          <w:p w:rsidR="00DD1521" w:rsidRDefault="00DD1521">
            <w:pPr>
              <w:snapToGrid w:val="0"/>
              <w:spacing w:after="0" w:line="240" w:lineRule="auto"/>
              <w:jc w:val="center"/>
            </w:pPr>
            <w:r>
              <w:rPr>
                <w:rFonts w:ascii="Arial" w:hAnsi="Arial" w:cs="Arial"/>
                <w:sz w:val="16"/>
                <w:szCs w:val="16"/>
                <w:u w:val="single"/>
              </w:rPr>
              <w:t>Pemetrexed</w:t>
            </w:r>
            <w:r>
              <w:rPr>
                <w:rFonts w:ascii="Arial" w:hAnsi="Arial" w:cs="Arial"/>
                <w:sz w:val="16"/>
                <w:szCs w:val="16"/>
              </w:rPr>
              <w:t>:</w:t>
            </w:r>
            <w:r>
              <w:t xml:space="preserve"> </w:t>
            </w:r>
            <w:r>
              <w:rPr>
                <w:rFonts w:ascii="Arial" w:hAnsi="Arial" w:cs="Arial"/>
                <w:sz w:val="16"/>
                <w:szCs w:val="16"/>
              </w:rPr>
              <w:t>viales 500 mg.</w:t>
            </w:r>
          </w:p>
        </w:tc>
        <w:tc>
          <w:tcPr>
            <w:tcW w:w="2288" w:type="dxa"/>
            <w:vMerge/>
            <w:vAlign w:val="center"/>
          </w:tcPr>
          <w:p w:rsidR="00DD1521" w:rsidRDefault="00DD1521">
            <w:pPr>
              <w:snapToGrid w:val="0"/>
              <w:spacing w:after="0" w:line="240" w:lineRule="auto"/>
            </w:pPr>
          </w:p>
        </w:tc>
        <w:tc>
          <w:tcPr>
            <w:tcW w:w="2410" w:type="dxa"/>
            <w:vMerge/>
            <w:vAlign w:val="center"/>
          </w:tcPr>
          <w:p w:rsidR="00DD1521" w:rsidRDefault="00DD1521">
            <w:pPr>
              <w:snapToGrid w:val="0"/>
              <w:spacing w:after="0" w:line="240" w:lineRule="auto"/>
              <w:jc w:val="center"/>
            </w:pPr>
          </w:p>
        </w:tc>
      </w:tr>
      <w:tr w:rsidR="00DD1521">
        <w:trPr>
          <w:cantSplit/>
          <w:trHeight w:val="433"/>
        </w:trPr>
        <w:tc>
          <w:tcPr>
            <w:tcW w:w="1660" w:type="dxa"/>
            <w:vMerge w:val="restart"/>
            <w:vAlign w:val="center"/>
          </w:tcPr>
          <w:p w:rsidR="00DD1521" w:rsidRDefault="00DD1521">
            <w:pPr>
              <w:spacing w:after="0" w:line="240" w:lineRule="auto"/>
            </w:pPr>
            <w:r>
              <w:rPr>
                <w:rFonts w:ascii="Arial" w:hAnsi="Arial" w:cs="Arial"/>
                <w:b/>
                <w:bCs/>
                <w:sz w:val="16"/>
                <w:szCs w:val="16"/>
              </w:rPr>
              <w:t>Precio unitario (PVL+IVA)</w:t>
            </w:r>
          </w:p>
        </w:tc>
        <w:tc>
          <w:tcPr>
            <w:tcW w:w="1275" w:type="dxa"/>
            <w:vMerge w:val="restart"/>
            <w:vAlign w:val="center"/>
          </w:tcPr>
          <w:p w:rsidR="00DD1521" w:rsidRDefault="00DD1521">
            <w:pPr>
              <w:spacing w:after="0" w:line="240" w:lineRule="auto"/>
              <w:jc w:val="center"/>
            </w:pPr>
            <w:r>
              <w:rPr>
                <w:rFonts w:ascii="Arial" w:hAnsi="Arial" w:cs="Arial"/>
                <w:sz w:val="16"/>
                <w:szCs w:val="16"/>
              </w:rPr>
              <w:t>210,32 €</w:t>
            </w:r>
          </w:p>
        </w:tc>
        <w:tc>
          <w:tcPr>
            <w:tcW w:w="1681" w:type="dxa"/>
            <w:vAlign w:val="center"/>
          </w:tcPr>
          <w:p w:rsidR="00DD1521" w:rsidRDefault="00DD1521">
            <w:pPr>
              <w:snapToGrid w:val="0"/>
              <w:spacing w:after="0" w:line="240" w:lineRule="auto"/>
              <w:jc w:val="center"/>
            </w:pPr>
            <w:r>
              <w:rPr>
                <w:rFonts w:ascii="Arial" w:hAnsi="Arial" w:cs="Arial"/>
                <w:sz w:val="16"/>
                <w:szCs w:val="16"/>
                <w:u w:val="single"/>
              </w:rPr>
              <w:t>Cisplatino (vial de 100 mg)</w:t>
            </w:r>
            <w:r>
              <w:rPr>
                <w:rFonts w:ascii="Arial" w:hAnsi="Arial" w:cs="Arial"/>
                <w:sz w:val="16"/>
                <w:szCs w:val="16"/>
              </w:rPr>
              <w:t>: 23,19  €</w:t>
            </w:r>
          </w:p>
        </w:tc>
        <w:tc>
          <w:tcPr>
            <w:tcW w:w="2288" w:type="dxa"/>
            <w:vMerge w:val="restart"/>
            <w:vAlign w:val="center"/>
          </w:tcPr>
          <w:p w:rsidR="00DD1521" w:rsidRDefault="00DD1521">
            <w:pPr>
              <w:snapToGrid w:val="0"/>
              <w:spacing w:after="0" w:line="240" w:lineRule="auto"/>
              <w:jc w:val="center"/>
            </w:pPr>
            <w:r>
              <w:rPr>
                <w:rFonts w:ascii="Arial" w:hAnsi="Arial" w:cs="Arial"/>
                <w:sz w:val="16"/>
                <w:szCs w:val="16"/>
              </w:rPr>
              <w:t>Vial de 160 mg: 365,83 €</w:t>
            </w:r>
          </w:p>
        </w:tc>
        <w:tc>
          <w:tcPr>
            <w:tcW w:w="2410" w:type="dxa"/>
            <w:vMerge w:val="restart"/>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 xml:space="preserve">Alimta® (vial de 500 mg): </w:t>
            </w:r>
          </w:p>
          <w:p w:rsidR="00DD1521" w:rsidRDefault="00DD1521">
            <w:pPr>
              <w:snapToGrid w:val="0"/>
              <w:spacing w:after="0" w:line="240" w:lineRule="auto"/>
              <w:jc w:val="center"/>
            </w:pPr>
            <w:r>
              <w:rPr>
                <w:rFonts w:ascii="Arial" w:hAnsi="Arial" w:cs="Arial"/>
                <w:sz w:val="16"/>
                <w:szCs w:val="16"/>
              </w:rPr>
              <w:t>1.248 €</w:t>
            </w:r>
          </w:p>
        </w:tc>
      </w:tr>
      <w:tr w:rsidR="00DD1521">
        <w:trPr>
          <w:cantSplit/>
          <w:trHeight w:val="433"/>
        </w:trPr>
        <w:tc>
          <w:tcPr>
            <w:tcW w:w="1660" w:type="dxa"/>
            <w:vMerge/>
            <w:vAlign w:val="center"/>
          </w:tcPr>
          <w:p w:rsidR="00DD1521" w:rsidRDefault="00DD1521">
            <w:pPr>
              <w:snapToGrid w:val="0"/>
              <w:spacing w:after="0" w:line="240" w:lineRule="auto"/>
            </w:pPr>
          </w:p>
        </w:tc>
        <w:tc>
          <w:tcPr>
            <w:tcW w:w="1275" w:type="dxa"/>
            <w:vMerge/>
            <w:vAlign w:val="center"/>
          </w:tcPr>
          <w:p w:rsidR="00DD1521" w:rsidRDefault="00DD1521">
            <w:pPr>
              <w:snapToGrid w:val="0"/>
              <w:spacing w:after="0" w:line="240" w:lineRule="auto"/>
            </w:pPr>
          </w:p>
        </w:tc>
        <w:tc>
          <w:tcPr>
            <w:tcW w:w="1681" w:type="dxa"/>
            <w:vAlign w:val="center"/>
          </w:tcPr>
          <w:p w:rsidR="00DD1521" w:rsidRDefault="00DD1521">
            <w:pPr>
              <w:snapToGrid w:val="0"/>
              <w:spacing w:after="0" w:line="240" w:lineRule="auto"/>
              <w:jc w:val="center"/>
            </w:pPr>
            <w:r>
              <w:rPr>
                <w:rFonts w:ascii="Arial" w:hAnsi="Arial" w:cs="Arial"/>
                <w:sz w:val="16"/>
                <w:szCs w:val="16"/>
                <w:u w:val="single"/>
              </w:rPr>
              <w:t>Pemetrexed</w:t>
            </w:r>
            <w:r>
              <w:rPr>
                <w:rFonts w:ascii="Arial" w:hAnsi="Arial" w:cs="Arial"/>
                <w:sz w:val="16"/>
                <w:szCs w:val="16"/>
              </w:rPr>
              <w:t>:</w:t>
            </w:r>
          </w:p>
          <w:p w:rsidR="00DD1521" w:rsidRDefault="00DD1521">
            <w:pPr>
              <w:numPr>
                <w:ilvl w:val="0"/>
                <w:numId w:val="4"/>
              </w:numPr>
              <w:tabs>
                <w:tab w:val="left" w:pos="121"/>
              </w:tabs>
              <w:suppressAutoHyphens/>
              <w:snapToGrid w:val="0"/>
              <w:spacing w:after="0" w:line="240" w:lineRule="auto"/>
              <w:ind w:left="121" w:hanging="121"/>
              <w:jc w:val="center"/>
            </w:pPr>
            <w:r>
              <w:rPr>
                <w:rFonts w:ascii="Arial" w:hAnsi="Arial" w:cs="Arial"/>
                <w:sz w:val="16"/>
                <w:szCs w:val="16"/>
              </w:rPr>
              <w:t>Alimta® (vial de 500 mg): 1.248 €</w:t>
            </w:r>
          </w:p>
        </w:tc>
        <w:tc>
          <w:tcPr>
            <w:tcW w:w="2288" w:type="dxa"/>
            <w:vMerge/>
            <w:vAlign w:val="center"/>
          </w:tcPr>
          <w:p w:rsidR="00DD1521" w:rsidRDefault="00DD1521">
            <w:pPr>
              <w:snapToGrid w:val="0"/>
              <w:spacing w:after="0" w:line="240" w:lineRule="auto"/>
            </w:pPr>
          </w:p>
        </w:tc>
        <w:tc>
          <w:tcPr>
            <w:tcW w:w="2410" w:type="dxa"/>
            <w:vMerge/>
            <w:vAlign w:val="center"/>
          </w:tcPr>
          <w:p w:rsidR="00DD1521" w:rsidRDefault="00DD1521">
            <w:pPr>
              <w:snapToGrid w:val="0"/>
              <w:spacing w:after="0" w:line="240" w:lineRule="auto"/>
              <w:jc w:val="center"/>
              <w:rPr>
                <w:rFonts w:ascii="Arial" w:hAnsi="Arial" w:cs="Arial"/>
                <w:sz w:val="16"/>
                <w:szCs w:val="16"/>
              </w:rPr>
            </w:pPr>
          </w:p>
        </w:tc>
      </w:tr>
      <w:tr w:rsidR="00DD1521">
        <w:tc>
          <w:tcPr>
            <w:tcW w:w="1660" w:type="dxa"/>
            <w:vAlign w:val="center"/>
          </w:tcPr>
          <w:p w:rsidR="00DD1521" w:rsidRDefault="00DD1521">
            <w:pPr>
              <w:spacing w:after="0" w:line="240" w:lineRule="auto"/>
            </w:pPr>
            <w:r>
              <w:rPr>
                <w:rFonts w:ascii="Arial" w:hAnsi="Arial" w:cs="Arial"/>
                <w:b/>
                <w:bCs/>
                <w:sz w:val="16"/>
                <w:szCs w:val="16"/>
              </w:rPr>
              <w:lastRenderedPageBreak/>
              <w:t>Posología</w:t>
            </w:r>
            <w:r>
              <w:rPr>
                <w:rFonts w:ascii="Arial" w:hAnsi="Arial" w:cs="Arial"/>
                <w:sz w:val="16"/>
                <w:szCs w:val="16"/>
                <w:vertAlign w:val="superscript"/>
              </w:rPr>
              <w:t>‡</w:t>
            </w:r>
          </w:p>
        </w:tc>
        <w:tc>
          <w:tcPr>
            <w:tcW w:w="1275" w:type="dxa"/>
            <w:vAlign w:val="center"/>
          </w:tcPr>
          <w:p w:rsidR="00DD1521" w:rsidRDefault="00DD1521">
            <w:pPr>
              <w:snapToGrid w:val="0"/>
              <w:spacing w:after="0" w:line="240" w:lineRule="auto"/>
              <w:jc w:val="center"/>
            </w:pPr>
            <w:r>
              <w:rPr>
                <w:rFonts w:ascii="Arial" w:hAnsi="Arial" w:cs="Arial"/>
                <w:sz w:val="16"/>
                <w:szCs w:val="16"/>
              </w:rPr>
              <w:t>80 mg/24 h</w:t>
            </w:r>
          </w:p>
        </w:tc>
        <w:tc>
          <w:tcPr>
            <w:tcW w:w="1681" w:type="dxa"/>
            <w:vAlign w:val="center"/>
          </w:tcPr>
          <w:p w:rsidR="00DD1521" w:rsidRDefault="00DD1521">
            <w:pPr>
              <w:snapToGrid w:val="0"/>
              <w:spacing w:after="0" w:line="240" w:lineRule="auto"/>
              <w:jc w:val="center"/>
            </w:pPr>
            <w:r>
              <w:rPr>
                <w:rFonts w:ascii="Arial" w:hAnsi="Arial" w:cs="Arial"/>
                <w:sz w:val="16"/>
                <w:szCs w:val="16"/>
              </w:rPr>
              <w:t>Cisplatino 75 mg/m</w:t>
            </w:r>
            <w:r>
              <w:rPr>
                <w:rFonts w:ascii="Arial" w:hAnsi="Arial" w:cs="Arial"/>
                <w:sz w:val="16"/>
                <w:szCs w:val="16"/>
                <w:vertAlign w:val="superscript"/>
              </w:rPr>
              <w:t>2</w:t>
            </w:r>
            <w:r>
              <w:rPr>
                <w:rFonts w:ascii="Arial" w:hAnsi="Arial" w:cs="Arial"/>
                <w:sz w:val="16"/>
                <w:szCs w:val="16"/>
              </w:rPr>
              <w:t xml:space="preserve"> + pemetrexed 500 mg/m</w:t>
            </w:r>
            <w:r>
              <w:rPr>
                <w:rFonts w:ascii="Arial" w:hAnsi="Arial" w:cs="Arial"/>
                <w:sz w:val="16"/>
                <w:szCs w:val="16"/>
                <w:vertAlign w:val="superscript"/>
              </w:rPr>
              <w:t>2</w:t>
            </w:r>
            <w:r>
              <w:rPr>
                <w:rFonts w:ascii="Arial" w:hAnsi="Arial" w:cs="Arial"/>
                <w:sz w:val="16"/>
                <w:szCs w:val="16"/>
              </w:rPr>
              <w:t xml:space="preserve"> cada 21 días (máximo 6 ciclos)</w:t>
            </w:r>
          </w:p>
        </w:tc>
        <w:tc>
          <w:tcPr>
            <w:tcW w:w="2288" w:type="dxa"/>
            <w:vAlign w:val="center"/>
          </w:tcPr>
          <w:p w:rsidR="00DD1521" w:rsidRDefault="00DD1521">
            <w:pPr>
              <w:snapToGrid w:val="0"/>
              <w:spacing w:after="0" w:line="240" w:lineRule="auto"/>
              <w:jc w:val="center"/>
            </w:pPr>
            <w:r>
              <w:rPr>
                <w:rFonts w:ascii="Arial" w:hAnsi="Arial" w:cs="Arial"/>
                <w:sz w:val="16"/>
                <w:szCs w:val="16"/>
              </w:rPr>
              <w:t>75 mg/m</w:t>
            </w:r>
            <w:r>
              <w:rPr>
                <w:rFonts w:ascii="Arial" w:hAnsi="Arial" w:cs="Arial"/>
                <w:sz w:val="16"/>
                <w:szCs w:val="16"/>
                <w:vertAlign w:val="superscript"/>
              </w:rPr>
              <w:t>2</w:t>
            </w:r>
            <w:r>
              <w:rPr>
                <w:rFonts w:ascii="Arial" w:hAnsi="Arial" w:cs="Arial"/>
                <w:sz w:val="16"/>
                <w:szCs w:val="16"/>
              </w:rPr>
              <w:t xml:space="preserve"> cada 21 días</w:t>
            </w:r>
          </w:p>
        </w:tc>
        <w:tc>
          <w:tcPr>
            <w:tcW w:w="2410" w:type="dxa"/>
            <w:vAlign w:val="center"/>
          </w:tcPr>
          <w:p w:rsidR="00DD1521" w:rsidRDefault="00DD1521">
            <w:pPr>
              <w:snapToGrid w:val="0"/>
              <w:spacing w:after="0" w:line="240" w:lineRule="auto"/>
              <w:jc w:val="center"/>
            </w:pPr>
            <w:r>
              <w:rPr>
                <w:rFonts w:ascii="Arial" w:hAnsi="Arial" w:cs="Arial"/>
                <w:sz w:val="16"/>
                <w:szCs w:val="16"/>
              </w:rPr>
              <w:t>500 mg/m</w:t>
            </w:r>
            <w:r>
              <w:rPr>
                <w:rFonts w:ascii="Arial" w:hAnsi="Arial" w:cs="Arial"/>
                <w:sz w:val="16"/>
                <w:szCs w:val="16"/>
                <w:vertAlign w:val="superscript"/>
              </w:rPr>
              <w:t>2</w:t>
            </w:r>
            <w:r>
              <w:rPr>
                <w:rFonts w:ascii="Arial" w:hAnsi="Arial" w:cs="Arial"/>
                <w:sz w:val="16"/>
                <w:szCs w:val="16"/>
              </w:rPr>
              <w:t xml:space="preserve"> cada 21 días</w:t>
            </w:r>
          </w:p>
        </w:tc>
      </w:tr>
      <w:tr w:rsidR="00DD1521">
        <w:trPr>
          <w:cantSplit/>
          <w:trHeight w:val="645"/>
        </w:trPr>
        <w:tc>
          <w:tcPr>
            <w:tcW w:w="1660" w:type="dxa"/>
            <w:vAlign w:val="center"/>
          </w:tcPr>
          <w:p w:rsidR="00DD1521" w:rsidRDefault="00DD1521">
            <w:pPr>
              <w:spacing w:after="0" w:line="240" w:lineRule="auto"/>
            </w:pPr>
            <w:r>
              <w:rPr>
                <w:rFonts w:ascii="Arial" w:hAnsi="Arial" w:cs="Arial"/>
                <w:b/>
                <w:bCs/>
                <w:sz w:val="16"/>
                <w:szCs w:val="16"/>
              </w:rPr>
              <w:t>Coste por día</w:t>
            </w:r>
            <w:r>
              <w:rPr>
                <w:rFonts w:ascii="Arial" w:hAnsi="Arial" w:cs="Arial"/>
                <w:sz w:val="16"/>
                <w:szCs w:val="16"/>
                <w:vertAlign w:val="superscript"/>
              </w:rPr>
              <w:t>$</w:t>
            </w:r>
          </w:p>
        </w:tc>
        <w:tc>
          <w:tcPr>
            <w:tcW w:w="1275" w:type="dxa"/>
            <w:vAlign w:val="center"/>
          </w:tcPr>
          <w:p w:rsidR="00DD1521" w:rsidRDefault="00DD1521">
            <w:pPr>
              <w:snapToGrid w:val="0"/>
              <w:spacing w:after="0" w:line="240" w:lineRule="auto"/>
              <w:jc w:val="center"/>
            </w:pPr>
            <w:r>
              <w:rPr>
                <w:rFonts w:ascii="Arial" w:hAnsi="Arial" w:cs="Arial"/>
                <w:sz w:val="16"/>
                <w:szCs w:val="16"/>
              </w:rPr>
              <w:t>210,32 €</w:t>
            </w:r>
          </w:p>
        </w:tc>
        <w:tc>
          <w:tcPr>
            <w:tcW w:w="1681" w:type="dxa"/>
            <w:vAlign w:val="center"/>
          </w:tcPr>
          <w:p w:rsidR="00DD1521" w:rsidRDefault="00DD1521">
            <w:pPr>
              <w:snapToGrid w:val="0"/>
              <w:spacing w:after="0" w:line="240" w:lineRule="auto"/>
              <w:jc w:val="center"/>
            </w:pPr>
            <w:r>
              <w:rPr>
                <w:rFonts w:ascii="Arial" w:hAnsi="Arial" w:cs="Arial"/>
                <w:sz w:val="16"/>
                <w:szCs w:val="16"/>
              </w:rPr>
              <w:t>Cisplatino + pemetrexed (Alimta®): 2.151 €</w:t>
            </w:r>
          </w:p>
        </w:tc>
        <w:tc>
          <w:tcPr>
            <w:tcW w:w="2288" w:type="dxa"/>
            <w:vAlign w:val="center"/>
          </w:tcPr>
          <w:p w:rsidR="00DD1521" w:rsidRDefault="00DD1521">
            <w:pPr>
              <w:snapToGrid w:val="0"/>
              <w:spacing w:after="0" w:line="240" w:lineRule="auto"/>
              <w:jc w:val="center"/>
            </w:pPr>
            <w:r>
              <w:rPr>
                <w:rFonts w:ascii="Arial" w:hAnsi="Arial" w:cs="Arial"/>
                <w:sz w:val="16"/>
                <w:szCs w:val="16"/>
              </w:rPr>
              <w:t>291,52 €</w:t>
            </w:r>
          </w:p>
        </w:tc>
        <w:tc>
          <w:tcPr>
            <w:tcW w:w="2410" w:type="dxa"/>
            <w:vAlign w:val="center"/>
          </w:tcPr>
          <w:p w:rsidR="00DD1521" w:rsidRDefault="00DD1521">
            <w:pPr>
              <w:snapToGrid w:val="0"/>
              <w:spacing w:after="0" w:line="240" w:lineRule="auto"/>
              <w:jc w:val="center"/>
            </w:pPr>
            <w:r>
              <w:rPr>
                <w:rFonts w:ascii="Arial" w:hAnsi="Arial" w:cs="Arial"/>
                <w:sz w:val="16"/>
                <w:szCs w:val="16"/>
              </w:rPr>
              <w:t>1.248 €</w:t>
            </w:r>
          </w:p>
        </w:tc>
      </w:tr>
      <w:tr w:rsidR="00DD1521">
        <w:trPr>
          <w:cantSplit/>
          <w:trHeight w:val="698"/>
        </w:trPr>
        <w:tc>
          <w:tcPr>
            <w:tcW w:w="1660" w:type="dxa"/>
            <w:vAlign w:val="center"/>
          </w:tcPr>
          <w:p w:rsidR="00DD1521" w:rsidRDefault="00DD1521">
            <w:pPr>
              <w:spacing w:after="0" w:line="240" w:lineRule="auto"/>
            </w:pPr>
            <w:r>
              <w:rPr>
                <w:rFonts w:ascii="Arial" w:hAnsi="Arial" w:cs="Arial"/>
                <w:b/>
                <w:bCs/>
                <w:sz w:val="16"/>
                <w:szCs w:val="16"/>
              </w:rPr>
              <w:t>Coste por ciclo de 21 días</w:t>
            </w:r>
          </w:p>
        </w:tc>
        <w:tc>
          <w:tcPr>
            <w:tcW w:w="1275" w:type="dxa"/>
            <w:vAlign w:val="center"/>
          </w:tcPr>
          <w:p w:rsidR="00DD1521" w:rsidRDefault="00DD1521">
            <w:pPr>
              <w:snapToGrid w:val="0"/>
              <w:spacing w:after="0" w:line="240" w:lineRule="auto"/>
              <w:jc w:val="center"/>
            </w:pPr>
            <w:r>
              <w:rPr>
                <w:rFonts w:ascii="Arial" w:hAnsi="Arial" w:cs="Arial"/>
                <w:sz w:val="16"/>
                <w:szCs w:val="16"/>
              </w:rPr>
              <w:t>4.416,78 €</w:t>
            </w:r>
          </w:p>
        </w:tc>
        <w:tc>
          <w:tcPr>
            <w:tcW w:w="1681" w:type="dxa"/>
            <w:vAlign w:val="center"/>
          </w:tcPr>
          <w:p w:rsidR="00DD1521" w:rsidRDefault="00DD1521">
            <w:pPr>
              <w:snapToGrid w:val="0"/>
              <w:spacing w:after="0" w:line="240" w:lineRule="auto"/>
              <w:jc w:val="center"/>
            </w:pPr>
            <w:r>
              <w:rPr>
                <w:rFonts w:ascii="Arial" w:hAnsi="Arial" w:cs="Arial"/>
                <w:sz w:val="16"/>
                <w:szCs w:val="16"/>
              </w:rPr>
              <w:t>Cisplatino + pemetrexed (Alimta®): 2.151 €</w:t>
            </w:r>
          </w:p>
        </w:tc>
        <w:tc>
          <w:tcPr>
            <w:tcW w:w="2288" w:type="dxa"/>
            <w:vAlign w:val="center"/>
          </w:tcPr>
          <w:p w:rsidR="00DD1521" w:rsidRDefault="00DD1521">
            <w:pPr>
              <w:snapToGrid w:val="0"/>
              <w:spacing w:after="0" w:line="240" w:lineRule="auto"/>
              <w:jc w:val="center"/>
            </w:pPr>
            <w:r>
              <w:rPr>
                <w:rFonts w:ascii="Arial" w:hAnsi="Arial" w:cs="Arial"/>
                <w:sz w:val="16"/>
                <w:szCs w:val="16"/>
              </w:rPr>
              <w:t>291,52 €</w:t>
            </w:r>
          </w:p>
        </w:tc>
        <w:tc>
          <w:tcPr>
            <w:tcW w:w="2410" w:type="dxa"/>
            <w:vAlign w:val="center"/>
          </w:tcPr>
          <w:p w:rsidR="00DD1521" w:rsidRDefault="00DD1521">
            <w:pPr>
              <w:snapToGrid w:val="0"/>
              <w:spacing w:after="0" w:line="240" w:lineRule="auto"/>
              <w:jc w:val="center"/>
            </w:pPr>
            <w:r>
              <w:rPr>
                <w:rFonts w:ascii="Arial" w:hAnsi="Arial" w:cs="Arial"/>
                <w:sz w:val="16"/>
                <w:szCs w:val="16"/>
              </w:rPr>
              <w:t>1.248 €</w:t>
            </w:r>
          </w:p>
        </w:tc>
      </w:tr>
      <w:tr w:rsidR="00DD1521">
        <w:trPr>
          <w:cantSplit/>
          <w:trHeight w:val="579"/>
        </w:trPr>
        <w:tc>
          <w:tcPr>
            <w:tcW w:w="1660" w:type="dxa"/>
            <w:vAlign w:val="center"/>
          </w:tcPr>
          <w:p w:rsidR="00DD1521" w:rsidRDefault="00DD1521">
            <w:pPr>
              <w:spacing w:after="0" w:line="240" w:lineRule="auto"/>
              <w:rPr>
                <w:rFonts w:ascii="Arial" w:hAnsi="Arial" w:cs="Arial"/>
                <w:b/>
                <w:bCs/>
                <w:sz w:val="16"/>
                <w:szCs w:val="16"/>
              </w:rPr>
            </w:pPr>
            <w:r>
              <w:rPr>
                <w:rFonts w:ascii="Arial" w:hAnsi="Arial" w:cs="Arial"/>
                <w:b/>
                <w:bCs/>
                <w:sz w:val="16"/>
                <w:szCs w:val="16"/>
              </w:rPr>
              <w:t>Duración del tratamiento (estudio AURA3)</w:t>
            </w:r>
          </w:p>
        </w:tc>
        <w:tc>
          <w:tcPr>
            <w:tcW w:w="1275" w:type="dxa"/>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8,1 meses</w:t>
            </w:r>
          </w:p>
        </w:tc>
        <w:tc>
          <w:tcPr>
            <w:tcW w:w="1681" w:type="dxa"/>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4,2 meses (6 ciclos)</w:t>
            </w:r>
          </w:p>
        </w:tc>
        <w:tc>
          <w:tcPr>
            <w:tcW w:w="2288" w:type="dxa"/>
            <w:vAlign w:val="center"/>
          </w:tcPr>
          <w:p w:rsidR="00DD1521" w:rsidRDefault="00DD1521">
            <w:pPr>
              <w:spacing w:after="0" w:line="240" w:lineRule="auto"/>
              <w:jc w:val="center"/>
            </w:pPr>
            <w:r>
              <w:rPr>
                <w:rFonts w:ascii="Arial" w:hAnsi="Arial" w:cs="Arial"/>
                <w:sz w:val="16"/>
                <w:szCs w:val="16"/>
              </w:rPr>
              <w:t>4,2 meses (6 ciclos)</w:t>
            </w:r>
          </w:p>
        </w:tc>
        <w:tc>
          <w:tcPr>
            <w:tcW w:w="2410" w:type="dxa"/>
            <w:vAlign w:val="center"/>
          </w:tcPr>
          <w:p w:rsidR="00DD1521" w:rsidRDefault="00DD1521">
            <w:pPr>
              <w:spacing w:after="0" w:line="240" w:lineRule="auto"/>
              <w:jc w:val="center"/>
            </w:pPr>
            <w:r>
              <w:rPr>
                <w:rFonts w:ascii="Arial" w:hAnsi="Arial" w:cs="Arial"/>
                <w:sz w:val="16"/>
                <w:szCs w:val="16"/>
              </w:rPr>
              <w:t>4,2 meses (6 ciclos)</w:t>
            </w:r>
          </w:p>
        </w:tc>
      </w:tr>
      <w:tr w:rsidR="00DD1521">
        <w:trPr>
          <w:cantSplit/>
          <w:trHeight w:val="562"/>
        </w:trPr>
        <w:tc>
          <w:tcPr>
            <w:tcW w:w="1660" w:type="dxa"/>
            <w:vAlign w:val="center"/>
          </w:tcPr>
          <w:p w:rsidR="00DD1521" w:rsidRDefault="00DD1521">
            <w:pPr>
              <w:spacing w:after="0" w:line="240" w:lineRule="auto"/>
            </w:pPr>
            <w:r>
              <w:rPr>
                <w:rFonts w:ascii="Arial" w:hAnsi="Arial" w:cs="Arial"/>
                <w:b/>
                <w:bCs/>
                <w:sz w:val="16"/>
                <w:szCs w:val="16"/>
              </w:rPr>
              <w:t>Coste tratamiento completo</w:t>
            </w:r>
            <w:r>
              <w:rPr>
                <w:rFonts w:ascii="Arial" w:hAnsi="Arial" w:cs="Arial"/>
                <w:sz w:val="16"/>
                <w:szCs w:val="16"/>
                <w:vertAlign w:val="superscript"/>
              </w:rPr>
              <w:t>#</w:t>
            </w:r>
          </w:p>
        </w:tc>
        <w:tc>
          <w:tcPr>
            <w:tcW w:w="1275" w:type="dxa"/>
            <w:vAlign w:val="center"/>
          </w:tcPr>
          <w:p w:rsidR="00DD1521" w:rsidRDefault="00DD1521">
            <w:pPr>
              <w:snapToGrid w:val="0"/>
              <w:spacing w:after="0" w:line="240" w:lineRule="auto"/>
              <w:jc w:val="center"/>
            </w:pPr>
            <w:r>
              <w:rPr>
                <w:rFonts w:ascii="Arial" w:hAnsi="Arial" w:cs="Arial"/>
                <w:sz w:val="16"/>
                <w:szCs w:val="16"/>
              </w:rPr>
              <w:t>51.108 €</w:t>
            </w:r>
          </w:p>
        </w:tc>
        <w:tc>
          <w:tcPr>
            <w:tcW w:w="1681" w:type="dxa"/>
            <w:vAlign w:val="center"/>
          </w:tcPr>
          <w:p w:rsidR="00DD1521" w:rsidRDefault="00DD1521">
            <w:pPr>
              <w:snapToGrid w:val="0"/>
              <w:spacing w:after="0" w:line="240" w:lineRule="auto"/>
              <w:jc w:val="center"/>
            </w:pPr>
            <w:r>
              <w:rPr>
                <w:rFonts w:ascii="Arial" w:hAnsi="Arial" w:cs="Arial"/>
                <w:sz w:val="16"/>
                <w:szCs w:val="16"/>
              </w:rPr>
              <w:t>Cisplatino + pemetrexed (Alimta®): 12.907 €</w:t>
            </w:r>
          </w:p>
        </w:tc>
        <w:tc>
          <w:tcPr>
            <w:tcW w:w="2288" w:type="dxa"/>
            <w:vAlign w:val="center"/>
          </w:tcPr>
          <w:p w:rsidR="00DD1521" w:rsidRDefault="00DD1521">
            <w:pPr>
              <w:snapToGrid w:val="0"/>
              <w:spacing w:after="0" w:line="240" w:lineRule="auto"/>
              <w:jc w:val="center"/>
            </w:pPr>
            <w:r>
              <w:rPr>
                <w:rFonts w:ascii="Arial" w:hAnsi="Arial" w:cs="Arial"/>
                <w:sz w:val="16"/>
                <w:szCs w:val="16"/>
              </w:rPr>
              <w:t>1.749 €</w:t>
            </w:r>
          </w:p>
        </w:tc>
        <w:tc>
          <w:tcPr>
            <w:tcW w:w="2410" w:type="dxa"/>
            <w:vAlign w:val="center"/>
          </w:tcPr>
          <w:p w:rsidR="00DD1521" w:rsidRDefault="00DD1521">
            <w:pPr>
              <w:snapToGrid w:val="0"/>
              <w:spacing w:after="0" w:line="240" w:lineRule="auto"/>
              <w:jc w:val="center"/>
            </w:pPr>
            <w:r>
              <w:rPr>
                <w:rFonts w:ascii="Arial" w:hAnsi="Arial" w:cs="Arial"/>
                <w:sz w:val="16"/>
                <w:szCs w:val="16"/>
              </w:rPr>
              <w:t>7.488 €</w:t>
            </w:r>
          </w:p>
        </w:tc>
      </w:tr>
      <w:tr w:rsidR="00DD1521">
        <w:trPr>
          <w:cantSplit/>
          <w:trHeight w:val="270"/>
        </w:trPr>
        <w:tc>
          <w:tcPr>
            <w:tcW w:w="1660" w:type="dxa"/>
            <w:vMerge w:val="restart"/>
            <w:vAlign w:val="center"/>
          </w:tcPr>
          <w:p w:rsidR="00DD1521" w:rsidRDefault="00DD1521">
            <w:pPr>
              <w:spacing w:after="0" w:line="240" w:lineRule="auto"/>
            </w:pPr>
            <w:r>
              <w:rPr>
                <w:rFonts w:ascii="Arial" w:hAnsi="Arial" w:cs="Arial"/>
                <w:b/>
                <w:bCs/>
                <w:sz w:val="16"/>
                <w:szCs w:val="16"/>
              </w:rPr>
              <w:t xml:space="preserve">Costes directos asociados </w:t>
            </w:r>
            <w:r>
              <w:rPr>
                <w:rFonts w:ascii="Arial" w:hAnsi="Arial" w:cs="Arial"/>
                <w:sz w:val="16"/>
                <w:szCs w:val="16"/>
              </w:rPr>
              <w:t>(derivados de la administración en hospital de día)</w:t>
            </w:r>
            <w:r>
              <w:rPr>
                <w:rFonts w:ascii="Arial" w:hAnsi="Arial" w:cs="Arial"/>
                <w:sz w:val="16"/>
                <w:szCs w:val="16"/>
                <w:vertAlign w:val="superscript"/>
              </w:rPr>
              <w:t>¶</w:t>
            </w:r>
          </w:p>
        </w:tc>
        <w:tc>
          <w:tcPr>
            <w:tcW w:w="1275" w:type="dxa"/>
            <w:vMerge w:val="restart"/>
            <w:vAlign w:val="center"/>
          </w:tcPr>
          <w:p w:rsidR="00DD1521" w:rsidRDefault="00DD1521">
            <w:pPr>
              <w:snapToGrid w:val="0"/>
              <w:spacing w:after="0" w:line="240" w:lineRule="auto"/>
              <w:jc w:val="center"/>
            </w:pPr>
            <w:r>
              <w:rPr>
                <w:rFonts w:ascii="Arial" w:hAnsi="Arial" w:cs="Arial"/>
                <w:sz w:val="16"/>
                <w:szCs w:val="16"/>
              </w:rPr>
              <w:t>NP</w:t>
            </w:r>
          </w:p>
        </w:tc>
        <w:tc>
          <w:tcPr>
            <w:tcW w:w="1681" w:type="dxa"/>
            <w:vAlign w:val="center"/>
          </w:tcPr>
          <w:p w:rsidR="00DD1521" w:rsidRDefault="00DD1521">
            <w:pPr>
              <w:snapToGrid w:val="0"/>
              <w:spacing w:after="0" w:line="240" w:lineRule="auto"/>
              <w:jc w:val="center"/>
            </w:pPr>
            <w:r>
              <w:rPr>
                <w:rFonts w:ascii="Arial" w:hAnsi="Arial" w:cs="Arial"/>
                <w:sz w:val="16"/>
                <w:szCs w:val="16"/>
              </w:rPr>
              <w:t>Por ciclo: 167 €</w:t>
            </w:r>
          </w:p>
        </w:tc>
        <w:tc>
          <w:tcPr>
            <w:tcW w:w="2288" w:type="dxa"/>
            <w:vAlign w:val="center"/>
          </w:tcPr>
          <w:p w:rsidR="00DD1521" w:rsidRDefault="00DD1521">
            <w:pPr>
              <w:snapToGrid w:val="0"/>
              <w:spacing w:after="0" w:line="240" w:lineRule="auto"/>
              <w:jc w:val="center"/>
            </w:pPr>
            <w:r>
              <w:rPr>
                <w:rFonts w:ascii="Arial" w:hAnsi="Arial" w:cs="Arial"/>
                <w:sz w:val="16"/>
                <w:szCs w:val="16"/>
              </w:rPr>
              <w:t>Por ciclo: 167 €</w:t>
            </w:r>
          </w:p>
        </w:tc>
        <w:tc>
          <w:tcPr>
            <w:tcW w:w="2410" w:type="dxa"/>
            <w:vAlign w:val="center"/>
          </w:tcPr>
          <w:p w:rsidR="00DD1521" w:rsidRDefault="00DD1521">
            <w:pPr>
              <w:snapToGrid w:val="0"/>
              <w:spacing w:after="0" w:line="240" w:lineRule="auto"/>
              <w:jc w:val="center"/>
            </w:pPr>
            <w:r>
              <w:rPr>
                <w:rFonts w:ascii="Arial" w:hAnsi="Arial" w:cs="Arial"/>
                <w:sz w:val="16"/>
                <w:szCs w:val="16"/>
              </w:rPr>
              <w:t>Por ciclo: 167 €</w:t>
            </w:r>
          </w:p>
        </w:tc>
      </w:tr>
      <w:tr w:rsidR="00DD1521">
        <w:trPr>
          <w:cantSplit/>
          <w:trHeight w:val="269"/>
        </w:trPr>
        <w:tc>
          <w:tcPr>
            <w:tcW w:w="1660" w:type="dxa"/>
            <w:vMerge/>
            <w:vAlign w:val="center"/>
          </w:tcPr>
          <w:p w:rsidR="00DD1521" w:rsidRDefault="00DD1521">
            <w:pPr>
              <w:snapToGrid w:val="0"/>
              <w:spacing w:after="0" w:line="240" w:lineRule="auto"/>
            </w:pPr>
          </w:p>
        </w:tc>
        <w:tc>
          <w:tcPr>
            <w:tcW w:w="1275" w:type="dxa"/>
            <w:vMerge/>
            <w:vAlign w:val="center"/>
          </w:tcPr>
          <w:p w:rsidR="00DD1521" w:rsidRDefault="00DD1521">
            <w:pPr>
              <w:snapToGrid w:val="0"/>
              <w:spacing w:after="0" w:line="240" w:lineRule="auto"/>
            </w:pPr>
          </w:p>
        </w:tc>
        <w:tc>
          <w:tcPr>
            <w:tcW w:w="1681" w:type="dxa"/>
            <w:vAlign w:val="center"/>
          </w:tcPr>
          <w:p w:rsidR="00DD1521" w:rsidRDefault="00DD1521">
            <w:pPr>
              <w:snapToGrid w:val="0"/>
              <w:spacing w:after="0" w:line="240" w:lineRule="auto"/>
              <w:jc w:val="center"/>
            </w:pPr>
            <w:r>
              <w:rPr>
                <w:rFonts w:ascii="Arial" w:hAnsi="Arial" w:cs="Arial"/>
                <w:sz w:val="16"/>
                <w:szCs w:val="16"/>
              </w:rPr>
              <w:t>TOTAL: 1.002 €</w:t>
            </w:r>
          </w:p>
        </w:tc>
        <w:tc>
          <w:tcPr>
            <w:tcW w:w="2288" w:type="dxa"/>
            <w:vAlign w:val="center"/>
          </w:tcPr>
          <w:p w:rsidR="00DD1521" w:rsidRDefault="00DD1521">
            <w:pPr>
              <w:snapToGrid w:val="0"/>
              <w:spacing w:after="0" w:line="240" w:lineRule="auto"/>
              <w:jc w:val="center"/>
            </w:pPr>
            <w:r>
              <w:rPr>
                <w:rFonts w:ascii="Arial" w:hAnsi="Arial" w:cs="Arial"/>
                <w:sz w:val="16"/>
                <w:szCs w:val="16"/>
              </w:rPr>
              <w:t>TOTAL: 1.002 €</w:t>
            </w:r>
          </w:p>
        </w:tc>
        <w:tc>
          <w:tcPr>
            <w:tcW w:w="2410" w:type="dxa"/>
            <w:vAlign w:val="center"/>
          </w:tcPr>
          <w:p w:rsidR="00DD1521" w:rsidRDefault="00DD1521">
            <w:pPr>
              <w:snapToGrid w:val="0"/>
              <w:spacing w:after="0" w:line="240" w:lineRule="auto"/>
              <w:jc w:val="center"/>
            </w:pPr>
            <w:r>
              <w:rPr>
                <w:rFonts w:ascii="Arial" w:hAnsi="Arial" w:cs="Arial"/>
                <w:sz w:val="16"/>
                <w:szCs w:val="16"/>
              </w:rPr>
              <w:t>TOTAL: 1.002 €</w:t>
            </w:r>
          </w:p>
        </w:tc>
      </w:tr>
      <w:tr w:rsidR="00DD1521">
        <w:trPr>
          <w:cantSplit/>
          <w:trHeight w:val="556"/>
        </w:trPr>
        <w:tc>
          <w:tcPr>
            <w:tcW w:w="1660" w:type="dxa"/>
            <w:vAlign w:val="center"/>
          </w:tcPr>
          <w:p w:rsidR="00DD1521" w:rsidRDefault="00DD1521">
            <w:pPr>
              <w:spacing w:after="0" w:line="240" w:lineRule="auto"/>
            </w:pPr>
            <w:r>
              <w:rPr>
                <w:rFonts w:ascii="Arial" w:hAnsi="Arial" w:cs="Arial"/>
                <w:b/>
                <w:bCs/>
                <w:sz w:val="16"/>
                <w:szCs w:val="16"/>
              </w:rPr>
              <w:t xml:space="preserve">Coste global </w:t>
            </w:r>
          </w:p>
        </w:tc>
        <w:tc>
          <w:tcPr>
            <w:tcW w:w="1275" w:type="dxa"/>
            <w:vAlign w:val="center"/>
          </w:tcPr>
          <w:p w:rsidR="00DD1521" w:rsidRDefault="00DD1521">
            <w:pPr>
              <w:snapToGrid w:val="0"/>
              <w:spacing w:after="0" w:line="240" w:lineRule="auto"/>
              <w:jc w:val="center"/>
            </w:pPr>
            <w:r>
              <w:rPr>
                <w:rFonts w:ascii="Arial" w:hAnsi="Arial" w:cs="Arial"/>
                <w:sz w:val="16"/>
                <w:szCs w:val="16"/>
              </w:rPr>
              <w:t>51.108 €</w:t>
            </w:r>
          </w:p>
        </w:tc>
        <w:tc>
          <w:tcPr>
            <w:tcW w:w="1681" w:type="dxa"/>
            <w:vAlign w:val="center"/>
          </w:tcPr>
          <w:p w:rsidR="00DD1521" w:rsidRDefault="00DD1521">
            <w:pPr>
              <w:snapToGrid w:val="0"/>
              <w:spacing w:after="0" w:line="240" w:lineRule="auto"/>
              <w:jc w:val="center"/>
            </w:pPr>
            <w:r>
              <w:rPr>
                <w:rFonts w:ascii="Arial" w:hAnsi="Arial" w:cs="Arial"/>
                <w:sz w:val="16"/>
                <w:szCs w:val="16"/>
              </w:rPr>
              <w:t>Cisplatino + pemetrexed (Alimta®): 13.909 €</w:t>
            </w:r>
          </w:p>
        </w:tc>
        <w:tc>
          <w:tcPr>
            <w:tcW w:w="2288" w:type="dxa"/>
            <w:vAlign w:val="center"/>
          </w:tcPr>
          <w:p w:rsidR="00DD1521" w:rsidRDefault="00DD1521">
            <w:pPr>
              <w:snapToGrid w:val="0"/>
              <w:spacing w:after="0" w:line="240" w:lineRule="auto"/>
              <w:jc w:val="center"/>
            </w:pPr>
            <w:r>
              <w:rPr>
                <w:rFonts w:ascii="Arial" w:hAnsi="Arial" w:cs="Arial"/>
                <w:sz w:val="16"/>
                <w:szCs w:val="16"/>
              </w:rPr>
              <w:t>2.751 €</w:t>
            </w:r>
          </w:p>
        </w:tc>
        <w:tc>
          <w:tcPr>
            <w:tcW w:w="2410" w:type="dxa"/>
            <w:vAlign w:val="center"/>
          </w:tcPr>
          <w:p w:rsidR="00DD1521" w:rsidRDefault="00DD1521">
            <w:pPr>
              <w:snapToGrid w:val="0"/>
              <w:spacing w:after="0" w:line="240" w:lineRule="auto"/>
              <w:jc w:val="center"/>
            </w:pPr>
            <w:r>
              <w:rPr>
                <w:rFonts w:ascii="Arial" w:hAnsi="Arial" w:cs="Arial"/>
                <w:sz w:val="16"/>
                <w:szCs w:val="16"/>
              </w:rPr>
              <w:t>Alimta: 8.490 €</w:t>
            </w:r>
          </w:p>
        </w:tc>
      </w:tr>
      <w:tr w:rsidR="00DD1521">
        <w:trPr>
          <w:cantSplit/>
          <w:trHeight w:val="771"/>
        </w:trPr>
        <w:tc>
          <w:tcPr>
            <w:tcW w:w="1660" w:type="dxa"/>
            <w:vAlign w:val="center"/>
          </w:tcPr>
          <w:p w:rsidR="00DD1521" w:rsidRDefault="00DD1521">
            <w:pPr>
              <w:spacing w:after="0" w:line="240" w:lineRule="auto"/>
            </w:pPr>
            <w:r>
              <w:rPr>
                <w:rFonts w:ascii="Arial" w:hAnsi="Arial" w:cs="Arial"/>
                <w:b/>
                <w:bCs/>
                <w:sz w:val="16"/>
                <w:szCs w:val="16"/>
              </w:rPr>
              <w:t>Coste incremental de osimertinib respecto a sus comparadores</w:t>
            </w:r>
          </w:p>
        </w:tc>
        <w:tc>
          <w:tcPr>
            <w:tcW w:w="1275" w:type="dxa"/>
            <w:vAlign w:val="center"/>
          </w:tcPr>
          <w:p w:rsidR="00DD1521" w:rsidRDefault="00DD1521">
            <w:pPr>
              <w:snapToGrid w:val="0"/>
              <w:spacing w:after="0" w:line="240" w:lineRule="auto"/>
              <w:jc w:val="center"/>
            </w:pPr>
            <w:r>
              <w:rPr>
                <w:rFonts w:ascii="Arial" w:hAnsi="Arial" w:cs="Arial"/>
                <w:sz w:val="16"/>
                <w:szCs w:val="16"/>
              </w:rPr>
              <w:t>-</w:t>
            </w:r>
          </w:p>
        </w:tc>
        <w:tc>
          <w:tcPr>
            <w:tcW w:w="1681" w:type="dxa"/>
            <w:vAlign w:val="center"/>
          </w:tcPr>
          <w:p w:rsidR="00DD1521" w:rsidRDefault="00DD1521">
            <w:pPr>
              <w:snapToGrid w:val="0"/>
              <w:spacing w:after="0" w:line="240" w:lineRule="auto"/>
              <w:jc w:val="center"/>
            </w:pPr>
            <w:r>
              <w:rPr>
                <w:rFonts w:ascii="Arial" w:hAnsi="Arial" w:cs="Arial"/>
                <w:sz w:val="16"/>
                <w:szCs w:val="16"/>
              </w:rPr>
              <w:t>37.199 €</w:t>
            </w:r>
          </w:p>
        </w:tc>
        <w:tc>
          <w:tcPr>
            <w:tcW w:w="2288" w:type="dxa"/>
            <w:vAlign w:val="center"/>
          </w:tcPr>
          <w:p w:rsidR="00DD1521" w:rsidRDefault="00DD1521">
            <w:pPr>
              <w:snapToGrid w:val="0"/>
              <w:spacing w:after="0" w:line="240" w:lineRule="auto"/>
              <w:jc w:val="center"/>
            </w:pPr>
            <w:r>
              <w:rPr>
                <w:rFonts w:ascii="Arial" w:hAnsi="Arial" w:cs="Arial"/>
                <w:sz w:val="16"/>
                <w:szCs w:val="16"/>
              </w:rPr>
              <w:t>48.357 €</w:t>
            </w:r>
          </w:p>
        </w:tc>
        <w:tc>
          <w:tcPr>
            <w:tcW w:w="2410" w:type="dxa"/>
            <w:vAlign w:val="center"/>
          </w:tcPr>
          <w:p w:rsidR="00DD1521" w:rsidRDefault="00DD1521">
            <w:pPr>
              <w:snapToGrid w:val="0"/>
              <w:spacing w:after="0" w:line="240" w:lineRule="auto"/>
              <w:jc w:val="center"/>
            </w:pPr>
            <w:r>
              <w:rPr>
                <w:rFonts w:ascii="Arial" w:hAnsi="Arial" w:cs="Arial"/>
                <w:sz w:val="16"/>
                <w:szCs w:val="16"/>
              </w:rPr>
              <w:t>42.618 €</w:t>
            </w:r>
          </w:p>
        </w:tc>
      </w:tr>
      <w:tr w:rsidR="00DD1521">
        <w:trPr>
          <w:cantSplit/>
          <w:trHeight w:val="731"/>
        </w:trPr>
        <w:tc>
          <w:tcPr>
            <w:tcW w:w="9314" w:type="dxa"/>
            <w:gridSpan w:val="5"/>
          </w:tcPr>
          <w:p w:rsidR="00DD1521" w:rsidRDefault="00DD1521">
            <w:pPr>
              <w:snapToGrid w:val="0"/>
              <w:spacing w:after="0" w:line="240" w:lineRule="auto"/>
              <w:jc w:val="both"/>
              <w:rPr>
                <w:rFonts w:ascii="Arial" w:hAnsi="Arial" w:cs="Arial"/>
                <w:sz w:val="16"/>
                <w:szCs w:val="16"/>
              </w:rPr>
            </w:pPr>
            <w:r>
              <w:rPr>
                <w:rFonts w:ascii="Arial" w:hAnsi="Arial" w:cs="Arial"/>
                <w:sz w:val="16"/>
                <w:szCs w:val="16"/>
              </w:rPr>
              <w:t>‡ Para el cálculo de dosis de fármacos dosificados por superficie corporal se asume la atribuida a la población general (1,7 m</w:t>
            </w:r>
            <w:r>
              <w:rPr>
                <w:rFonts w:ascii="Arial" w:hAnsi="Arial" w:cs="Arial"/>
                <w:sz w:val="16"/>
                <w:szCs w:val="16"/>
                <w:vertAlign w:val="superscript"/>
              </w:rPr>
              <w:t>2</w:t>
            </w:r>
            <w:r>
              <w:rPr>
                <w:rFonts w:ascii="Arial" w:hAnsi="Arial" w:cs="Arial"/>
                <w:sz w:val="16"/>
                <w:szCs w:val="16"/>
              </w:rPr>
              <w:t xml:space="preserve">). </w:t>
            </w:r>
          </w:p>
          <w:p w:rsidR="00DD1521" w:rsidRDefault="00DD1521">
            <w:pPr>
              <w:snapToGrid w:val="0"/>
              <w:spacing w:after="0" w:line="240" w:lineRule="auto"/>
              <w:jc w:val="both"/>
              <w:rPr>
                <w:rFonts w:ascii="Arial" w:hAnsi="Arial" w:cs="Arial"/>
                <w:sz w:val="16"/>
                <w:szCs w:val="16"/>
              </w:rPr>
            </w:pPr>
            <w:r>
              <w:rPr>
                <w:rFonts w:ascii="Arial" w:hAnsi="Arial" w:cs="Arial"/>
                <w:sz w:val="16"/>
                <w:szCs w:val="16"/>
              </w:rPr>
              <w:t xml:space="preserve">$ Para los medicamentos administrados en forma de perfusión intravenosa se asume el aprovechamiento de viales. </w:t>
            </w:r>
          </w:p>
          <w:p w:rsidR="00DD1521" w:rsidRDefault="00DD1521">
            <w:pPr>
              <w:snapToGrid w:val="0"/>
              <w:spacing w:after="0" w:line="240" w:lineRule="auto"/>
              <w:jc w:val="both"/>
              <w:rPr>
                <w:rFonts w:ascii="Arial" w:hAnsi="Arial" w:cs="Arial"/>
                <w:sz w:val="16"/>
                <w:szCs w:val="16"/>
              </w:rPr>
            </w:pPr>
            <w:r>
              <w:rPr>
                <w:rFonts w:ascii="Arial" w:hAnsi="Arial" w:cs="Arial"/>
                <w:sz w:val="16"/>
                <w:szCs w:val="16"/>
              </w:rPr>
              <w:t xml:space="preserve"># Considerando una duración del tratamiento similar a la mediana de SLP observada para los diferentes fármacos </w:t>
            </w:r>
            <w:r>
              <w:rPr>
                <w:rFonts w:ascii="Arial" w:hAnsi="Arial" w:cs="Arial"/>
                <w:sz w:val="16"/>
                <w:szCs w:val="16"/>
              </w:rPr>
              <w:fldChar w:fldCharType="begin"/>
            </w:r>
            <w:r>
              <w:rPr>
                <w:rFonts w:ascii="Arial" w:hAnsi="Arial" w:cs="Arial"/>
                <w:sz w:val="16"/>
                <w:szCs w:val="16"/>
              </w:rPr>
              <w:instrText xml:space="preserve"> ADDIN ZOTERO_ITEM CSL_CITATION {"citationID":"23duui7a3s","properties":{"formattedCitation":"(22)","plainCitation":"(22)"},"citationItems":[{"id":598,"uris":["http://zotero.org/users/3130274/items/C5HGBW3K"],"uri":["http://zotero.org/users/3130274/items/C5HGBW3K"],"itemData":{"id":598,"type":"article-journal","title":"Osimertinib or Platinum-Pemetrexed in EGFR T790M-Positive Lung Cancer","container-title":"The New England Journal of Medicine","page":"629-640","volume":"376","issue":"7","source":"PubMed","abstract":"BACKGROUND: Osimertinib is an epidermal growth factor receptor tyrosine kinase inhibitor (EGFR-TKI) that is selective for both EGFR-TKI sensitizing and T790M resistance mutations in patients with non-small-cell lung cancer. The efficacy of osimertinib as compared with platinum-based therapy plus pemetrexed in such patients is unknown.\nMETHODS: In this randomized, international, open-label, phase 3 trial, we assigned 419 patients with T790M-positive advanced non-small-cell lung cancer, who had disease progression after first-line EGFR-TKI therapy, in a 2:1 ratio to receive either oral osimertinib (at a dose of 80 mg once daily) or intravenous pemetrexed (500 mg per square meter of body-surface area) plus either carboplatin (target area under the curve, 5 [AUC5]) or cisplatin (75 mg per square meter) every 3 weeks for up to six cycles; maintenance pemetrexed was allowed. In all the patients, disease had progressed during receipt of first-line EGFR-TKI therapy. The primary end point was investigator-assessed progression-free survival.\nRESULTS: The median duration of progression-free survival was significantly longer with osimertinib than with platinum therapy plus pemetrexed (10.1 months vs. 4.4 months; hazard ratio; 0.30; 95% confidence interval [CI], 0.23 to 0.41; P&lt;0.001). The objective response rate was significantly better with osimertinib (71%; 95% CI, 65 to 76) than with platinum therapy plus pemetrexed (31%; 95% CI, 24 to 40) (odds ratio for objective response, 5.39; 95% CI, 3.47 to 8.48; P&lt;0.001). Among 144 patients with metastases to the central nervous system (CNS), the median duration of progression-free survival was longer among patients receiving osimertinib than among those receiving platinum therapy plus pemetrexed (8.5 months vs. 4.2 months; hazard ratio, 0.32; 95% CI, 0.21 to 0.49). The proportion of patients with adverse events of grade 3 or higher was lower with osimertinib (23%) than with platinum therapy plus pemetrexed (47%).\nCONCLUSIONS: Osimertinib had significantly greater efficacy than platinum therapy plus pemetrexed in patients with T790M-positive advanced non-small-cell lung cancer (including those with CNS metastases) in whom disease had progressed during first-line EGFR-TKI therapy. (Funded by AstraZeneca; AURA3 ClinicalTrials.gov number, NCT02151981 .).","DOI":"10.1056/NEJMoa1612674","ISSN":"1533-4406","note":"PMID: 27959700","journalAbbreviation":"N. Engl. J. Med.","language":"eng","author":[{"family":"Mok","given":"Tony S."},{"family":"Wu","given":"Yi-Long"},{"family":"Ahn","given":"Myung-Ju"},{"family":"Garassino","given":"Marina C."},{"family":"Kim","given":"Hye R."},{"family":"Ramalingam","given":"Suresh S."},{"family":"Shepherd","given":"Frances A."},{"family":"He","given":"Yong"},{"family":"Akamatsu","given":"Hiroaki"},{"family":"Theelen","given":"Willemijn S. M. E."},{"family":"Lee","given":"Chee K."},{"family":"Sebastian","given":"Martin"},{"family":"Templeton","given":"Alison"},{"family":"Mann","given":"Helen"},{"family":"Marotti","given":"Marcelo"},{"family":"Ghiorghiu","given":"Serban"},{"family":"Papadimitrakopoulou","given":"Vassiliki A."},{"family":"AURA3 Investigators","given":""}],"issued":{"date-parts":[["2017"]],"season":"16"},"PMID":"27959700"}}],"schema":"https://github.com/citation-style-language/schema/raw/master/csl-citation.json"}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r>
              <w:rPr>
                <w:rFonts w:ascii="Arial" w:hAnsi="Arial" w:cs="Arial"/>
                <w:sz w:val="16"/>
                <w:szCs w:val="16"/>
              </w:rPr>
              <w:t>.</w:t>
            </w:r>
          </w:p>
          <w:p w:rsidR="00DD1521" w:rsidRDefault="00DD1521">
            <w:pPr>
              <w:snapToGrid w:val="0"/>
              <w:spacing w:after="0" w:line="240" w:lineRule="auto"/>
              <w:jc w:val="both"/>
              <w:rPr>
                <w:rFonts w:ascii="Arial" w:hAnsi="Arial" w:cs="Arial"/>
                <w:color w:val="FF0000"/>
                <w:sz w:val="16"/>
                <w:szCs w:val="16"/>
              </w:rPr>
            </w:pPr>
            <w:r>
              <w:rPr>
                <w:rFonts w:ascii="Arial" w:hAnsi="Arial" w:cs="Arial"/>
                <w:sz w:val="16"/>
                <w:szCs w:val="16"/>
              </w:rPr>
              <w:t>¶ Estimado a partir de los precios oficiales publicados por varias CCAA.</w:t>
            </w:r>
          </w:p>
        </w:tc>
      </w:tr>
    </w:tbl>
    <w:p w:rsidR="00DD1521" w:rsidRDefault="00DD1521">
      <w:pPr>
        <w:spacing w:after="0" w:line="240" w:lineRule="auto"/>
        <w:jc w:val="both"/>
        <w:rPr>
          <w:rFonts w:ascii="Arial" w:hAnsi="Arial" w:cs="Arial"/>
          <w:b/>
          <w:bCs/>
          <w:sz w:val="20"/>
          <w:szCs w:val="20"/>
          <w:shd w:val="clear" w:color="auto" w:fill="C0C0C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Estos cálculos se han realizado utilizando el </w:t>
      </w:r>
      <w:r w:rsidRPr="00EF110E">
        <w:rPr>
          <w:rFonts w:ascii="Arial" w:hAnsi="Arial" w:cs="Arial"/>
          <w:b/>
          <w:sz w:val="20"/>
          <w:szCs w:val="20"/>
        </w:rPr>
        <w:t>precio notificado</w:t>
      </w:r>
      <w:r>
        <w:rPr>
          <w:rFonts w:ascii="Arial" w:hAnsi="Arial" w:cs="Arial"/>
          <w:sz w:val="20"/>
          <w:szCs w:val="20"/>
        </w:rPr>
        <w:t xml:space="preserve"> de osimertinib para la indicación actualmente financiada. </w:t>
      </w:r>
    </w:p>
    <w:p w:rsidR="00DD1521" w:rsidRPr="00D048CE" w:rsidRDefault="00DD1521">
      <w:pPr>
        <w:spacing w:after="0" w:line="240" w:lineRule="auto"/>
        <w:jc w:val="both"/>
        <w:rPr>
          <w:rFonts w:ascii="Arial" w:hAnsi="Arial" w:cs="Arial"/>
          <w:b/>
          <w:sz w:val="20"/>
          <w:szCs w:val="20"/>
        </w:rPr>
      </w:pPr>
      <w:r>
        <w:rPr>
          <w:rFonts w:ascii="Arial" w:hAnsi="Arial" w:cs="Arial"/>
          <w:sz w:val="20"/>
          <w:szCs w:val="20"/>
        </w:rPr>
        <w:t xml:space="preserve">Si realizamos un </w:t>
      </w:r>
      <w:r w:rsidRPr="00EF110E">
        <w:rPr>
          <w:rFonts w:ascii="Arial" w:hAnsi="Arial" w:cs="Arial"/>
          <w:b/>
          <w:sz w:val="20"/>
          <w:szCs w:val="20"/>
        </w:rPr>
        <w:t>análisis de sensibilidad</w:t>
      </w:r>
      <w:r>
        <w:rPr>
          <w:rFonts w:ascii="Arial" w:hAnsi="Arial" w:cs="Arial"/>
          <w:sz w:val="20"/>
          <w:szCs w:val="20"/>
        </w:rPr>
        <w:t xml:space="preserve">, utilizando un coste de adquisición inferior, por ejemplo 4.367 € por envase, el coste del tratamiento completo sería de unos </w:t>
      </w:r>
      <w:r w:rsidRPr="00EF110E">
        <w:rPr>
          <w:rFonts w:ascii="Arial" w:hAnsi="Arial" w:cs="Arial"/>
          <w:b/>
          <w:sz w:val="20"/>
          <w:szCs w:val="20"/>
        </w:rPr>
        <w:t>35.376 € por paciente</w:t>
      </w:r>
      <w:r>
        <w:rPr>
          <w:rFonts w:ascii="Arial" w:hAnsi="Arial" w:cs="Arial"/>
          <w:sz w:val="20"/>
          <w:szCs w:val="20"/>
        </w:rPr>
        <w:t xml:space="preserve"> y el coste incremental respecto a cisplatino + pemetrexed de </w:t>
      </w:r>
      <w:r w:rsidRPr="00D048CE">
        <w:rPr>
          <w:rFonts w:ascii="Arial" w:hAnsi="Arial" w:cs="Arial"/>
          <w:b/>
          <w:sz w:val="20"/>
          <w:szCs w:val="20"/>
        </w:rPr>
        <w:t>21.467 €.</w:t>
      </w: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Coste incremental de las distintas alternativas disponibles para tratamiento de primera línea del CPNM avanzado o metastásico con mutaciones activadoras de EGFR</w:t>
      </w:r>
    </w:p>
    <w:p w:rsidR="00DD1521" w:rsidRDefault="00DD1521">
      <w:pPr>
        <w:spacing w:after="0" w:line="240" w:lineRule="auto"/>
        <w:jc w:val="both"/>
        <w:rPr>
          <w:rFonts w:ascii="Arial" w:hAnsi="Arial" w:cs="Arial"/>
          <w:sz w:val="20"/>
          <w:szCs w:val="20"/>
        </w:rPr>
      </w:pPr>
    </w:p>
    <w:tbl>
      <w:tblPr>
        <w:tblW w:w="9451" w:type="dxa"/>
        <w:tblInd w:w="-68" w:type="dxa"/>
        <w:tblLayout w:type="fixed"/>
        <w:tblCellMar>
          <w:left w:w="70" w:type="dxa"/>
          <w:right w:w="70" w:type="dxa"/>
        </w:tblCellMar>
        <w:tblLook w:val="00A0" w:firstRow="1" w:lastRow="0" w:firstColumn="1" w:lastColumn="0" w:noHBand="0" w:noVBand="0"/>
      </w:tblPr>
      <w:tblGrid>
        <w:gridCol w:w="1981"/>
        <w:gridCol w:w="1701"/>
        <w:gridCol w:w="1296"/>
        <w:gridCol w:w="1397"/>
        <w:gridCol w:w="1276"/>
        <w:gridCol w:w="1800"/>
      </w:tblGrid>
      <w:tr w:rsidR="00DD1521">
        <w:trPr>
          <w:cantSplit/>
        </w:trPr>
        <w:tc>
          <w:tcPr>
            <w:tcW w:w="9451" w:type="dxa"/>
            <w:gridSpan w:val="6"/>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spacing w:after="0" w:line="240" w:lineRule="auto"/>
            </w:pPr>
            <w:r>
              <w:rPr>
                <w:rFonts w:ascii="Arial" w:hAnsi="Arial" w:cs="Arial"/>
                <w:b/>
                <w:bCs/>
                <w:sz w:val="16"/>
                <w:szCs w:val="16"/>
              </w:rPr>
              <w:t>Tabla 14. Comparación de costes del tratamiento evaluado frente a otra/s alternativa/s.</w:t>
            </w:r>
          </w:p>
        </w:tc>
      </w:tr>
      <w:tr w:rsidR="00DD1521">
        <w:trPr>
          <w:cantSplit/>
        </w:trPr>
        <w:tc>
          <w:tcPr>
            <w:tcW w:w="1981" w:type="dxa"/>
            <w:tcBorders>
              <w:top w:val="single" w:sz="4" w:space="0" w:color="000000"/>
              <w:left w:val="single" w:sz="4" w:space="0" w:color="000000"/>
              <w:bottom w:val="single" w:sz="4" w:space="0" w:color="000000"/>
            </w:tcBorders>
            <w:shd w:val="clear" w:color="auto" w:fill="CCFFCC"/>
          </w:tcPr>
          <w:p w:rsidR="00DD1521" w:rsidRDefault="00DD1521">
            <w:pPr>
              <w:snapToGrid w:val="0"/>
              <w:spacing w:after="0" w:line="240" w:lineRule="auto"/>
              <w:jc w:val="both"/>
              <w:rPr>
                <w:rFonts w:ascii="Arial" w:hAnsi="Arial" w:cs="Arial"/>
                <w:b/>
                <w:bCs/>
                <w:sz w:val="16"/>
                <w:szCs w:val="16"/>
              </w:rPr>
            </w:pPr>
          </w:p>
        </w:tc>
        <w:tc>
          <w:tcPr>
            <w:tcW w:w="7470" w:type="dxa"/>
            <w:gridSpan w:val="5"/>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spacing w:after="0" w:line="240" w:lineRule="auto"/>
              <w:jc w:val="center"/>
            </w:pPr>
            <w:r>
              <w:rPr>
                <w:rFonts w:ascii="Arial" w:hAnsi="Arial" w:cs="Arial"/>
                <w:b/>
                <w:bCs/>
                <w:sz w:val="16"/>
                <w:szCs w:val="16"/>
              </w:rPr>
              <w:t>Medicamento</w:t>
            </w:r>
          </w:p>
        </w:tc>
      </w:tr>
      <w:tr w:rsidR="00DD1521">
        <w:trPr>
          <w:trHeight w:val="863"/>
        </w:trPr>
        <w:tc>
          <w:tcPr>
            <w:tcW w:w="1981" w:type="dxa"/>
            <w:tcBorders>
              <w:top w:val="single" w:sz="4" w:space="0" w:color="000000"/>
              <w:left w:val="single" w:sz="4" w:space="0" w:color="000000"/>
              <w:bottom w:val="single" w:sz="4" w:space="0" w:color="000000"/>
            </w:tcBorders>
            <w:shd w:val="clear" w:color="auto" w:fill="E6E6E6"/>
          </w:tcPr>
          <w:p w:rsidR="00DD1521" w:rsidRDefault="00DD1521">
            <w:pPr>
              <w:snapToGrid w:val="0"/>
              <w:spacing w:after="0" w:line="240" w:lineRule="auto"/>
              <w:jc w:val="center"/>
              <w:rPr>
                <w:rFonts w:ascii="Arial" w:hAnsi="Arial" w:cs="Arial"/>
                <w:b/>
                <w:bCs/>
                <w:sz w:val="16"/>
                <w:szCs w:val="16"/>
              </w:rPr>
            </w:pPr>
          </w:p>
        </w:tc>
        <w:tc>
          <w:tcPr>
            <w:tcW w:w="1701" w:type="dxa"/>
            <w:tcBorders>
              <w:top w:val="single" w:sz="4" w:space="0" w:color="000000"/>
              <w:left w:val="single" w:sz="4" w:space="0" w:color="000000"/>
              <w:bottom w:val="single" w:sz="4" w:space="0" w:color="000000"/>
            </w:tcBorders>
            <w:shd w:val="clear" w:color="auto" w:fill="E6E6E6"/>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OSIMERTINIB</w:t>
            </w:r>
          </w:p>
          <w:p w:rsidR="00DD1521" w:rsidRDefault="00DD1521">
            <w:pPr>
              <w:pStyle w:val="Normal1"/>
              <w:spacing w:after="0" w:line="240" w:lineRule="auto"/>
              <w:jc w:val="center"/>
            </w:pPr>
            <w:r>
              <w:rPr>
                <w:rFonts w:ascii="Arial" w:hAnsi="Arial" w:cs="Arial"/>
                <w:sz w:val="16"/>
                <w:szCs w:val="16"/>
              </w:rPr>
              <w:t>Tagrisso® 40/80 mg 30 comprimidos.</w:t>
            </w:r>
          </w:p>
        </w:tc>
        <w:tc>
          <w:tcPr>
            <w:tcW w:w="1296" w:type="dxa"/>
            <w:tcBorders>
              <w:top w:val="single" w:sz="4" w:space="0" w:color="000000"/>
              <w:left w:val="single" w:sz="4" w:space="0" w:color="000000"/>
              <w:bottom w:val="single" w:sz="4" w:space="0" w:color="000000"/>
              <w:right w:val="single" w:sz="4" w:space="0" w:color="auto"/>
            </w:tcBorders>
            <w:shd w:val="clear" w:color="auto" w:fill="E6E6E6"/>
          </w:tcPr>
          <w:p w:rsidR="00DD1521" w:rsidRDefault="00DD1521">
            <w:pPr>
              <w:spacing w:after="0" w:line="240" w:lineRule="auto"/>
              <w:jc w:val="center"/>
              <w:rPr>
                <w:rFonts w:ascii="Arial" w:hAnsi="Arial" w:cs="Arial"/>
                <w:sz w:val="16"/>
                <w:szCs w:val="16"/>
              </w:rPr>
            </w:pPr>
            <w:r>
              <w:rPr>
                <w:rFonts w:ascii="Arial" w:hAnsi="Arial" w:cs="Arial"/>
                <w:b/>
                <w:bCs/>
                <w:sz w:val="16"/>
                <w:szCs w:val="16"/>
              </w:rPr>
              <w:t>DACOMITINIB</w:t>
            </w:r>
            <w:r>
              <w:rPr>
                <w:rFonts w:ascii="Arial" w:hAnsi="Arial" w:cs="Arial"/>
                <w:sz w:val="16"/>
                <w:szCs w:val="16"/>
              </w:rPr>
              <w:t xml:space="preserve"> Vizimpro® 15/30/45 mg </w:t>
            </w:r>
          </w:p>
          <w:p w:rsidR="00DD1521" w:rsidRDefault="00DD1521">
            <w:pPr>
              <w:spacing w:after="0" w:line="240" w:lineRule="auto"/>
              <w:jc w:val="center"/>
              <w:rPr>
                <w:rFonts w:ascii="Arial" w:hAnsi="Arial" w:cs="Arial"/>
                <w:sz w:val="16"/>
                <w:szCs w:val="16"/>
              </w:rPr>
            </w:pPr>
            <w:r>
              <w:rPr>
                <w:rFonts w:ascii="Arial" w:hAnsi="Arial" w:cs="Arial"/>
                <w:sz w:val="16"/>
                <w:szCs w:val="16"/>
              </w:rPr>
              <w:t>30 comprimidos</w:t>
            </w:r>
          </w:p>
        </w:tc>
        <w:tc>
          <w:tcPr>
            <w:tcW w:w="1397" w:type="dxa"/>
            <w:tcBorders>
              <w:top w:val="single" w:sz="4" w:space="0" w:color="000000"/>
              <w:left w:val="single" w:sz="4" w:space="0" w:color="auto"/>
              <w:bottom w:val="single" w:sz="4" w:space="0" w:color="000000"/>
            </w:tcBorders>
            <w:shd w:val="clear" w:color="auto" w:fill="E6E6E6"/>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ERLOTINIB</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 xml:space="preserve">Tarceva® 100/ 150 mg </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30 comprimidos</w:t>
            </w:r>
          </w:p>
        </w:tc>
        <w:tc>
          <w:tcPr>
            <w:tcW w:w="1276" w:type="dxa"/>
            <w:tcBorders>
              <w:top w:val="single" w:sz="4" w:space="0" w:color="000000"/>
              <w:left w:val="single" w:sz="4" w:space="0" w:color="000000"/>
              <w:bottom w:val="single" w:sz="4" w:space="0" w:color="000000"/>
              <w:right w:val="single" w:sz="4" w:space="0" w:color="000000"/>
            </w:tcBorders>
            <w:shd w:val="clear" w:color="auto" w:fill="E6E6E6"/>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GEFITINIB</w:t>
            </w:r>
          </w:p>
          <w:p w:rsidR="00DD1521" w:rsidRDefault="00DD1521">
            <w:pPr>
              <w:spacing w:after="0" w:line="240" w:lineRule="auto"/>
              <w:jc w:val="center"/>
              <w:rPr>
                <w:rFonts w:ascii="Arial" w:hAnsi="Arial" w:cs="Arial"/>
                <w:sz w:val="16"/>
                <w:szCs w:val="16"/>
              </w:rPr>
            </w:pPr>
            <w:r>
              <w:rPr>
                <w:rFonts w:ascii="Arial" w:hAnsi="Arial" w:cs="Arial"/>
                <w:sz w:val="16"/>
                <w:szCs w:val="16"/>
              </w:rPr>
              <w:t>Iressa® 250 mg</w:t>
            </w:r>
          </w:p>
          <w:p w:rsidR="00DD1521" w:rsidRDefault="00DD1521">
            <w:pPr>
              <w:spacing w:after="0" w:line="240" w:lineRule="auto"/>
              <w:jc w:val="center"/>
              <w:rPr>
                <w:rFonts w:ascii="Arial" w:hAnsi="Arial" w:cs="Arial"/>
                <w:sz w:val="16"/>
                <w:szCs w:val="16"/>
              </w:rPr>
            </w:pPr>
            <w:r>
              <w:rPr>
                <w:rFonts w:ascii="Arial" w:hAnsi="Arial" w:cs="Arial"/>
                <w:sz w:val="16"/>
                <w:szCs w:val="16"/>
              </w:rPr>
              <w:t>30 comprimidos</w:t>
            </w:r>
          </w:p>
        </w:tc>
        <w:tc>
          <w:tcPr>
            <w:tcW w:w="1800" w:type="dxa"/>
            <w:tcBorders>
              <w:top w:val="single" w:sz="4" w:space="0" w:color="000000"/>
              <w:left w:val="single" w:sz="4" w:space="0" w:color="000000"/>
              <w:bottom w:val="single" w:sz="4" w:space="0" w:color="000000"/>
              <w:right w:val="single" w:sz="4" w:space="0" w:color="000000"/>
            </w:tcBorders>
            <w:shd w:val="clear" w:color="auto" w:fill="E6E6E6"/>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AFATINIB</w:t>
            </w:r>
          </w:p>
          <w:p w:rsidR="00DD1521" w:rsidRDefault="00DD1521">
            <w:pPr>
              <w:pStyle w:val="Normal1"/>
              <w:spacing w:after="0" w:line="240" w:lineRule="auto"/>
              <w:jc w:val="center"/>
            </w:pPr>
            <w:r>
              <w:rPr>
                <w:rFonts w:ascii="Arial" w:hAnsi="Arial" w:cs="Arial"/>
                <w:sz w:val="16"/>
                <w:szCs w:val="16"/>
              </w:rPr>
              <w:t>Giotrif® 20/30/40/50mg 28 comprimidos</w:t>
            </w:r>
          </w:p>
        </w:tc>
      </w:tr>
      <w:tr w:rsidR="00DD1521">
        <w:trPr>
          <w:trHeight w:val="168"/>
        </w:trPr>
        <w:tc>
          <w:tcPr>
            <w:tcW w:w="1981" w:type="dxa"/>
            <w:tcBorders>
              <w:top w:val="single" w:sz="4" w:space="0" w:color="000000"/>
              <w:left w:val="single" w:sz="4" w:space="0" w:color="000000"/>
              <w:bottom w:val="single" w:sz="4" w:space="0" w:color="000000"/>
            </w:tcBorders>
            <w:vAlign w:val="center"/>
          </w:tcPr>
          <w:p w:rsidR="00DD1521" w:rsidRDefault="00DD1521">
            <w:pPr>
              <w:spacing w:after="0" w:line="240" w:lineRule="auto"/>
              <w:rPr>
                <w:rFonts w:ascii="Arial" w:hAnsi="Arial" w:cs="Arial"/>
                <w:b/>
                <w:bCs/>
                <w:sz w:val="16"/>
                <w:szCs w:val="16"/>
              </w:rPr>
            </w:pPr>
            <w:r>
              <w:rPr>
                <w:rFonts w:ascii="Arial" w:hAnsi="Arial" w:cs="Arial"/>
                <w:b/>
                <w:bCs/>
                <w:sz w:val="16"/>
                <w:szCs w:val="16"/>
              </w:rPr>
              <w:t xml:space="preserve">Precio unitario (PVL+IVA) </w:t>
            </w:r>
          </w:p>
        </w:tc>
        <w:tc>
          <w:tcPr>
            <w:tcW w:w="1701" w:type="dxa"/>
            <w:tcBorders>
              <w:top w:val="single" w:sz="4" w:space="0" w:color="000000"/>
              <w:left w:val="single" w:sz="4" w:space="0" w:color="000000"/>
              <w:bottom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210,32 €*</w:t>
            </w:r>
          </w:p>
        </w:tc>
        <w:tc>
          <w:tcPr>
            <w:tcW w:w="1296" w:type="dxa"/>
            <w:tcBorders>
              <w:top w:val="single" w:sz="4" w:space="0" w:color="000000"/>
              <w:left w:val="single" w:sz="4" w:space="0" w:color="000000"/>
              <w:bottom w:val="single" w:sz="4" w:space="0" w:color="000000"/>
              <w:right w:val="single" w:sz="4" w:space="0" w:color="auto"/>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346,6 €</w:t>
            </w:r>
          </w:p>
        </w:tc>
        <w:tc>
          <w:tcPr>
            <w:tcW w:w="1397" w:type="dxa"/>
            <w:tcBorders>
              <w:top w:val="single" w:sz="4" w:space="0" w:color="000000"/>
              <w:left w:val="single" w:sz="4" w:space="0" w:color="auto"/>
              <w:bottom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70,9 €**</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70,9 €**</w:t>
            </w:r>
          </w:p>
        </w:tc>
        <w:tc>
          <w:tcPr>
            <w:tcW w:w="1800"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70,9 €**</w:t>
            </w:r>
          </w:p>
        </w:tc>
      </w:tr>
      <w:tr w:rsidR="00DD1521">
        <w:tc>
          <w:tcPr>
            <w:tcW w:w="1981" w:type="dxa"/>
            <w:tcBorders>
              <w:top w:val="single" w:sz="4" w:space="0" w:color="000000"/>
              <w:left w:val="single" w:sz="4" w:space="0" w:color="000000"/>
              <w:bottom w:val="single" w:sz="4" w:space="0" w:color="000000"/>
            </w:tcBorders>
            <w:vAlign w:val="center"/>
          </w:tcPr>
          <w:p w:rsidR="00DD1521" w:rsidRDefault="00DD1521">
            <w:pPr>
              <w:spacing w:after="0" w:line="240" w:lineRule="auto"/>
              <w:rPr>
                <w:rFonts w:ascii="Arial" w:hAnsi="Arial" w:cs="Arial"/>
                <w:b/>
                <w:bCs/>
                <w:sz w:val="16"/>
                <w:szCs w:val="16"/>
              </w:rPr>
            </w:pPr>
            <w:r>
              <w:rPr>
                <w:rFonts w:ascii="Arial" w:hAnsi="Arial" w:cs="Arial"/>
                <w:b/>
                <w:bCs/>
                <w:sz w:val="16"/>
                <w:szCs w:val="16"/>
              </w:rPr>
              <w:t>Posología</w:t>
            </w:r>
          </w:p>
        </w:tc>
        <w:tc>
          <w:tcPr>
            <w:tcW w:w="1701" w:type="dxa"/>
            <w:tcBorders>
              <w:top w:val="single" w:sz="4" w:space="0" w:color="000000"/>
              <w:left w:val="single" w:sz="4" w:space="0" w:color="000000"/>
              <w:bottom w:val="single" w:sz="4" w:space="0" w:color="000000"/>
            </w:tcBorders>
            <w:vAlign w:val="center"/>
          </w:tcPr>
          <w:p w:rsidR="00DD1521" w:rsidRDefault="00DD1521">
            <w:pPr>
              <w:snapToGrid w:val="0"/>
              <w:spacing w:after="0" w:line="240" w:lineRule="auto"/>
              <w:jc w:val="center"/>
            </w:pPr>
            <w:r>
              <w:rPr>
                <w:rFonts w:ascii="Arial" w:hAnsi="Arial" w:cs="Arial"/>
                <w:sz w:val="16"/>
                <w:szCs w:val="16"/>
              </w:rPr>
              <w:t>80 mg/24 h</w:t>
            </w:r>
          </w:p>
        </w:tc>
        <w:tc>
          <w:tcPr>
            <w:tcW w:w="1296" w:type="dxa"/>
            <w:tcBorders>
              <w:top w:val="single" w:sz="4" w:space="0" w:color="000000"/>
              <w:left w:val="single" w:sz="4" w:space="0" w:color="000000"/>
              <w:bottom w:val="single" w:sz="4" w:space="0" w:color="000000"/>
              <w:right w:val="single" w:sz="4" w:space="0" w:color="auto"/>
            </w:tcBorders>
            <w:vAlign w:val="center"/>
          </w:tcPr>
          <w:p w:rsidR="00DD1521" w:rsidRDefault="00DD1521">
            <w:pPr>
              <w:snapToGrid w:val="0"/>
              <w:spacing w:after="0" w:line="240" w:lineRule="auto"/>
              <w:jc w:val="center"/>
            </w:pPr>
            <w:r>
              <w:rPr>
                <w:rFonts w:ascii="Arial" w:hAnsi="Arial" w:cs="Arial"/>
                <w:sz w:val="16"/>
                <w:szCs w:val="16"/>
              </w:rPr>
              <w:t>45 mg/24h</w:t>
            </w:r>
          </w:p>
        </w:tc>
        <w:tc>
          <w:tcPr>
            <w:tcW w:w="1397" w:type="dxa"/>
            <w:tcBorders>
              <w:top w:val="single" w:sz="4" w:space="0" w:color="000000"/>
              <w:left w:val="single" w:sz="4" w:space="0" w:color="auto"/>
              <w:bottom w:val="single" w:sz="4" w:space="0" w:color="000000"/>
            </w:tcBorders>
            <w:vAlign w:val="center"/>
          </w:tcPr>
          <w:p w:rsidR="00DD1521" w:rsidRDefault="00DD1521">
            <w:pPr>
              <w:snapToGrid w:val="0"/>
              <w:spacing w:after="0" w:line="240" w:lineRule="auto"/>
              <w:jc w:val="center"/>
            </w:pPr>
            <w:r>
              <w:rPr>
                <w:rFonts w:ascii="Arial" w:hAnsi="Arial" w:cs="Arial"/>
                <w:sz w:val="16"/>
                <w:szCs w:val="16"/>
              </w:rPr>
              <w:t>150 mg/24h</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250 mg/24h</w:t>
            </w:r>
          </w:p>
        </w:tc>
        <w:tc>
          <w:tcPr>
            <w:tcW w:w="1800"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40 mg/24 h</w:t>
            </w:r>
          </w:p>
        </w:tc>
      </w:tr>
      <w:tr w:rsidR="00DD1521">
        <w:trPr>
          <w:trHeight w:val="310"/>
        </w:trPr>
        <w:tc>
          <w:tcPr>
            <w:tcW w:w="1981" w:type="dxa"/>
            <w:tcBorders>
              <w:top w:val="single" w:sz="4" w:space="0" w:color="000000"/>
              <w:left w:val="single" w:sz="4" w:space="0" w:color="000000"/>
              <w:bottom w:val="single" w:sz="4" w:space="0" w:color="000000"/>
            </w:tcBorders>
            <w:vAlign w:val="center"/>
          </w:tcPr>
          <w:p w:rsidR="00DD1521" w:rsidRDefault="00DD1521">
            <w:pPr>
              <w:spacing w:after="0" w:line="240" w:lineRule="auto"/>
            </w:pPr>
            <w:r>
              <w:rPr>
                <w:rFonts w:ascii="Arial" w:hAnsi="Arial" w:cs="Arial"/>
                <w:b/>
                <w:bCs/>
                <w:sz w:val="16"/>
                <w:szCs w:val="16"/>
              </w:rPr>
              <w:t>Coste día</w:t>
            </w:r>
          </w:p>
        </w:tc>
        <w:tc>
          <w:tcPr>
            <w:tcW w:w="1701" w:type="dxa"/>
            <w:tcBorders>
              <w:top w:val="single" w:sz="4" w:space="0" w:color="000000"/>
              <w:left w:val="single" w:sz="4" w:space="0" w:color="000000"/>
              <w:bottom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210,32 €</w:t>
            </w:r>
          </w:p>
        </w:tc>
        <w:tc>
          <w:tcPr>
            <w:tcW w:w="1296" w:type="dxa"/>
            <w:tcBorders>
              <w:top w:val="single" w:sz="4" w:space="0" w:color="000000"/>
              <w:left w:val="single" w:sz="4" w:space="0" w:color="000000"/>
              <w:bottom w:val="single" w:sz="4" w:space="0" w:color="000000"/>
              <w:right w:val="single" w:sz="4" w:space="0" w:color="auto"/>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346,6 €</w:t>
            </w:r>
          </w:p>
        </w:tc>
        <w:tc>
          <w:tcPr>
            <w:tcW w:w="1397" w:type="dxa"/>
            <w:tcBorders>
              <w:top w:val="single" w:sz="4" w:space="0" w:color="000000"/>
              <w:left w:val="single" w:sz="4" w:space="0" w:color="auto"/>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70,9 €</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70,9 €</w:t>
            </w:r>
          </w:p>
        </w:tc>
        <w:tc>
          <w:tcPr>
            <w:tcW w:w="1800"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70,9 €</w:t>
            </w:r>
          </w:p>
        </w:tc>
      </w:tr>
      <w:tr w:rsidR="00DD1521">
        <w:tc>
          <w:tcPr>
            <w:tcW w:w="1981" w:type="dxa"/>
            <w:tcBorders>
              <w:top w:val="single" w:sz="4" w:space="0" w:color="000000"/>
              <w:left w:val="single" w:sz="4" w:space="0" w:color="000000"/>
              <w:bottom w:val="single" w:sz="4" w:space="0" w:color="000000"/>
            </w:tcBorders>
            <w:vAlign w:val="center"/>
          </w:tcPr>
          <w:p w:rsidR="00DD1521" w:rsidRDefault="00DD1521">
            <w:pPr>
              <w:spacing w:after="0" w:line="240" w:lineRule="auto"/>
              <w:rPr>
                <w:rFonts w:ascii="Arial" w:hAnsi="Arial" w:cs="Arial"/>
                <w:b/>
                <w:bCs/>
                <w:sz w:val="16"/>
                <w:szCs w:val="16"/>
              </w:rPr>
            </w:pPr>
            <w:r>
              <w:rPr>
                <w:rFonts w:ascii="Arial" w:hAnsi="Arial" w:cs="Arial"/>
                <w:b/>
                <w:bCs/>
                <w:sz w:val="16"/>
                <w:szCs w:val="16"/>
              </w:rPr>
              <w:t>Coste tratamiento/mes</w:t>
            </w:r>
          </w:p>
          <w:p w:rsidR="00DD1521" w:rsidRDefault="00DD1521">
            <w:pPr>
              <w:spacing w:after="0" w:line="240" w:lineRule="auto"/>
              <w:rPr>
                <w:rFonts w:ascii="Arial" w:hAnsi="Arial" w:cs="Arial"/>
                <w:b/>
                <w:bCs/>
                <w:sz w:val="16"/>
                <w:szCs w:val="16"/>
              </w:rPr>
            </w:pPr>
          </w:p>
        </w:tc>
        <w:tc>
          <w:tcPr>
            <w:tcW w:w="1701" w:type="dxa"/>
            <w:tcBorders>
              <w:top w:val="single" w:sz="4" w:space="0" w:color="000000"/>
              <w:left w:val="single" w:sz="4" w:space="0" w:color="000000"/>
              <w:bottom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6.310 €</w:t>
            </w:r>
          </w:p>
        </w:tc>
        <w:tc>
          <w:tcPr>
            <w:tcW w:w="1296" w:type="dxa"/>
            <w:tcBorders>
              <w:top w:val="single" w:sz="4" w:space="0" w:color="000000"/>
              <w:left w:val="single" w:sz="4" w:space="0" w:color="000000"/>
              <w:bottom w:val="single" w:sz="4" w:space="0" w:color="000000"/>
              <w:right w:val="single" w:sz="4" w:space="0" w:color="auto"/>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10.939 €</w:t>
            </w:r>
          </w:p>
        </w:tc>
        <w:tc>
          <w:tcPr>
            <w:tcW w:w="1397" w:type="dxa"/>
            <w:tcBorders>
              <w:top w:val="single" w:sz="4" w:space="0" w:color="000000"/>
              <w:left w:val="single" w:sz="4" w:space="0" w:color="auto"/>
              <w:bottom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2.127 €</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 xml:space="preserve">2.127 € </w:t>
            </w:r>
          </w:p>
        </w:tc>
        <w:tc>
          <w:tcPr>
            <w:tcW w:w="1800" w:type="dxa"/>
            <w:tcBorders>
              <w:top w:val="single" w:sz="4" w:space="0" w:color="000000"/>
              <w:left w:val="single" w:sz="4" w:space="0" w:color="000000"/>
              <w:bottom w:val="single" w:sz="4" w:space="0" w:color="000000"/>
              <w:right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2.127 €</w:t>
            </w:r>
          </w:p>
        </w:tc>
      </w:tr>
      <w:tr w:rsidR="00DD1521">
        <w:tc>
          <w:tcPr>
            <w:tcW w:w="1981" w:type="dxa"/>
            <w:tcBorders>
              <w:top w:val="single" w:sz="4" w:space="0" w:color="000000"/>
              <w:left w:val="single" w:sz="4" w:space="0" w:color="000000"/>
              <w:bottom w:val="single" w:sz="4" w:space="0" w:color="000000"/>
            </w:tcBorders>
            <w:vAlign w:val="center"/>
          </w:tcPr>
          <w:p w:rsidR="00DD1521" w:rsidRDefault="00DD1521">
            <w:pPr>
              <w:spacing w:after="0" w:line="240" w:lineRule="auto"/>
              <w:rPr>
                <w:rFonts w:ascii="Arial" w:hAnsi="Arial" w:cs="Arial"/>
                <w:b/>
                <w:bCs/>
                <w:sz w:val="16"/>
                <w:szCs w:val="16"/>
              </w:rPr>
            </w:pPr>
            <w:r>
              <w:rPr>
                <w:rFonts w:ascii="Arial" w:hAnsi="Arial" w:cs="Arial"/>
                <w:b/>
                <w:bCs/>
                <w:sz w:val="16"/>
                <w:szCs w:val="16"/>
              </w:rPr>
              <w:t xml:space="preserve">Duración de tratamiento </w:t>
            </w:r>
          </w:p>
        </w:tc>
        <w:tc>
          <w:tcPr>
            <w:tcW w:w="1701" w:type="dxa"/>
            <w:tcBorders>
              <w:top w:val="single" w:sz="4" w:space="0" w:color="000000"/>
              <w:left w:val="single" w:sz="4" w:space="0" w:color="000000"/>
              <w:bottom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16,2 meses ***</w:t>
            </w:r>
          </w:p>
        </w:tc>
        <w:tc>
          <w:tcPr>
            <w:tcW w:w="1296" w:type="dxa"/>
            <w:tcBorders>
              <w:top w:val="single" w:sz="4" w:space="0" w:color="000000"/>
              <w:left w:val="single" w:sz="4" w:space="0" w:color="000000"/>
              <w:bottom w:val="single" w:sz="4" w:space="0" w:color="000000"/>
              <w:right w:val="single" w:sz="4" w:space="0" w:color="auto"/>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15,3 meses****</w:t>
            </w:r>
          </w:p>
        </w:tc>
        <w:tc>
          <w:tcPr>
            <w:tcW w:w="1397" w:type="dxa"/>
            <w:tcBorders>
              <w:top w:val="single" w:sz="4" w:space="0" w:color="000000"/>
              <w:left w:val="single" w:sz="4" w:space="0" w:color="auto"/>
              <w:bottom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11,5 meses***</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11,5 meses***</w:t>
            </w:r>
          </w:p>
        </w:tc>
        <w:tc>
          <w:tcPr>
            <w:tcW w:w="1800" w:type="dxa"/>
            <w:tcBorders>
              <w:top w:val="single" w:sz="4" w:space="0" w:color="000000"/>
              <w:left w:val="single" w:sz="4" w:space="0" w:color="000000"/>
              <w:bottom w:val="single" w:sz="4" w:space="0" w:color="000000"/>
              <w:right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13,5 meses*****</w:t>
            </w:r>
          </w:p>
        </w:tc>
      </w:tr>
      <w:tr w:rsidR="00DD1521">
        <w:tc>
          <w:tcPr>
            <w:tcW w:w="1981" w:type="dxa"/>
            <w:tcBorders>
              <w:top w:val="single" w:sz="4" w:space="0" w:color="000000"/>
              <w:left w:val="single" w:sz="4" w:space="0" w:color="000000"/>
              <w:bottom w:val="single" w:sz="4" w:space="0" w:color="000000"/>
            </w:tcBorders>
            <w:vAlign w:val="center"/>
          </w:tcPr>
          <w:p w:rsidR="00DD1521" w:rsidRDefault="00DD1521">
            <w:pPr>
              <w:spacing w:after="0" w:line="240" w:lineRule="auto"/>
            </w:pPr>
            <w:r>
              <w:rPr>
                <w:rFonts w:ascii="Arial" w:hAnsi="Arial" w:cs="Arial"/>
                <w:b/>
                <w:bCs/>
                <w:sz w:val="16"/>
                <w:szCs w:val="16"/>
              </w:rPr>
              <w:t xml:space="preserve">Coste tratamiento completo </w:t>
            </w:r>
          </w:p>
        </w:tc>
        <w:tc>
          <w:tcPr>
            <w:tcW w:w="1701" w:type="dxa"/>
            <w:tcBorders>
              <w:top w:val="single" w:sz="4" w:space="0" w:color="000000"/>
              <w:left w:val="single" w:sz="4" w:space="0" w:color="000000"/>
              <w:bottom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102.215 €</w:t>
            </w:r>
          </w:p>
        </w:tc>
        <w:tc>
          <w:tcPr>
            <w:tcW w:w="1296" w:type="dxa"/>
            <w:tcBorders>
              <w:top w:val="single" w:sz="4" w:space="0" w:color="000000"/>
              <w:left w:val="single" w:sz="4" w:space="0" w:color="000000"/>
              <w:bottom w:val="single" w:sz="4" w:space="0" w:color="000000"/>
              <w:right w:val="single" w:sz="4" w:space="0" w:color="auto"/>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167.367</w:t>
            </w:r>
          </w:p>
        </w:tc>
        <w:tc>
          <w:tcPr>
            <w:tcW w:w="1397" w:type="dxa"/>
            <w:tcBorders>
              <w:top w:val="single" w:sz="4" w:space="0" w:color="000000"/>
              <w:left w:val="single" w:sz="4" w:space="0" w:color="auto"/>
              <w:bottom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24.460 €</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24.460 €</w:t>
            </w:r>
          </w:p>
        </w:tc>
        <w:tc>
          <w:tcPr>
            <w:tcW w:w="1800" w:type="dxa"/>
            <w:tcBorders>
              <w:top w:val="single" w:sz="4" w:space="0" w:color="000000"/>
              <w:left w:val="single" w:sz="4" w:space="0" w:color="000000"/>
              <w:bottom w:val="single" w:sz="4" w:space="0" w:color="000000"/>
              <w:right w:val="single" w:sz="4" w:space="0" w:color="000000"/>
            </w:tcBorders>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28.717 €</w:t>
            </w:r>
          </w:p>
        </w:tc>
      </w:tr>
      <w:tr w:rsidR="00DD1521">
        <w:tc>
          <w:tcPr>
            <w:tcW w:w="1981" w:type="dxa"/>
            <w:tcBorders>
              <w:top w:val="single" w:sz="4" w:space="0" w:color="000000"/>
              <w:left w:val="single" w:sz="4" w:space="0" w:color="000000"/>
              <w:bottom w:val="single" w:sz="4" w:space="0" w:color="000000"/>
            </w:tcBorders>
            <w:vAlign w:val="center"/>
          </w:tcPr>
          <w:p w:rsidR="00DD1521" w:rsidRDefault="00DD1521">
            <w:pPr>
              <w:spacing w:after="0" w:line="240" w:lineRule="auto"/>
              <w:rPr>
                <w:rFonts w:ascii="Arial" w:hAnsi="Arial" w:cs="Arial"/>
                <w:b/>
                <w:bCs/>
                <w:sz w:val="16"/>
                <w:szCs w:val="16"/>
              </w:rPr>
            </w:pPr>
            <w:r>
              <w:rPr>
                <w:rFonts w:ascii="Arial" w:hAnsi="Arial" w:cs="Arial"/>
                <w:b/>
                <w:bCs/>
                <w:sz w:val="16"/>
                <w:szCs w:val="16"/>
              </w:rPr>
              <w:t xml:space="preserve">Costes directos asociados </w:t>
            </w:r>
            <w:r>
              <w:rPr>
                <w:rFonts w:ascii="Arial" w:hAnsi="Arial" w:cs="Arial"/>
                <w:sz w:val="16"/>
                <w:szCs w:val="16"/>
              </w:rPr>
              <w:t>(derivados de la administración en hospital de día)</w:t>
            </w:r>
          </w:p>
        </w:tc>
        <w:tc>
          <w:tcPr>
            <w:tcW w:w="1701" w:type="dxa"/>
            <w:tcBorders>
              <w:top w:val="single" w:sz="4" w:space="0" w:color="000000"/>
              <w:left w:val="single" w:sz="4" w:space="0" w:color="000000"/>
              <w:bottom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NP</w:t>
            </w:r>
          </w:p>
        </w:tc>
        <w:tc>
          <w:tcPr>
            <w:tcW w:w="1296" w:type="dxa"/>
            <w:tcBorders>
              <w:top w:val="single" w:sz="4" w:space="0" w:color="000000"/>
              <w:left w:val="single" w:sz="4" w:space="0" w:color="000000"/>
              <w:bottom w:val="single" w:sz="4" w:space="0" w:color="000000"/>
              <w:right w:val="single" w:sz="4" w:space="0" w:color="auto"/>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NP</w:t>
            </w:r>
          </w:p>
        </w:tc>
        <w:tc>
          <w:tcPr>
            <w:tcW w:w="1397" w:type="dxa"/>
            <w:tcBorders>
              <w:top w:val="single" w:sz="4" w:space="0" w:color="000000"/>
              <w:left w:val="single" w:sz="4" w:space="0" w:color="auto"/>
              <w:bottom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NP</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NP</w:t>
            </w:r>
          </w:p>
        </w:tc>
        <w:tc>
          <w:tcPr>
            <w:tcW w:w="1800"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NP</w:t>
            </w:r>
          </w:p>
        </w:tc>
      </w:tr>
      <w:tr w:rsidR="00DD1521">
        <w:tc>
          <w:tcPr>
            <w:tcW w:w="1981" w:type="dxa"/>
            <w:tcBorders>
              <w:top w:val="single" w:sz="4" w:space="0" w:color="000000"/>
              <w:left w:val="single" w:sz="4" w:space="0" w:color="000000"/>
              <w:bottom w:val="single" w:sz="4" w:space="0" w:color="000000"/>
            </w:tcBorders>
            <w:vAlign w:val="center"/>
          </w:tcPr>
          <w:p w:rsidR="00DD1521" w:rsidRDefault="00DD1521">
            <w:pPr>
              <w:spacing w:after="0" w:line="240" w:lineRule="auto"/>
            </w:pPr>
            <w:r>
              <w:rPr>
                <w:rFonts w:ascii="Arial" w:hAnsi="Arial" w:cs="Arial"/>
                <w:b/>
                <w:bCs/>
                <w:sz w:val="16"/>
                <w:szCs w:val="16"/>
              </w:rPr>
              <w:lastRenderedPageBreak/>
              <w:t xml:space="preserve">Coste incremental de osimertinib respecto a sus comparadores </w:t>
            </w:r>
          </w:p>
        </w:tc>
        <w:tc>
          <w:tcPr>
            <w:tcW w:w="1701" w:type="dxa"/>
            <w:tcBorders>
              <w:top w:val="single" w:sz="4" w:space="0" w:color="000000"/>
              <w:left w:val="single" w:sz="4" w:space="0" w:color="000000"/>
              <w:bottom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Fármaco de referencia</w:t>
            </w:r>
          </w:p>
        </w:tc>
        <w:tc>
          <w:tcPr>
            <w:tcW w:w="1296" w:type="dxa"/>
            <w:tcBorders>
              <w:top w:val="single" w:sz="4" w:space="0" w:color="000000"/>
              <w:left w:val="single" w:sz="4" w:space="0" w:color="000000"/>
              <w:bottom w:val="single" w:sz="4" w:space="0" w:color="000000"/>
              <w:right w:val="single" w:sz="4" w:space="0" w:color="auto"/>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- 65.152 €</w:t>
            </w:r>
          </w:p>
        </w:tc>
        <w:tc>
          <w:tcPr>
            <w:tcW w:w="1397" w:type="dxa"/>
            <w:tcBorders>
              <w:top w:val="single" w:sz="4" w:space="0" w:color="000000"/>
              <w:left w:val="single" w:sz="4" w:space="0" w:color="auto"/>
              <w:bottom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+77.755 €</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+77.755 €</w:t>
            </w:r>
          </w:p>
        </w:tc>
        <w:tc>
          <w:tcPr>
            <w:tcW w:w="1800" w:type="dxa"/>
            <w:tcBorders>
              <w:top w:val="single" w:sz="4" w:space="0" w:color="000000"/>
              <w:left w:val="single" w:sz="4" w:space="0" w:color="000000"/>
              <w:bottom w:val="single" w:sz="4" w:space="0" w:color="000000"/>
              <w:right w:val="single" w:sz="4" w:space="0" w:color="000000"/>
            </w:tcBorders>
            <w:vAlign w:val="center"/>
          </w:tcPr>
          <w:p w:rsidR="00DD1521" w:rsidRDefault="00DD1521">
            <w:pPr>
              <w:snapToGrid w:val="0"/>
              <w:spacing w:after="0" w:line="240" w:lineRule="auto"/>
              <w:jc w:val="center"/>
              <w:rPr>
                <w:rFonts w:ascii="Arial" w:hAnsi="Arial" w:cs="Arial"/>
                <w:sz w:val="16"/>
                <w:szCs w:val="16"/>
              </w:rPr>
            </w:pPr>
            <w:r>
              <w:rPr>
                <w:rFonts w:ascii="Arial" w:hAnsi="Arial" w:cs="Arial"/>
                <w:sz w:val="16"/>
                <w:szCs w:val="16"/>
              </w:rPr>
              <w:t>+73.498 €</w:t>
            </w:r>
          </w:p>
        </w:tc>
      </w:tr>
      <w:tr w:rsidR="00DD1521">
        <w:trPr>
          <w:cantSplit/>
        </w:trPr>
        <w:tc>
          <w:tcPr>
            <w:tcW w:w="9451" w:type="dxa"/>
            <w:gridSpan w:val="6"/>
            <w:tcBorders>
              <w:top w:val="single" w:sz="4" w:space="0" w:color="000000"/>
              <w:left w:val="single" w:sz="4" w:space="0" w:color="000000"/>
              <w:bottom w:val="single" w:sz="4" w:space="0" w:color="000000"/>
              <w:right w:val="single" w:sz="4" w:space="0" w:color="000000"/>
            </w:tcBorders>
            <w:shd w:val="clear" w:color="auto" w:fill="E6E6E6"/>
          </w:tcPr>
          <w:p w:rsidR="00DD1521" w:rsidRDefault="00DD1521">
            <w:pPr>
              <w:pStyle w:val="Normal1"/>
              <w:spacing w:after="0" w:line="240" w:lineRule="auto"/>
              <w:rPr>
                <w:rFonts w:ascii="Arial" w:hAnsi="Arial" w:cs="Arial"/>
                <w:sz w:val="16"/>
                <w:szCs w:val="16"/>
              </w:rPr>
            </w:pPr>
            <w:r>
              <w:rPr>
                <w:rFonts w:ascii="Arial" w:hAnsi="Arial" w:cs="Arial"/>
                <w:sz w:val="16"/>
                <w:szCs w:val="16"/>
              </w:rPr>
              <w:t>NP: no procede</w:t>
            </w:r>
          </w:p>
          <w:p w:rsidR="00DD1521" w:rsidRDefault="00DD1521">
            <w:pPr>
              <w:pStyle w:val="Normal1"/>
              <w:spacing w:after="0" w:line="240" w:lineRule="auto"/>
              <w:rPr>
                <w:rFonts w:ascii="Arial" w:hAnsi="Arial" w:cs="Arial"/>
                <w:sz w:val="16"/>
                <w:szCs w:val="16"/>
              </w:rPr>
            </w:pPr>
            <w:r>
              <w:rPr>
                <w:rFonts w:ascii="Arial" w:hAnsi="Arial" w:cs="Arial"/>
                <w:sz w:val="16"/>
                <w:szCs w:val="16"/>
                <w:vertAlign w:val="superscript"/>
              </w:rPr>
              <w:t>*</w:t>
            </w:r>
            <w:r>
              <w:rPr>
                <w:rFonts w:ascii="Arial" w:hAnsi="Arial" w:cs="Arial"/>
                <w:sz w:val="16"/>
                <w:szCs w:val="16"/>
              </w:rPr>
              <w:t>Precio notificado + IVA para la indicación actualmente financiada.</w:t>
            </w:r>
          </w:p>
          <w:p w:rsidR="00DD1521" w:rsidRDefault="00DD1521">
            <w:pPr>
              <w:pStyle w:val="Normal1"/>
              <w:spacing w:after="0" w:line="240" w:lineRule="auto"/>
              <w:rPr>
                <w:rFonts w:ascii="Arial" w:hAnsi="Arial" w:cs="Arial"/>
                <w:sz w:val="16"/>
                <w:szCs w:val="16"/>
              </w:rPr>
            </w:pPr>
            <w:r>
              <w:rPr>
                <w:rFonts w:ascii="Arial" w:hAnsi="Arial" w:cs="Arial"/>
                <w:sz w:val="16"/>
                <w:szCs w:val="16"/>
                <w:vertAlign w:val="superscript"/>
              </w:rPr>
              <w:t>**</w:t>
            </w:r>
            <w:r>
              <w:rPr>
                <w:rFonts w:ascii="Arial" w:hAnsi="Arial" w:cs="Arial"/>
                <w:sz w:val="16"/>
                <w:szCs w:val="16"/>
              </w:rPr>
              <w:t>Estimado a partir de los precios oficiales publicados por varias CCAA.</w:t>
            </w:r>
          </w:p>
          <w:p w:rsidR="00DD1521" w:rsidRDefault="00DD1521">
            <w:pPr>
              <w:pStyle w:val="Normal1"/>
              <w:spacing w:after="0" w:line="240" w:lineRule="auto"/>
              <w:rPr>
                <w:rFonts w:ascii="Arial" w:hAnsi="Arial" w:cs="Arial"/>
                <w:sz w:val="16"/>
                <w:szCs w:val="16"/>
              </w:rPr>
            </w:pPr>
            <w:r>
              <w:rPr>
                <w:rFonts w:ascii="Arial" w:hAnsi="Arial" w:cs="Arial"/>
                <w:sz w:val="16"/>
                <w:szCs w:val="16"/>
              </w:rPr>
              <w:t>*** Considerando una duración del tratamiento similar a la publicada en el estudio FLAURA</w:t>
            </w:r>
          </w:p>
          <w:p w:rsidR="00DD1521" w:rsidRDefault="00DD1521">
            <w:pPr>
              <w:pStyle w:val="Normal1"/>
              <w:spacing w:after="0" w:line="240" w:lineRule="auto"/>
              <w:rPr>
                <w:rFonts w:ascii="Arial" w:hAnsi="Arial" w:cs="Arial"/>
                <w:sz w:val="16"/>
                <w:szCs w:val="16"/>
              </w:rPr>
            </w:pPr>
            <w:r>
              <w:rPr>
                <w:rFonts w:ascii="Arial" w:hAnsi="Arial" w:cs="Arial"/>
                <w:sz w:val="16"/>
                <w:szCs w:val="16"/>
              </w:rPr>
              <w:t>**** Considerando una duración del tratamiento similar a la publicada en el estudio ARCHER 1050</w:t>
            </w:r>
          </w:p>
          <w:p w:rsidR="00DD1521" w:rsidRDefault="00DD1521">
            <w:pPr>
              <w:pStyle w:val="Normal1"/>
              <w:spacing w:after="0" w:line="240" w:lineRule="auto"/>
              <w:rPr>
                <w:rFonts w:ascii="Arial" w:hAnsi="Arial" w:cs="Arial"/>
                <w:sz w:val="16"/>
                <w:szCs w:val="16"/>
              </w:rPr>
            </w:pPr>
            <w:r>
              <w:rPr>
                <w:rFonts w:ascii="Arial" w:hAnsi="Arial" w:cs="Arial"/>
                <w:sz w:val="16"/>
                <w:szCs w:val="16"/>
              </w:rPr>
              <w:t>***** Considerando una duración del tratamiento similar a la publicada en el estudio LUX-Lung 7</w:t>
            </w:r>
          </w:p>
        </w:tc>
      </w:tr>
    </w:tbl>
    <w:p w:rsidR="00DD1521" w:rsidRDefault="00DD1521">
      <w:pPr>
        <w:spacing w:after="0" w:line="240" w:lineRule="auto"/>
        <w:jc w:val="both"/>
        <w:rPr>
          <w:rFonts w:ascii="Arial" w:hAnsi="Arial" w:cs="Arial"/>
          <w:b/>
          <w:bCs/>
          <w:sz w:val="20"/>
          <w:szCs w:val="20"/>
          <w:shd w:val="clear" w:color="auto" w:fill="C0C0C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Estos cálculos se han realizado utilizando el </w:t>
      </w:r>
      <w:r w:rsidRPr="00EF110E">
        <w:rPr>
          <w:rFonts w:ascii="Arial" w:hAnsi="Arial" w:cs="Arial"/>
          <w:b/>
          <w:sz w:val="20"/>
          <w:szCs w:val="20"/>
        </w:rPr>
        <w:t>precio notificado</w:t>
      </w:r>
      <w:r>
        <w:rPr>
          <w:rFonts w:ascii="Arial" w:hAnsi="Arial" w:cs="Arial"/>
          <w:sz w:val="20"/>
          <w:szCs w:val="20"/>
        </w:rPr>
        <w:t xml:space="preserve"> de osimertinib para la indicación actualmente financiada, estando en el momento de publicación del informe pendiente de precio y </w:t>
      </w:r>
      <w:r w:rsidR="00E172A8">
        <w:rPr>
          <w:rFonts w:ascii="Arial" w:hAnsi="Arial" w:cs="Arial"/>
          <w:sz w:val="20"/>
          <w:szCs w:val="20"/>
        </w:rPr>
        <w:t>d</w:t>
      </w:r>
      <w:r>
        <w:rPr>
          <w:rFonts w:ascii="Arial" w:hAnsi="Arial" w:cs="Arial"/>
          <w:sz w:val="20"/>
          <w:szCs w:val="20"/>
        </w:rPr>
        <w:t xml:space="preserve">e la 1ª línea de tratamiento. Si realizamos un </w:t>
      </w:r>
      <w:r w:rsidRPr="00EF110E">
        <w:rPr>
          <w:rFonts w:ascii="Arial" w:hAnsi="Arial" w:cs="Arial"/>
          <w:b/>
          <w:sz w:val="20"/>
          <w:szCs w:val="20"/>
        </w:rPr>
        <w:t>análisis de sensibilidad</w:t>
      </w:r>
      <w:r>
        <w:rPr>
          <w:rFonts w:ascii="Arial" w:hAnsi="Arial" w:cs="Arial"/>
          <w:sz w:val="20"/>
          <w:szCs w:val="20"/>
        </w:rPr>
        <w:t xml:space="preserve">, utilizando un coste de adquisición inferior, por ejemplo 4.367 € por envase, el coste del tratamiento completo sería de unos </w:t>
      </w:r>
      <w:r w:rsidRPr="00EF110E">
        <w:rPr>
          <w:rFonts w:ascii="Arial" w:hAnsi="Arial" w:cs="Arial"/>
          <w:b/>
          <w:sz w:val="20"/>
          <w:szCs w:val="20"/>
        </w:rPr>
        <w:t>70.745 € por paciente</w:t>
      </w:r>
      <w:r>
        <w:rPr>
          <w:rFonts w:ascii="Arial" w:hAnsi="Arial" w:cs="Arial"/>
          <w:sz w:val="20"/>
          <w:szCs w:val="20"/>
        </w:rPr>
        <w:t>.</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En el primer semestre de 2019 está prevista la comercialización de genéricos de gefitinib, por lo que el precio notificado probablemente descenderá aproximadamente un 30%. En este caso, el coste incremental respecto a gefitinib ascendería hasta los 53.623 € (si se mantuviera el coste/envase de osimertinib en 4.367 €.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0" w:color="auto"/>
        </w:pBdr>
        <w:shd w:val="clear" w:color="auto" w:fill="D9D9D9"/>
        <w:spacing w:after="0" w:line="240" w:lineRule="auto"/>
        <w:rPr>
          <w:rFonts w:ascii="Arial" w:hAnsi="Arial" w:cs="Arial"/>
          <w:sz w:val="20"/>
          <w:szCs w:val="20"/>
        </w:rPr>
      </w:pPr>
      <w:bookmarkStart w:id="126" w:name="_Toc348931454"/>
      <w:bookmarkStart w:id="127" w:name="_Toc5793772"/>
      <w:r>
        <w:rPr>
          <w:rFonts w:ascii="Arial" w:hAnsi="Arial" w:cs="Arial"/>
          <w:sz w:val="20"/>
          <w:szCs w:val="20"/>
        </w:rPr>
        <w:t xml:space="preserve">7.2 </w:t>
      </w:r>
      <w:bookmarkEnd w:id="126"/>
      <w:r>
        <w:rPr>
          <w:rFonts w:ascii="Arial" w:hAnsi="Arial" w:cs="Arial"/>
          <w:sz w:val="20"/>
          <w:szCs w:val="20"/>
        </w:rPr>
        <w:t>Evaluaciones económicas publicadas</w:t>
      </w:r>
      <w:bookmarkEnd w:id="127"/>
      <w:r>
        <w:rPr>
          <w:rFonts w:ascii="Arial" w:hAnsi="Arial" w:cs="Arial"/>
          <w:sz w:val="20"/>
          <w:szCs w:val="20"/>
        </w:rPr>
        <w:t xml:space="preserve">  </w:t>
      </w: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between w:val="single" w:sz="4" w:space="1" w:color="auto"/>
        </w:pBdr>
        <w:shd w:val="clear" w:color="auto" w:fill="D9D9D9"/>
        <w:spacing w:after="0" w:line="240" w:lineRule="auto"/>
        <w:rPr>
          <w:rFonts w:ascii="Arial" w:hAnsi="Arial" w:cs="Arial"/>
          <w:b/>
          <w:bCs/>
          <w:sz w:val="20"/>
          <w:szCs w:val="20"/>
        </w:rPr>
      </w:pPr>
      <w:r>
        <w:rPr>
          <w:rFonts w:ascii="Arial" w:hAnsi="Arial" w:cs="Arial"/>
          <w:b/>
          <w:bCs/>
          <w:sz w:val="20"/>
          <w:szCs w:val="20"/>
        </w:rPr>
        <w:t>7.2.a Búsqueda de evaluaciones económicas publicadas</w:t>
      </w:r>
    </w:p>
    <w:p w:rsidR="00DD1521" w:rsidRDefault="00DD1521">
      <w:pPr>
        <w:autoSpaceDE w:val="0"/>
        <w:spacing w:after="0" w:line="240" w:lineRule="auto"/>
        <w:jc w:val="both"/>
        <w:rPr>
          <w:rFonts w:ascii="Arial" w:hAnsi="Arial" w:cs="Arial"/>
          <w:sz w:val="20"/>
          <w:szCs w:val="20"/>
        </w:rPr>
      </w:pPr>
    </w:p>
    <w:p w:rsidR="00DD1521" w:rsidRDefault="00DD1521">
      <w:pPr>
        <w:autoSpaceDE w:val="0"/>
        <w:spacing w:after="0" w:line="240" w:lineRule="auto"/>
        <w:jc w:val="both"/>
        <w:rPr>
          <w:rFonts w:ascii="Arial" w:hAnsi="Arial" w:cs="Arial"/>
          <w:sz w:val="20"/>
          <w:szCs w:val="20"/>
        </w:rPr>
      </w:pPr>
      <w:r>
        <w:rPr>
          <w:rFonts w:ascii="Arial" w:hAnsi="Arial" w:cs="Arial"/>
          <w:sz w:val="20"/>
          <w:szCs w:val="20"/>
        </w:rPr>
        <w:t xml:space="preserve">Con el objeto de identificar evaluaciones económicas sobre osimertinib, se llevó a cabo una búsqueda bibliográfica, con fecha 6/10/2018. Se consultaron MEDLINE, Embase, las bases de datos del </w:t>
      </w:r>
      <w:r>
        <w:rPr>
          <w:rFonts w:ascii="Arial" w:hAnsi="Arial" w:cs="Arial"/>
          <w:i/>
          <w:iCs/>
          <w:sz w:val="20"/>
          <w:szCs w:val="20"/>
        </w:rPr>
        <w:t>Centre for Reviews and Dissemination</w:t>
      </w:r>
      <w:r>
        <w:rPr>
          <w:rFonts w:ascii="Arial" w:hAnsi="Arial" w:cs="Arial"/>
          <w:sz w:val="20"/>
          <w:szCs w:val="20"/>
        </w:rPr>
        <w:t xml:space="preserve"> de la Universidad de York, y el </w:t>
      </w:r>
      <w:r>
        <w:rPr>
          <w:rFonts w:ascii="Arial" w:hAnsi="Arial" w:cs="Arial"/>
          <w:i/>
          <w:iCs/>
          <w:sz w:val="20"/>
          <w:szCs w:val="20"/>
        </w:rPr>
        <w:t>Cost-Effectiveness Analysis Registry</w:t>
      </w:r>
      <w:r>
        <w:rPr>
          <w:rFonts w:ascii="Arial" w:hAnsi="Arial" w:cs="Arial"/>
          <w:sz w:val="20"/>
          <w:szCs w:val="20"/>
        </w:rPr>
        <w:t>, utilizando la siguiente estrategia de búsqueda: (osimertinib) AND [(economic evaluation) OR (economic analysis) OR (cost effectiveness) OR (cost utility)]. Adicionalmente se consultaron las páginas Web de organismos evaluadores de referencia, como el NICE y la CADTH. Se localizaron tres referencias:</w:t>
      </w:r>
    </w:p>
    <w:p w:rsidR="00DD1521" w:rsidRDefault="00DD1521">
      <w:pPr>
        <w:pStyle w:val="Normal1"/>
        <w:numPr>
          <w:ilvl w:val="0"/>
          <w:numId w:val="9"/>
        </w:numPr>
        <w:spacing w:after="0" w:line="240" w:lineRule="auto"/>
        <w:jc w:val="both"/>
        <w:rPr>
          <w:rFonts w:ascii="Arial" w:hAnsi="Arial" w:cs="Arial"/>
          <w:sz w:val="20"/>
          <w:szCs w:val="20"/>
        </w:rPr>
      </w:pPr>
      <w:r>
        <w:rPr>
          <w:rFonts w:ascii="Arial" w:hAnsi="Arial" w:cs="Arial"/>
          <w:sz w:val="20"/>
          <w:szCs w:val="20"/>
        </w:rPr>
        <w:t xml:space="preserve">Un estudio de coste efectividad de osimertinib frente a doblete de platino elaborada para la evaluación realizada por el NICE </w:t>
      </w:r>
      <w:r>
        <w:rPr>
          <w:rFonts w:ascii="Arial" w:hAnsi="Arial" w:cs="Arial"/>
          <w:sz w:val="20"/>
          <w:szCs w:val="20"/>
        </w:rPr>
        <w:fldChar w:fldCharType="begin"/>
      </w:r>
      <w:r>
        <w:rPr>
          <w:rFonts w:ascii="Arial" w:hAnsi="Arial" w:cs="Arial"/>
          <w:sz w:val="20"/>
          <w:szCs w:val="20"/>
        </w:rPr>
        <w:instrText xml:space="preserve"> ADDIN ZOTERO_ITEM CSL_CITATION {"citationID":"f7AtXBs8","properties":{"formattedCitation":"(49)","plainCitation":"(49)"},"citationItems":[{"id":1062,"uris":["http://zotero.org/users/local/zrSbuHrK/items/RKFHC3UM"],"uri":["http://zotero.org/users/local/zrSbuHrK/items/RKFHC3UM"],"itemData":{"id":1062,"type":"article-journal","title":"Cost-effectiveness of osimertinib in the UK for advanced EGFR-T790M non-small cell lung cancer","container-title":"Journal of Medical Economics","page":"113-121","volume":"21","issue":"2","source":"PubMed","abstract":"AIM: This study presents the cost-utility analysis that was developed to inform the NICE health technology assessment of osimertinib vs platinum-based doublet chemotherapy (PDC) in patients with EGFR-T790M mutation-positive non-small cell lung cancer (NSCLC) who have progressed on epidermal growth factor receptor-tyrosine kinase inhibitor (EGFR-TKI) therapy.\nMETHODS AND MATERIALS: A partitioned survival model with three health states (progression-free, progressed disease, and death) from a UK payer perspective and over lifetime (15 years) was developed. Direct costs included disease management, treatment-related (acquisition, administration, monitoring, adverse events), and T790M testing costs. Efficacy and safety data were taken from clinical trials AURA extension and AURA2 for osimertinib and IMPRESS for PDC. An adjusted indirect treatment comparison was applied to reduce the potential bias in the non-randomized comparison. Parametric functions were utilized to extrapolate survival beyond the observed period. Health state utility values were calculated from EQ-5D data collected in the trials and valued using UK tariffs. Resource use and costs were based on published sources.\nRESULTS: Osimertinib was associated with a gain of 1.541 quality-adjusted life-years (QALYs) at an incremental cost of £64,283 vs PDC (incremental cost-effectiveness ratio [ICER]: £41,705/QALY gained). Scenario analyses showed that none of the plausible scenarios produced an ICER above £44,000 per QALY gained, and probabilistic sensitivity analyses demonstrated a 63.4% probability that osimertinib will be cost-effective at a willingness-to-pay threshold of £50,000.\nLIMITATIONS: The analysis is subject to some level of uncertainty inherent to phase 2 single-arm data and the immaturity of the currently available survival data for osimertinib.\nCONCLUSIONS: Osimertinib may be considered a cost-effective treatment option compared with PDC in the second-line setting in patients with EGFR-T790M mutation-positive NSCLC from a UK payer perspective. Further data from the ongoing AURA clinical trial program will reduce the inherent uncertainty in the analysis.","DOI":"10.1080/13696998.2017.1377718","ISSN":"1941-837X","note":"PMID: 28880737","journalAbbreviation":"J Med Econ","language":"eng","author":[{"family":"Bertranou","given":"Evelina"},{"family":"Bodnar","given":"Carolyn"},{"family":"Dansk","given":"Viktor"},{"family":"Greystoke","given":"Alastair"},{"family":"Large","given":"Samuel"},{"family":"Dyer","given":"Matthew"}],"issued":{"date-parts":[["2018",2]]},"PMID":"28880737"}}],"schema":"https://github.com/citation-style-language/schema/raw/master/csl-citation.json"} </w:instrText>
      </w:r>
      <w:r>
        <w:rPr>
          <w:rFonts w:ascii="Arial" w:hAnsi="Arial" w:cs="Arial"/>
          <w:sz w:val="20"/>
          <w:szCs w:val="20"/>
        </w:rPr>
        <w:fldChar w:fldCharType="separate"/>
      </w:r>
      <w:r>
        <w:rPr>
          <w:rFonts w:ascii="Arial" w:hAnsi="Arial" w:cs="Arial"/>
          <w:sz w:val="20"/>
          <w:szCs w:val="20"/>
        </w:rPr>
        <w:t>(42)</w:t>
      </w:r>
      <w:r>
        <w:rPr>
          <w:rFonts w:ascii="Arial" w:hAnsi="Arial" w:cs="Arial"/>
          <w:sz w:val="20"/>
          <w:szCs w:val="20"/>
        </w:rPr>
        <w:fldChar w:fldCharType="end"/>
      </w:r>
      <w:r>
        <w:rPr>
          <w:rFonts w:ascii="Arial" w:hAnsi="Arial" w:cs="Arial"/>
          <w:sz w:val="20"/>
          <w:szCs w:val="20"/>
        </w:rPr>
        <w:t xml:space="preserve"> para la indicación de CPNM con mutación EGFR-T790</w:t>
      </w:r>
    </w:p>
    <w:p w:rsidR="00DD1521" w:rsidRDefault="00DD1521">
      <w:pPr>
        <w:pStyle w:val="Normal1"/>
        <w:numPr>
          <w:ilvl w:val="0"/>
          <w:numId w:val="9"/>
        </w:numPr>
        <w:spacing w:after="0" w:line="240" w:lineRule="auto"/>
        <w:jc w:val="both"/>
        <w:rPr>
          <w:rFonts w:ascii="Arial" w:hAnsi="Arial" w:cs="Arial"/>
          <w:sz w:val="20"/>
          <w:szCs w:val="20"/>
        </w:rPr>
      </w:pPr>
      <w:r>
        <w:rPr>
          <w:rFonts w:ascii="Arial" w:hAnsi="Arial" w:cs="Arial"/>
          <w:sz w:val="20"/>
          <w:szCs w:val="20"/>
        </w:rPr>
        <w:t xml:space="preserve">Un estudio coste-efectividad y coste-utilidad llevado a cabo por Ezeife DA et al </w:t>
      </w:r>
      <w:r>
        <w:rPr>
          <w:rFonts w:ascii="Arial" w:hAnsi="Arial" w:cs="Arial"/>
          <w:sz w:val="20"/>
          <w:szCs w:val="20"/>
        </w:rPr>
        <w:fldChar w:fldCharType="begin"/>
      </w:r>
      <w:r>
        <w:rPr>
          <w:rFonts w:ascii="Arial" w:hAnsi="Arial" w:cs="Arial"/>
          <w:sz w:val="20"/>
          <w:szCs w:val="20"/>
        </w:rPr>
        <w:instrText xml:space="preserve"> ADDIN ZOTERO_ITEM CSL_CITATION {"citationID":"jwbNZeK2","properties":{"formattedCitation":"(52)","plainCitation":"(52)"},"citationItems":[{"id":1064,"uris":["http://zotero.org/users/local/zrSbuHrK/items/MQKDFEAG"],"uri":["http://zotero.org/users/local/zrSbuHrK/items/MQKDFEAG"],"itemData":{"id":1064,"type":"article-journal","title":"Economic analysis of osimertinib in previously untreated EGFR-mutant advanced non-small cell lung cancer in Canada","container-title":"Lung Cancer (Amsterdam, Netherlands)","page":"1-7","volume":"125","source":"PubMed","abstract":"INTRODUCTION: Osimertinib improves progression-free survival in previously untreated EGFR-positive advanced non-small cell lung cancer (NSCLC) patients, with marked intracranial response rates. However, its cost-effectiveness in a publically funded health care system has not been established. We assessed the cost-effectiveness of first-line osimertinib from the public payer perspective in the Canadian health care system.\nMETHODS: A Markov model was developed to project the outcomes and direct medical costs of initial treatment with osimertinib or current standard-of-care (SoC) EGFR TKIs, gefinitib or afatinib, in patients with previously untreated EGFR-mutant advanced NSCLC. Clinical and cost input estimates were informed from the available literature. Model outcomes included costs (in 2018 Canadian dollars), life years (LYs), quality-adjusted life-years (QALYs), and the cost utility of osimertinib compared to SoC EGFR TKI, or incremental cost per QALY gained.\nRESULTS: Initial treatment with osimertinib was associated with a gain of 0.79 QALY [95% confidence interval (CI), 0.74 to 0.83] at an incremental cost of $176,394 CAD (95% CI, 176,383 to 176,405) vs. SoC EGFR TKI (incremental cost-effectiveness ratio [ICER]: $223,133/QALY gained; 95%CI, 198,144 to 252,805). Osimertinib had a 0% probability of being cost-effective at a willingness-to-pay threshold of $100,000 per QALY. Deterministic sensitivity analysis showed that the cost of osimertinib had the largest impact on ICER results.\nCONCLUSION: At the current marketed price, first-line osimertinib therapy in patients with advanced EGFR-mutant lung adenocarcinoma is not cost-effective in Canada. Reduction of osimertinib cost, for example by 25%, can significantly improve the cost-effectiveness profile.","DOI":"10.1016/j.lungcan.2018.08.024","ISSN":"1872-8332","note":"PMID: 30429004","journalAbbreviation":"Lung Cancer","language":"eng","author":[{"family":"Ezeife","given":"Doreen A."},{"family":"Kirk","given":"Veronica"},{"family":"Chew","given":"Derek S."},{"family":"Nixon","given":"Nancy A."},{"family":"Lee","given":"Roy"},{"family":"Le","given":"Lisa W."},{"family":"Chan","given":"Kelvin K.-W."},{"family":"Leighl","given":"Natasha B."}],"issued":{"date-parts":[["2018",11]]},"PMID":"30429004"}}],"schema":"https://github.com/citation-style-language/schema/raw/master/csl-citation.json"} </w:instrText>
      </w:r>
      <w:r>
        <w:rPr>
          <w:rFonts w:ascii="Arial" w:hAnsi="Arial" w:cs="Arial"/>
          <w:sz w:val="20"/>
          <w:szCs w:val="20"/>
        </w:rPr>
        <w:fldChar w:fldCharType="separate"/>
      </w:r>
      <w:r>
        <w:rPr>
          <w:rFonts w:ascii="Arial" w:hAnsi="Arial" w:cs="Arial"/>
          <w:sz w:val="20"/>
          <w:szCs w:val="20"/>
        </w:rPr>
        <w:t>(43)</w:t>
      </w:r>
      <w:r>
        <w:rPr>
          <w:rFonts w:ascii="Arial" w:hAnsi="Arial" w:cs="Arial"/>
          <w:sz w:val="20"/>
          <w:szCs w:val="20"/>
        </w:rPr>
        <w:fldChar w:fldCharType="end"/>
      </w:r>
      <w:r>
        <w:rPr>
          <w:rFonts w:ascii="Arial" w:hAnsi="Arial" w:cs="Arial"/>
          <w:sz w:val="20"/>
          <w:szCs w:val="20"/>
        </w:rPr>
        <w:t xml:space="preserve">, </w:t>
      </w:r>
    </w:p>
    <w:p w:rsidR="00DD1521" w:rsidRDefault="00DD1521">
      <w:pPr>
        <w:pStyle w:val="Normal1"/>
        <w:numPr>
          <w:ilvl w:val="0"/>
          <w:numId w:val="9"/>
        </w:numPr>
        <w:spacing w:after="0" w:line="240" w:lineRule="auto"/>
        <w:jc w:val="both"/>
        <w:rPr>
          <w:rFonts w:ascii="Arial" w:hAnsi="Arial" w:cs="Arial"/>
          <w:sz w:val="20"/>
          <w:szCs w:val="20"/>
        </w:rPr>
      </w:pPr>
      <w:r>
        <w:rPr>
          <w:rFonts w:ascii="Arial" w:hAnsi="Arial" w:cs="Arial"/>
          <w:sz w:val="20"/>
          <w:szCs w:val="20"/>
        </w:rPr>
        <w:t xml:space="preserve">El informe inicial de evaluación económica realizado por la CADTH (pERC-pCODR) </w:t>
      </w:r>
      <w:r>
        <w:rPr>
          <w:rFonts w:ascii="Arial" w:hAnsi="Arial" w:cs="Arial"/>
          <w:sz w:val="20"/>
          <w:szCs w:val="20"/>
        </w:rPr>
        <w:fldChar w:fldCharType="begin"/>
      </w:r>
      <w:r>
        <w:rPr>
          <w:rFonts w:ascii="Arial" w:hAnsi="Arial" w:cs="Arial"/>
          <w:sz w:val="20"/>
          <w:szCs w:val="20"/>
        </w:rPr>
        <w:instrText xml:space="preserve"> ADDIN ZOTERO_ITEM CSL_CITATION {"citationID":"C3xk7Iao","properties":{"formattedCitation":"(53)","plainCitation":"(53)"},"citationItems":[{"id":1066,"uris":["http://zotero.org/users/local/zrSbuHrK/items/G7IHEK54"],"uri":["http://zotero.org/users/local/zrSbuHrK/items/G7IHEK54"],"itemData":{"id":1066,"type":"webpage","title":"pcodr_osimertinib_tagrisso_nsclc_fn_egr.pdf","URL":"https://www.cadth.ca/sites/default/files/pcodr/pcodr_osimertinib_tagrisso_nsclc_fn_egr.pdf","accessed":{"date-parts":[["2018",12,5]]}}}],"schema":"https://github.com/citation-style-language/schema/raw/master/csl-citation.json"} </w:instrText>
      </w:r>
      <w:r>
        <w:rPr>
          <w:rFonts w:ascii="Arial" w:hAnsi="Arial" w:cs="Arial"/>
          <w:sz w:val="20"/>
          <w:szCs w:val="20"/>
        </w:rPr>
        <w:fldChar w:fldCharType="separate"/>
      </w:r>
      <w:r>
        <w:rPr>
          <w:rFonts w:ascii="Arial" w:hAnsi="Arial" w:cs="Arial"/>
          <w:sz w:val="20"/>
          <w:szCs w:val="20"/>
        </w:rPr>
        <w:t>(44)</w:t>
      </w:r>
      <w:r>
        <w:rPr>
          <w:rFonts w:ascii="Arial" w:hAnsi="Arial" w:cs="Arial"/>
          <w:sz w:val="20"/>
          <w:szCs w:val="20"/>
        </w:rPr>
        <w:fldChar w:fldCharType="end"/>
      </w:r>
      <w:r>
        <w:rPr>
          <w:rFonts w:ascii="Arial" w:hAnsi="Arial" w:cs="Arial"/>
          <w:sz w:val="20"/>
          <w:szCs w:val="20"/>
        </w:rPr>
        <w:t>, tomando como base el análisis coste-utilidad aportado por el laboratorio Atrazeneca, titular responsable de la comercialización de osimertinib.</w:t>
      </w: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between w:val="single" w:sz="4" w:space="1" w:color="auto"/>
        </w:pBdr>
        <w:shd w:val="clear" w:color="auto" w:fill="D9D9D9"/>
        <w:spacing w:after="0" w:line="240" w:lineRule="auto"/>
        <w:rPr>
          <w:rFonts w:ascii="Arial" w:hAnsi="Arial" w:cs="Arial"/>
          <w:b/>
          <w:bCs/>
          <w:sz w:val="20"/>
          <w:szCs w:val="20"/>
        </w:rPr>
      </w:pPr>
      <w:r>
        <w:rPr>
          <w:rFonts w:ascii="Arial" w:hAnsi="Arial" w:cs="Arial"/>
          <w:b/>
          <w:bCs/>
          <w:sz w:val="20"/>
          <w:szCs w:val="20"/>
        </w:rPr>
        <w:t>7.2.b Extracción de datos de las evaluaciones económicas publicadas</w:t>
      </w:r>
    </w:p>
    <w:p w:rsidR="00DD1521" w:rsidRDefault="00DD1521">
      <w:pPr>
        <w:snapToGrid w:val="0"/>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b/>
          <w:bCs/>
          <w:sz w:val="20"/>
          <w:szCs w:val="20"/>
        </w:rPr>
        <w:t>Osimertinib en el tratamiento de segunda línea del CPNM avanzado o metastásico con mutación positiva del EGFR T790M</w:t>
      </w:r>
    </w:p>
    <w:p w:rsidR="00DD1521" w:rsidRDefault="00DD1521">
      <w:pPr>
        <w:snapToGrid w:val="0"/>
        <w:spacing w:after="0" w:line="240" w:lineRule="auto"/>
        <w:jc w:val="both"/>
        <w:rPr>
          <w:rFonts w:ascii="Arial" w:hAnsi="Arial" w:cs="Arial"/>
          <w:sz w:val="20"/>
          <w:szCs w:val="20"/>
        </w:rPr>
      </w:pPr>
    </w:p>
    <w:p w:rsidR="00DD1521" w:rsidRPr="00707D72" w:rsidRDefault="00DD1521">
      <w:pPr>
        <w:snapToGrid w:val="0"/>
        <w:spacing w:after="0" w:line="240" w:lineRule="auto"/>
        <w:jc w:val="both"/>
        <w:rPr>
          <w:rFonts w:ascii="Arial" w:hAnsi="Arial" w:cs="Arial"/>
          <w:sz w:val="20"/>
          <w:szCs w:val="20"/>
        </w:rPr>
      </w:pPr>
      <w:r w:rsidRPr="00707D72">
        <w:rPr>
          <w:rFonts w:ascii="Arial" w:hAnsi="Arial" w:cs="Arial"/>
          <w:b/>
          <w:bCs/>
          <w:sz w:val="20"/>
          <w:szCs w:val="20"/>
        </w:rPr>
        <w:t xml:space="preserve">Bertranou, </w:t>
      </w:r>
      <w:r w:rsidRPr="00707D72">
        <w:rPr>
          <w:rFonts w:ascii="Arial" w:hAnsi="Arial" w:cs="Arial"/>
          <w:b/>
          <w:bCs/>
          <w:iCs/>
          <w:sz w:val="20"/>
          <w:szCs w:val="20"/>
        </w:rPr>
        <w:t>et al</w:t>
      </w:r>
      <w:r w:rsidRPr="00707D72">
        <w:rPr>
          <w:rFonts w:ascii="Arial" w:hAnsi="Arial" w:cs="Arial"/>
          <w:b/>
          <w:bCs/>
          <w:sz w:val="20"/>
          <w:szCs w:val="20"/>
        </w:rPr>
        <w:t>.</w:t>
      </w:r>
      <w:r>
        <w:rPr>
          <w:rFonts w:ascii="Arial" w:hAnsi="Arial" w:cs="Arial"/>
          <w:b/>
          <w:bCs/>
          <w:sz w:val="20"/>
          <w:szCs w:val="20"/>
        </w:rPr>
        <w:t xml:space="preserve"> (42)</w:t>
      </w:r>
    </w:p>
    <w:p w:rsidR="00DD1521" w:rsidRDefault="00DD1521">
      <w:pPr>
        <w:snapToGrid w:val="0"/>
        <w:spacing w:after="0" w:line="240" w:lineRule="auto"/>
        <w:jc w:val="both"/>
        <w:rPr>
          <w:rFonts w:ascii="Arial" w:hAnsi="Arial" w:cs="Arial"/>
          <w:sz w:val="20"/>
          <w:szCs w:val="20"/>
        </w:rPr>
      </w:pPr>
    </w:p>
    <w:tbl>
      <w:tblPr>
        <w:tblW w:w="8991" w:type="dxa"/>
        <w:tblInd w:w="-68" w:type="dxa"/>
        <w:tblLayout w:type="fixed"/>
        <w:tblCellMar>
          <w:left w:w="70" w:type="dxa"/>
          <w:right w:w="70" w:type="dxa"/>
        </w:tblCellMar>
        <w:tblLook w:val="00A0" w:firstRow="1" w:lastRow="0" w:firstColumn="1" w:lastColumn="0" w:noHBand="0" w:noVBand="0"/>
      </w:tblPr>
      <w:tblGrid>
        <w:gridCol w:w="2302"/>
        <w:gridCol w:w="1170"/>
        <w:gridCol w:w="1350"/>
        <w:gridCol w:w="4169"/>
      </w:tblGrid>
      <w:tr w:rsidR="00DD1521">
        <w:trPr>
          <w:cantSplit/>
        </w:trPr>
        <w:tc>
          <w:tcPr>
            <w:tcW w:w="8991" w:type="dxa"/>
            <w:gridSpan w:val="4"/>
            <w:tcBorders>
              <w:top w:val="single" w:sz="4" w:space="0" w:color="000000"/>
              <w:left w:val="single" w:sz="4" w:space="0" w:color="000000"/>
              <w:bottom w:val="single" w:sz="4" w:space="0" w:color="000000"/>
              <w:right w:val="single" w:sz="4" w:space="0" w:color="000000"/>
            </w:tcBorders>
            <w:shd w:val="clear" w:color="auto" w:fill="CCFFCC"/>
          </w:tcPr>
          <w:p w:rsidR="00DD1521" w:rsidRPr="00D048CE" w:rsidRDefault="00DD1521" w:rsidP="00D048CE">
            <w:pPr>
              <w:spacing w:after="0" w:line="240" w:lineRule="auto"/>
              <w:jc w:val="both"/>
              <w:rPr>
                <w:rFonts w:ascii="Arial" w:hAnsi="Arial" w:cs="Arial"/>
                <w:b/>
                <w:sz w:val="18"/>
                <w:szCs w:val="18"/>
              </w:rPr>
            </w:pPr>
            <w:r w:rsidRPr="00D048CE">
              <w:rPr>
                <w:rFonts w:ascii="Arial" w:hAnsi="Arial" w:cs="Arial"/>
                <w:b/>
                <w:bCs/>
                <w:sz w:val="18"/>
                <w:szCs w:val="18"/>
              </w:rPr>
              <w:t xml:space="preserve">Tabla 15. </w:t>
            </w:r>
            <w:r w:rsidRPr="00303273">
              <w:rPr>
                <w:rFonts w:ascii="Arial" w:hAnsi="Arial" w:cs="Arial"/>
                <w:b/>
                <w:sz w:val="18"/>
                <w:szCs w:val="18"/>
              </w:rPr>
              <w:t xml:space="preserve">Bertranou E, Bodnar C, Dansk V, Greystoke A, et al. Cost-effectiveness of osimertinib in the UK for advanced EGFR-T790M non-small cell lung cancer. </w:t>
            </w:r>
            <w:r w:rsidRPr="00D048CE">
              <w:rPr>
                <w:rFonts w:ascii="Arial" w:hAnsi="Arial" w:cs="Arial"/>
                <w:b/>
                <w:sz w:val="18"/>
                <w:szCs w:val="18"/>
              </w:rPr>
              <w:t>J Med Econ. 2018;21(2):113–21.</w:t>
            </w:r>
          </w:p>
        </w:tc>
      </w:tr>
      <w:tr w:rsidR="00DD1521">
        <w:trPr>
          <w:cantSplit/>
        </w:trPr>
        <w:tc>
          <w:tcPr>
            <w:tcW w:w="8991" w:type="dxa"/>
            <w:gridSpan w:val="4"/>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jc w:val="both"/>
            </w:pPr>
            <w:r>
              <w:rPr>
                <w:rFonts w:ascii="Arial" w:hAnsi="Arial" w:cs="Arial"/>
                <w:sz w:val="16"/>
                <w:szCs w:val="16"/>
              </w:rPr>
              <w:lastRenderedPageBreak/>
              <w:t>-</w:t>
            </w:r>
            <w:r>
              <w:rPr>
                <w:rFonts w:ascii="Arial" w:hAnsi="Arial" w:cs="Arial"/>
                <w:b/>
                <w:bCs/>
                <w:sz w:val="16"/>
                <w:szCs w:val="16"/>
              </w:rPr>
              <w:t xml:space="preserve"> Tipo de estudio: </w:t>
            </w:r>
            <w:r>
              <w:rPr>
                <w:rFonts w:ascii="Arial" w:hAnsi="Arial" w:cs="Arial"/>
                <w:sz w:val="16"/>
                <w:szCs w:val="16"/>
              </w:rPr>
              <w:t>coste-utilidad.</w:t>
            </w:r>
          </w:p>
          <w:p w:rsidR="00DD1521" w:rsidRDefault="00DD1521">
            <w:pPr>
              <w:spacing w:after="0" w:line="240" w:lineRule="auto"/>
              <w:jc w:val="both"/>
            </w:pPr>
            <w:r>
              <w:rPr>
                <w:rFonts w:ascii="Arial" w:hAnsi="Arial" w:cs="Arial"/>
                <w:sz w:val="16"/>
                <w:szCs w:val="16"/>
              </w:rPr>
              <w:t>-</w:t>
            </w:r>
            <w:r>
              <w:rPr>
                <w:rFonts w:ascii="Arial" w:hAnsi="Arial" w:cs="Arial"/>
                <w:b/>
                <w:bCs/>
                <w:sz w:val="16"/>
                <w:szCs w:val="16"/>
              </w:rPr>
              <w:t xml:space="preserve"> Fuente de datos de eficacia: </w:t>
            </w:r>
            <w:r>
              <w:rPr>
                <w:rFonts w:ascii="Arial" w:hAnsi="Arial" w:cs="Arial"/>
                <w:sz w:val="16"/>
                <w:szCs w:val="16"/>
              </w:rPr>
              <w:t>osimertinib:</w:t>
            </w:r>
            <w:r>
              <w:rPr>
                <w:rFonts w:ascii="Arial" w:hAnsi="Arial" w:cs="Arial"/>
                <w:b/>
                <w:bCs/>
                <w:sz w:val="16"/>
                <w:szCs w:val="16"/>
              </w:rPr>
              <w:t xml:space="preserve"> </w:t>
            </w:r>
            <w:r>
              <w:rPr>
                <w:rFonts w:ascii="Arial" w:hAnsi="Arial" w:cs="Arial"/>
                <w:sz w:val="16"/>
                <w:szCs w:val="16"/>
              </w:rPr>
              <w:t xml:space="preserve">estudios AURA extensión </w:t>
            </w:r>
            <w:r>
              <w:rPr>
                <w:rFonts w:ascii="Arial" w:hAnsi="Arial" w:cs="Arial"/>
                <w:sz w:val="16"/>
                <w:szCs w:val="16"/>
              </w:rPr>
              <w:fldChar w:fldCharType="begin"/>
            </w:r>
            <w:r>
              <w:rPr>
                <w:rFonts w:ascii="Arial" w:hAnsi="Arial" w:cs="Arial"/>
                <w:sz w:val="16"/>
                <w:szCs w:val="16"/>
              </w:rPr>
              <w:instrText xml:space="preserve"> ADDIN ZOTERO_ITEM CSL_CITATION {"citationID":"1d2rfego3t","properties":{"formattedCitation":"(50)","plainCitation":"(50)"},"citationItems":[{"id":600,"uris":["http://zotero.org/users/3130274/items/9SHH7IST"],"uri":["http://zotero.org/users/3130274/items/9SHH7IST"],"itemData":{"id":600,"type":"article-journal","title":"Osimertinib in Pretreated T790M-Positive Advanced Non-Small-Cell Lung Cancer: AURA Study Phase II Extension Component","container-title":"Journal of Clinical Oncology: Official Journal of the American Society of Clinical Oncology","page":"1288-1296","volume":"35","issue":"12","source":"PubMed","abstract":"Purpose Osimertinib is an irreversible epidermal growth factor receptor (EGFR) tyrosine kinase inhibitor (TKI) selective for both EGFR-TKI sensitizing ( EGFRm) and T790M resistance mutations. AURA (NCT01802632) is a phase I/II clinical trial to determine the dose, safety, and efficacy of osimertinib. This article reports the results from the phase II extension component. Patients and Methods Patients with EGFR-TKI-pretreated EGFRm- and T790M-positive advanced non-small-cell lung cancer (NSCLC) received once-daily osimertinib 80 mg. T790M status was confirmed by central testing from a tumor sample taken after the most recent disease progression. Patients with asymptomatic, stable CNS metastases that did not require corticosteroids were allowed to enroll. The primary end point was objective response rate (ORR) by independent radiology assessment. Secondary end points were disease control rate, duration of response, progression-free survival (PFS), and safety. Patient-reported outcomes comprised an exploratory objective. Results In total, 201 patients received treatment, with a median treatment duration of 13.2 months at the time of data cutoff (November 1, 2015). In evaluable patients (n = 198), ORR was 62% (95% CI, 54% to 68%), and the disease control rate was 90% (95% CI, 85 to 94). Median duration of response in 122 responding patients was 15.2 months (95% CI, 11.3 to not calculable). Median PFS was 12.3 months (95% CI, 9.5 to 13.8). The most common possibly causally related adverse events (investigator assessed) were diarrhea (43%; grade ≥ 3, &lt; 1%) and rash (grouped terms; 40%; grade ≥ 3, &lt; 1%). Interstitial lung disease (grouped terms) was reported in eight patients (4%; grade 1, n = 2; grade 3, n = 3; grade 5, n = 3). Conclusion In patients with EGFRm T790M advanced NSCLC who progress after EGFR-TKI treatment, osimertinib provides a high ORR, encouraging PFS, and durable response.","DOI":"10.1200/JCO.2016.70.3223","ISSN":"1527-7755","note":"PMID: 28221867","shortTitle":"Osimertinib in Pretreated T790M-Positive Advanced Non-Small-Cell Lung Cancer","journalAbbreviation":"J. Clin. Oncol.","language":"eng","author":[{"family":"Yang","given":"James Chih-Hsin"},{"family":"Ahn","given":"Myung-Ju"},{"family":"Kim","given":"Dong-Wan"},{"family":"Ramalingam","given":"Suresh S."},{"family":"Sequist","given":"Lecia V."},{"family":"Su","given":"Wu-Chou"},{"family":"Kim","given":"Sang-We"},{"family":"Kim","given":"Joo-Hang"},{"family":"Planchard","given":"David"},{"family":"Felip","given":"Enriqueta"},{"family":"Blackhall","given":"Fiona"},{"family":"Haggstrom","given":"Daniel"},{"family":"Yoh","given":"Kiyotaka"},{"family":"Novello","given":"Silvia"},{"family":"Gold","given":"Kathryn"},{"family":"Hirashima","given":"Tomonori"},{"family":"Lin","given":"Chia-Chi"},{"family":"Mann","given":"Helen"},{"family":"Cantarini","given":"Mireille"},{"family":"Ghiorghiu","given":"Serban"},{"family":"Jänne","given":"Pasi A."}],"issued":{"date-parts":[["2017",4,20]]},"PMID":"28221867"}}],"schema":"https://github.com/citation-style-language/schema/raw/master/csl-citation.json"} </w:instrText>
            </w:r>
            <w:r>
              <w:rPr>
                <w:rFonts w:ascii="Arial" w:hAnsi="Arial" w:cs="Arial"/>
                <w:sz w:val="16"/>
                <w:szCs w:val="16"/>
              </w:rPr>
              <w:fldChar w:fldCharType="separate"/>
            </w:r>
            <w:r>
              <w:rPr>
                <w:rFonts w:ascii="Arial" w:hAnsi="Arial" w:cs="Arial"/>
                <w:sz w:val="16"/>
                <w:szCs w:val="16"/>
              </w:rPr>
              <w:t>(24)</w:t>
            </w:r>
            <w:r>
              <w:rPr>
                <w:rFonts w:ascii="Arial" w:hAnsi="Arial" w:cs="Arial"/>
                <w:sz w:val="16"/>
                <w:szCs w:val="16"/>
              </w:rPr>
              <w:fldChar w:fldCharType="end"/>
            </w:r>
            <w:r>
              <w:rPr>
                <w:rFonts w:ascii="Arial" w:hAnsi="Arial" w:cs="Arial"/>
                <w:sz w:val="16"/>
                <w:szCs w:val="16"/>
              </w:rPr>
              <w:t xml:space="preserve"> y AURA2 </w:t>
            </w:r>
            <w:r>
              <w:rPr>
                <w:rFonts w:ascii="Arial" w:hAnsi="Arial" w:cs="Arial"/>
                <w:sz w:val="16"/>
                <w:szCs w:val="16"/>
              </w:rPr>
              <w:fldChar w:fldCharType="begin"/>
            </w:r>
            <w:r>
              <w:rPr>
                <w:rFonts w:ascii="Arial" w:hAnsi="Arial" w:cs="Arial"/>
                <w:sz w:val="16"/>
                <w:szCs w:val="16"/>
              </w:rPr>
              <w:instrText xml:space="preserve"> ADDIN ZOTERO_ITEM CSL_CITATION {"citationID":"143n68euhe","properties":{"formattedCitation":"(51)","plainCitation":"(51)"},"citationItems":[{"id":606,"uris":["http://zotero.org/users/3130274/items/I3PSUHSX"],"uri":["http://zotero.org/users/3130274/items/I3PSUHSX"],"itemData":{"id":606,"type":"article-journal","title":"Osimertinib for pretreated EGFR Thr790Met-positive advanced non-small-cell lung cancer (AURA2): a multicentre, open-label, single-arm, phase 2 study","container-title":"The Lancet. Oncology","page":"1643-1652","volume":"17","issue":"12","source":"PubMed","abstract":"BACKGROUND: Osimertinib (AZD9291) is an oral, potent, irreversible EGFR tyrosine-kinase inhibitor selective for EGFR tyrosine-kinase inhibitor sensitising mutations, and the EGFR Thr790Met resistance mutation. We assessed the efficacy and safety of osimertinib in patients with EGFR Thr790Met-positive non-small-cell lung cancer (NSCLC), who had progressed after previous therapy with an approved EGFR tyrosine-kinase inhibitor.\nMETHODS: In this phase 2, open-label, single-arm study (AURA2), patients aged at least 18 years with centrally confirmed EGFR Thr790Met-positive mutations, locally advanced or metastatic (stage IIIB/IV) NSCLC who progressed on previous EGFR tyrosine-kinase inhibitor therapy received osimertinib 80 mg orally once daily; treatment could continue beyond progression if the investigator observed a clinical benefit. Patients with asymptomatic, stable CNS metastases not requiring steroids were allowed to enrol. The primary endpoint was the proportion of patients achieving an objective response by blinded independent central review using Response Evaluation Criteria in Solid Tumors, version 1.1. Response endpoints were assessed in the evaluable for response analysis set (ie, all patients who received at least one dose of osimertinib and had measurable disease at baseline according to blinded independent central review). Other endpoints and safety were assessed in all patients receiving at least one osimertinib dose (full analysis set). The study is ongoing and patients are still receiving treatment. This study is registered with ClinicalTrials.gov, number NCT02094261.\nFINDINGS: Between May 20, 2014, and Sept 12, 2014, 472 patients were screened, of whom 210 started osimertinib treatment between June 13, 2014, and Oct 27, 2014; 11 patients were excluded from the evaluable for response analysis set (n=199) due to absence of measurable disease at baseline by blinded independent central review. At data cutoff (Nov 1, 2015), 122 (58%) patients remained on treatment. The median duration of follow-up was 13·0 months (IQR 7·6-14·2). 140 (70%; 95% CI 64-77) of 199 patients achieved an objective response by blinded independent central review: confirmed complete responses were achieved in six (3%) patients and partial responses were achieved in 134 (67%) patients. The most common all-causality grade 3 and 4 adverse events were pulmonary embolism (seven [3%]), prolonged electrocardiogram QT (five [2%]), decreased neutrophil count (four [2%]), anaemia, dyspnoea, hyponatraemia, increased alanine aminotransferase, and thrombocytopenia (three [1%] each). Serious adverse events were reported in 52 (25%) patients, of which 11 (5%) were investigator assessed as possibly treatment-related to osimertinib. Seven deaths were due to adverse events; these were pneumonia (n=2), pneumonia aspiration (n=1), rectal haemorrhage (n=1), dyspnoea (n=1), failure to thrive (n=1), and interstitial lung disease (n=1). The only fatal event assessed as possibly treatment-related by the investigator was due to interstitial lung disease.\nINTERPRETATION: Osimertinib showed clinical activity with manageable side-effects in patients with EGFR Thr790Met-positive NSCLC. Therefore, osimertinib could be a suitable treatment for patients with EGFR Thr790Met-positive disease who have progressed on an EGFR tyrosine-kinase inhibitor.\nFUNDING: AstraZeneca.","DOI":"10.1016/S1470-2045(16)30508-3","ISSN":"1474-5488","note":"PMID: 27751847","shortTitle":"Osimertinib for pretreated EGFR Thr790Met-positive advanced non-small-cell lung cancer (AURA2)","journalAbbreviation":"Lancet Oncol.","language":"eng","author":[{"family":"Goss","given":"Glenwood"},{"family":"Tsai","given":"Chun-Ming"},{"family":"Shepherd","given":"Frances A."},{"family":"Bazhenova","given":"Lyudmila"},{"family":"Lee","given":"Jong Seok"},{"family":"Chang","given":"Gee-Chen"},{"family":"Crino","given":"Lucio"},{"family":"Satouchi","given":"Miyako"},{"family":"Chu","given":"Quincy"},{"family":"Hida","given":"Toyoaki"},{"family":"Han","given":"Ji-Youn"},{"family":"Juan","given":"Oscar"},{"family":"Dunphy","given":"Frank"},{"family":"Nishio","given":"Makoto"},{"family":"Kang","given":"Jin-Hyoung"},{"family":"Majem","given":"Margarita"},{"family":"Mann","given":"Helen"},{"family":"Cantarini","given":"Mireille"},{"family":"Ghiorghiu","given":"Serban"},{"family":"Mitsudomi","given":"Tetsuya"}],"issued":{"date-parts":[["2016",12]]},"PMID":"27751847"}}],"schema":"https://github.com/citation-style-language/schema/raw/master/csl-citation.json"} </w:instrText>
            </w:r>
            <w:r>
              <w:rPr>
                <w:rFonts w:ascii="Arial" w:hAnsi="Arial" w:cs="Arial"/>
                <w:sz w:val="16"/>
                <w:szCs w:val="16"/>
              </w:rPr>
              <w:fldChar w:fldCharType="separate"/>
            </w:r>
            <w:r>
              <w:rPr>
                <w:rFonts w:ascii="Arial" w:hAnsi="Arial" w:cs="Arial"/>
                <w:sz w:val="16"/>
                <w:szCs w:val="16"/>
              </w:rPr>
              <w:t>(25)</w:t>
            </w:r>
            <w:r>
              <w:rPr>
                <w:rFonts w:ascii="Arial" w:hAnsi="Arial" w:cs="Arial"/>
                <w:sz w:val="16"/>
                <w:szCs w:val="16"/>
              </w:rPr>
              <w:fldChar w:fldCharType="end"/>
            </w:r>
            <w:r>
              <w:rPr>
                <w:rFonts w:ascii="Arial" w:hAnsi="Arial" w:cs="Arial"/>
                <w:sz w:val="16"/>
                <w:szCs w:val="16"/>
              </w:rPr>
              <w:t xml:space="preserve">. Doblete de platino: estudio IMPRESS </w:t>
            </w:r>
            <w:r>
              <w:rPr>
                <w:rFonts w:ascii="Arial" w:hAnsi="Arial" w:cs="Arial"/>
                <w:sz w:val="16"/>
                <w:szCs w:val="16"/>
              </w:rPr>
              <w:fldChar w:fldCharType="begin"/>
            </w:r>
            <w:r>
              <w:rPr>
                <w:rFonts w:ascii="Arial" w:hAnsi="Arial" w:cs="Arial"/>
                <w:sz w:val="16"/>
                <w:szCs w:val="16"/>
              </w:rPr>
              <w:instrText xml:space="preserve"> ADDIN ZOTERO_ITEM CSL_CITATION {"citationID":"2p39ukcmqc","properties":{"formattedCitation":"(33)","plainCitation":"(33)"},"citationItems":[{"id":608,"uris":["http://zotero.org/users/3130274/items/2TCKETAS"],"uri":["http://zotero.org/users/3130274/items/2TCKETAS"],"itemData":{"id":608,"type":"article-journal","title":"Gefitinib plus chemotherapy versus placebo plus chemotherapy in EGFR-mutation-positive non-small-cell lung cancer after progression on first-line gefitinib (IMPRESS): a phase 3 randomised trial","container-title":"The Lancet. Oncology","page":"990-998","volume":"16","issue":"8","source":"PubMed","abstract":"BACKGROUND: Optimum management strategies for patients with advanced non-small-cell lung cancer (NSCLC) with acquired resistance to EGFR tyrosine-kinase inhibitors are undefined. We aimed to assess the efficacy and safety of continuing gefitinib combined with chemotherapy versus chemotherapy alone in patients with EGFR-mutation-positive advanced NSCLC with acquired resistance to first-line gefitinib.\nMETHODS: The randomised, phase 3, multicentre IMPRESS study was done in 71 centres in 11 countries in Europe and the Asia-Pacific region. Eligible patients were aged at least 18 years with histologically confirmed, chemotherapy-naive, stage IIIB-IV EGFR-mutation-positive advanced NSCLC with previous disease control with first-line gefitinib and recent disease progression (Response Evaluation Criteria in Solid Tumors version 1.1). Participants were randomly assigned (1:1) by central block randomisation to oral gefitinib 250 mg or placebo once daily in tablet form; randomisation did not include stratification factors. All patients also received the platinum-based doublet chemotherapy cisplatin 75 mg/m(2) plus pemetrexed 500 mg/m(2) on the first day of each cycle. After completion of a maximum of six chemotherapy cycles, patients continued their randomly assigned treatment until disease progression or another discontinuation criterion was met. All study investigators and participants were masked to treatment allocation. The primary endpoint was progression-free survival in the intention-to-treat population. Safety was assessed in patients who received at least one dose of study treatment. The study has completed enrolment, but patients are still in follow-up for overall survival. This trial is registered with ClinicalTrials.gov, number NCT01544179.\nFINDINGS: Between March 29, 2012, and Dec 20, 2013, 265 patients were randomly assigned: 133 to the gefitinib group and 132 to the placebo group. At the time of data cutoff (May 5, 2014), 98 (74%) patients had disease progression in the gefitinib group compared with 107 (81%) in the placebo group (hazard ratio 0·86, 95% CI 0·65-1·13; p=0·27; median progression-free survival 5·4 months in both groups [95% CI 4·5-5·7 in the gefitinib group and 4·6-5·5 in the placebo group]). The most common adverse events of any grade were nausea (85 [64%] of 132 patients in the gefitinib group and 81 [61%] of 132 patients in the placebo group) and decreased appetite (65 [49%] and 45 [34%]). The most common adverse events of grade 3 or worse were anaemia (11 [8%] of 132 patients in the gefitinib group and five [4%] of 132 patients in the placebo group) and neutropenia (nine [7%] and seven [5%]). 37 (28%) of 132 patients in the gefitinib group and 28 (21%) of 132 patients in the placebo group reported serious adverse events.\nINTERPRETATION: Continuation of gefitinib after radiological disease progression on first-line gefitinib did not prolong progression-free survival in patients who received platinum-based doublet chemotherapy as subsequent line of treatment. Platinum-based doublet chemotherapy remains the standard of care in this setting.\nFUNDING: AstraZeneca.","DOI":"10.1016/S1470-2045(15)00121-7","ISSN":"1474-5488","note":"PMID: 26159065","shortTitle":"Gefitinib plus chemotherapy versus placebo plus chemotherapy in EGFR-mutation-positive non-small-cell lung cancer after progression on first-line gefitinib (IMPRESS)","journalAbbreviation":"Lancet Oncol.","language":"eng","author":[{"family":"Soria","given":"Jean-Charles"},{"family":"Wu","given":"Yi-Long"},{"family":"Nakagawa","given":"Kazuhiko"},{"family":"Kim","given":"Sang-We"},{"family":"Yang","given":"Jin-Ji"},{"family":"Ahn","given":"Myung-Ju"},{"family":"Wang","given":"Jie"},{"family":"Yang","given":"James Chih-Hsin"},{"family":"Lu","given":"You"},{"family":"Atagi","given":"Shinji"},{"family":"Ponce","given":"Santiago"},{"family":"Lee","given":"Dae Ho"},{"family":"Liu","given":"Yunpeng"},{"family":"Yoh","given":"Kiyotaka"},{"family":"Zhou","given":"Jian-Ying"},{"family":"Shi","given":"Xiaojin"},{"family":"Webster","given":"Alan"},{"family":"Jiang","given":"Haiyi"},{"family":"Mok","given":"Tony S. K."}],"issued":{"date-parts":[["2015",8]]},"PMID":"26159065"}}],"schema":"https://github.com/citation-style-language/schema/raw/master/csl-citation.json"} </w:instrText>
            </w:r>
            <w:r>
              <w:rPr>
                <w:rFonts w:ascii="Arial" w:hAnsi="Arial" w:cs="Arial"/>
                <w:sz w:val="16"/>
                <w:szCs w:val="16"/>
              </w:rPr>
              <w:fldChar w:fldCharType="separate"/>
            </w:r>
            <w:r>
              <w:rPr>
                <w:rFonts w:ascii="Arial" w:hAnsi="Arial" w:cs="Arial"/>
                <w:sz w:val="16"/>
                <w:szCs w:val="16"/>
              </w:rPr>
              <w:t>(29)</w:t>
            </w:r>
            <w:r>
              <w:rPr>
                <w:rFonts w:ascii="Arial" w:hAnsi="Arial" w:cs="Arial"/>
                <w:sz w:val="16"/>
                <w:szCs w:val="16"/>
              </w:rPr>
              <w:fldChar w:fldCharType="end"/>
            </w:r>
            <w:r>
              <w:rPr>
                <w:rFonts w:ascii="Arial" w:hAnsi="Arial" w:cs="Arial"/>
                <w:sz w:val="16"/>
                <w:szCs w:val="16"/>
              </w:rPr>
              <w:t>.</w:t>
            </w:r>
          </w:p>
          <w:p w:rsidR="00DD1521" w:rsidRDefault="00DD1521">
            <w:pPr>
              <w:spacing w:after="0" w:line="240" w:lineRule="auto"/>
              <w:jc w:val="both"/>
            </w:pPr>
            <w:r>
              <w:rPr>
                <w:rFonts w:ascii="Arial" w:hAnsi="Arial" w:cs="Arial"/>
                <w:sz w:val="16"/>
                <w:szCs w:val="16"/>
              </w:rPr>
              <w:t>-</w:t>
            </w:r>
            <w:r>
              <w:rPr>
                <w:rFonts w:ascii="Arial" w:hAnsi="Arial" w:cs="Arial"/>
                <w:b/>
                <w:bCs/>
                <w:sz w:val="16"/>
                <w:szCs w:val="16"/>
              </w:rPr>
              <w:t xml:space="preserve"> Modelización: </w:t>
            </w:r>
            <w:r>
              <w:rPr>
                <w:rFonts w:ascii="Arial" w:hAnsi="Arial" w:cs="Arial"/>
                <w:sz w:val="16"/>
                <w:szCs w:val="16"/>
              </w:rPr>
              <w:t>modelo de supervivencia de partición, con tres posibles estados de salud:</w:t>
            </w:r>
            <w:r>
              <w:rPr>
                <w:rFonts w:ascii="Arial" w:hAnsi="Arial" w:cs="Arial"/>
                <w:b/>
                <w:bCs/>
                <w:sz w:val="16"/>
                <w:szCs w:val="16"/>
              </w:rPr>
              <w:t xml:space="preserve"> </w:t>
            </w:r>
            <w:r>
              <w:rPr>
                <w:rFonts w:ascii="Arial" w:hAnsi="Arial" w:cs="Arial"/>
                <w:sz w:val="16"/>
                <w:szCs w:val="16"/>
              </w:rPr>
              <w:t>libre de progresión, post-progresión y muerte. El tiempo en cada estado de salud fue estimado a través de métodos de supervivencia de partición (área bajo las curvas de supervivencia).</w:t>
            </w:r>
          </w:p>
          <w:p w:rsidR="00DD1521" w:rsidRDefault="00DD1521">
            <w:pPr>
              <w:spacing w:after="0" w:line="240" w:lineRule="auto"/>
              <w:jc w:val="both"/>
            </w:pPr>
            <w:r>
              <w:rPr>
                <w:rFonts w:ascii="Arial" w:hAnsi="Arial" w:cs="Arial"/>
                <w:sz w:val="16"/>
                <w:szCs w:val="16"/>
              </w:rPr>
              <w:t>-</w:t>
            </w:r>
            <w:r>
              <w:rPr>
                <w:rFonts w:ascii="Arial" w:hAnsi="Arial" w:cs="Arial"/>
                <w:b/>
                <w:bCs/>
                <w:sz w:val="16"/>
                <w:szCs w:val="16"/>
              </w:rPr>
              <w:t xml:space="preserve"> Perspectiva: </w:t>
            </w:r>
            <w:r>
              <w:rPr>
                <w:rFonts w:ascii="Arial" w:hAnsi="Arial" w:cs="Arial"/>
                <w:sz w:val="16"/>
                <w:szCs w:val="16"/>
              </w:rPr>
              <w:t>sistema de salud de Reino Unido (NHS) y servicios sociales.</w:t>
            </w:r>
          </w:p>
          <w:p w:rsidR="00DD1521" w:rsidRDefault="00DD1521">
            <w:pPr>
              <w:spacing w:after="0" w:line="240" w:lineRule="auto"/>
              <w:jc w:val="both"/>
            </w:pPr>
            <w:r>
              <w:rPr>
                <w:rFonts w:ascii="Arial" w:hAnsi="Arial" w:cs="Arial"/>
                <w:sz w:val="16"/>
                <w:szCs w:val="16"/>
              </w:rPr>
              <w:t xml:space="preserve">- </w:t>
            </w:r>
            <w:r>
              <w:rPr>
                <w:rFonts w:ascii="Arial" w:hAnsi="Arial" w:cs="Arial"/>
                <w:b/>
                <w:bCs/>
                <w:sz w:val="16"/>
                <w:szCs w:val="16"/>
              </w:rPr>
              <w:t xml:space="preserve">Población del escenario base: </w:t>
            </w:r>
            <w:r>
              <w:rPr>
                <w:rFonts w:ascii="Arial" w:hAnsi="Arial" w:cs="Arial"/>
                <w:sz w:val="16"/>
                <w:szCs w:val="16"/>
              </w:rPr>
              <w:t>pacientes con CPNM, avanzado o metastásico, EGFR-positivo y con mutación T790M positiva tratados previamente con ITK anti-EGFR. Osimertinib: análisis combinado de los estudios AURA2 y AURA extensión; doblete de platino: datos procedentes del estudio IMPRESS, concretamente de la rama de pacientes tratados con doblete de platino que presentaban la mutación T790M.</w:t>
            </w:r>
          </w:p>
          <w:p w:rsidR="00DD1521" w:rsidRDefault="00DD1521">
            <w:pPr>
              <w:spacing w:after="0" w:line="240" w:lineRule="auto"/>
              <w:jc w:val="both"/>
            </w:pPr>
            <w:r>
              <w:rPr>
                <w:rFonts w:ascii="Arial" w:hAnsi="Arial" w:cs="Arial"/>
                <w:sz w:val="16"/>
                <w:szCs w:val="16"/>
              </w:rPr>
              <w:t>-</w:t>
            </w:r>
            <w:r>
              <w:rPr>
                <w:rFonts w:ascii="Arial" w:hAnsi="Arial" w:cs="Arial"/>
                <w:b/>
                <w:bCs/>
                <w:sz w:val="16"/>
                <w:szCs w:val="16"/>
              </w:rPr>
              <w:t xml:space="preserve"> Variables principales de resultado:</w:t>
            </w:r>
            <w:r>
              <w:rPr>
                <w:rFonts w:ascii="Arial" w:hAnsi="Arial" w:cs="Arial"/>
                <w:sz w:val="16"/>
                <w:szCs w:val="16"/>
              </w:rPr>
              <w:t xml:space="preserve"> coste incremental por año de vida ajustado por calidad (AVAC) ganado.</w:t>
            </w:r>
          </w:p>
          <w:p w:rsidR="00DD1521" w:rsidRDefault="00DD1521">
            <w:pPr>
              <w:spacing w:after="0" w:line="240" w:lineRule="auto"/>
              <w:jc w:val="both"/>
            </w:pPr>
            <w:r>
              <w:rPr>
                <w:rFonts w:ascii="Arial" w:hAnsi="Arial" w:cs="Arial"/>
                <w:sz w:val="16"/>
                <w:szCs w:val="16"/>
              </w:rPr>
              <w:t>-</w:t>
            </w:r>
            <w:r>
              <w:rPr>
                <w:rFonts w:ascii="Arial" w:hAnsi="Arial" w:cs="Arial"/>
                <w:b/>
                <w:bCs/>
                <w:sz w:val="16"/>
                <w:szCs w:val="16"/>
              </w:rPr>
              <w:t xml:space="preserve"> Horizonte temporal: </w:t>
            </w:r>
            <w:r>
              <w:rPr>
                <w:rFonts w:ascii="Arial" w:hAnsi="Arial" w:cs="Arial"/>
                <w:sz w:val="16"/>
                <w:szCs w:val="16"/>
              </w:rPr>
              <w:t>15 años.</w:t>
            </w:r>
          </w:p>
          <w:p w:rsidR="00DD1521" w:rsidRDefault="00DD1521">
            <w:pPr>
              <w:spacing w:after="0" w:line="240" w:lineRule="auto"/>
              <w:jc w:val="both"/>
            </w:pPr>
            <w:r>
              <w:rPr>
                <w:rFonts w:ascii="Arial" w:hAnsi="Arial" w:cs="Arial"/>
                <w:sz w:val="16"/>
                <w:szCs w:val="16"/>
              </w:rPr>
              <w:t>-</w:t>
            </w:r>
            <w:r>
              <w:rPr>
                <w:rFonts w:ascii="Arial" w:hAnsi="Arial" w:cs="Arial"/>
                <w:b/>
                <w:bCs/>
                <w:sz w:val="16"/>
                <w:szCs w:val="16"/>
              </w:rPr>
              <w:t xml:space="preserve"> Costes incluidos en el estudio: </w:t>
            </w:r>
            <w:r>
              <w:rPr>
                <w:rFonts w:ascii="Arial" w:hAnsi="Arial" w:cs="Arial"/>
                <w:sz w:val="16"/>
                <w:szCs w:val="16"/>
              </w:rPr>
              <w:t>medicamentos, costes de administración, coste de monitorización del tratamiento, coste del test T790M y cuidados de soporte.</w:t>
            </w:r>
          </w:p>
          <w:p w:rsidR="00DD1521" w:rsidRDefault="00DD1521">
            <w:pPr>
              <w:spacing w:after="0" w:line="240" w:lineRule="auto"/>
              <w:jc w:val="both"/>
              <w:rPr>
                <w:lang w:val="en-US"/>
              </w:rPr>
            </w:pPr>
            <w:r w:rsidRPr="00B85537">
              <w:rPr>
                <w:rFonts w:ascii="Arial" w:hAnsi="Arial" w:cs="Arial"/>
                <w:sz w:val="16"/>
                <w:szCs w:val="16"/>
                <w:lang w:val="en-GB"/>
              </w:rPr>
              <w:t>-</w:t>
            </w:r>
            <w:r w:rsidRPr="00B85537">
              <w:rPr>
                <w:rFonts w:ascii="Arial" w:hAnsi="Arial" w:cs="Arial"/>
                <w:b/>
                <w:bCs/>
                <w:sz w:val="16"/>
                <w:szCs w:val="16"/>
                <w:lang w:val="en-GB"/>
              </w:rPr>
              <w:t xml:space="preserve"> Fuente de costes unitarios: </w:t>
            </w:r>
            <w:r w:rsidRPr="00B85537">
              <w:rPr>
                <w:rFonts w:ascii="Arial" w:hAnsi="Arial" w:cs="Arial"/>
                <w:sz w:val="16"/>
                <w:szCs w:val="16"/>
                <w:lang w:val="en-GB"/>
              </w:rPr>
              <w:t>British National Formulary, NHS Reference Cost 2014-2015 y Unit Cost of Health and Social Care.</w:t>
            </w:r>
          </w:p>
          <w:p w:rsidR="00DD1521" w:rsidRDefault="00DD1521">
            <w:pPr>
              <w:spacing w:after="0" w:line="240" w:lineRule="auto"/>
              <w:jc w:val="both"/>
            </w:pPr>
            <w:r>
              <w:rPr>
                <w:rFonts w:ascii="Arial" w:hAnsi="Arial" w:cs="Arial"/>
                <w:sz w:val="16"/>
                <w:szCs w:val="16"/>
              </w:rPr>
              <w:t>-</w:t>
            </w:r>
            <w:r>
              <w:rPr>
                <w:rFonts w:ascii="Arial" w:hAnsi="Arial" w:cs="Arial"/>
                <w:b/>
                <w:bCs/>
                <w:sz w:val="16"/>
                <w:szCs w:val="16"/>
              </w:rPr>
              <w:t xml:space="preserve"> Tasa de descuento aplicada en costes y en resultados de salud: </w:t>
            </w:r>
            <w:r>
              <w:rPr>
                <w:rFonts w:ascii="Arial" w:hAnsi="Arial" w:cs="Arial"/>
                <w:sz w:val="16"/>
                <w:szCs w:val="16"/>
              </w:rPr>
              <w:t>3,5% por año.</w:t>
            </w:r>
          </w:p>
          <w:p w:rsidR="00DD1521" w:rsidRDefault="00DD1521">
            <w:pPr>
              <w:spacing w:after="0" w:line="240" w:lineRule="auto"/>
              <w:jc w:val="both"/>
            </w:pPr>
            <w:r>
              <w:rPr>
                <w:rFonts w:ascii="Arial" w:hAnsi="Arial" w:cs="Arial"/>
                <w:sz w:val="16"/>
                <w:szCs w:val="16"/>
              </w:rPr>
              <w:t>-</w:t>
            </w:r>
            <w:r>
              <w:rPr>
                <w:rFonts w:ascii="Arial" w:hAnsi="Arial" w:cs="Arial"/>
                <w:b/>
                <w:bCs/>
                <w:sz w:val="16"/>
                <w:szCs w:val="16"/>
              </w:rPr>
              <w:t xml:space="preserve"> Valores de utilidad considerados: </w:t>
            </w:r>
            <w:r>
              <w:rPr>
                <w:rFonts w:ascii="Arial" w:hAnsi="Arial" w:cs="Arial"/>
                <w:sz w:val="16"/>
                <w:szCs w:val="16"/>
              </w:rPr>
              <w:t>Utilidad del estado libre de progresión y post-progresión (derivados del EQ-5D procedentes de los estudios AURA2 y del IMPRESS): para libre de progresión fueron respectivamente osimertinib = 0,805; doblete de platino = 0,778. Utilidad post-progresión= 0,715.</w:t>
            </w:r>
            <w:r>
              <w:rPr>
                <w:rFonts w:ascii="Arial" w:hAnsi="Arial" w:cs="Arial"/>
                <w:b/>
                <w:bCs/>
                <w:sz w:val="16"/>
                <w:szCs w:val="16"/>
              </w:rPr>
              <w:t xml:space="preserve"> </w:t>
            </w:r>
            <w:r>
              <w:rPr>
                <w:rFonts w:ascii="Arial" w:hAnsi="Arial" w:cs="Arial"/>
                <w:sz w:val="16"/>
                <w:szCs w:val="16"/>
              </w:rPr>
              <w:t>Los descensos de utilidad asociados con efectos adversos se extrajeron de un estudio por Nafees et al y previas solicitudes al NICE para indicaciones similares.</w:t>
            </w:r>
          </w:p>
          <w:p w:rsidR="00DD1521" w:rsidRDefault="00DD1521">
            <w:pPr>
              <w:spacing w:after="0" w:line="240" w:lineRule="auto"/>
              <w:jc w:val="both"/>
            </w:pPr>
            <w:r>
              <w:rPr>
                <w:rFonts w:ascii="Arial" w:hAnsi="Arial" w:cs="Arial"/>
                <w:sz w:val="16"/>
                <w:szCs w:val="16"/>
              </w:rPr>
              <w:t xml:space="preserve">- </w:t>
            </w:r>
            <w:r>
              <w:rPr>
                <w:rFonts w:ascii="Arial" w:hAnsi="Arial" w:cs="Arial"/>
                <w:b/>
                <w:bCs/>
                <w:sz w:val="16"/>
                <w:szCs w:val="16"/>
              </w:rPr>
              <w:t>Análisis de sensibilidad</w:t>
            </w:r>
            <w:r>
              <w:rPr>
                <w:rFonts w:ascii="Arial" w:hAnsi="Arial" w:cs="Arial"/>
                <w:sz w:val="16"/>
                <w:szCs w:val="16"/>
              </w:rPr>
              <w:t>: univariante y probabilístico.</w:t>
            </w:r>
          </w:p>
          <w:p w:rsidR="00DD1521" w:rsidRDefault="00DD1521">
            <w:pPr>
              <w:spacing w:after="0" w:line="240" w:lineRule="auto"/>
              <w:jc w:val="both"/>
            </w:pPr>
            <w:r>
              <w:rPr>
                <w:rFonts w:ascii="Arial" w:hAnsi="Arial" w:cs="Arial"/>
                <w:sz w:val="16"/>
                <w:szCs w:val="16"/>
              </w:rPr>
              <w:t>-</w:t>
            </w:r>
            <w:r>
              <w:rPr>
                <w:rFonts w:ascii="Arial" w:hAnsi="Arial" w:cs="Arial"/>
                <w:b/>
                <w:bCs/>
                <w:sz w:val="16"/>
                <w:szCs w:val="16"/>
              </w:rPr>
              <w:t xml:space="preserve"> Conflicto de intereses: </w:t>
            </w:r>
            <w:r>
              <w:rPr>
                <w:rFonts w:ascii="Arial" w:hAnsi="Arial" w:cs="Arial"/>
                <w:sz w:val="16"/>
                <w:szCs w:val="16"/>
              </w:rPr>
              <w:t>El estudio fue financiado</w:t>
            </w:r>
            <w:r>
              <w:rPr>
                <w:rFonts w:ascii="Arial" w:hAnsi="Arial" w:cs="Arial"/>
                <w:b/>
                <w:bCs/>
                <w:sz w:val="16"/>
                <w:szCs w:val="16"/>
              </w:rPr>
              <w:t xml:space="preserve"> </w:t>
            </w:r>
            <w:r>
              <w:rPr>
                <w:rFonts w:ascii="Arial" w:hAnsi="Arial" w:cs="Arial"/>
                <w:sz w:val="16"/>
                <w:szCs w:val="16"/>
              </w:rPr>
              <w:t>Astra Zeneca. Dos de los autores eran empleados de Astra Zeneca en el momento en el que se realizó el estudio, y el resto habían sido asesores de la misma compañía.</w:t>
            </w:r>
            <w:r>
              <w:rPr>
                <w:rFonts w:ascii="Arial" w:hAnsi="Arial" w:cs="Arial"/>
                <w:b/>
                <w:bCs/>
                <w:sz w:val="16"/>
                <w:szCs w:val="16"/>
              </w:rPr>
              <w:t xml:space="preserve"> </w:t>
            </w:r>
          </w:p>
        </w:tc>
      </w:tr>
      <w:tr w:rsidR="00DD1521">
        <w:trPr>
          <w:cantSplit/>
        </w:trPr>
        <w:tc>
          <w:tcPr>
            <w:tcW w:w="2302" w:type="dxa"/>
            <w:tcBorders>
              <w:top w:val="single" w:sz="4" w:space="0" w:color="000000"/>
              <w:left w:val="single" w:sz="4" w:space="0" w:color="000000"/>
              <w:bottom w:val="single" w:sz="4" w:space="0" w:color="000000"/>
            </w:tcBorders>
            <w:shd w:val="clear" w:color="auto" w:fill="D9D9D9"/>
          </w:tcPr>
          <w:p w:rsidR="00DD1521" w:rsidRDefault="00DD1521">
            <w:pPr>
              <w:spacing w:after="0" w:line="240" w:lineRule="auto"/>
            </w:pPr>
            <w:r>
              <w:rPr>
                <w:rFonts w:ascii="Arial" w:hAnsi="Arial" w:cs="Arial"/>
                <w:b/>
                <w:bCs/>
                <w:sz w:val="16"/>
                <w:szCs w:val="16"/>
              </w:rPr>
              <w:t>COSTES</w:t>
            </w:r>
          </w:p>
        </w:tc>
        <w:tc>
          <w:tcPr>
            <w:tcW w:w="1170" w:type="dxa"/>
            <w:tcBorders>
              <w:top w:val="single" w:sz="4" w:space="0" w:color="000000"/>
              <w:left w:val="single" w:sz="4" w:space="0" w:color="000000"/>
              <w:bottom w:val="single" w:sz="4" w:space="0" w:color="000000"/>
            </w:tcBorders>
            <w:shd w:val="clear" w:color="auto" w:fill="D9D9D9"/>
            <w:vAlign w:val="center"/>
          </w:tcPr>
          <w:p w:rsidR="00DD1521" w:rsidRDefault="00DD1521">
            <w:pPr>
              <w:spacing w:after="0" w:line="240" w:lineRule="auto"/>
              <w:jc w:val="center"/>
            </w:pPr>
            <w:r>
              <w:rPr>
                <w:rFonts w:ascii="Arial" w:hAnsi="Arial" w:cs="Arial"/>
                <w:b/>
                <w:bCs/>
                <w:sz w:val="16"/>
                <w:szCs w:val="16"/>
              </w:rPr>
              <w:t>Osimertinib</w:t>
            </w:r>
          </w:p>
        </w:tc>
        <w:tc>
          <w:tcPr>
            <w:tcW w:w="1350" w:type="dxa"/>
            <w:tcBorders>
              <w:top w:val="single" w:sz="4" w:space="0" w:color="000000"/>
              <w:left w:val="single" w:sz="4" w:space="0" w:color="000000"/>
              <w:bottom w:val="single" w:sz="4" w:space="0" w:color="000000"/>
            </w:tcBorders>
            <w:shd w:val="clear" w:color="auto" w:fill="D9D9D9"/>
            <w:vAlign w:val="center"/>
          </w:tcPr>
          <w:p w:rsidR="00DD1521" w:rsidRDefault="00DD1521">
            <w:pPr>
              <w:spacing w:after="0" w:line="240" w:lineRule="auto"/>
              <w:jc w:val="center"/>
            </w:pPr>
            <w:r>
              <w:rPr>
                <w:rFonts w:ascii="Arial" w:hAnsi="Arial" w:cs="Arial"/>
                <w:b/>
                <w:bCs/>
                <w:sz w:val="16"/>
                <w:szCs w:val="16"/>
              </w:rPr>
              <w:t>Doblete de platino</w:t>
            </w:r>
          </w:p>
        </w:tc>
        <w:tc>
          <w:tcPr>
            <w:tcW w:w="4169"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spacing w:after="0" w:line="240" w:lineRule="auto"/>
            </w:pPr>
            <w:r>
              <w:rPr>
                <w:rFonts w:ascii="Arial" w:hAnsi="Arial" w:cs="Arial"/>
                <w:b/>
                <w:bCs/>
                <w:sz w:val="16"/>
                <w:szCs w:val="16"/>
              </w:rPr>
              <w:t>Diferencia de costes</w:t>
            </w:r>
          </w:p>
        </w:tc>
      </w:tr>
      <w:tr w:rsidR="00DD1521">
        <w:trPr>
          <w:cantSplit/>
        </w:trPr>
        <w:tc>
          <w:tcPr>
            <w:tcW w:w="2302" w:type="dxa"/>
            <w:tcBorders>
              <w:top w:val="single" w:sz="4" w:space="0" w:color="000000"/>
              <w:left w:val="single" w:sz="4" w:space="0" w:color="000000"/>
              <w:bottom w:val="single" w:sz="4" w:space="0" w:color="000000"/>
            </w:tcBorders>
            <w:vAlign w:val="center"/>
          </w:tcPr>
          <w:p w:rsidR="00DD1521" w:rsidRDefault="00DD1521">
            <w:pPr>
              <w:spacing w:after="0" w:line="240" w:lineRule="auto"/>
            </w:pPr>
            <w:r>
              <w:rPr>
                <w:rFonts w:ascii="Arial" w:hAnsi="Arial" w:cs="Arial"/>
                <w:sz w:val="16"/>
                <w:szCs w:val="16"/>
              </w:rPr>
              <w:t xml:space="preserve">Coste total </w:t>
            </w:r>
          </w:p>
        </w:tc>
        <w:tc>
          <w:tcPr>
            <w:tcW w:w="1170" w:type="dxa"/>
            <w:tcBorders>
              <w:top w:val="single" w:sz="4" w:space="0" w:color="000000"/>
              <w:left w:val="single" w:sz="4" w:space="0" w:color="000000"/>
              <w:bottom w:val="single" w:sz="4" w:space="0" w:color="000000"/>
            </w:tcBorders>
            <w:vAlign w:val="center"/>
          </w:tcPr>
          <w:p w:rsidR="00DD1521" w:rsidRDefault="00DD1521">
            <w:pPr>
              <w:spacing w:after="0" w:line="240" w:lineRule="auto"/>
              <w:jc w:val="center"/>
            </w:pPr>
            <w:r>
              <w:rPr>
                <w:rFonts w:ascii="Arial" w:hAnsi="Arial" w:cs="Arial"/>
                <w:sz w:val="16"/>
                <w:szCs w:val="16"/>
              </w:rPr>
              <w:t>87.441 £</w:t>
            </w:r>
          </w:p>
          <w:p w:rsidR="00DD1521" w:rsidRDefault="00DD1521">
            <w:pPr>
              <w:spacing w:after="0" w:line="240" w:lineRule="auto"/>
              <w:jc w:val="center"/>
            </w:pPr>
            <w:r>
              <w:rPr>
                <w:rFonts w:ascii="Arial" w:hAnsi="Arial" w:cs="Arial"/>
                <w:sz w:val="16"/>
                <w:szCs w:val="16"/>
              </w:rPr>
              <w:t>(99.586 €)</w:t>
            </w:r>
            <w:r>
              <w:rPr>
                <w:rFonts w:ascii="Arial" w:hAnsi="Arial" w:cs="Arial"/>
                <w:sz w:val="16"/>
                <w:szCs w:val="16"/>
                <w:vertAlign w:val="superscript"/>
              </w:rPr>
              <w:t>*</w:t>
            </w:r>
          </w:p>
        </w:tc>
        <w:tc>
          <w:tcPr>
            <w:tcW w:w="1350" w:type="dxa"/>
            <w:tcBorders>
              <w:top w:val="single" w:sz="4" w:space="0" w:color="000000"/>
              <w:left w:val="single" w:sz="4" w:space="0" w:color="000000"/>
              <w:bottom w:val="single" w:sz="4" w:space="0" w:color="000000"/>
            </w:tcBorders>
            <w:vAlign w:val="center"/>
          </w:tcPr>
          <w:p w:rsidR="00DD1521" w:rsidRDefault="00DD1521">
            <w:pPr>
              <w:spacing w:after="0" w:line="240" w:lineRule="auto"/>
              <w:jc w:val="center"/>
            </w:pPr>
            <w:r>
              <w:rPr>
                <w:rFonts w:ascii="Arial" w:hAnsi="Arial" w:cs="Arial"/>
                <w:sz w:val="16"/>
                <w:szCs w:val="16"/>
              </w:rPr>
              <w:t>23.159 £</w:t>
            </w:r>
          </w:p>
          <w:p w:rsidR="00DD1521" w:rsidRDefault="00DD1521">
            <w:pPr>
              <w:spacing w:after="0" w:line="240" w:lineRule="auto"/>
              <w:jc w:val="center"/>
            </w:pPr>
            <w:r>
              <w:rPr>
                <w:rFonts w:ascii="Arial" w:hAnsi="Arial" w:cs="Arial"/>
                <w:sz w:val="16"/>
                <w:szCs w:val="16"/>
              </w:rPr>
              <w:t xml:space="preserve"> (26.380€)</w:t>
            </w:r>
            <w:r>
              <w:rPr>
                <w:rFonts w:ascii="Arial" w:hAnsi="Arial" w:cs="Arial"/>
                <w:sz w:val="16"/>
                <w:szCs w:val="16"/>
                <w:vertAlign w:val="superscript"/>
              </w:rPr>
              <w:t>*</w:t>
            </w:r>
          </w:p>
        </w:tc>
        <w:tc>
          <w:tcPr>
            <w:tcW w:w="4169"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pPr>
            <w:r>
              <w:rPr>
                <w:rFonts w:ascii="Arial" w:hAnsi="Arial" w:cs="Arial"/>
                <w:b/>
                <w:bCs/>
                <w:sz w:val="16"/>
                <w:szCs w:val="16"/>
              </w:rPr>
              <w:t>Coste incremental:</w:t>
            </w:r>
            <w:r>
              <w:rPr>
                <w:rFonts w:ascii="Arial" w:hAnsi="Arial" w:cs="Arial"/>
                <w:sz w:val="16"/>
                <w:szCs w:val="16"/>
              </w:rPr>
              <w:t xml:space="preserve"> 64.282 £ (73.206€)</w:t>
            </w:r>
            <w:r>
              <w:rPr>
                <w:rFonts w:ascii="Arial" w:hAnsi="Arial" w:cs="Arial"/>
                <w:sz w:val="16"/>
                <w:szCs w:val="16"/>
                <w:vertAlign w:val="superscript"/>
              </w:rPr>
              <w:t>*</w:t>
            </w:r>
          </w:p>
        </w:tc>
      </w:tr>
      <w:tr w:rsidR="00DD1521">
        <w:trPr>
          <w:cantSplit/>
        </w:trPr>
        <w:tc>
          <w:tcPr>
            <w:tcW w:w="2302" w:type="dxa"/>
            <w:tcBorders>
              <w:top w:val="single" w:sz="4" w:space="0" w:color="000000"/>
              <w:left w:val="single" w:sz="4" w:space="0" w:color="000000"/>
              <w:bottom w:val="single" w:sz="4" w:space="0" w:color="000000"/>
            </w:tcBorders>
            <w:shd w:val="clear" w:color="auto" w:fill="D9D9D9"/>
          </w:tcPr>
          <w:p w:rsidR="00DD1521" w:rsidRDefault="00DD1521">
            <w:pPr>
              <w:spacing w:after="0" w:line="240" w:lineRule="auto"/>
            </w:pPr>
            <w:r>
              <w:rPr>
                <w:rFonts w:ascii="Arial" w:hAnsi="Arial" w:cs="Arial"/>
                <w:b/>
                <w:bCs/>
                <w:sz w:val="16"/>
                <w:szCs w:val="16"/>
              </w:rPr>
              <w:t>EFECTOS</w:t>
            </w:r>
          </w:p>
        </w:tc>
        <w:tc>
          <w:tcPr>
            <w:tcW w:w="1170" w:type="dxa"/>
            <w:tcBorders>
              <w:top w:val="single" w:sz="4" w:space="0" w:color="000000"/>
              <w:left w:val="single" w:sz="4" w:space="0" w:color="000000"/>
              <w:bottom w:val="single" w:sz="4" w:space="0" w:color="000000"/>
            </w:tcBorders>
            <w:shd w:val="clear" w:color="auto" w:fill="D9D9D9"/>
            <w:vAlign w:val="center"/>
          </w:tcPr>
          <w:p w:rsidR="00DD1521" w:rsidRDefault="00DD1521">
            <w:pPr>
              <w:spacing w:after="0" w:line="240" w:lineRule="auto"/>
              <w:jc w:val="center"/>
            </w:pPr>
            <w:r>
              <w:rPr>
                <w:rFonts w:ascii="Arial" w:hAnsi="Arial" w:cs="Arial"/>
                <w:b/>
                <w:bCs/>
                <w:sz w:val="16"/>
                <w:szCs w:val="16"/>
              </w:rPr>
              <w:t>Osimertinib</w:t>
            </w:r>
          </w:p>
        </w:tc>
        <w:tc>
          <w:tcPr>
            <w:tcW w:w="1350" w:type="dxa"/>
            <w:tcBorders>
              <w:top w:val="single" w:sz="4" w:space="0" w:color="000000"/>
              <w:left w:val="single" w:sz="4" w:space="0" w:color="000000"/>
              <w:bottom w:val="single" w:sz="4" w:space="0" w:color="000000"/>
            </w:tcBorders>
            <w:shd w:val="clear" w:color="auto" w:fill="D9D9D9"/>
            <w:vAlign w:val="center"/>
          </w:tcPr>
          <w:p w:rsidR="00DD1521" w:rsidRDefault="00DD1521">
            <w:pPr>
              <w:spacing w:after="0" w:line="240" w:lineRule="auto"/>
              <w:jc w:val="center"/>
            </w:pPr>
            <w:r>
              <w:rPr>
                <w:rFonts w:ascii="Arial" w:hAnsi="Arial" w:cs="Arial"/>
                <w:b/>
                <w:bCs/>
                <w:sz w:val="16"/>
                <w:szCs w:val="16"/>
              </w:rPr>
              <w:t>Doblete de platino</w:t>
            </w:r>
          </w:p>
        </w:tc>
        <w:tc>
          <w:tcPr>
            <w:tcW w:w="4169"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spacing w:after="0" w:line="240" w:lineRule="auto"/>
            </w:pPr>
            <w:r>
              <w:rPr>
                <w:rFonts w:ascii="Arial" w:hAnsi="Arial" w:cs="Arial"/>
                <w:b/>
                <w:bCs/>
                <w:sz w:val="16"/>
                <w:szCs w:val="16"/>
              </w:rPr>
              <w:t>Diferencia de eficacia</w:t>
            </w:r>
          </w:p>
        </w:tc>
      </w:tr>
      <w:tr w:rsidR="00DD1521">
        <w:trPr>
          <w:cantSplit/>
        </w:trPr>
        <w:tc>
          <w:tcPr>
            <w:tcW w:w="2302" w:type="dxa"/>
            <w:tcBorders>
              <w:top w:val="single" w:sz="4" w:space="0" w:color="000000"/>
              <w:left w:val="single" w:sz="4" w:space="0" w:color="000000"/>
              <w:bottom w:val="single" w:sz="4" w:space="0" w:color="000000"/>
            </w:tcBorders>
          </w:tcPr>
          <w:p w:rsidR="00DD1521" w:rsidRDefault="00DD1521">
            <w:pPr>
              <w:spacing w:after="0" w:line="240" w:lineRule="auto"/>
            </w:pPr>
            <w:r>
              <w:rPr>
                <w:rFonts w:ascii="Arial" w:hAnsi="Arial" w:cs="Arial"/>
                <w:sz w:val="16"/>
                <w:szCs w:val="16"/>
              </w:rPr>
              <w:t>AVAC</w:t>
            </w:r>
          </w:p>
        </w:tc>
        <w:tc>
          <w:tcPr>
            <w:tcW w:w="1170" w:type="dxa"/>
            <w:tcBorders>
              <w:top w:val="single" w:sz="4" w:space="0" w:color="000000"/>
              <w:left w:val="single" w:sz="4" w:space="0" w:color="000000"/>
              <w:bottom w:val="single" w:sz="4" w:space="0" w:color="000000"/>
            </w:tcBorders>
            <w:vAlign w:val="center"/>
          </w:tcPr>
          <w:p w:rsidR="00DD1521" w:rsidRDefault="00DD1521">
            <w:pPr>
              <w:spacing w:after="0" w:line="240" w:lineRule="auto"/>
              <w:jc w:val="center"/>
            </w:pPr>
            <w:r>
              <w:rPr>
                <w:rFonts w:ascii="Arial" w:hAnsi="Arial" w:cs="Arial"/>
                <w:sz w:val="16"/>
                <w:szCs w:val="16"/>
              </w:rPr>
              <w:t>2,841</w:t>
            </w:r>
          </w:p>
        </w:tc>
        <w:tc>
          <w:tcPr>
            <w:tcW w:w="1350" w:type="dxa"/>
            <w:tcBorders>
              <w:top w:val="single" w:sz="4" w:space="0" w:color="000000"/>
              <w:left w:val="single" w:sz="4" w:space="0" w:color="000000"/>
              <w:bottom w:val="single" w:sz="4" w:space="0" w:color="000000"/>
            </w:tcBorders>
            <w:vAlign w:val="center"/>
          </w:tcPr>
          <w:p w:rsidR="00DD1521" w:rsidRDefault="00DD1521">
            <w:pPr>
              <w:spacing w:after="0" w:line="240" w:lineRule="auto"/>
              <w:jc w:val="center"/>
            </w:pPr>
            <w:r>
              <w:rPr>
                <w:rFonts w:ascii="Arial" w:hAnsi="Arial" w:cs="Arial"/>
                <w:sz w:val="16"/>
                <w:szCs w:val="16"/>
              </w:rPr>
              <w:t>1,3</w:t>
            </w:r>
          </w:p>
        </w:tc>
        <w:tc>
          <w:tcPr>
            <w:tcW w:w="4169" w:type="dxa"/>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pPr>
            <w:r>
              <w:rPr>
                <w:rFonts w:ascii="Arial" w:hAnsi="Arial" w:cs="Arial"/>
                <w:b/>
                <w:bCs/>
                <w:sz w:val="16"/>
                <w:szCs w:val="16"/>
              </w:rPr>
              <w:t>AVAC ganados:</w:t>
            </w:r>
            <w:r>
              <w:rPr>
                <w:rFonts w:ascii="Arial" w:hAnsi="Arial" w:cs="Arial"/>
                <w:sz w:val="16"/>
                <w:szCs w:val="16"/>
              </w:rPr>
              <w:t xml:space="preserve"> 1,541 </w:t>
            </w:r>
          </w:p>
        </w:tc>
      </w:tr>
      <w:tr w:rsidR="00DD1521">
        <w:trPr>
          <w:cantSplit/>
        </w:trPr>
        <w:tc>
          <w:tcPr>
            <w:tcW w:w="4822" w:type="dxa"/>
            <w:gridSpan w:val="3"/>
            <w:tcBorders>
              <w:top w:val="single" w:sz="4" w:space="0" w:color="000000"/>
              <w:left w:val="single" w:sz="4" w:space="0" w:color="000000"/>
              <w:bottom w:val="single" w:sz="4" w:space="0" w:color="000000"/>
            </w:tcBorders>
            <w:shd w:val="clear" w:color="auto" w:fill="D9D9D9"/>
          </w:tcPr>
          <w:p w:rsidR="00DD1521" w:rsidRDefault="00DD1521">
            <w:pPr>
              <w:spacing w:after="0" w:line="240" w:lineRule="auto"/>
            </w:pPr>
            <w:r>
              <w:rPr>
                <w:rFonts w:ascii="Arial" w:hAnsi="Arial" w:cs="Arial"/>
                <w:b/>
                <w:bCs/>
                <w:sz w:val="16"/>
                <w:szCs w:val="16"/>
              </w:rPr>
              <w:t xml:space="preserve">COSTE-EFECTIVIDAD INCREMENTAL </w:t>
            </w:r>
          </w:p>
        </w:tc>
        <w:tc>
          <w:tcPr>
            <w:tcW w:w="4169"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spacing w:after="0" w:line="240" w:lineRule="auto"/>
            </w:pPr>
            <w:r>
              <w:rPr>
                <w:rFonts w:ascii="Arial" w:hAnsi="Arial" w:cs="Arial"/>
                <w:b/>
                <w:bCs/>
                <w:sz w:val="16"/>
                <w:szCs w:val="16"/>
              </w:rPr>
              <w:t xml:space="preserve">RCEI </w:t>
            </w:r>
          </w:p>
        </w:tc>
      </w:tr>
      <w:tr w:rsidR="00DD1521">
        <w:trPr>
          <w:cantSplit/>
        </w:trPr>
        <w:tc>
          <w:tcPr>
            <w:tcW w:w="4822" w:type="dxa"/>
            <w:gridSpan w:val="3"/>
            <w:tcBorders>
              <w:top w:val="single" w:sz="4" w:space="0" w:color="000000"/>
              <w:left w:val="single" w:sz="4" w:space="0" w:color="000000"/>
              <w:bottom w:val="single" w:sz="4" w:space="0" w:color="000000"/>
            </w:tcBorders>
          </w:tcPr>
          <w:p w:rsidR="00DD1521" w:rsidRDefault="00DD1521">
            <w:pPr>
              <w:spacing w:after="0" w:line="240" w:lineRule="auto"/>
            </w:pPr>
            <w:r>
              <w:rPr>
                <w:rFonts w:ascii="Arial" w:hAnsi="Arial" w:cs="Arial"/>
                <w:b/>
                <w:bCs/>
                <w:sz w:val="16"/>
                <w:szCs w:val="16"/>
              </w:rPr>
              <w:t>Caso base:</w:t>
            </w:r>
          </w:p>
        </w:tc>
        <w:tc>
          <w:tcPr>
            <w:tcW w:w="4169" w:type="dxa"/>
            <w:tcBorders>
              <w:top w:val="single" w:sz="4" w:space="0" w:color="000000"/>
              <w:left w:val="single" w:sz="4" w:space="0" w:color="000000"/>
              <w:bottom w:val="single" w:sz="4" w:space="0" w:color="000000"/>
              <w:right w:val="single" w:sz="4" w:space="0" w:color="000000"/>
            </w:tcBorders>
            <w:vAlign w:val="center"/>
          </w:tcPr>
          <w:p w:rsidR="00DD1521" w:rsidRDefault="00DD1521">
            <w:pPr>
              <w:spacing w:after="0" w:line="240" w:lineRule="auto"/>
            </w:pPr>
            <w:r>
              <w:rPr>
                <w:rFonts w:ascii="Arial" w:hAnsi="Arial" w:cs="Arial"/>
                <w:sz w:val="16"/>
                <w:szCs w:val="16"/>
              </w:rPr>
              <w:t>41.705 £/AVAC ganado (47.506 €/AVAC ganado)</w:t>
            </w:r>
            <w:r>
              <w:rPr>
                <w:rFonts w:ascii="Arial" w:hAnsi="Arial" w:cs="Arial"/>
                <w:sz w:val="16"/>
                <w:szCs w:val="16"/>
                <w:vertAlign w:val="superscript"/>
              </w:rPr>
              <w:t>*</w:t>
            </w:r>
          </w:p>
        </w:tc>
      </w:tr>
      <w:tr w:rsidR="00DD1521">
        <w:trPr>
          <w:cantSplit/>
        </w:trPr>
        <w:tc>
          <w:tcPr>
            <w:tcW w:w="8991" w:type="dxa"/>
            <w:gridSpan w:val="4"/>
            <w:tcBorders>
              <w:top w:val="single" w:sz="4" w:space="0" w:color="000000"/>
              <w:left w:val="single" w:sz="4" w:space="0" w:color="000000"/>
              <w:bottom w:val="single" w:sz="4" w:space="0" w:color="000000"/>
              <w:right w:val="single" w:sz="4" w:space="0" w:color="000000"/>
            </w:tcBorders>
          </w:tcPr>
          <w:p w:rsidR="00DD1521" w:rsidRDefault="00DD1521">
            <w:pPr>
              <w:spacing w:after="0" w:line="240" w:lineRule="auto"/>
            </w:pPr>
            <w:r>
              <w:rPr>
                <w:rFonts w:ascii="Arial" w:hAnsi="Arial" w:cs="Arial"/>
                <w:color w:val="000000"/>
                <w:sz w:val="16"/>
                <w:szCs w:val="16"/>
                <w:vertAlign w:val="superscript"/>
              </w:rPr>
              <w:t>*</w:t>
            </w:r>
            <w:r>
              <w:rPr>
                <w:rFonts w:ascii="Arial" w:hAnsi="Arial" w:cs="Arial"/>
                <w:color w:val="000000"/>
                <w:sz w:val="16"/>
                <w:szCs w:val="16"/>
              </w:rPr>
              <w:t xml:space="preserve"> </w:t>
            </w:r>
            <w:r>
              <w:rPr>
                <w:rFonts w:ascii="Arial" w:hAnsi="Arial" w:cs="Arial"/>
                <w:sz w:val="16"/>
                <w:szCs w:val="16"/>
              </w:rPr>
              <w:t>Factor de conversión de moneda: 1 £ = 1,139 € (fecha: 8/10/2018).</w:t>
            </w:r>
          </w:p>
          <w:p w:rsidR="00DD1521" w:rsidRDefault="00DD1521">
            <w:pPr>
              <w:spacing w:after="0" w:line="240" w:lineRule="auto"/>
            </w:pPr>
            <w:r>
              <w:rPr>
                <w:rFonts w:ascii="Arial" w:hAnsi="Arial" w:cs="Arial"/>
                <w:color w:val="000000"/>
                <w:sz w:val="16"/>
                <w:szCs w:val="16"/>
              </w:rPr>
              <w:t xml:space="preserve">AV: años de vida. AVAC: años de vida ajustados por calidad. RCEI: ratio coste-efectividad incremental. </w:t>
            </w:r>
          </w:p>
        </w:tc>
      </w:tr>
    </w:tbl>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El análisis de sensibilidad probabilístico se ejecutó para 10.000 iteraciones. El RCEI probabilístico fue de £ 40,581 por AVAC obtenido, que se compara con £ 41,705 en el análisis determinístico (una diferencia de &lt;3% en el RCEI). Los resultados del análisis sugieren que osimertinib es más probable que sea rentable en umbrales de disponibilidad a pagar de £ 42,000 y superiores. Con un umbral de eficacia en función de los costes de £ 50,000 por AVAC obtenido (siguiendo criterios end of life del NICE), la probabilidad de que osimertinib se considere rentable frente a doblete de platino es del 63,4%.</w:t>
      </w:r>
    </w:p>
    <w:p w:rsidR="00DD1521" w:rsidRDefault="00DD1521">
      <w:pPr>
        <w:spacing w:after="0" w:line="240" w:lineRule="auto"/>
        <w:jc w:val="both"/>
        <w:rPr>
          <w:rFonts w:ascii="Arial" w:hAnsi="Arial" w:cs="Arial"/>
          <w:sz w:val="20"/>
          <w:szCs w:val="20"/>
        </w:rPr>
      </w:pPr>
    </w:p>
    <w:p w:rsidR="00DD1521" w:rsidRPr="00707D72" w:rsidRDefault="00DD1521">
      <w:pPr>
        <w:spacing w:after="0" w:line="240" w:lineRule="auto"/>
        <w:rPr>
          <w:u w:val="single"/>
        </w:rPr>
      </w:pPr>
      <w:r w:rsidRPr="00707D72">
        <w:rPr>
          <w:rFonts w:ascii="Arial" w:hAnsi="Arial" w:cs="Arial"/>
          <w:bCs/>
          <w:sz w:val="20"/>
          <w:szCs w:val="20"/>
          <w:u w:val="single"/>
        </w:rPr>
        <w:t>Revisión crítica y aplicabilidad de la evaluación económica de Bertranou, et al</w:t>
      </w:r>
      <w:r w:rsidRPr="00707D72">
        <w:rPr>
          <w:u w:val="single"/>
        </w:rPr>
        <w:t xml:space="preserve"> </w:t>
      </w:r>
      <w:r w:rsidRPr="00707D72">
        <w:rPr>
          <w:rFonts w:ascii="Arial" w:hAnsi="Arial" w:cs="Arial"/>
          <w:bCs/>
          <w:sz w:val="20"/>
          <w:szCs w:val="20"/>
          <w:u w:val="single"/>
        </w:rPr>
        <w:fldChar w:fldCharType="begin"/>
      </w:r>
      <w:r w:rsidRPr="00707D72">
        <w:rPr>
          <w:rFonts w:ascii="Arial" w:hAnsi="Arial" w:cs="Arial"/>
          <w:bCs/>
          <w:sz w:val="20"/>
          <w:szCs w:val="20"/>
          <w:u w:val="single"/>
        </w:rPr>
        <w:instrText xml:space="preserve"> ADDIN ZOTERO_ITEM CSL_CITATION {"citationID":"7iFTP6Qh","properties":{"formattedCitation":"(49)","plainCitation":"(49)"},"citationItems":[{"id":1062,"uris":["http://zotero.org/users/local/zrSbuHrK/items/RKFHC3UM"],"uri":["http://zotero.org/users/local/zrSbuHrK/items/RKFHC3UM"],"itemData":{"id":1062,"type":"article-journal","title":"Cost-effectiveness of osimertinib in the UK for advanced EGFR-T790M non-small cell lung cancer","container-title":"Journal of Medical Economics","page":"113-121","volume":"21","issue":"2","source":"PubMed","abstract":"AIM: This study presents the cost-utility analysis that was developed to inform the NICE health technology assessment of osimertinib vs platinum-based doublet chemotherapy (PDC) in patients with EGFR-T790M mutation-positive non-small cell lung cancer (NSCLC) who have progressed on epidermal growth factor receptor-tyrosine kinase inhibitor (EGFR-TKI) therapy.\nMETHODS AND MATERIALS: A partitioned survival model with three health states (progression-free, progressed disease, and death) from a UK payer perspective and over lifetime (15 years) was developed. Direct costs included disease management, treatment-related (acquisition, administration, monitoring, adverse events), and T790M testing costs. Efficacy and safety data were taken from clinical trials AURA extension and AURA2 for osimertinib and IMPRESS for PDC. An adjusted indirect treatment comparison was applied to reduce the potential bias in the non-randomized comparison. Parametric functions were utilized to extrapolate survival beyond the observed period. Health state utility values were calculated from EQ-5D data collected in the trials and valued using UK tariffs. Resource use and costs were based on published sources.\nRESULTS: Osimertinib was associated with a gain of 1.541 quality-adjusted life-years (QALYs) at an incremental cost of £64,283 vs PDC (incremental cost-effectiveness ratio [ICER]: £41,705/QALY gained). Scenario analyses showed that none of the plausible scenarios produced an ICER above £44,000 per QALY gained, and probabilistic sensitivity analyses demonstrated a 63.4% probability that osimertinib will be cost-effective at a willingness-to-pay threshold of £50,000.\nLIMITATIONS: The analysis is subject to some level of uncertainty inherent to phase 2 single-arm data and the immaturity of the currently available survival data for osimertinib.\nCONCLUSIONS: Osimertinib may be considered a cost-effective treatment option compared with PDC in the second-line setting in patients with EGFR-T790M mutation-positive NSCLC from a UK payer perspective. Further data from the ongoing AURA clinical trial program will reduce the inherent uncertainty in the analysis.","DOI":"10.1080/13696998.2017.1377718","ISSN":"1941-837X","note":"PMID: 28880737","journalAbbreviation":"J Med Econ","language":"eng","author":[{"family":"Bertranou","given":"Evelina"},{"family":"Bodnar","given":"Carolyn"},{"family":"Dansk","given":"Viktor"},{"family":"Greystoke","given":"Alastair"},{"family":"Large","given":"Samuel"},{"family":"Dyer","given":"Matthew"}],"issued":{"date-parts":[["2018",2]]},"PMID":"28880737"}}],"schema":"https://github.com/citation-style-language/schema/raw/master/csl-citation.json"} </w:instrText>
      </w:r>
      <w:r w:rsidRPr="00707D72">
        <w:rPr>
          <w:rFonts w:ascii="Arial" w:hAnsi="Arial" w:cs="Arial"/>
          <w:bCs/>
          <w:sz w:val="20"/>
          <w:szCs w:val="20"/>
          <w:u w:val="single"/>
        </w:rPr>
        <w:fldChar w:fldCharType="separate"/>
      </w:r>
      <w:r w:rsidRPr="00707D72">
        <w:rPr>
          <w:rFonts w:ascii="Arial" w:hAnsi="Arial" w:cs="Arial"/>
          <w:bCs/>
          <w:sz w:val="20"/>
          <w:szCs w:val="20"/>
          <w:u w:val="single"/>
        </w:rPr>
        <w:t>(42)</w:t>
      </w:r>
      <w:r w:rsidRPr="00707D72">
        <w:rPr>
          <w:rFonts w:ascii="Arial" w:hAnsi="Arial" w:cs="Arial"/>
          <w:bCs/>
          <w:sz w:val="20"/>
          <w:szCs w:val="20"/>
          <w:u w:val="single"/>
        </w:rPr>
        <w:fldChar w:fldCharType="end"/>
      </w:r>
      <w:r w:rsidRPr="00707D72">
        <w:rPr>
          <w:rFonts w:ascii="Arial" w:hAnsi="Arial" w:cs="Arial"/>
          <w:bCs/>
          <w:sz w:val="20"/>
          <w:szCs w:val="20"/>
          <w:u w:val="single"/>
        </w:rPr>
        <w:t>:</w:t>
      </w:r>
      <w:r w:rsidRPr="00707D72">
        <w:rPr>
          <w:rFonts w:ascii="Arial" w:hAnsi="Arial" w:cs="Arial"/>
          <w:bCs/>
          <w:i/>
          <w:iCs/>
          <w:sz w:val="20"/>
          <w:szCs w:val="20"/>
          <w:u w:val="single"/>
        </w:rPr>
        <w:t xml:space="preserve"> </w:t>
      </w:r>
    </w:p>
    <w:p w:rsidR="00DD1521" w:rsidRDefault="00DD1521">
      <w:pPr>
        <w:spacing w:after="0" w:line="240" w:lineRule="auto"/>
        <w:jc w:val="both"/>
        <w:rPr>
          <w:rFonts w:ascii="Arial" w:hAnsi="Arial" w:cs="Arial"/>
          <w:b/>
          <w:bCs/>
          <w:sz w:val="6"/>
          <w:szCs w:val="6"/>
        </w:rPr>
      </w:pPr>
    </w:p>
    <w:p w:rsidR="00DD1521" w:rsidRDefault="00DD1521">
      <w:pPr>
        <w:numPr>
          <w:ilvl w:val="0"/>
          <w:numId w:val="10"/>
        </w:numPr>
        <w:suppressAutoHyphens/>
        <w:spacing w:after="0" w:line="240" w:lineRule="auto"/>
        <w:ind w:left="284" w:hanging="284"/>
        <w:jc w:val="both"/>
      </w:pPr>
      <w:r>
        <w:rPr>
          <w:rFonts w:ascii="Arial" w:hAnsi="Arial" w:cs="Arial"/>
          <w:sz w:val="20"/>
          <w:szCs w:val="20"/>
        </w:rPr>
        <w:t xml:space="preserve">VALIDEZ INTERNA: </w:t>
      </w:r>
    </w:p>
    <w:p w:rsidR="00DD1521" w:rsidRDefault="00DD1521">
      <w:pPr>
        <w:spacing w:after="0" w:line="240" w:lineRule="auto"/>
        <w:ind w:left="284"/>
        <w:jc w:val="both"/>
      </w:pPr>
      <w:r>
        <w:rPr>
          <w:rFonts w:ascii="Arial" w:hAnsi="Arial" w:cs="Arial"/>
          <w:sz w:val="20"/>
          <w:szCs w:val="20"/>
        </w:rPr>
        <w:t>La principal limitación del estudio radica en la ausencia de datos comparativos de eficacia, seguridad y utilización de recursos entre las alternativas evaluadas, ya que el estudio se realizó antes de que se publicasen los resultados de la comparación directa del estudio AURA3, por lo que se realizó una comparación indirecta entre el pool de resultados de AURA2 y AURA extensión para osimertinib, y pacientes con la mutación T790M de la rama doblete de platino del estudio IMPRESS. Todo ello añade incertidumbre al análisis. El estudio está realizado por el propio laboratorio, lo que podría incurrir en conflicto de intereses.</w:t>
      </w:r>
    </w:p>
    <w:p w:rsidR="00DD1521" w:rsidRDefault="00DD1521">
      <w:pPr>
        <w:spacing w:after="0" w:line="240" w:lineRule="auto"/>
        <w:ind w:left="284" w:hanging="284"/>
        <w:jc w:val="both"/>
        <w:rPr>
          <w:rFonts w:ascii="Arial" w:hAnsi="Arial" w:cs="Arial"/>
          <w:sz w:val="16"/>
          <w:szCs w:val="16"/>
          <w:highlight w:val="yellow"/>
        </w:rPr>
      </w:pPr>
    </w:p>
    <w:p w:rsidR="00DD1521" w:rsidRDefault="00DD1521">
      <w:pPr>
        <w:numPr>
          <w:ilvl w:val="0"/>
          <w:numId w:val="10"/>
        </w:numPr>
        <w:suppressAutoHyphens/>
        <w:spacing w:after="0" w:line="240" w:lineRule="auto"/>
        <w:ind w:left="284" w:hanging="284"/>
        <w:jc w:val="both"/>
        <w:rPr>
          <w:rFonts w:ascii="Arial" w:hAnsi="Arial" w:cs="Arial"/>
          <w:sz w:val="20"/>
          <w:szCs w:val="20"/>
        </w:rPr>
      </w:pPr>
      <w:r>
        <w:rPr>
          <w:rFonts w:ascii="Arial" w:hAnsi="Arial" w:cs="Arial"/>
          <w:sz w:val="20"/>
          <w:szCs w:val="20"/>
        </w:rPr>
        <w:t>VALIDEZ EXTERNA:</w:t>
      </w:r>
    </w:p>
    <w:p w:rsidR="00DD1521" w:rsidRDefault="00DD1521">
      <w:pPr>
        <w:suppressAutoHyphens/>
        <w:spacing w:after="0" w:line="240" w:lineRule="auto"/>
        <w:ind w:left="284"/>
        <w:jc w:val="both"/>
        <w:rPr>
          <w:rFonts w:ascii="Arial" w:hAnsi="Arial" w:cs="Arial"/>
          <w:sz w:val="20"/>
          <w:szCs w:val="20"/>
        </w:rPr>
      </w:pPr>
      <w:r>
        <w:rPr>
          <w:rFonts w:ascii="Arial" w:hAnsi="Arial" w:cs="Arial"/>
          <w:sz w:val="20"/>
          <w:szCs w:val="20"/>
        </w:rPr>
        <w:t>Los principales aspectos que podrían comprometer la aplicabilidad de los resultados a nuestro medio son: la ausencia de comparación frente a otras alternativas utilizadas en la práctica clínica, los costes unitarios considerados para los medicamentos (precio en Reino Unido) y los valores de utilidad asignados a los diferentes estados de salud del modelo (obtenidos en población diferente a la española).</w:t>
      </w:r>
    </w:p>
    <w:p w:rsidR="00DD1521" w:rsidRDefault="00DD1521">
      <w:pPr>
        <w:spacing w:after="0" w:line="240" w:lineRule="auto"/>
        <w:rPr>
          <w:rFonts w:ascii="Arial" w:hAnsi="Arial" w:cs="Arial"/>
          <w:sz w:val="20"/>
          <w:szCs w:val="20"/>
        </w:rPr>
      </w:pPr>
    </w:p>
    <w:p w:rsidR="00DD1521" w:rsidRDefault="00DD1521">
      <w:pPr>
        <w:pStyle w:val="Normal1"/>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lastRenderedPageBreak/>
        <w:t>Tratamiento de primera línea en CPNM avanzado o metastásico en pacientes con mutaciones activadoras del EGFR</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b/>
          <w:bCs/>
          <w:sz w:val="20"/>
          <w:szCs w:val="20"/>
        </w:rPr>
      </w:pPr>
      <w:r>
        <w:rPr>
          <w:rFonts w:ascii="Arial" w:hAnsi="Arial" w:cs="Arial"/>
          <w:b/>
          <w:bCs/>
          <w:sz w:val="20"/>
          <w:szCs w:val="20"/>
        </w:rPr>
        <w:t>Ezeife et al. (43)</w:t>
      </w:r>
    </w:p>
    <w:p w:rsidR="00DD1521" w:rsidRDefault="00DD1521">
      <w:pPr>
        <w:pStyle w:val="Normal1"/>
        <w:spacing w:after="0" w:line="240" w:lineRule="auto"/>
        <w:jc w:val="both"/>
        <w:rPr>
          <w:rFonts w:ascii="Arial" w:hAnsi="Arial" w:cs="Arial"/>
          <w:sz w:val="20"/>
          <w:szCs w:val="20"/>
        </w:rPr>
      </w:pPr>
    </w:p>
    <w:tbl>
      <w:tblPr>
        <w:tblW w:w="8985" w:type="dxa"/>
        <w:tblInd w:w="-106" w:type="dxa"/>
        <w:tblLayout w:type="fixed"/>
        <w:tblLook w:val="00A0" w:firstRow="1" w:lastRow="0" w:firstColumn="1" w:lastColumn="0" w:noHBand="0" w:noVBand="0"/>
      </w:tblPr>
      <w:tblGrid>
        <w:gridCol w:w="1590"/>
        <w:gridCol w:w="1500"/>
        <w:gridCol w:w="1245"/>
        <w:gridCol w:w="1260"/>
        <w:gridCol w:w="3390"/>
      </w:tblGrid>
      <w:tr w:rsidR="00DD1521">
        <w:tc>
          <w:tcPr>
            <w:tcW w:w="8985" w:type="dxa"/>
            <w:gridSpan w:val="5"/>
            <w:tcBorders>
              <w:top w:val="single" w:sz="4" w:space="0" w:color="000000"/>
              <w:left w:val="single" w:sz="4" w:space="0" w:color="000000"/>
              <w:bottom w:val="single" w:sz="4" w:space="0" w:color="000000"/>
              <w:right w:val="single" w:sz="4" w:space="0" w:color="000000"/>
            </w:tcBorders>
            <w:shd w:val="clear" w:color="auto" w:fill="CCFFCC"/>
          </w:tcPr>
          <w:p w:rsidR="00DD1521" w:rsidRPr="00D048CE" w:rsidRDefault="00DD1521" w:rsidP="00D048CE">
            <w:pPr>
              <w:pStyle w:val="Normal1"/>
              <w:spacing w:after="0" w:line="240" w:lineRule="auto"/>
              <w:jc w:val="both"/>
              <w:rPr>
                <w:rFonts w:ascii="Arial" w:hAnsi="Arial" w:cs="Arial"/>
                <w:b/>
                <w:sz w:val="18"/>
                <w:szCs w:val="18"/>
              </w:rPr>
            </w:pPr>
            <w:r w:rsidRPr="00D048CE">
              <w:rPr>
                <w:rFonts w:ascii="Arial" w:hAnsi="Arial" w:cs="Arial"/>
                <w:b/>
                <w:bCs/>
                <w:sz w:val="18"/>
                <w:szCs w:val="18"/>
              </w:rPr>
              <w:t xml:space="preserve">Tabla 16. </w:t>
            </w:r>
            <w:r w:rsidRPr="00D048CE">
              <w:rPr>
                <w:rFonts w:ascii="Arial" w:hAnsi="Arial" w:cs="Arial"/>
                <w:b/>
                <w:sz w:val="18"/>
                <w:szCs w:val="18"/>
              </w:rPr>
              <w:t xml:space="preserve">Ezeife DA et al. Economic analysis of osimertinib in previously untreated EGFR-mutant avancen non-small cell lung cancer in Canada. </w:t>
            </w:r>
            <w:hyperlink r:id="rId15">
              <w:r w:rsidRPr="00D048CE">
                <w:rPr>
                  <w:rFonts w:ascii="Arial" w:hAnsi="Arial" w:cs="Arial"/>
                  <w:b/>
                  <w:sz w:val="18"/>
                  <w:szCs w:val="18"/>
                </w:rPr>
                <w:t>Lung Cancer.</w:t>
              </w:r>
            </w:hyperlink>
            <w:r w:rsidRPr="00D048CE">
              <w:rPr>
                <w:rFonts w:ascii="Arial" w:hAnsi="Arial" w:cs="Arial"/>
                <w:b/>
                <w:sz w:val="18"/>
                <w:szCs w:val="18"/>
              </w:rPr>
              <w:t xml:space="preserve"> 2018;125:1-7.</w:t>
            </w:r>
          </w:p>
        </w:tc>
      </w:tr>
      <w:tr w:rsidR="00DD1521">
        <w:tc>
          <w:tcPr>
            <w:tcW w:w="8985" w:type="dxa"/>
            <w:gridSpan w:val="5"/>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both"/>
            </w:pPr>
            <w:r>
              <w:rPr>
                <w:rFonts w:ascii="Arial" w:hAnsi="Arial" w:cs="Arial"/>
                <w:sz w:val="16"/>
                <w:szCs w:val="16"/>
              </w:rPr>
              <w:t>-</w:t>
            </w:r>
            <w:r>
              <w:rPr>
                <w:rFonts w:ascii="Arial" w:hAnsi="Arial" w:cs="Arial"/>
                <w:b/>
                <w:bCs/>
                <w:sz w:val="16"/>
                <w:szCs w:val="16"/>
              </w:rPr>
              <w:t xml:space="preserve"> Tipo de estudio: </w:t>
            </w:r>
            <w:r>
              <w:rPr>
                <w:rFonts w:ascii="Arial" w:hAnsi="Arial" w:cs="Arial"/>
                <w:sz w:val="16"/>
                <w:szCs w:val="16"/>
              </w:rPr>
              <w:t>coste-efectividad/coste-utilidad</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Fuente de datos de eficacia: </w:t>
            </w:r>
            <w:r>
              <w:rPr>
                <w:rFonts w:ascii="Arial" w:hAnsi="Arial" w:cs="Arial"/>
                <w:sz w:val="16"/>
                <w:szCs w:val="16"/>
              </w:rPr>
              <w:t xml:space="preserve">ensayo clínico fase III FLAURA que compara osimertinib frente a gefitinib o erlotinib en CPNM en primera línea en pacientes con mutación EGFR positiva. </w:t>
            </w:r>
          </w:p>
          <w:p w:rsidR="00DD1521" w:rsidRDefault="00DD1521">
            <w:pPr>
              <w:pStyle w:val="Normal1"/>
              <w:spacing w:after="0" w:line="240" w:lineRule="auto"/>
              <w:jc w:val="both"/>
            </w:pPr>
            <w:r>
              <w:rPr>
                <w:rFonts w:ascii="Arial" w:hAnsi="Arial" w:cs="Arial"/>
                <w:sz w:val="16"/>
                <w:szCs w:val="16"/>
              </w:rPr>
              <w:t xml:space="preserve">- </w:t>
            </w:r>
            <w:r>
              <w:rPr>
                <w:rFonts w:ascii="Arial" w:hAnsi="Arial" w:cs="Arial"/>
                <w:b/>
                <w:bCs/>
                <w:sz w:val="16"/>
                <w:szCs w:val="16"/>
              </w:rPr>
              <w:t xml:space="preserve">Modelización: </w:t>
            </w:r>
            <w:r>
              <w:rPr>
                <w:rFonts w:ascii="Arial" w:hAnsi="Arial" w:cs="Arial"/>
                <w:sz w:val="16"/>
                <w:szCs w:val="16"/>
              </w:rPr>
              <w:t>modelo de Markov</w:t>
            </w:r>
          </w:p>
          <w:p w:rsidR="00DD1521" w:rsidRDefault="00DD1521">
            <w:pPr>
              <w:pStyle w:val="Normal1"/>
              <w:spacing w:after="0" w:line="240" w:lineRule="auto"/>
              <w:jc w:val="both"/>
            </w:pPr>
            <w:r>
              <w:rPr>
                <w:rFonts w:ascii="Arial" w:hAnsi="Arial" w:cs="Arial"/>
                <w:sz w:val="16"/>
                <w:szCs w:val="16"/>
              </w:rPr>
              <w:t>-</w:t>
            </w:r>
            <w:r>
              <w:rPr>
                <w:rFonts w:ascii="Arial" w:hAnsi="Arial" w:cs="Arial"/>
                <w:b/>
                <w:bCs/>
                <w:sz w:val="16"/>
                <w:szCs w:val="16"/>
              </w:rPr>
              <w:t xml:space="preserve"> Perspectiva: </w:t>
            </w:r>
            <w:r>
              <w:rPr>
                <w:rFonts w:ascii="Arial" w:hAnsi="Arial" w:cs="Arial"/>
                <w:sz w:val="16"/>
                <w:szCs w:val="16"/>
              </w:rPr>
              <w:t xml:space="preserve">sistema de salud público de Canadá. </w:t>
            </w:r>
          </w:p>
          <w:p w:rsidR="00DD1521" w:rsidRDefault="00DD1521">
            <w:pPr>
              <w:pStyle w:val="Normal1"/>
              <w:spacing w:after="0" w:line="240" w:lineRule="auto"/>
              <w:jc w:val="both"/>
            </w:pPr>
            <w:r>
              <w:rPr>
                <w:rFonts w:ascii="Arial" w:hAnsi="Arial" w:cs="Arial"/>
                <w:sz w:val="16"/>
                <w:szCs w:val="16"/>
              </w:rPr>
              <w:t xml:space="preserve">- </w:t>
            </w:r>
            <w:r>
              <w:rPr>
                <w:rFonts w:ascii="Arial" w:hAnsi="Arial" w:cs="Arial"/>
                <w:b/>
                <w:bCs/>
                <w:sz w:val="16"/>
                <w:szCs w:val="16"/>
              </w:rPr>
              <w:t xml:space="preserve">Población del escenario base: </w:t>
            </w:r>
            <w:r>
              <w:rPr>
                <w:rFonts w:ascii="Arial" w:hAnsi="Arial" w:cs="Arial"/>
                <w:sz w:val="16"/>
                <w:szCs w:val="16"/>
              </w:rPr>
              <w:t xml:space="preserve">pacientes con CPNM, avanzado o metastásico con mutación EGFR positiva no tratados previamente. </w:t>
            </w:r>
          </w:p>
          <w:p w:rsidR="00DD1521" w:rsidRDefault="00DD1521">
            <w:pPr>
              <w:pStyle w:val="Normal1"/>
              <w:spacing w:after="0" w:line="240" w:lineRule="auto"/>
              <w:jc w:val="both"/>
            </w:pPr>
            <w:r>
              <w:rPr>
                <w:rFonts w:ascii="Arial" w:hAnsi="Arial" w:cs="Arial"/>
                <w:sz w:val="16"/>
                <w:szCs w:val="16"/>
              </w:rPr>
              <w:t>-</w:t>
            </w:r>
            <w:r>
              <w:rPr>
                <w:rFonts w:ascii="Arial" w:hAnsi="Arial" w:cs="Arial"/>
                <w:b/>
                <w:bCs/>
                <w:sz w:val="16"/>
                <w:szCs w:val="16"/>
              </w:rPr>
              <w:t xml:space="preserve"> Variables principales de resultado:</w:t>
            </w:r>
            <w:r>
              <w:rPr>
                <w:rFonts w:ascii="Arial" w:hAnsi="Arial" w:cs="Arial"/>
                <w:sz w:val="16"/>
                <w:szCs w:val="16"/>
              </w:rPr>
              <w:t xml:space="preserve"> coste incremental por año de vida ganado ajustado por calidad (AVAC) ganado.</w:t>
            </w:r>
          </w:p>
          <w:p w:rsidR="00DD1521" w:rsidRDefault="00DD1521">
            <w:pPr>
              <w:pStyle w:val="Normal1"/>
              <w:spacing w:after="0" w:line="240" w:lineRule="auto"/>
              <w:jc w:val="both"/>
            </w:pPr>
            <w:r>
              <w:rPr>
                <w:rFonts w:ascii="Arial" w:hAnsi="Arial" w:cs="Arial"/>
                <w:sz w:val="16"/>
                <w:szCs w:val="16"/>
              </w:rPr>
              <w:t>-</w:t>
            </w:r>
            <w:r>
              <w:rPr>
                <w:rFonts w:ascii="Arial" w:hAnsi="Arial" w:cs="Arial"/>
                <w:b/>
                <w:bCs/>
                <w:sz w:val="16"/>
                <w:szCs w:val="16"/>
              </w:rPr>
              <w:t xml:space="preserve"> Horizonte temporal: </w:t>
            </w:r>
            <w:r>
              <w:rPr>
                <w:rFonts w:ascii="Arial" w:hAnsi="Arial" w:cs="Arial"/>
                <w:sz w:val="16"/>
                <w:szCs w:val="16"/>
              </w:rPr>
              <w:t>10 años.</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Costes incluidos en el estudio: </w:t>
            </w:r>
            <w:r>
              <w:rPr>
                <w:rFonts w:ascii="Arial" w:hAnsi="Arial" w:cs="Arial"/>
                <w:sz w:val="16"/>
                <w:szCs w:val="16"/>
              </w:rPr>
              <w:t xml:space="preserve">coste de adquisición de los medicamentos, costes relacionados con la preparación y administración y monitorización a lo largo del tratamiento, coste del test para la determinación de mutaciones en EGFR (incluida la T790M), manejo de la neutropenia febril y anemia grado mayor o igual a 3 y terapia de soporte. </w:t>
            </w:r>
          </w:p>
          <w:p w:rsidR="00DD1521" w:rsidRPr="00B85537" w:rsidRDefault="00DD1521">
            <w:pPr>
              <w:pStyle w:val="Normal1"/>
              <w:spacing w:after="0" w:line="240" w:lineRule="auto"/>
              <w:jc w:val="both"/>
              <w:rPr>
                <w:rFonts w:ascii="Arial" w:hAnsi="Arial" w:cs="Arial"/>
                <w:sz w:val="16"/>
                <w:szCs w:val="16"/>
              </w:rPr>
            </w:pPr>
            <w:r w:rsidRPr="00B85537">
              <w:rPr>
                <w:rFonts w:ascii="Arial" w:hAnsi="Arial" w:cs="Arial"/>
                <w:b/>
                <w:bCs/>
                <w:sz w:val="16"/>
                <w:szCs w:val="16"/>
              </w:rPr>
              <w:t xml:space="preserve">Fuente de costes unitarios: </w:t>
            </w:r>
            <w:r w:rsidRPr="00B85537">
              <w:rPr>
                <w:rFonts w:ascii="Arial" w:hAnsi="Arial" w:cs="Arial"/>
                <w:sz w:val="16"/>
                <w:szCs w:val="16"/>
              </w:rPr>
              <w:t xml:space="preserve">CADTH (Canadian Agency for Drugs and Technologies in Health, pCODR (pan-Canadian Oncology Drug Review), el Princess Margaret Cancer centre pharmacy y Cancer Care Ontario. </w:t>
            </w:r>
          </w:p>
          <w:p w:rsidR="00DD1521" w:rsidRDefault="00DD1521">
            <w:pPr>
              <w:pStyle w:val="Normal1"/>
              <w:spacing w:after="0" w:line="240" w:lineRule="auto"/>
              <w:jc w:val="both"/>
            </w:pPr>
            <w:r>
              <w:rPr>
                <w:rFonts w:ascii="Arial" w:hAnsi="Arial" w:cs="Arial"/>
                <w:sz w:val="16"/>
                <w:szCs w:val="16"/>
              </w:rPr>
              <w:t>-</w:t>
            </w:r>
            <w:r>
              <w:rPr>
                <w:rFonts w:ascii="Arial" w:hAnsi="Arial" w:cs="Arial"/>
                <w:b/>
                <w:bCs/>
                <w:sz w:val="16"/>
                <w:szCs w:val="16"/>
              </w:rPr>
              <w:t xml:space="preserve"> Tasa de descuento aplicada en costes y en resultados de salud: </w:t>
            </w:r>
            <w:r>
              <w:rPr>
                <w:rFonts w:ascii="Arial" w:hAnsi="Arial" w:cs="Arial"/>
                <w:sz w:val="16"/>
                <w:szCs w:val="16"/>
              </w:rPr>
              <w:t>1,5% por año.</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Valores de utilidad considerados:</w:t>
            </w:r>
            <w:r w:rsidRPr="00E027E7">
              <w:rPr>
                <w:rFonts w:ascii="Arial" w:hAnsi="Arial" w:cs="Arial"/>
                <w:bCs/>
                <w:sz w:val="16"/>
                <w:szCs w:val="16"/>
              </w:rPr>
              <w:t xml:space="preserve"> l</w:t>
            </w:r>
            <w:r w:rsidRPr="00E027E7">
              <w:rPr>
                <w:rFonts w:ascii="Arial" w:hAnsi="Arial" w:cs="Arial"/>
                <w:sz w:val="16"/>
                <w:szCs w:val="16"/>
              </w:rPr>
              <w:t>os</w:t>
            </w:r>
            <w:r>
              <w:rPr>
                <w:rFonts w:ascii="Arial" w:hAnsi="Arial" w:cs="Arial"/>
                <w:sz w:val="16"/>
                <w:szCs w:val="16"/>
              </w:rPr>
              <w:t xml:space="preserve"> valores de utilidad no fueron reportados en el estudio FLAURA por lo que estos datos fueron extraídos de otras publicaciones disponibles en la literatura en los distintos escenarios de la enfermedad en este subtipo de pacientes: utilidad del estado libre de progresión durante la primera línea con el tratamiento con el ITK (0,770), utilidad del estado de progresión durante el tratamiento con un ITK en segunda línea (0,673) y utilidad del estado de progresión durante el tratamiento de segunda línea con quimioterapia o inmunoterapia (0,653) y tratamiento de soporte al final de la vida (0,473).</w:t>
            </w:r>
          </w:p>
          <w:p w:rsidR="00DD1521" w:rsidRDefault="00DD1521">
            <w:pPr>
              <w:pStyle w:val="Normal1"/>
              <w:spacing w:after="0" w:line="240" w:lineRule="auto"/>
              <w:jc w:val="both"/>
            </w:pPr>
            <w:r>
              <w:rPr>
                <w:rFonts w:ascii="Arial" w:hAnsi="Arial" w:cs="Arial"/>
                <w:sz w:val="16"/>
                <w:szCs w:val="16"/>
              </w:rPr>
              <w:t xml:space="preserve">- </w:t>
            </w:r>
            <w:r>
              <w:rPr>
                <w:rFonts w:ascii="Arial" w:hAnsi="Arial" w:cs="Arial"/>
                <w:b/>
                <w:bCs/>
                <w:sz w:val="16"/>
                <w:szCs w:val="16"/>
              </w:rPr>
              <w:t>Análisis de sensibilidad</w:t>
            </w:r>
            <w:r>
              <w:rPr>
                <w:rFonts w:ascii="Arial" w:hAnsi="Arial" w:cs="Arial"/>
                <w:sz w:val="16"/>
                <w:szCs w:val="16"/>
              </w:rPr>
              <w:t>: univariante y probabilístico.</w:t>
            </w:r>
          </w:p>
          <w:p w:rsidR="00DD1521" w:rsidRDefault="00DD1521">
            <w:pPr>
              <w:pStyle w:val="Normal1"/>
              <w:spacing w:after="0" w:line="240" w:lineRule="auto"/>
              <w:jc w:val="both"/>
            </w:pPr>
            <w:r>
              <w:rPr>
                <w:rFonts w:ascii="Arial" w:hAnsi="Arial" w:cs="Arial"/>
                <w:sz w:val="16"/>
                <w:szCs w:val="16"/>
              </w:rPr>
              <w:t>-</w:t>
            </w:r>
            <w:r>
              <w:rPr>
                <w:rFonts w:ascii="Arial" w:hAnsi="Arial" w:cs="Arial"/>
                <w:b/>
                <w:bCs/>
                <w:sz w:val="16"/>
                <w:szCs w:val="16"/>
              </w:rPr>
              <w:t xml:space="preserve"> Conflicto de intereses: </w:t>
            </w:r>
            <w:r>
              <w:rPr>
                <w:rFonts w:ascii="Arial" w:hAnsi="Arial" w:cs="Arial"/>
                <w:sz w:val="16"/>
                <w:szCs w:val="16"/>
              </w:rPr>
              <w:t xml:space="preserve">los autores declararon no tener conflicto de intereses con ninguno de los laboratorios responsables de la comercialización de los fármacos evaluados en el estudio. </w:t>
            </w:r>
          </w:p>
        </w:tc>
      </w:tr>
      <w:tr w:rsidR="00DD1521">
        <w:tc>
          <w:tcPr>
            <w:tcW w:w="1590" w:type="dxa"/>
            <w:tcBorders>
              <w:top w:val="single" w:sz="4" w:space="0" w:color="000000"/>
              <w:left w:val="single" w:sz="4" w:space="0" w:color="000000"/>
              <w:bottom w:val="single" w:sz="4" w:space="0" w:color="000000"/>
            </w:tcBorders>
            <w:shd w:val="clear" w:color="auto" w:fill="D9D9D9"/>
          </w:tcPr>
          <w:p w:rsidR="00DD1521" w:rsidRDefault="00DD1521">
            <w:pPr>
              <w:pStyle w:val="Normal1"/>
              <w:spacing w:after="0" w:line="240" w:lineRule="auto"/>
            </w:pPr>
            <w:r>
              <w:rPr>
                <w:rFonts w:ascii="Arial" w:hAnsi="Arial" w:cs="Arial"/>
                <w:b/>
                <w:bCs/>
                <w:sz w:val="16"/>
                <w:szCs w:val="16"/>
              </w:rPr>
              <w:t>COSTES</w:t>
            </w:r>
          </w:p>
        </w:tc>
        <w:tc>
          <w:tcPr>
            <w:tcW w:w="1500"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pPr>
            <w:r>
              <w:rPr>
                <w:rFonts w:ascii="Arial" w:hAnsi="Arial" w:cs="Arial"/>
                <w:b/>
                <w:bCs/>
                <w:sz w:val="16"/>
                <w:szCs w:val="16"/>
              </w:rPr>
              <w:t>Osimertinib</w:t>
            </w:r>
          </w:p>
        </w:tc>
        <w:tc>
          <w:tcPr>
            <w:tcW w:w="1245"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Gefitinib</w:t>
            </w:r>
          </w:p>
        </w:tc>
        <w:tc>
          <w:tcPr>
            <w:tcW w:w="1260"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pPr>
            <w:r>
              <w:rPr>
                <w:rFonts w:ascii="Arial" w:hAnsi="Arial" w:cs="Arial"/>
                <w:b/>
                <w:bCs/>
                <w:sz w:val="16"/>
                <w:szCs w:val="16"/>
              </w:rPr>
              <w:t>Afatinib</w:t>
            </w:r>
          </w:p>
        </w:tc>
        <w:tc>
          <w:tcPr>
            <w:tcW w:w="3390"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pStyle w:val="Normal1"/>
              <w:spacing w:after="0" w:line="240" w:lineRule="auto"/>
            </w:pPr>
            <w:r>
              <w:rPr>
                <w:rFonts w:ascii="Arial" w:hAnsi="Arial" w:cs="Arial"/>
                <w:b/>
                <w:bCs/>
                <w:sz w:val="16"/>
                <w:szCs w:val="16"/>
              </w:rPr>
              <w:t>Diferencia de costes</w:t>
            </w:r>
          </w:p>
        </w:tc>
      </w:tr>
      <w:tr w:rsidR="00DD1521">
        <w:tc>
          <w:tcPr>
            <w:tcW w:w="159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pPr>
            <w:r>
              <w:rPr>
                <w:rFonts w:ascii="Arial" w:hAnsi="Arial" w:cs="Arial"/>
                <w:sz w:val="16"/>
                <w:szCs w:val="16"/>
              </w:rPr>
              <w:t>Coste tratamiento una semana</w:t>
            </w:r>
          </w:p>
        </w:tc>
        <w:tc>
          <w:tcPr>
            <w:tcW w:w="150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pPr>
            <w:r>
              <w:rPr>
                <w:rFonts w:ascii="Arial" w:hAnsi="Arial" w:cs="Arial"/>
                <w:sz w:val="16"/>
                <w:szCs w:val="16"/>
              </w:rPr>
              <w:t>2063 $ ( 1362 €)</w:t>
            </w:r>
            <w:r>
              <w:rPr>
                <w:rFonts w:ascii="Arial" w:hAnsi="Arial" w:cs="Arial"/>
                <w:sz w:val="16"/>
                <w:szCs w:val="16"/>
                <w:vertAlign w:val="superscript"/>
              </w:rPr>
              <w:t>*</w:t>
            </w:r>
          </w:p>
        </w:tc>
        <w:tc>
          <w:tcPr>
            <w:tcW w:w="124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653 $ (431 €)</w:t>
            </w:r>
          </w:p>
        </w:tc>
        <w:tc>
          <w:tcPr>
            <w:tcW w:w="126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pPr>
            <w:r>
              <w:rPr>
                <w:rFonts w:ascii="Arial" w:hAnsi="Arial" w:cs="Arial"/>
                <w:sz w:val="16"/>
                <w:szCs w:val="16"/>
              </w:rPr>
              <w:t>541 $ (357 €)</w:t>
            </w:r>
            <w:r>
              <w:rPr>
                <w:rFonts w:ascii="Arial" w:hAnsi="Arial" w:cs="Arial"/>
                <w:sz w:val="16"/>
                <w:szCs w:val="16"/>
                <w:vertAlign w:val="superscript"/>
              </w:rPr>
              <w:t>*</w:t>
            </w:r>
          </w:p>
        </w:tc>
        <w:tc>
          <w:tcPr>
            <w:tcW w:w="3390"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sz w:val="16"/>
                <w:szCs w:val="16"/>
                <w:vertAlign w:val="superscript"/>
              </w:rPr>
            </w:pPr>
          </w:p>
        </w:tc>
      </w:tr>
      <w:tr w:rsidR="00DD1521">
        <w:tc>
          <w:tcPr>
            <w:tcW w:w="159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rPr>
                <w:rFonts w:ascii="Arial" w:hAnsi="Arial" w:cs="Arial"/>
                <w:sz w:val="16"/>
                <w:szCs w:val="16"/>
              </w:rPr>
            </w:pPr>
            <w:r>
              <w:rPr>
                <w:rFonts w:ascii="Arial" w:hAnsi="Arial" w:cs="Arial"/>
                <w:sz w:val="16"/>
                <w:szCs w:val="16"/>
              </w:rPr>
              <w:t>Coste total</w:t>
            </w:r>
          </w:p>
        </w:tc>
        <w:tc>
          <w:tcPr>
            <w:tcW w:w="150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24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26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3390"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sz w:val="16"/>
                <w:szCs w:val="16"/>
                <w:vertAlign w:val="superscript"/>
              </w:rPr>
            </w:pPr>
            <w:r>
              <w:rPr>
                <w:rFonts w:ascii="Arial" w:hAnsi="Arial" w:cs="Arial"/>
                <w:b/>
                <w:bCs/>
                <w:sz w:val="16"/>
                <w:szCs w:val="16"/>
              </w:rPr>
              <w:t>Coste incremental presentado en el análisis:</w:t>
            </w:r>
            <w:r>
              <w:rPr>
                <w:rFonts w:ascii="Arial" w:hAnsi="Arial" w:cs="Arial"/>
                <w:sz w:val="16"/>
                <w:szCs w:val="16"/>
              </w:rPr>
              <w:t xml:space="preserve"> 176.394 $ (116.420 €)</w:t>
            </w:r>
          </w:p>
        </w:tc>
      </w:tr>
      <w:tr w:rsidR="00DD1521">
        <w:tc>
          <w:tcPr>
            <w:tcW w:w="1590" w:type="dxa"/>
            <w:tcBorders>
              <w:top w:val="single" w:sz="4" w:space="0" w:color="000000"/>
              <w:left w:val="single" w:sz="4" w:space="0" w:color="000000"/>
              <w:bottom w:val="single" w:sz="4" w:space="0" w:color="000000"/>
            </w:tcBorders>
            <w:shd w:val="clear" w:color="auto" w:fill="D9D9D9"/>
          </w:tcPr>
          <w:p w:rsidR="00DD1521" w:rsidRDefault="00DD1521">
            <w:pPr>
              <w:pStyle w:val="Normal1"/>
              <w:spacing w:after="0" w:line="240" w:lineRule="auto"/>
            </w:pPr>
            <w:r>
              <w:rPr>
                <w:rFonts w:ascii="Arial" w:hAnsi="Arial" w:cs="Arial"/>
                <w:b/>
                <w:bCs/>
                <w:sz w:val="16"/>
                <w:szCs w:val="16"/>
              </w:rPr>
              <w:t>EFECTOS</w:t>
            </w:r>
          </w:p>
        </w:tc>
        <w:tc>
          <w:tcPr>
            <w:tcW w:w="1500"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pPr>
            <w:r>
              <w:rPr>
                <w:rFonts w:ascii="Arial" w:hAnsi="Arial" w:cs="Arial"/>
                <w:b/>
                <w:bCs/>
                <w:sz w:val="16"/>
                <w:szCs w:val="16"/>
              </w:rPr>
              <w:t>Osimertinib</w:t>
            </w:r>
          </w:p>
        </w:tc>
        <w:tc>
          <w:tcPr>
            <w:tcW w:w="1245"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Gefitinib</w:t>
            </w:r>
          </w:p>
        </w:tc>
        <w:tc>
          <w:tcPr>
            <w:tcW w:w="1260"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pPr>
            <w:r>
              <w:rPr>
                <w:rFonts w:ascii="Arial" w:hAnsi="Arial" w:cs="Arial"/>
                <w:b/>
                <w:bCs/>
                <w:sz w:val="16"/>
                <w:szCs w:val="16"/>
              </w:rPr>
              <w:t>Afatinib</w:t>
            </w:r>
          </w:p>
        </w:tc>
        <w:tc>
          <w:tcPr>
            <w:tcW w:w="3390"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pStyle w:val="Normal1"/>
              <w:spacing w:after="0" w:line="240" w:lineRule="auto"/>
            </w:pPr>
            <w:r>
              <w:rPr>
                <w:rFonts w:ascii="Arial" w:hAnsi="Arial" w:cs="Arial"/>
                <w:b/>
                <w:bCs/>
                <w:sz w:val="16"/>
                <w:szCs w:val="16"/>
              </w:rPr>
              <w:t>Diferencia de eficacia</w:t>
            </w:r>
          </w:p>
        </w:tc>
      </w:tr>
      <w:tr w:rsidR="00DD1521">
        <w:tc>
          <w:tcPr>
            <w:tcW w:w="1590" w:type="dxa"/>
            <w:tcBorders>
              <w:top w:val="single" w:sz="4" w:space="0" w:color="000000"/>
              <w:left w:val="single" w:sz="4" w:space="0" w:color="000000"/>
              <w:bottom w:val="single" w:sz="4" w:space="0" w:color="000000"/>
            </w:tcBorders>
          </w:tcPr>
          <w:p w:rsidR="00DD1521" w:rsidRDefault="00DD1521">
            <w:pPr>
              <w:pStyle w:val="Normal1"/>
              <w:spacing w:after="0" w:line="240" w:lineRule="auto"/>
            </w:pPr>
            <w:r>
              <w:rPr>
                <w:rFonts w:ascii="Arial" w:hAnsi="Arial" w:cs="Arial"/>
                <w:sz w:val="16"/>
                <w:szCs w:val="16"/>
              </w:rPr>
              <w:t>AV</w:t>
            </w:r>
          </w:p>
        </w:tc>
        <w:tc>
          <w:tcPr>
            <w:tcW w:w="150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24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26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3390"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pPr>
            <w:r>
              <w:rPr>
                <w:rFonts w:ascii="Arial" w:hAnsi="Arial" w:cs="Arial"/>
                <w:b/>
                <w:bCs/>
                <w:sz w:val="16"/>
                <w:szCs w:val="16"/>
              </w:rPr>
              <w:t>AV ganados: 1,04</w:t>
            </w:r>
          </w:p>
        </w:tc>
      </w:tr>
      <w:tr w:rsidR="00DD1521">
        <w:tc>
          <w:tcPr>
            <w:tcW w:w="1590" w:type="dxa"/>
            <w:tcBorders>
              <w:top w:val="single" w:sz="4" w:space="0" w:color="000000"/>
              <w:left w:val="single" w:sz="4" w:space="0" w:color="000000"/>
              <w:bottom w:val="single" w:sz="4" w:space="0" w:color="000000"/>
            </w:tcBorders>
          </w:tcPr>
          <w:p w:rsidR="00DD1521" w:rsidRDefault="00DD1521">
            <w:pPr>
              <w:pStyle w:val="Normal1"/>
              <w:spacing w:after="0" w:line="240" w:lineRule="auto"/>
            </w:pPr>
            <w:r>
              <w:rPr>
                <w:rFonts w:ascii="Arial" w:hAnsi="Arial" w:cs="Arial"/>
                <w:sz w:val="16"/>
                <w:szCs w:val="16"/>
              </w:rPr>
              <w:t>AVAC</w:t>
            </w:r>
          </w:p>
        </w:tc>
        <w:tc>
          <w:tcPr>
            <w:tcW w:w="150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24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26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3390"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pPr>
            <w:r>
              <w:rPr>
                <w:rFonts w:ascii="Arial" w:hAnsi="Arial" w:cs="Arial"/>
                <w:b/>
                <w:bCs/>
                <w:sz w:val="16"/>
                <w:szCs w:val="16"/>
              </w:rPr>
              <w:t>AVAC ganados: 0,79</w:t>
            </w:r>
          </w:p>
        </w:tc>
      </w:tr>
      <w:tr w:rsidR="00DD1521">
        <w:tc>
          <w:tcPr>
            <w:tcW w:w="5595" w:type="dxa"/>
            <w:gridSpan w:val="4"/>
            <w:tcBorders>
              <w:top w:val="single" w:sz="4" w:space="0" w:color="000000"/>
              <w:left w:val="single" w:sz="4" w:space="0" w:color="000000"/>
              <w:bottom w:val="single" w:sz="4" w:space="0" w:color="000000"/>
            </w:tcBorders>
            <w:shd w:val="clear" w:color="auto" w:fill="D9D9D9"/>
          </w:tcPr>
          <w:p w:rsidR="00DD1521" w:rsidRDefault="00DD1521">
            <w:pPr>
              <w:pStyle w:val="Normal1"/>
              <w:spacing w:after="0" w:line="240" w:lineRule="auto"/>
            </w:pPr>
            <w:r>
              <w:rPr>
                <w:rFonts w:ascii="Arial" w:hAnsi="Arial" w:cs="Arial"/>
                <w:b/>
                <w:bCs/>
                <w:sz w:val="16"/>
                <w:szCs w:val="16"/>
              </w:rPr>
              <w:t xml:space="preserve">COSTE-EFECTIVIDAD INCREMENTAL </w:t>
            </w:r>
          </w:p>
        </w:tc>
        <w:tc>
          <w:tcPr>
            <w:tcW w:w="3390"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pStyle w:val="Normal1"/>
              <w:spacing w:after="0" w:line="240" w:lineRule="auto"/>
            </w:pPr>
            <w:r>
              <w:rPr>
                <w:rFonts w:ascii="Arial" w:hAnsi="Arial" w:cs="Arial"/>
                <w:b/>
                <w:bCs/>
                <w:sz w:val="16"/>
                <w:szCs w:val="16"/>
              </w:rPr>
              <w:t xml:space="preserve">RCEI </w:t>
            </w:r>
          </w:p>
        </w:tc>
      </w:tr>
      <w:tr w:rsidR="00DD1521">
        <w:tc>
          <w:tcPr>
            <w:tcW w:w="5595" w:type="dxa"/>
            <w:gridSpan w:val="4"/>
            <w:tcBorders>
              <w:top w:val="single" w:sz="4" w:space="0" w:color="000000"/>
              <w:left w:val="single" w:sz="4" w:space="0" w:color="000000"/>
              <w:bottom w:val="single" w:sz="4" w:space="0" w:color="000000"/>
            </w:tcBorders>
          </w:tcPr>
          <w:p w:rsidR="00DD1521" w:rsidRDefault="00DD1521">
            <w:pPr>
              <w:pStyle w:val="Normal1"/>
              <w:spacing w:after="0" w:line="240" w:lineRule="auto"/>
            </w:pPr>
            <w:r>
              <w:rPr>
                <w:rFonts w:ascii="Arial" w:hAnsi="Arial" w:cs="Arial"/>
                <w:b/>
                <w:bCs/>
                <w:sz w:val="16"/>
                <w:szCs w:val="16"/>
              </w:rPr>
              <w:t>Caso base: osimertiniv vs gefitinib/afatinib</w:t>
            </w:r>
          </w:p>
        </w:tc>
        <w:tc>
          <w:tcPr>
            <w:tcW w:w="3390"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pPr>
            <w:r>
              <w:rPr>
                <w:rFonts w:ascii="Arial" w:hAnsi="Arial" w:cs="Arial"/>
                <w:sz w:val="16"/>
                <w:szCs w:val="16"/>
              </w:rPr>
              <w:t>223.133 $ /AVAC ganado ( 147.267,78 €/AVAC ganado)</w:t>
            </w:r>
            <w:r>
              <w:rPr>
                <w:rFonts w:ascii="Arial" w:hAnsi="Arial" w:cs="Arial"/>
                <w:sz w:val="16"/>
                <w:szCs w:val="16"/>
                <w:vertAlign w:val="superscript"/>
              </w:rPr>
              <w:t>*</w:t>
            </w:r>
          </w:p>
        </w:tc>
      </w:tr>
      <w:tr w:rsidR="00DD1521">
        <w:tc>
          <w:tcPr>
            <w:tcW w:w="8985" w:type="dxa"/>
            <w:gridSpan w:val="5"/>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pPr>
            <w:r>
              <w:rPr>
                <w:rFonts w:ascii="Arial" w:hAnsi="Arial" w:cs="Arial"/>
                <w:sz w:val="16"/>
                <w:szCs w:val="16"/>
                <w:vertAlign w:val="superscript"/>
              </w:rPr>
              <w:t>*</w:t>
            </w:r>
            <w:r>
              <w:rPr>
                <w:rFonts w:ascii="Arial" w:hAnsi="Arial" w:cs="Arial"/>
                <w:sz w:val="16"/>
                <w:szCs w:val="16"/>
              </w:rPr>
              <w:t xml:space="preserve"> Factor de conversión de moneda: 1$ = 0,66 € (fecha: 30/11/2018). ND: no disponible</w:t>
            </w:r>
          </w:p>
          <w:p w:rsidR="00DD1521" w:rsidRDefault="00DD1521">
            <w:pPr>
              <w:pStyle w:val="Normal1"/>
              <w:spacing w:after="0" w:line="240" w:lineRule="auto"/>
            </w:pPr>
            <w:r>
              <w:rPr>
                <w:rFonts w:ascii="Arial" w:hAnsi="Arial" w:cs="Arial"/>
                <w:sz w:val="16"/>
                <w:szCs w:val="16"/>
              </w:rPr>
              <w:t xml:space="preserve">AV: años de vida. AVAC: años de vida ajustados por calidad. RCEI: ratio coste-efectividad incremental. </w:t>
            </w:r>
          </w:p>
        </w:tc>
      </w:tr>
    </w:tbl>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En este estudio se realiza un análisis coste-efectividad y coste utilidad de osimertinib frente a gefitinib o afatinib en el tratamiento de primera línea del CPNM avanzado o metastásico con mutación EGFR positiva. Los autores realizan un análisis farmacoeconómico aplicando un modelo de Markov con un horizonte temporal de 10 años en el que definen seis posibles estados de salud: libre de progresión en primera línea con osimertinib, post-progresión en segunda línea con quimioterapia basada en doblete de platino, en tercera línea con docetaxel, en cuarta línea con inmunoterapia y con la mejor terapia de soporte y muerte. Para el comparador afatinib/gefitinib se incluyó un estado de salud adicional que incluyó la post-progresión en segunda línea con osimertinib en pacientes con mutación T790M positiva. </w:t>
      </w:r>
    </w:p>
    <w:p w:rsidR="00DD1521" w:rsidRDefault="00DD1521">
      <w:pPr>
        <w:pStyle w:val="Normal1"/>
        <w:spacing w:after="0" w:line="240" w:lineRule="auto"/>
        <w:jc w:val="both"/>
        <w:rPr>
          <w:rFonts w:ascii="Arial" w:eastAsia="Arial Unicode MS" w:hAnsi="Arial"/>
          <w:sz w:val="20"/>
          <w:szCs w:val="20"/>
        </w:rPr>
      </w:pPr>
    </w:p>
    <w:p w:rsidR="00DD1521" w:rsidRDefault="00DD1521">
      <w:pPr>
        <w:pStyle w:val="Normal1"/>
        <w:spacing w:after="0" w:line="240" w:lineRule="auto"/>
        <w:jc w:val="both"/>
        <w:rPr>
          <w:rFonts w:ascii="Arial" w:hAnsi="Arial" w:cs="Arial"/>
          <w:sz w:val="20"/>
          <w:szCs w:val="20"/>
        </w:rPr>
      </w:pPr>
      <w:r>
        <w:rPr>
          <w:rFonts w:ascii="Arial" w:eastAsia="Arial Unicode MS" w:hAnsi="Arial" w:cs="Arial"/>
          <w:sz w:val="20"/>
          <w:szCs w:val="20"/>
        </w:rPr>
        <w:t xml:space="preserve">Para realizar el análisis tuvieron en cuenta los siguientes costes directos: precio de adquisición de los medicamentos, costes relacionados con la preparación, administración y monitorización de la eficacia del tratamiento (pruebas de laboratorio y de imagen), coste de los test para determinar la mutación de EGFR y T790M, coste relacionado con el manejo de las toxicidades ≥ 3 con una prevalencia ≥ 10%, costes en la etapa al final de la vida. La fuente de datos de eficacia fueron las curvas de SLP y SG del estudio FLAURA. Para determinar la incertidumbre del modelo aplicado fue llevado a cabo un análisis de sensibilidad.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lastRenderedPageBreak/>
        <w:t>El análisis del caso base de osimertinib frente a gefitinib/afatinib mostró una ganancia de 1,04 AV y 0,79 AVAC y un coste incremental de 176.394 $. El RCEI estimado fue de 223.133 $.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El análisis de sensibilidad fue basado en 10.000 simulaciones del modelo probabilístico. El RCEI probabilístico fue de 225,335 $ por AVAC ganado, que se compara con 223.133 $ obtenido en el análisis determinista (una diferencia en el RCEI &lt;1%). Todos los resultados de la simulación cayeron en el cuadrante "más costoso y más efectivo" del plano coste-efectividad, cayendo todas las iteraciones por encima del umbral de 100,000 $. Osimertinib obtuvo un 0% de probabilidad de ser rentable en un umbral de disposición a pagar de 100.000 $.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Los autores concluyen que osimertinib presenta un beneficio clínico relevante en términos de AVAC, sin embargo no se considera un fármaco coste-efectivo debido a superar el umbral coste-efectividad definido en Canadá. Los autores también sugieren que una reducción del precio de un 20-25% podría mejorar de forma significativa el perfil coste-efectividad de osimertinib.</w:t>
      </w:r>
    </w:p>
    <w:p w:rsidR="00DD1521" w:rsidRDefault="00DD1521">
      <w:pPr>
        <w:pStyle w:val="Normal1"/>
        <w:spacing w:after="0" w:line="240" w:lineRule="auto"/>
        <w:jc w:val="both"/>
        <w:rPr>
          <w:rFonts w:ascii="Arial" w:hAnsi="Arial" w:cs="Arial"/>
          <w:b/>
          <w:bCs/>
          <w:sz w:val="20"/>
          <w:szCs w:val="20"/>
          <w:u w:val="single"/>
        </w:rPr>
      </w:pPr>
    </w:p>
    <w:p w:rsidR="00DD1521" w:rsidRPr="00707D72" w:rsidRDefault="00DD1521">
      <w:pPr>
        <w:pStyle w:val="Normal1"/>
        <w:spacing w:after="0" w:line="240" w:lineRule="auto"/>
        <w:jc w:val="both"/>
        <w:rPr>
          <w:rFonts w:ascii="Arial" w:hAnsi="Arial" w:cs="Arial"/>
          <w:bCs/>
          <w:sz w:val="20"/>
          <w:szCs w:val="20"/>
          <w:u w:val="single"/>
        </w:rPr>
      </w:pPr>
      <w:r w:rsidRPr="00707D72">
        <w:rPr>
          <w:rFonts w:ascii="Arial" w:hAnsi="Arial" w:cs="Arial"/>
          <w:bCs/>
          <w:sz w:val="20"/>
          <w:szCs w:val="20"/>
          <w:u w:val="single"/>
        </w:rPr>
        <w:t>Revisión crítica y aplicabilidad de la evaluación económica de Ezeife et al.</w:t>
      </w:r>
    </w:p>
    <w:p w:rsidR="00DD1521" w:rsidRDefault="00DD1521">
      <w:pPr>
        <w:pStyle w:val="Normal1"/>
        <w:spacing w:after="0" w:line="240" w:lineRule="auto"/>
        <w:jc w:val="both"/>
        <w:rPr>
          <w:rFonts w:ascii="Arial" w:hAnsi="Arial" w:cs="Arial"/>
          <w:sz w:val="20"/>
          <w:szCs w:val="20"/>
          <w:u w:val="single"/>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VALIDEZ INTERNA</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t>El análisis económico realizado asume una transición homogénea de probabilidades entre los distintos estados de salud y en los costes, aspecto que puede variar de forma significativa el ratio coste-efectividad</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t xml:space="preserve">Incertidumbre en el modelo debido a que </w:t>
      </w:r>
      <w:r w:rsidR="00E172A8">
        <w:rPr>
          <w:rFonts w:ascii="Arial" w:hAnsi="Arial" w:cs="Arial"/>
          <w:sz w:val="20"/>
          <w:szCs w:val="20"/>
        </w:rPr>
        <w:t>la extrapolación de los datos de SG procede</w:t>
      </w:r>
      <w:r>
        <w:rPr>
          <w:rFonts w:ascii="Arial" w:hAnsi="Arial" w:cs="Arial"/>
          <w:sz w:val="20"/>
          <w:szCs w:val="20"/>
        </w:rPr>
        <w:t xml:space="preserve"> de los datos inmaduros obtenidos del ensayo clínico FLAURA. </w:t>
      </w:r>
    </w:p>
    <w:p w:rsidR="00DD1521" w:rsidRDefault="00DD1521">
      <w:pPr>
        <w:pStyle w:val="Normal1"/>
        <w:spacing w:after="0" w:line="240" w:lineRule="auto"/>
        <w:ind w:left="720"/>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VALIDEZ EXTERNA</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t>Ausencia del comparador erlotinib, fármaco utilizado habitualmente en práctica clínica.</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t>Diferencias existentes respecto a los costes de adquisición de los medicamentos y resto de costes directos considerados en el análisis.</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t>Valores de utilidad de los estados de salud determinados en población diferente a la española</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t xml:space="preserve">En el análisis farmacoeconómico presentado, la inmunoterapia se posiciona la última opción de tratamiento después de docetaxel, sin embargo, en condiciones de práctica clínica ésta se administraría después de la quimioterapia con el doblete de platino.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rPr>
          <w:rFonts w:ascii="Arial" w:hAnsi="Arial" w:cs="Arial"/>
          <w:b/>
          <w:bCs/>
          <w:sz w:val="20"/>
          <w:szCs w:val="20"/>
        </w:rPr>
      </w:pPr>
      <w:r>
        <w:rPr>
          <w:rFonts w:ascii="Arial" w:hAnsi="Arial" w:cs="Arial"/>
          <w:b/>
          <w:bCs/>
          <w:sz w:val="20"/>
          <w:szCs w:val="20"/>
        </w:rPr>
        <w:t xml:space="preserve">Informe de evaluación económica de la CADTH </w:t>
      </w:r>
      <w:r>
        <w:rPr>
          <w:rFonts w:ascii="Arial" w:hAnsi="Arial" w:cs="Arial"/>
          <w:b/>
          <w:bCs/>
          <w:sz w:val="20"/>
          <w:szCs w:val="20"/>
        </w:rPr>
        <w:fldChar w:fldCharType="begin"/>
      </w:r>
      <w:r>
        <w:rPr>
          <w:rFonts w:ascii="Arial" w:hAnsi="Arial" w:cs="Arial"/>
          <w:b/>
          <w:bCs/>
          <w:sz w:val="20"/>
          <w:szCs w:val="20"/>
        </w:rPr>
        <w:instrText xml:space="preserve"> ADDIN ZOTERO_ITEM CSL_CITATION {"citationID":"CSSZ8VFX","properties":{"formattedCitation":"(53)","plainCitation":"(53)"},"citationItems":[{"id":1066,"uris":["http://zotero.org/users/local/zrSbuHrK/items/G7IHEK54"],"uri":["http://zotero.org/users/local/zrSbuHrK/items/G7IHEK54"],"itemData":{"id":1066,"type":"webpage","title":"pcodr_osimertinib_tagrisso_nsclc_fn_egr.pdf","URL":"https://www.cadth.ca/sites/default/files/pcodr/pcodr_osimertinib_tagrisso_nsclc_fn_egr.pdf","accessed":{"date-parts":[["2018",12,5]]}}}],"schema":"https://github.com/citation-style-language/schema/raw/master/csl-citation.json"} </w:instrText>
      </w:r>
      <w:r>
        <w:rPr>
          <w:rFonts w:ascii="Arial" w:hAnsi="Arial" w:cs="Arial"/>
          <w:b/>
          <w:bCs/>
          <w:sz w:val="20"/>
          <w:szCs w:val="20"/>
        </w:rPr>
        <w:fldChar w:fldCharType="separate"/>
      </w:r>
      <w:r>
        <w:rPr>
          <w:rFonts w:ascii="Arial" w:hAnsi="Arial" w:cs="Arial"/>
          <w:b/>
          <w:bCs/>
          <w:sz w:val="20"/>
          <w:szCs w:val="20"/>
        </w:rPr>
        <w:t>(44)</w:t>
      </w:r>
      <w:r>
        <w:rPr>
          <w:rFonts w:ascii="Arial" w:hAnsi="Arial" w:cs="Arial"/>
          <w:b/>
          <w:bCs/>
          <w:sz w:val="20"/>
          <w:szCs w:val="20"/>
        </w:rPr>
        <w:fldChar w:fldCharType="end"/>
      </w:r>
      <w:r>
        <w:rPr>
          <w:rFonts w:ascii="Arial" w:hAnsi="Arial" w:cs="Arial"/>
          <w:b/>
          <w:bCs/>
          <w:sz w:val="20"/>
          <w:szCs w:val="20"/>
        </w:rPr>
        <w:t>.</w:t>
      </w:r>
    </w:p>
    <w:p w:rsidR="00DD1521" w:rsidRDefault="00DD1521">
      <w:pPr>
        <w:pStyle w:val="Normal1"/>
        <w:spacing w:after="0" w:line="240" w:lineRule="auto"/>
        <w:rPr>
          <w:rFonts w:ascii="Arial" w:hAnsi="Arial" w:cs="Arial"/>
          <w:b/>
          <w:bCs/>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A fecha del 01/11/2018 se encuentra disponible la versión provisional del informe de evaluación económica de la CADTH (pCODR), basado en el análisis coste-utilidad proporcionado por el laboratorio titular de la autorización de comercialización de osimertinib. El análisis proporcionado por el laboratorio comparó el coste-efectividad y coste-utilidad de osimertinib frente a gefitinib o afatinib en el tratamiento de primera línea del CPNM en pacientes con mutación EGFR positiva.  </w:t>
      </w:r>
    </w:p>
    <w:p w:rsidR="00DD1521" w:rsidRDefault="00DD1521">
      <w:pPr>
        <w:pStyle w:val="Normal1"/>
        <w:spacing w:after="0" w:line="240" w:lineRule="auto"/>
        <w:jc w:val="both"/>
        <w:rPr>
          <w:rFonts w:ascii="Arial" w:hAnsi="Arial" w:cs="Arial"/>
          <w:b/>
          <w:bCs/>
          <w:sz w:val="20"/>
          <w:szCs w:val="20"/>
        </w:rPr>
      </w:pPr>
    </w:p>
    <w:tbl>
      <w:tblPr>
        <w:tblW w:w="8985" w:type="dxa"/>
        <w:tblInd w:w="-106" w:type="dxa"/>
        <w:tblLayout w:type="fixed"/>
        <w:tblLook w:val="00A0" w:firstRow="1" w:lastRow="0" w:firstColumn="1" w:lastColumn="0" w:noHBand="0" w:noVBand="0"/>
      </w:tblPr>
      <w:tblGrid>
        <w:gridCol w:w="1140"/>
        <w:gridCol w:w="1380"/>
        <w:gridCol w:w="1185"/>
        <w:gridCol w:w="1170"/>
        <w:gridCol w:w="1095"/>
        <w:gridCol w:w="3015"/>
      </w:tblGrid>
      <w:tr w:rsidR="00DD1521">
        <w:tc>
          <w:tcPr>
            <w:tcW w:w="8985" w:type="dxa"/>
            <w:gridSpan w:val="6"/>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pStyle w:val="Normal1"/>
              <w:spacing w:after="0" w:line="240" w:lineRule="auto"/>
            </w:pPr>
            <w:r>
              <w:rPr>
                <w:rFonts w:ascii="Arial" w:hAnsi="Arial" w:cs="Arial"/>
                <w:sz w:val="20"/>
                <w:szCs w:val="20"/>
              </w:rPr>
              <w:t xml:space="preserve"> </w:t>
            </w:r>
            <w:r>
              <w:rPr>
                <w:rFonts w:ascii="Arial" w:hAnsi="Arial" w:cs="Arial"/>
                <w:b/>
                <w:bCs/>
                <w:sz w:val="18"/>
                <w:szCs w:val="18"/>
              </w:rPr>
              <w:t>Tabla 17. Informe de evaluación económica de la CADTH</w:t>
            </w:r>
          </w:p>
        </w:tc>
      </w:tr>
      <w:tr w:rsidR="00DD1521">
        <w:tc>
          <w:tcPr>
            <w:tcW w:w="8985" w:type="dxa"/>
            <w:gridSpan w:val="6"/>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pStyle w:val="Normal1"/>
              <w:spacing w:after="0" w:line="240" w:lineRule="auto"/>
              <w:jc w:val="both"/>
              <w:rPr>
                <w:rFonts w:ascii="Arial" w:hAnsi="Arial" w:cs="Arial"/>
                <w:sz w:val="16"/>
                <w:szCs w:val="16"/>
              </w:rPr>
            </w:pPr>
            <w:r>
              <w:rPr>
                <w:rFonts w:ascii="Arial" w:hAnsi="Arial" w:cs="Arial"/>
                <w:b/>
                <w:bCs/>
                <w:sz w:val="16"/>
                <w:szCs w:val="16"/>
                <w:lang w:val="en-US"/>
              </w:rPr>
              <w:t>Referencia</w:t>
            </w:r>
            <w:r>
              <w:rPr>
                <w:rFonts w:ascii="Arial" w:hAnsi="Arial" w:cs="Arial"/>
                <w:sz w:val="16"/>
                <w:szCs w:val="16"/>
                <w:lang w:val="en-US"/>
              </w:rPr>
              <w:t xml:space="preserve">: Canadian Agency for Drugs and Technologies in Health. Pan-Canadian Oncology Drug Review Inicial Economic Guidance Report Osimertinib (Tagrisso® ) for Non-Small Cell Lung Cancer [Internet]. Ottawa: Canadian Agency for Drugs and Technologies in Health; 2018. [citado 10 de noviembre de 2018]. </w:t>
            </w:r>
            <w:r>
              <w:rPr>
                <w:rFonts w:ascii="Arial" w:hAnsi="Arial" w:cs="Arial"/>
                <w:sz w:val="16"/>
                <w:szCs w:val="16"/>
              </w:rPr>
              <w:t>Disponible en: https://www.cadth.ca</w:t>
            </w:r>
          </w:p>
        </w:tc>
      </w:tr>
      <w:tr w:rsidR="00DD1521">
        <w:tc>
          <w:tcPr>
            <w:tcW w:w="8985" w:type="dxa"/>
            <w:gridSpan w:val="6"/>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Tipo de estudio</w:t>
            </w:r>
            <w:r>
              <w:rPr>
                <w:rFonts w:ascii="Arial" w:hAnsi="Arial" w:cs="Arial"/>
                <w:sz w:val="16"/>
                <w:szCs w:val="16"/>
              </w:rPr>
              <w:t>:</w:t>
            </w:r>
            <w:r>
              <w:rPr>
                <w:rFonts w:ascii="Arial" w:hAnsi="Arial" w:cs="Arial"/>
                <w:b/>
                <w:bCs/>
                <w:sz w:val="16"/>
                <w:szCs w:val="16"/>
              </w:rPr>
              <w:t xml:space="preserve"> </w:t>
            </w:r>
            <w:r>
              <w:rPr>
                <w:rFonts w:ascii="Arial" w:hAnsi="Arial" w:cs="Arial"/>
                <w:sz w:val="16"/>
                <w:szCs w:val="16"/>
              </w:rPr>
              <w:t>coste-efectividad y coste-utilidad.</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Fuentes de datos de eficacia</w:t>
            </w:r>
            <w:r>
              <w:rPr>
                <w:rFonts w:ascii="Arial" w:hAnsi="Arial" w:cs="Arial"/>
                <w:sz w:val="16"/>
                <w:szCs w:val="16"/>
              </w:rPr>
              <w:t xml:space="preserve">: SLP y tiempo hasta la progresión de los ensayos FLAURA para la primera línea de tratamiento y los ensayos AURA e IMPRESS para los evaluar los estados de salud post-progresión en el modelo. Para afatinib, se consideraron las curvas de SLP y tiempo hasta la progresión del estudio FLAURA basándose en la equivalencia de eficacia entre gefitinib y afatinib.  </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Modelización</w:t>
            </w:r>
            <w:r>
              <w:rPr>
                <w:rFonts w:ascii="Arial" w:hAnsi="Arial" w:cs="Arial"/>
                <w:sz w:val="16"/>
                <w:szCs w:val="16"/>
              </w:rPr>
              <w:t>: modelo de Markov. Estados de salud considerados: libre de progresión (en primera y en segunda línea), post-progresión y muerte.</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Perspectiva</w:t>
            </w:r>
            <w:r>
              <w:rPr>
                <w:rFonts w:ascii="Arial" w:hAnsi="Arial" w:cs="Arial"/>
                <w:sz w:val="16"/>
                <w:szCs w:val="16"/>
              </w:rPr>
              <w:t>: sistema sanitario canadiense.</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Población del escenario base: </w:t>
            </w:r>
            <w:r>
              <w:rPr>
                <w:rFonts w:ascii="Arial" w:hAnsi="Arial" w:cs="Arial"/>
                <w:sz w:val="16"/>
                <w:szCs w:val="16"/>
              </w:rPr>
              <w:t>pacientes con CPNM, avanzado o metastásico con mutación EGFR positiva no tratado previamente en el contexto de enfermedad avanzada.</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Variables principales de resultado: </w:t>
            </w:r>
            <w:r>
              <w:rPr>
                <w:rFonts w:ascii="Arial" w:hAnsi="Arial" w:cs="Arial"/>
                <w:sz w:val="16"/>
                <w:szCs w:val="16"/>
              </w:rPr>
              <w:t>coste, AVAC y ratio coste-efectividad incremental (RCEI).</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Horizonte temporal</w:t>
            </w:r>
            <w:r>
              <w:rPr>
                <w:rFonts w:ascii="Arial" w:hAnsi="Arial" w:cs="Arial"/>
                <w:sz w:val="16"/>
                <w:szCs w:val="16"/>
              </w:rPr>
              <w:t>:</w:t>
            </w:r>
            <w:r>
              <w:rPr>
                <w:rFonts w:ascii="Arial" w:hAnsi="Arial" w:cs="Arial"/>
                <w:b/>
                <w:bCs/>
                <w:sz w:val="16"/>
                <w:szCs w:val="16"/>
              </w:rPr>
              <w:t xml:space="preserve"> </w:t>
            </w:r>
            <w:r>
              <w:rPr>
                <w:rFonts w:ascii="Arial" w:hAnsi="Arial" w:cs="Arial"/>
                <w:sz w:val="16"/>
                <w:szCs w:val="16"/>
              </w:rPr>
              <w:t>10 años en el análisis aportado por el laboratorio y 7 años en el reanálisis llevado a cabo por el panel de evaluación de económica.</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lastRenderedPageBreak/>
              <w:t xml:space="preserve">- </w:t>
            </w:r>
            <w:r>
              <w:rPr>
                <w:rFonts w:ascii="Arial" w:hAnsi="Arial" w:cs="Arial"/>
                <w:b/>
                <w:bCs/>
                <w:sz w:val="16"/>
                <w:szCs w:val="16"/>
              </w:rPr>
              <w:t>Costes incluidos en el estudio</w:t>
            </w:r>
            <w:r>
              <w:rPr>
                <w:rFonts w:ascii="Arial" w:hAnsi="Arial" w:cs="Arial"/>
                <w:sz w:val="16"/>
                <w:szCs w:val="16"/>
              </w:rPr>
              <w:t>: costes de adquisición del tratamiento.</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 xml:space="preserve">- </w:t>
            </w:r>
            <w:r>
              <w:rPr>
                <w:rFonts w:ascii="Arial" w:hAnsi="Arial" w:cs="Arial"/>
                <w:b/>
                <w:bCs/>
                <w:sz w:val="16"/>
                <w:szCs w:val="16"/>
              </w:rPr>
              <w:t>Fuente de costes unitarios</w:t>
            </w:r>
            <w:r>
              <w:rPr>
                <w:rFonts w:ascii="Arial" w:hAnsi="Arial" w:cs="Arial"/>
                <w:sz w:val="16"/>
                <w:szCs w:val="16"/>
              </w:rPr>
              <w:t>: el coste unitario de osimertinib, gefitinib, afatinib y erlotinib fue obtenido de QuintilesIMS.</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Tasa de descuento aplicada en costes y en resultados de salud: </w:t>
            </w:r>
            <w:r>
              <w:rPr>
                <w:rFonts w:ascii="Arial" w:hAnsi="Arial" w:cs="Arial"/>
                <w:sz w:val="16"/>
                <w:szCs w:val="16"/>
              </w:rPr>
              <w:t>1,5%</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Valores de utilidad considerados: </w:t>
            </w:r>
            <w:r>
              <w:rPr>
                <w:rFonts w:ascii="Arial" w:hAnsi="Arial" w:cs="Arial"/>
                <w:sz w:val="16"/>
                <w:szCs w:val="16"/>
              </w:rPr>
              <w:t xml:space="preserve">no especificado en el informe. </w:t>
            </w:r>
          </w:p>
          <w:p w:rsidR="00DD1521" w:rsidRDefault="00DD1521">
            <w:pPr>
              <w:pStyle w:val="Normal1"/>
              <w:spacing w:after="0" w:line="240" w:lineRule="auto"/>
              <w:jc w:val="both"/>
              <w:rPr>
                <w:rFonts w:ascii="Arial" w:hAnsi="Arial" w:cs="Arial"/>
                <w:sz w:val="16"/>
                <w:szCs w:val="16"/>
              </w:rPr>
            </w:pPr>
            <w:r>
              <w:rPr>
                <w:rFonts w:ascii="Arial" w:hAnsi="Arial" w:cs="Arial"/>
                <w:sz w:val="16"/>
                <w:szCs w:val="16"/>
              </w:rPr>
              <w:t>-</w:t>
            </w:r>
            <w:r>
              <w:rPr>
                <w:rFonts w:ascii="Arial" w:hAnsi="Arial" w:cs="Arial"/>
                <w:b/>
                <w:bCs/>
                <w:sz w:val="16"/>
                <w:szCs w:val="16"/>
              </w:rPr>
              <w:t xml:space="preserve"> Análisis de sensibilidad: </w:t>
            </w:r>
            <w:r>
              <w:rPr>
                <w:rFonts w:ascii="Arial" w:hAnsi="Arial" w:cs="Arial"/>
                <w:sz w:val="16"/>
                <w:szCs w:val="16"/>
              </w:rPr>
              <w:t xml:space="preserve">la CADTH llevó a cabo un reanálisis comparando osimertinib frente a gefitinib y afatinib por separado. En el reanálisis se aplicaron las siguientes modificaciones: horizonte temporal, selección curvas de mejor ajuste para la SLP y aplicar las curvas del tiempo hasta la interrupción del tratamiento en lugar de la SLP para reflejar pacientes que continúan con el tratamiento después de la progresión.   </w:t>
            </w:r>
          </w:p>
          <w:p w:rsidR="00DD1521" w:rsidRDefault="00DD1521">
            <w:pPr>
              <w:pStyle w:val="Normal1"/>
              <w:spacing w:after="0" w:line="240" w:lineRule="auto"/>
              <w:jc w:val="both"/>
            </w:pPr>
            <w:r>
              <w:rPr>
                <w:rFonts w:ascii="Arial" w:hAnsi="Arial" w:cs="Arial"/>
                <w:sz w:val="16"/>
                <w:szCs w:val="16"/>
              </w:rPr>
              <w:t>-</w:t>
            </w:r>
            <w:r>
              <w:rPr>
                <w:rFonts w:ascii="Arial" w:hAnsi="Arial" w:cs="Arial"/>
                <w:b/>
                <w:bCs/>
                <w:sz w:val="16"/>
                <w:szCs w:val="16"/>
              </w:rPr>
              <w:t xml:space="preserve"> Conflicto de intereses: </w:t>
            </w:r>
            <w:r>
              <w:rPr>
                <w:rFonts w:ascii="Arial" w:hAnsi="Arial" w:cs="Arial"/>
                <w:sz w:val="16"/>
                <w:szCs w:val="16"/>
              </w:rPr>
              <w:t>ausente.</w:t>
            </w:r>
          </w:p>
        </w:tc>
      </w:tr>
      <w:tr w:rsidR="00DD1521">
        <w:tc>
          <w:tcPr>
            <w:tcW w:w="1140" w:type="dxa"/>
            <w:tcBorders>
              <w:top w:val="single" w:sz="4" w:space="0" w:color="000000"/>
              <w:left w:val="single" w:sz="4" w:space="0" w:color="000000"/>
              <w:bottom w:val="single" w:sz="4" w:space="0" w:color="000000"/>
            </w:tcBorders>
            <w:shd w:val="clear" w:color="auto" w:fill="D9D9D9"/>
          </w:tcPr>
          <w:p w:rsidR="00DD1521" w:rsidRDefault="00DD1521">
            <w:pPr>
              <w:pStyle w:val="Normal1"/>
              <w:spacing w:after="0" w:line="240" w:lineRule="auto"/>
              <w:rPr>
                <w:sz w:val="16"/>
                <w:szCs w:val="16"/>
              </w:rPr>
            </w:pPr>
            <w:r>
              <w:rPr>
                <w:rFonts w:ascii="Arial" w:hAnsi="Arial" w:cs="Arial"/>
                <w:b/>
                <w:bCs/>
                <w:sz w:val="16"/>
                <w:szCs w:val="16"/>
              </w:rPr>
              <w:lastRenderedPageBreak/>
              <w:t>COSTES</w:t>
            </w:r>
          </w:p>
        </w:tc>
        <w:tc>
          <w:tcPr>
            <w:tcW w:w="1380"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sz w:val="16"/>
                <w:szCs w:val="16"/>
              </w:rPr>
            </w:pPr>
            <w:r>
              <w:rPr>
                <w:rFonts w:ascii="Arial" w:hAnsi="Arial" w:cs="Arial"/>
                <w:b/>
                <w:bCs/>
                <w:sz w:val="16"/>
                <w:szCs w:val="16"/>
              </w:rPr>
              <w:t>Osimertinib</w:t>
            </w:r>
          </w:p>
        </w:tc>
        <w:tc>
          <w:tcPr>
            <w:tcW w:w="1185"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Erlotinib</w:t>
            </w:r>
          </w:p>
        </w:tc>
        <w:tc>
          <w:tcPr>
            <w:tcW w:w="1170"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Gefitinib</w:t>
            </w:r>
          </w:p>
        </w:tc>
        <w:tc>
          <w:tcPr>
            <w:tcW w:w="1095"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sz w:val="16"/>
                <w:szCs w:val="16"/>
              </w:rPr>
            </w:pPr>
            <w:r>
              <w:rPr>
                <w:rFonts w:ascii="Arial" w:hAnsi="Arial" w:cs="Arial"/>
                <w:b/>
                <w:bCs/>
                <w:sz w:val="16"/>
                <w:szCs w:val="16"/>
              </w:rPr>
              <w:t>Afatinib</w:t>
            </w:r>
          </w:p>
        </w:tc>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pStyle w:val="Normal1"/>
              <w:spacing w:after="0" w:line="240" w:lineRule="auto"/>
              <w:rPr>
                <w:sz w:val="16"/>
                <w:szCs w:val="16"/>
              </w:rPr>
            </w:pPr>
            <w:r>
              <w:rPr>
                <w:rFonts w:ascii="Arial" w:hAnsi="Arial" w:cs="Arial"/>
                <w:b/>
                <w:bCs/>
                <w:sz w:val="16"/>
                <w:szCs w:val="16"/>
              </w:rPr>
              <w:t>Diferencia de costes</w:t>
            </w:r>
          </w:p>
        </w:tc>
      </w:tr>
      <w:tr w:rsidR="00DD1521">
        <w:tc>
          <w:tcPr>
            <w:tcW w:w="114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rPr>
                <w:sz w:val="16"/>
                <w:szCs w:val="16"/>
              </w:rPr>
            </w:pPr>
            <w:r>
              <w:rPr>
                <w:rFonts w:ascii="Arial" w:hAnsi="Arial" w:cs="Arial"/>
                <w:sz w:val="16"/>
                <w:szCs w:val="16"/>
              </w:rPr>
              <w:t>Coste unitario</w:t>
            </w:r>
          </w:p>
        </w:tc>
        <w:tc>
          <w:tcPr>
            <w:tcW w:w="138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Comp de 80 mg</w:t>
            </w:r>
          </w:p>
          <w:p w:rsidR="00DD1521" w:rsidRDefault="00DD1521">
            <w:pPr>
              <w:pStyle w:val="Normal1"/>
              <w:spacing w:after="0" w:line="240" w:lineRule="auto"/>
              <w:jc w:val="center"/>
              <w:rPr>
                <w:sz w:val="16"/>
                <w:szCs w:val="16"/>
              </w:rPr>
            </w:pPr>
            <w:r>
              <w:rPr>
                <w:rFonts w:ascii="Arial" w:hAnsi="Arial" w:cs="Arial"/>
                <w:sz w:val="16"/>
                <w:szCs w:val="16"/>
              </w:rPr>
              <w:t>294,68 $ (194,78 €)</w:t>
            </w:r>
            <w:r>
              <w:rPr>
                <w:rFonts w:ascii="Arial" w:hAnsi="Arial" w:cs="Arial"/>
                <w:sz w:val="16"/>
                <w:szCs w:val="16"/>
                <w:vertAlign w:val="superscript"/>
              </w:rPr>
              <w:t>*</w:t>
            </w:r>
          </w:p>
        </w:tc>
        <w:tc>
          <w:tcPr>
            <w:tcW w:w="118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Comp de 150 mg</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68 $ (44 €)</w:t>
            </w:r>
          </w:p>
        </w:tc>
        <w:tc>
          <w:tcPr>
            <w:tcW w:w="117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Comp de 250 mg</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73,30 $ (48,38 €)</w:t>
            </w:r>
          </w:p>
        </w:tc>
        <w:tc>
          <w:tcPr>
            <w:tcW w:w="109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sz w:val="16"/>
                <w:szCs w:val="16"/>
              </w:rPr>
            </w:pPr>
            <w:r>
              <w:rPr>
                <w:rFonts w:ascii="Arial" w:hAnsi="Arial" w:cs="Arial"/>
                <w:sz w:val="16"/>
                <w:szCs w:val="16"/>
              </w:rPr>
              <w:t>Comp de 40 mg 73,30 $ (48,38 €)</w:t>
            </w:r>
          </w:p>
        </w:tc>
        <w:tc>
          <w:tcPr>
            <w:tcW w:w="301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sz w:val="12"/>
                <w:szCs w:val="12"/>
                <w:vertAlign w:val="superscript"/>
              </w:rPr>
            </w:pPr>
          </w:p>
        </w:tc>
      </w:tr>
      <w:tr w:rsidR="00DD1521">
        <w:tc>
          <w:tcPr>
            <w:tcW w:w="114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rPr>
                <w:rFonts w:ascii="Arial" w:hAnsi="Arial" w:cs="Arial"/>
                <w:sz w:val="16"/>
                <w:szCs w:val="16"/>
              </w:rPr>
            </w:pPr>
            <w:r>
              <w:rPr>
                <w:rFonts w:ascii="Arial" w:hAnsi="Arial" w:cs="Arial"/>
                <w:sz w:val="16"/>
                <w:szCs w:val="16"/>
              </w:rPr>
              <w:t>Coste por 28 días de tto.</w:t>
            </w:r>
          </w:p>
        </w:tc>
        <w:tc>
          <w:tcPr>
            <w:tcW w:w="138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8.250,94 $  (5.445  €)</w:t>
            </w:r>
          </w:p>
        </w:tc>
        <w:tc>
          <w:tcPr>
            <w:tcW w:w="118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1.904 $</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(1256,64 €)</w:t>
            </w:r>
          </w:p>
        </w:tc>
        <w:tc>
          <w:tcPr>
            <w:tcW w:w="117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2.052,40 $</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1.354,84 €</w:t>
            </w:r>
          </w:p>
        </w:tc>
        <w:tc>
          <w:tcPr>
            <w:tcW w:w="109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2.052,40 $</w:t>
            </w:r>
          </w:p>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1.354,84 €</w:t>
            </w:r>
          </w:p>
        </w:tc>
        <w:tc>
          <w:tcPr>
            <w:tcW w:w="301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b/>
                <w:bCs/>
                <w:sz w:val="12"/>
                <w:szCs w:val="12"/>
              </w:rPr>
            </w:pPr>
          </w:p>
        </w:tc>
      </w:tr>
      <w:tr w:rsidR="00DD1521">
        <w:tc>
          <w:tcPr>
            <w:tcW w:w="114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rPr>
                <w:rFonts w:ascii="Arial" w:hAnsi="Arial" w:cs="Arial"/>
                <w:sz w:val="16"/>
                <w:szCs w:val="16"/>
              </w:rPr>
            </w:pPr>
            <w:r>
              <w:rPr>
                <w:rFonts w:ascii="Arial" w:hAnsi="Arial" w:cs="Arial"/>
                <w:sz w:val="16"/>
                <w:szCs w:val="16"/>
              </w:rPr>
              <w:t>Coste total</w:t>
            </w:r>
          </w:p>
        </w:tc>
        <w:tc>
          <w:tcPr>
            <w:tcW w:w="138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18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17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09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301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b/>
                <w:bCs/>
                <w:sz w:val="12"/>
                <w:szCs w:val="12"/>
              </w:rPr>
            </w:pPr>
            <w:r>
              <w:rPr>
                <w:rFonts w:ascii="Arial" w:hAnsi="Arial" w:cs="Arial"/>
                <w:b/>
                <w:bCs/>
                <w:sz w:val="12"/>
                <w:szCs w:val="12"/>
                <w:u w:val="single"/>
              </w:rPr>
              <w:t>Coste incremental obtenido por el laboratorio</w:t>
            </w:r>
            <w:r>
              <w:rPr>
                <w:rFonts w:ascii="Arial" w:hAnsi="Arial" w:cs="Arial"/>
                <w:b/>
                <w:bCs/>
                <w:sz w:val="12"/>
                <w:szCs w:val="12"/>
              </w:rPr>
              <w:t xml:space="preserve">: </w:t>
            </w:r>
          </w:p>
          <w:p w:rsidR="00DD1521" w:rsidRDefault="00DD1521">
            <w:pPr>
              <w:pStyle w:val="Normal1"/>
              <w:spacing w:after="0" w:line="240" w:lineRule="auto"/>
              <w:rPr>
                <w:rFonts w:ascii="Arial" w:hAnsi="Arial" w:cs="Arial"/>
                <w:sz w:val="12"/>
                <w:szCs w:val="12"/>
              </w:rPr>
            </w:pPr>
            <w:r>
              <w:rPr>
                <w:rFonts w:ascii="Arial" w:hAnsi="Arial" w:cs="Arial"/>
                <w:sz w:val="12"/>
                <w:szCs w:val="12"/>
              </w:rPr>
              <w:t>Comparación osimertinib-gefitinib:</w:t>
            </w:r>
          </w:p>
          <w:p w:rsidR="00DD1521" w:rsidRDefault="00DD1521">
            <w:pPr>
              <w:pStyle w:val="Normal1"/>
              <w:spacing w:after="0" w:line="240" w:lineRule="auto"/>
              <w:rPr>
                <w:rFonts w:ascii="Arial" w:hAnsi="Arial" w:cs="Arial"/>
                <w:sz w:val="12"/>
                <w:szCs w:val="12"/>
              </w:rPr>
            </w:pPr>
            <w:r>
              <w:rPr>
                <w:rFonts w:ascii="Arial" w:hAnsi="Arial" w:cs="Arial"/>
                <w:sz w:val="12"/>
                <w:szCs w:val="12"/>
              </w:rPr>
              <w:t>145.136 $ (95.789 €)</w:t>
            </w:r>
          </w:p>
          <w:p w:rsidR="00DD1521" w:rsidRDefault="00DD1521">
            <w:pPr>
              <w:pStyle w:val="Normal1"/>
              <w:spacing w:after="0" w:line="240" w:lineRule="auto"/>
              <w:rPr>
                <w:rFonts w:ascii="Arial" w:hAnsi="Arial" w:cs="Arial"/>
                <w:sz w:val="12"/>
                <w:szCs w:val="12"/>
              </w:rPr>
            </w:pPr>
            <w:r>
              <w:rPr>
                <w:rFonts w:ascii="Arial" w:hAnsi="Arial" w:cs="Arial"/>
                <w:sz w:val="12"/>
                <w:szCs w:val="12"/>
              </w:rPr>
              <w:t>Comparación osimertinib-aftinib: 141.404 $ (93.326,64 €)</w:t>
            </w:r>
          </w:p>
          <w:p w:rsidR="00DD1521" w:rsidRDefault="00DD1521">
            <w:pPr>
              <w:pStyle w:val="Normal1"/>
              <w:spacing w:after="0" w:line="240" w:lineRule="auto"/>
              <w:rPr>
                <w:rFonts w:ascii="Arial" w:hAnsi="Arial" w:cs="Arial"/>
                <w:b/>
                <w:bCs/>
                <w:sz w:val="12"/>
                <w:szCs w:val="12"/>
              </w:rPr>
            </w:pPr>
            <w:r>
              <w:rPr>
                <w:rFonts w:ascii="Arial" w:hAnsi="Arial" w:cs="Arial"/>
                <w:b/>
                <w:bCs/>
                <w:sz w:val="12"/>
                <w:szCs w:val="12"/>
                <w:u w:val="single"/>
              </w:rPr>
              <w:t>Coste incremental obtenido en el reanálisis de la CADTH</w:t>
            </w:r>
            <w:r>
              <w:rPr>
                <w:rFonts w:ascii="Arial" w:hAnsi="Arial" w:cs="Arial"/>
                <w:b/>
                <w:bCs/>
                <w:sz w:val="12"/>
                <w:szCs w:val="12"/>
              </w:rPr>
              <w:t>:</w:t>
            </w:r>
          </w:p>
          <w:p w:rsidR="00DD1521" w:rsidRDefault="00DD1521">
            <w:pPr>
              <w:pStyle w:val="Normal1"/>
              <w:spacing w:after="0" w:line="240" w:lineRule="auto"/>
              <w:rPr>
                <w:rFonts w:ascii="Arial" w:hAnsi="Arial" w:cs="Arial"/>
                <w:sz w:val="12"/>
                <w:szCs w:val="12"/>
              </w:rPr>
            </w:pPr>
            <w:r>
              <w:rPr>
                <w:rFonts w:ascii="Arial" w:hAnsi="Arial" w:cs="Arial"/>
                <w:sz w:val="12"/>
                <w:szCs w:val="12"/>
              </w:rPr>
              <w:t>Comparación osimertinib- gefitinib: 140.796- 141.521 $ ( 92.925,36 €-93.403 €)</w:t>
            </w:r>
          </w:p>
          <w:p w:rsidR="00DD1521" w:rsidRDefault="00DD1521">
            <w:pPr>
              <w:pStyle w:val="Normal1"/>
              <w:spacing w:after="0" w:line="240" w:lineRule="auto"/>
              <w:rPr>
                <w:rFonts w:ascii="Arial" w:hAnsi="Arial" w:cs="Arial"/>
                <w:b/>
                <w:bCs/>
                <w:sz w:val="12"/>
                <w:szCs w:val="12"/>
              </w:rPr>
            </w:pPr>
            <w:r>
              <w:rPr>
                <w:rFonts w:ascii="Arial" w:hAnsi="Arial" w:cs="Arial"/>
                <w:sz w:val="12"/>
                <w:szCs w:val="12"/>
              </w:rPr>
              <w:t>Comparación osimertinib-afatinib: 140.796- 141.521 C$ ( 92.925,36 €-93.403 €)</w:t>
            </w:r>
          </w:p>
        </w:tc>
      </w:tr>
      <w:tr w:rsidR="00DD1521">
        <w:tc>
          <w:tcPr>
            <w:tcW w:w="1140"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rPr>
                <w:sz w:val="16"/>
                <w:szCs w:val="16"/>
              </w:rPr>
            </w:pPr>
            <w:r>
              <w:rPr>
                <w:rFonts w:ascii="Arial" w:hAnsi="Arial" w:cs="Arial"/>
                <w:b/>
                <w:bCs/>
                <w:sz w:val="16"/>
                <w:szCs w:val="16"/>
              </w:rPr>
              <w:t>EFECTOS</w:t>
            </w:r>
          </w:p>
        </w:tc>
        <w:tc>
          <w:tcPr>
            <w:tcW w:w="1380"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sz w:val="16"/>
                <w:szCs w:val="16"/>
              </w:rPr>
            </w:pPr>
            <w:r>
              <w:rPr>
                <w:rFonts w:ascii="Arial" w:hAnsi="Arial" w:cs="Arial"/>
                <w:b/>
                <w:bCs/>
                <w:sz w:val="16"/>
                <w:szCs w:val="16"/>
              </w:rPr>
              <w:t>Osimertinib</w:t>
            </w:r>
          </w:p>
        </w:tc>
        <w:tc>
          <w:tcPr>
            <w:tcW w:w="1185"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Erlotinib</w:t>
            </w:r>
          </w:p>
        </w:tc>
        <w:tc>
          <w:tcPr>
            <w:tcW w:w="1170"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Gefitinib</w:t>
            </w:r>
          </w:p>
        </w:tc>
        <w:tc>
          <w:tcPr>
            <w:tcW w:w="1095" w:type="dxa"/>
            <w:tcBorders>
              <w:top w:val="single" w:sz="4" w:space="0" w:color="000000"/>
              <w:left w:val="single" w:sz="4" w:space="0" w:color="000000"/>
              <w:bottom w:val="single" w:sz="4" w:space="0" w:color="000000"/>
            </w:tcBorders>
            <w:shd w:val="clear" w:color="auto" w:fill="D9D9D9"/>
            <w:vAlign w:val="center"/>
          </w:tcPr>
          <w:p w:rsidR="00DD1521" w:rsidRDefault="00DD1521">
            <w:pPr>
              <w:pStyle w:val="Normal1"/>
              <w:spacing w:after="0" w:line="240" w:lineRule="auto"/>
              <w:jc w:val="center"/>
              <w:rPr>
                <w:sz w:val="16"/>
                <w:szCs w:val="16"/>
              </w:rPr>
            </w:pPr>
            <w:r>
              <w:rPr>
                <w:rFonts w:ascii="Arial" w:hAnsi="Arial" w:cs="Arial"/>
                <w:b/>
                <w:bCs/>
                <w:sz w:val="16"/>
                <w:szCs w:val="16"/>
              </w:rPr>
              <w:t>Afatinib</w:t>
            </w:r>
          </w:p>
        </w:tc>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pStyle w:val="Normal1"/>
              <w:spacing w:after="0" w:line="240" w:lineRule="auto"/>
              <w:rPr>
                <w:sz w:val="16"/>
                <w:szCs w:val="16"/>
              </w:rPr>
            </w:pPr>
            <w:r>
              <w:rPr>
                <w:rFonts w:ascii="Arial" w:hAnsi="Arial" w:cs="Arial"/>
                <w:b/>
                <w:bCs/>
                <w:sz w:val="16"/>
                <w:szCs w:val="16"/>
              </w:rPr>
              <w:t>Diferencia de eficacia</w:t>
            </w:r>
          </w:p>
        </w:tc>
      </w:tr>
      <w:tr w:rsidR="00DD1521">
        <w:trPr>
          <w:trHeight w:val="120"/>
        </w:trPr>
        <w:tc>
          <w:tcPr>
            <w:tcW w:w="114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rPr>
                <w:rFonts w:ascii="Arial" w:hAnsi="Arial" w:cs="Arial"/>
                <w:sz w:val="16"/>
                <w:szCs w:val="16"/>
              </w:rPr>
            </w:pPr>
            <w:r>
              <w:rPr>
                <w:rFonts w:ascii="Arial" w:hAnsi="Arial" w:cs="Arial"/>
                <w:sz w:val="16"/>
                <w:szCs w:val="16"/>
              </w:rPr>
              <w:t>AV</w:t>
            </w:r>
          </w:p>
        </w:tc>
        <w:tc>
          <w:tcPr>
            <w:tcW w:w="138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18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17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09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301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b/>
                <w:bCs/>
                <w:sz w:val="16"/>
                <w:szCs w:val="16"/>
              </w:rPr>
            </w:pPr>
            <w:r>
              <w:rPr>
                <w:rFonts w:ascii="Arial" w:hAnsi="Arial" w:cs="Arial"/>
                <w:b/>
                <w:bCs/>
                <w:sz w:val="12"/>
                <w:szCs w:val="12"/>
                <w:u w:val="single"/>
              </w:rPr>
              <w:t>Análisis presentado por el laboratorio:</w:t>
            </w:r>
            <w:r>
              <w:rPr>
                <w:rFonts w:ascii="Arial" w:hAnsi="Arial" w:cs="Arial"/>
                <w:sz w:val="12"/>
                <w:szCs w:val="12"/>
              </w:rPr>
              <w:t xml:space="preserve"> 0,63 AV ganados</w:t>
            </w:r>
            <w:r>
              <w:rPr>
                <w:rFonts w:ascii="Arial" w:hAnsi="Arial" w:cs="Arial"/>
                <w:b/>
                <w:bCs/>
                <w:sz w:val="16"/>
                <w:szCs w:val="16"/>
              </w:rPr>
              <w:t xml:space="preserve"> </w:t>
            </w:r>
          </w:p>
          <w:p w:rsidR="00DD1521" w:rsidRDefault="00DD1521">
            <w:pPr>
              <w:pStyle w:val="Normal1"/>
              <w:spacing w:after="0" w:line="240" w:lineRule="auto"/>
              <w:rPr>
                <w:rFonts w:ascii="Arial" w:hAnsi="Arial" w:cs="Arial"/>
                <w:b/>
                <w:bCs/>
                <w:sz w:val="16"/>
                <w:szCs w:val="16"/>
              </w:rPr>
            </w:pPr>
            <w:r>
              <w:rPr>
                <w:rFonts w:ascii="Arial" w:hAnsi="Arial" w:cs="Arial"/>
                <w:b/>
                <w:bCs/>
                <w:sz w:val="12"/>
                <w:szCs w:val="12"/>
                <w:u w:val="single"/>
              </w:rPr>
              <w:t>Reanálisis presentado por la CADTH:</w:t>
            </w:r>
            <w:r>
              <w:rPr>
                <w:rFonts w:ascii="Arial" w:hAnsi="Arial" w:cs="Arial"/>
                <w:sz w:val="12"/>
                <w:szCs w:val="12"/>
              </w:rPr>
              <w:t xml:space="preserve"> 0,44 a 0,50 AV ganados</w:t>
            </w:r>
          </w:p>
        </w:tc>
      </w:tr>
      <w:tr w:rsidR="00DD1521" w:rsidRPr="00D048CE">
        <w:tc>
          <w:tcPr>
            <w:tcW w:w="114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rPr>
                <w:rFonts w:ascii="Arial" w:hAnsi="Arial" w:cs="Arial"/>
                <w:sz w:val="16"/>
                <w:szCs w:val="16"/>
              </w:rPr>
            </w:pPr>
            <w:r>
              <w:rPr>
                <w:rFonts w:ascii="Arial" w:hAnsi="Arial" w:cs="Arial"/>
                <w:sz w:val="16"/>
                <w:szCs w:val="16"/>
              </w:rPr>
              <w:t>AVAC</w:t>
            </w:r>
          </w:p>
        </w:tc>
        <w:tc>
          <w:tcPr>
            <w:tcW w:w="138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18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170"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1095"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ND</w:t>
            </w:r>
          </w:p>
        </w:tc>
        <w:tc>
          <w:tcPr>
            <w:tcW w:w="301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sz w:val="12"/>
                <w:szCs w:val="12"/>
              </w:rPr>
            </w:pPr>
            <w:r>
              <w:rPr>
                <w:rFonts w:ascii="Arial" w:hAnsi="Arial" w:cs="Arial"/>
                <w:b/>
                <w:bCs/>
                <w:sz w:val="12"/>
                <w:szCs w:val="12"/>
                <w:u w:val="single"/>
              </w:rPr>
              <w:t>Análisis presentado por el laboratorio:</w:t>
            </w:r>
            <w:r>
              <w:rPr>
                <w:rFonts w:ascii="Arial" w:hAnsi="Arial" w:cs="Arial"/>
                <w:sz w:val="12"/>
                <w:szCs w:val="12"/>
              </w:rPr>
              <w:t xml:space="preserve"> 0,55 AVAC ganados</w:t>
            </w:r>
          </w:p>
          <w:p w:rsidR="00DD1521" w:rsidRDefault="00DD1521">
            <w:pPr>
              <w:pStyle w:val="Normal1"/>
              <w:spacing w:after="0" w:line="240" w:lineRule="auto"/>
              <w:rPr>
                <w:rFonts w:ascii="Arial" w:hAnsi="Arial" w:cs="Arial"/>
                <w:sz w:val="12"/>
                <w:szCs w:val="12"/>
              </w:rPr>
            </w:pPr>
            <w:r>
              <w:rPr>
                <w:rFonts w:ascii="Arial" w:hAnsi="Arial" w:cs="Arial"/>
                <w:b/>
                <w:bCs/>
                <w:sz w:val="12"/>
                <w:szCs w:val="12"/>
                <w:u w:val="single"/>
              </w:rPr>
              <w:t>Reanálisis presentado por la CADTH:</w:t>
            </w:r>
            <w:r>
              <w:rPr>
                <w:rFonts w:ascii="Arial" w:hAnsi="Arial" w:cs="Arial"/>
                <w:sz w:val="12"/>
                <w:szCs w:val="12"/>
              </w:rPr>
              <w:t xml:space="preserve"> </w:t>
            </w:r>
          </w:p>
          <w:p w:rsidR="00DD1521" w:rsidRPr="00B85537" w:rsidRDefault="00DD1521">
            <w:pPr>
              <w:pStyle w:val="Normal1"/>
              <w:spacing w:after="0" w:line="240" w:lineRule="auto"/>
              <w:rPr>
                <w:rFonts w:ascii="Arial" w:hAnsi="Arial" w:cs="Arial"/>
                <w:sz w:val="12"/>
                <w:szCs w:val="12"/>
                <w:lang w:val="pt-BR"/>
              </w:rPr>
            </w:pPr>
            <w:r>
              <w:rPr>
                <w:rFonts w:ascii="Arial" w:hAnsi="Arial" w:cs="Arial"/>
                <w:sz w:val="12"/>
                <w:szCs w:val="12"/>
                <w:lang w:val="pt-BR"/>
              </w:rPr>
              <w:t xml:space="preserve">Osimertinib vs gefitinib: 0,41 a </w:t>
            </w:r>
            <w:r w:rsidRPr="00B85537">
              <w:rPr>
                <w:rFonts w:ascii="Arial" w:hAnsi="Arial" w:cs="Arial"/>
                <w:sz w:val="12"/>
                <w:szCs w:val="12"/>
                <w:lang w:val="pt-BR"/>
              </w:rPr>
              <w:t xml:space="preserve"> 0,46 AVAC ganados</w:t>
            </w:r>
          </w:p>
          <w:p w:rsidR="00DD1521" w:rsidRPr="00B85537" w:rsidRDefault="00DD1521">
            <w:pPr>
              <w:pStyle w:val="Normal1"/>
              <w:spacing w:after="0" w:line="240" w:lineRule="auto"/>
              <w:rPr>
                <w:rFonts w:ascii="Arial" w:hAnsi="Arial" w:cs="Arial"/>
                <w:sz w:val="12"/>
                <w:szCs w:val="12"/>
                <w:lang w:val="pt-BR"/>
              </w:rPr>
            </w:pPr>
            <w:r w:rsidRPr="00B85537">
              <w:rPr>
                <w:rFonts w:ascii="Arial" w:hAnsi="Arial" w:cs="Arial"/>
                <w:sz w:val="12"/>
                <w:szCs w:val="12"/>
                <w:lang w:val="pt-BR"/>
              </w:rPr>
              <w:t>Osimertinib vs Afatinib: 0,37 a 0,43 AVAC ganados</w:t>
            </w:r>
          </w:p>
        </w:tc>
      </w:tr>
      <w:tr w:rsidR="00DD1521">
        <w:tc>
          <w:tcPr>
            <w:tcW w:w="5970" w:type="dxa"/>
            <w:gridSpan w:val="5"/>
            <w:tcBorders>
              <w:top w:val="single" w:sz="4" w:space="0" w:color="000000"/>
              <w:left w:val="single" w:sz="4" w:space="0" w:color="000000"/>
              <w:bottom w:val="single" w:sz="4" w:space="0" w:color="000000"/>
            </w:tcBorders>
            <w:shd w:val="clear" w:color="auto" w:fill="D9D9D9"/>
          </w:tcPr>
          <w:p w:rsidR="00DD1521" w:rsidRDefault="00DD1521">
            <w:pPr>
              <w:pStyle w:val="Normal1"/>
              <w:spacing w:after="0" w:line="240" w:lineRule="auto"/>
              <w:rPr>
                <w:sz w:val="16"/>
                <w:szCs w:val="16"/>
              </w:rPr>
            </w:pPr>
            <w:r>
              <w:rPr>
                <w:rFonts w:ascii="Arial" w:hAnsi="Arial" w:cs="Arial"/>
                <w:b/>
                <w:bCs/>
                <w:sz w:val="16"/>
                <w:szCs w:val="16"/>
              </w:rPr>
              <w:t xml:space="preserve">COSTE-EFECTIVIDAD INCREMENTAL </w:t>
            </w:r>
          </w:p>
        </w:tc>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pStyle w:val="Normal1"/>
              <w:spacing w:after="0" w:line="240" w:lineRule="auto"/>
              <w:rPr>
                <w:sz w:val="16"/>
                <w:szCs w:val="16"/>
              </w:rPr>
            </w:pPr>
            <w:r>
              <w:rPr>
                <w:rFonts w:ascii="Arial" w:hAnsi="Arial" w:cs="Arial"/>
                <w:b/>
                <w:bCs/>
                <w:sz w:val="16"/>
                <w:szCs w:val="16"/>
              </w:rPr>
              <w:t xml:space="preserve">RCEI </w:t>
            </w:r>
          </w:p>
        </w:tc>
      </w:tr>
      <w:tr w:rsidR="00DD1521">
        <w:tc>
          <w:tcPr>
            <w:tcW w:w="5970" w:type="dxa"/>
            <w:gridSpan w:val="5"/>
            <w:tcBorders>
              <w:top w:val="single" w:sz="4" w:space="0" w:color="000000"/>
              <w:left w:val="single" w:sz="4" w:space="0" w:color="000000"/>
              <w:bottom w:val="single" w:sz="4" w:space="0" w:color="000000"/>
            </w:tcBorders>
          </w:tcPr>
          <w:p w:rsidR="00DD1521" w:rsidRDefault="00DD1521">
            <w:pPr>
              <w:pStyle w:val="Normal1"/>
              <w:spacing w:after="0" w:line="240" w:lineRule="auto"/>
              <w:rPr>
                <w:rFonts w:ascii="Arial" w:hAnsi="Arial" w:cs="Arial"/>
                <w:b/>
                <w:bCs/>
                <w:sz w:val="16"/>
                <w:szCs w:val="16"/>
                <w:u w:val="single"/>
              </w:rPr>
            </w:pPr>
            <w:r>
              <w:rPr>
                <w:rFonts w:ascii="Arial" w:hAnsi="Arial" w:cs="Arial"/>
                <w:b/>
                <w:bCs/>
                <w:sz w:val="16"/>
                <w:szCs w:val="16"/>
                <w:u w:val="single"/>
              </w:rPr>
              <w:t>Caso base presentado por el laboratorio:</w:t>
            </w:r>
          </w:p>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Osimertinib vs gefitinib</w:t>
            </w:r>
          </w:p>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Osimertinib vs afatinib</w:t>
            </w:r>
          </w:p>
        </w:tc>
        <w:tc>
          <w:tcPr>
            <w:tcW w:w="3015"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rPr>
                <w:rFonts w:ascii="Arial" w:hAnsi="Arial" w:cs="Arial"/>
                <w:sz w:val="16"/>
                <w:szCs w:val="16"/>
              </w:rPr>
            </w:pPr>
          </w:p>
          <w:p w:rsidR="00DD1521" w:rsidRDefault="00DD1521">
            <w:pPr>
              <w:pStyle w:val="Normal1"/>
              <w:spacing w:after="0" w:line="240" w:lineRule="auto"/>
              <w:rPr>
                <w:rFonts w:ascii="Arial" w:hAnsi="Arial" w:cs="Arial"/>
                <w:sz w:val="16"/>
                <w:szCs w:val="16"/>
              </w:rPr>
            </w:pPr>
            <w:r>
              <w:rPr>
                <w:rFonts w:ascii="Arial" w:hAnsi="Arial" w:cs="Arial"/>
                <w:sz w:val="16"/>
                <w:szCs w:val="16"/>
              </w:rPr>
              <w:t>261.768 $ /AVAC (172.766 €/AVAC)</w:t>
            </w:r>
          </w:p>
          <w:p w:rsidR="00DD1521" w:rsidRDefault="00DD1521">
            <w:pPr>
              <w:pStyle w:val="Normal1"/>
              <w:spacing w:after="0" w:line="240" w:lineRule="auto"/>
              <w:rPr>
                <w:b/>
                <w:bCs/>
                <w:lang w:eastAsia="zh-CN"/>
              </w:rPr>
            </w:pPr>
            <w:r>
              <w:rPr>
                <w:rFonts w:ascii="Arial" w:hAnsi="Arial" w:cs="Arial"/>
                <w:sz w:val="16"/>
                <w:szCs w:val="16"/>
              </w:rPr>
              <w:t>270.613 $ /AVAC (178.605  €/AVAC)</w:t>
            </w:r>
            <w:bookmarkStart w:id="128" w:name="_tn5irs3qsfda" w:colFirst="0" w:colLast="0"/>
            <w:bookmarkEnd w:id="128"/>
          </w:p>
        </w:tc>
      </w:tr>
      <w:tr w:rsidR="00DD1521">
        <w:tc>
          <w:tcPr>
            <w:tcW w:w="5970" w:type="dxa"/>
            <w:gridSpan w:val="5"/>
            <w:tcBorders>
              <w:top w:val="single" w:sz="4" w:space="0" w:color="000000"/>
              <w:left w:val="single" w:sz="4" w:space="0" w:color="000000"/>
              <w:bottom w:val="single" w:sz="4" w:space="0" w:color="000000"/>
            </w:tcBorders>
          </w:tcPr>
          <w:p w:rsidR="00DD1521" w:rsidRDefault="00DD1521">
            <w:pPr>
              <w:pStyle w:val="Normal1"/>
              <w:spacing w:after="0" w:line="240" w:lineRule="auto"/>
              <w:rPr>
                <w:rFonts w:ascii="Arial" w:hAnsi="Arial" w:cs="Arial"/>
                <w:b/>
                <w:bCs/>
                <w:sz w:val="16"/>
                <w:szCs w:val="16"/>
                <w:u w:val="single"/>
              </w:rPr>
            </w:pPr>
            <w:r>
              <w:rPr>
                <w:rFonts w:ascii="Arial" w:hAnsi="Arial" w:cs="Arial"/>
                <w:b/>
                <w:bCs/>
                <w:sz w:val="16"/>
                <w:szCs w:val="16"/>
                <w:u w:val="single"/>
              </w:rPr>
              <w:t>Reanálisis presentado por la CADTH:</w:t>
            </w:r>
          </w:p>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Osimertinib vs gefitinib</w:t>
            </w:r>
          </w:p>
          <w:p w:rsidR="00DD1521" w:rsidRDefault="00DD1521">
            <w:pPr>
              <w:pStyle w:val="Normal1"/>
              <w:spacing w:after="0" w:line="240" w:lineRule="auto"/>
              <w:rPr>
                <w:rFonts w:ascii="Arial" w:hAnsi="Arial" w:cs="Arial"/>
                <w:b/>
                <w:bCs/>
                <w:sz w:val="16"/>
                <w:szCs w:val="16"/>
              </w:rPr>
            </w:pPr>
          </w:p>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Osimertinib vs afatinib</w:t>
            </w:r>
          </w:p>
          <w:p w:rsidR="00DD1521" w:rsidRDefault="00DD1521">
            <w:pPr>
              <w:pStyle w:val="Normal1"/>
              <w:spacing w:after="0" w:line="240" w:lineRule="auto"/>
              <w:rPr>
                <w:rFonts w:ascii="Arial" w:hAnsi="Arial" w:cs="Arial"/>
                <w:b/>
                <w:bCs/>
                <w:sz w:val="16"/>
                <w:szCs w:val="16"/>
                <w:u w:val="single"/>
              </w:rPr>
            </w:pPr>
          </w:p>
        </w:tc>
        <w:tc>
          <w:tcPr>
            <w:tcW w:w="3015"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rPr>
                <w:rFonts w:ascii="Arial" w:hAnsi="Arial" w:cs="Arial"/>
                <w:sz w:val="16"/>
                <w:szCs w:val="16"/>
              </w:rPr>
            </w:pPr>
          </w:p>
          <w:p w:rsidR="00DD1521" w:rsidRPr="00707D72" w:rsidRDefault="00DD1521">
            <w:pPr>
              <w:pStyle w:val="Normal1"/>
              <w:spacing w:after="0" w:line="240" w:lineRule="auto"/>
              <w:rPr>
                <w:rFonts w:ascii="Arial" w:hAnsi="Arial" w:cs="Arial"/>
                <w:b/>
                <w:sz w:val="16"/>
                <w:szCs w:val="16"/>
              </w:rPr>
            </w:pPr>
            <w:r w:rsidRPr="00707D72">
              <w:rPr>
                <w:rFonts w:ascii="Arial" w:hAnsi="Arial" w:cs="Arial"/>
                <w:b/>
                <w:sz w:val="16"/>
                <w:szCs w:val="16"/>
              </w:rPr>
              <w:t xml:space="preserve">305.454-340.209  $ / AVAC </w:t>
            </w:r>
          </w:p>
          <w:p w:rsidR="00DD1521" w:rsidRDefault="00DD1521">
            <w:pPr>
              <w:pStyle w:val="Normal1"/>
              <w:spacing w:after="0" w:line="240" w:lineRule="auto"/>
              <w:rPr>
                <w:rFonts w:ascii="Arial" w:hAnsi="Arial" w:cs="Arial"/>
                <w:sz w:val="16"/>
                <w:szCs w:val="16"/>
              </w:rPr>
            </w:pPr>
            <w:r>
              <w:rPr>
                <w:rFonts w:ascii="Arial" w:hAnsi="Arial" w:cs="Arial"/>
                <w:sz w:val="16"/>
                <w:szCs w:val="16"/>
              </w:rPr>
              <w:t>(201.600 -224.538 €/ AVAC)</w:t>
            </w:r>
          </w:p>
          <w:p w:rsidR="00DD1521" w:rsidRPr="00707D72" w:rsidRDefault="00DD1521">
            <w:pPr>
              <w:pStyle w:val="Normal1"/>
              <w:spacing w:after="0" w:line="240" w:lineRule="auto"/>
              <w:rPr>
                <w:rFonts w:ascii="Arial" w:hAnsi="Arial" w:cs="Arial"/>
                <w:b/>
                <w:sz w:val="16"/>
                <w:szCs w:val="16"/>
              </w:rPr>
            </w:pPr>
            <w:r w:rsidRPr="00707D72">
              <w:rPr>
                <w:rFonts w:ascii="Arial" w:hAnsi="Arial" w:cs="Arial"/>
                <w:b/>
                <w:sz w:val="16"/>
                <w:szCs w:val="16"/>
              </w:rPr>
              <w:t xml:space="preserve">319.174- 366.955  $ / AVAC </w:t>
            </w:r>
          </w:p>
          <w:p w:rsidR="00DD1521" w:rsidRDefault="00DD1521">
            <w:pPr>
              <w:pStyle w:val="Normal1"/>
              <w:spacing w:after="0" w:line="240" w:lineRule="auto"/>
              <w:rPr>
                <w:rFonts w:ascii="Arial" w:hAnsi="Arial" w:cs="Arial"/>
                <w:sz w:val="16"/>
                <w:szCs w:val="16"/>
              </w:rPr>
            </w:pPr>
            <w:r>
              <w:rPr>
                <w:rFonts w:ascii="Arial" w:hAnsi="Arial" w:cs="Arial"/>
                <w:sz w:val="16"/>
                <w:szCs w:val="16"/>
              </w:rPr>
              <w:t>(210.655-242.190 € / AVAC)</w:t>
            </w:r>
          </w:p>
        </w:tc>
      </w:tr>
      <w:tr w:rsidR="00DD1521" w:rsidRPr="00AC6495">
        <w:trPr>
          <w:trHeight w:val="138"/>
        </w:trPr>
        <w:tc>
          <w:tcPr>
            <w:tcW w:w="8985" w:type="dxa"/>
            <w:gridSpan w:val="6"/>
            <w:tcBorders>
              <w:top w:val="single" w:sz="4" w:space="0" w:color="000000"/>
              <w:left w:val="single" w:sz="4" w:space="0" w:color="000000"/>
              <w:bottom w:val="single" w:sz="4" w:space="0" w:color="000000"/>
              <w:right w:val="single" w:sz="4" w:space="0" w:color="000000"/>
            </w:tcBorders>
          </w:tcPr>
          <w:p w:rsidR="00DD1521" w:rsidRPr="00AC6495" w:rsidRDefault="00DD1521">
            <w:pPr>
              <w:pStyle w:val="Normal1"/>
              <w:spacing w:after="0" w:line="240" w:lineRule="auto"/>
              <w:rPr>
                <w:rFonts w:ascii="Arial" w:hAnsi="Arial" w:cs="Arial"/>
                <w:sz w:val="16"/>
                <w:szCs w:val="16"/>
              </w:rPr>
            </w:pPr>
            <w:r w:rsidRPr="00AC6495">
              <w:rPr>
                <w:rFonts w:ascii="Arial" w:hAnsi="Arial" w:cs="Arial"/>
                <w:sz w:val="16"/>
                <w:szCs w:val="16"/>
              </w:rPr>
              <w:t>* Factor de conversión de moneda: 1$ = 0,66 € (fecha: 30/11/2018). ND: no disponible</w:t>
            </w:r>
          </w:p>
          <w:p w:rsidR="00DD1521" w:rsidRPr="00AC6495" w:rsidRDefault="00DD1521">
            <w:pPr>
              <w:pStyle w:val="Normal1"/>
              <w:spacing w:after="0" w:line="240" w:lineRule="auto"/>
              <w:rPr>
                <w:sz w:val="16"/>
                <w:szCs w:val="16"/>
              </w:rPr>
            </w:pPr>
            <w:r w:rsidRPr="00AC6495">
              <w:rPr>
                <w:rFonts w:ascii="Arial" w:hAnsi="Arial" w:cs="Arial"/>
                <w:sz w:val="16"/>
                <w:szCs w:val="16"/>
              </w:rPr>
              <w:t xml:space="preserve">AV: años de vida. AVAC: años de vida ajustados por calidad. RCEI: ratio coste-efectividad incremental. </w:t>
            </w:r>
          </w:p>
        </w:tc>
      </w:tr>
    </w:tbl>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 xml:space="preserve">Para realizar el análisis farmacoeconómico aplicaron un modelo de Markov basado en cuatro posibles estados de salud: libre de progresión en la primera y segunda línea de tratamiento, post-progresión y muerte. La SLP y el tiempo hasta la progresión fueron obtenidos del ensayo clínico FLAURA que evalúa osimertinib en primera línea y los ensayos clínicos AURA e IMPRESS que evalúan osimertinib en segunda línea. La eficacia de afatinib fue considerada equivalente a la de gefitinib en el caso base realizado. Los costes considerados fueron los de adquisición de los fármacos únicamente. Tras la revisión crítica del modelo farmacoeconómico presentado por el laboratorio, el panel evaluador decidió llevar a cabo un reanálisis de osimertinib frente a gefitinib y afatinib. En el reanálisis se realizaron las siguientes modificaciones: cambio del horizonte temporal de 10 a 7 años y utilizar la curva de tiempo hasta interrupción del tratamiento en lugar de la curva de SLP para determinar la duración del tratamiento. </w:t>
      </w:r>
    </w:p>
    <w:p w:rsidR="00DD1521" w:rsidRDefault="00DD1521">
      <w:pPr>
        <w:pStyle w:val="Normal1"/>
        <w:spacing w:after="0" w:line="240" w:lineRule="auto"/>
        <w:jc w:val="both"/>
        <w:rPr>
          <w:rFonts w:ascii="Arial" w:hAnsi="Arial" w:cs="Arial"/>
          <w:b/>
          <w:bCs/>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b/>
          <w:bCs/>
          <w:sz w:val="20"/>
          <w:szCs w:val="20"/>
        </w:rPr>
        <w:t>Comparación osimertinib frente a gefitinib.</w:t>
      </w:r>
      <w:r>
        <w:rPr>
          <w:rFonts w:ascii="Arial" w:hAnsi="Arial" w:cs="Arial"/>
          <w:sz w:val="20"/>
          <w:szCs w:val="20"/>
        </w:rPr>
        <w:t xml:space="preserve"> El coste incremental de osimertinib frente a gefitinib se situó entre 140.796 $ y 346.209 $. El RCEI estimado fue entre </w:t>
      </w:r>
      <w:r w:rsidRPr="00707D72">
        <w:rPr>
          <w:rFonts w:ascii="Arial" w:hAnsi="Arial" w:cs="Arial"/>
          <w:b/>
          <w:sz w:val="20"/>
          <w:szCs w:val="20"/>
        </w:rPr>
        <w:t>305.454 $ y 346.209 $/AVAC</w:t>
      </w:r>
      <w:r>
        <w:rPr>
          <w:rFonts w:ascii="Arial" w:hAnsi="Arial" w:cs="Arial"/>
          <w:sz w:val="20"/>
          <w:szCs w:val="20"/>
        </w:rPr>
        <w:t xml:space="preserve">. Los factores que más influyeron en la diferencia de costes en el caso base fueron la proporción de pacientes testados con mutación T790M positiva, la curva paramétrica seleccionada para determinar la SLP en primera línea y usar el tiempo hasta la discontinuación en el modelo para determinar la duración del tratamiento en segunda línea. El beneficio clínico estimado de osimertinib frente a gefitinib fue entre </w:t>
      </w:r>
      <w:r w:rsidRPr="00707D72">
        <w:rPr>
          <w:rFonts w:ascii="Arial" w:hAnsi="Arial" w:cs="Arial"/>
          <w:b/>
          <w:sz w:val="20"/>
          <w:szCs w:val="20"/>
        </w:rPr>
        <w:t>0,41 y 0,46 AVAC</w:t>
      </w:r>
      <w:r>
        <w:rPr>
          <w:rFonts w:ascii="Arial" w:hAnsi="Arial" w:cs="Arial"/>
          <w:sz w:val="20"/>
          <w:szCs w:val="20"/>
        </w:rPr>
        <w:t xml:space="preserve">. Los principales factores que influyeron en la diferencia de eficacia en AVAC en el caso base fueron la proporción de pacientes que recibieron tratamiento </w:t>
      </w:r>
      <w:r>
        <w:rPr>
          <w:rFonts w:ascii="Arial" w:hAnsi="Arial" w:cs="Arial"/>
          <w:sz w:val="20"/>
          <w:szCs w:val="20"/>
        </w:rPr>
        <w:lastRenderedPageBreak/>
        <w:t xml:space="preserve">de segunda línea y las curvas paramétricas seleccionadas en el modelo para determinar las SLP en la primera y segunda línea de tratamiento. </w:t>
      </w:r>
    </w:p>
    <w:p w:rsidR="00DD1521" w:rsidRDefault="00DD1521">
      <w:pPr>
        <w:pStyle w:val="Normal1"/>
        <w:spacing w:after="0" w:line="240" w:lineRule="auto"/>
        <w:jc w:val="both"/>
        <w:rPr>
          <w:rFonts w:ascii="Arial" w:hAnsi="Arial" w:cs="Arial"/>
          <w:b/>
          <w:bCs/>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b/>
          <w:bCs/>
          <w:sz w:val="20"/>
          <w:szCs w:val="20"/>
        </w:rPr>
        <w:t xml:space="preserve">Comparación de osimertinib frente a afatinib. </w:t>
      </w:r>
      <w:r>
        <w:rPr>
          <w:rFonts w:ascii="Arial" w:hAnsi="Arial" w:cs="Arial"/>
          <w:sz w:val="20"/>
          <w:szCs w:val="20"/>
        </w:rPr>
        <w:t xml:space="preserve"> La mejor estimación obtenida situó el RCEI entre </w:t>
      </w:r>
      <w:r w:rsidRPr="00707D72">
        <w:rPr>
          <w:rFonts w:ascii="Arial" w:hAnsi="Arial" w:cs="Arial"/>
          <w:b/>
          <w:sz w:val="20"/>
          <w:szCs w:val="20"/>
        </w:rPr>
        <w:t>319.174 $/AVAC y 366.955 $/AVAC</w:t>
      </w:r>
      <w:r>
        <w:rPr>
          <w:rFonts w:ascii="Arial" w:hAnsi="Arial" w:cs="Arial"/>
          <w:sz w:val="20"/>
          <w:szCs w:val="20"/>
        </w:rPr>
        <w:t>. El coste incremental de osimertinib estaba entre 136.940 $</w:t>
      </w:r>
      <w:r>
        <w:rPr>
          <w:rFonts w:ascii="Arial" w:hAnsi="Arial" w:cs="Arial"/>
          <w:b/>
          <w:bCs/>
          <w:sz w:val="20"/>
          <w:szCs w:val="20"/>
        </w:rPr>
        <w:t xml:space="preserve"> </w:t>
      </w:r>
      <w:r>
        <w:rPr>
          <w:rFonts w:ascii="Arial" w:hAnsi="Arial" w:cs="Arial"/>
          <w:sz w:val="20"/>
          <w:szCs w:val="20"/>
        </w:rPr>
        <w:t xml:space="preserve">y 137.600 $. En el caso base proporcionado, los principales factores que influyeron en la diferencia de costes fueron la proporción de pacientes con mutación T790M positiva, la curva paramétrica seleccionada para el ajuste de la SLP en primera línea y el uso del tiempo hasta la discontinuación en el modelo para determinar la duración del tratamiento. El beneficio clínico extra de osimertinib comparado con afatinib fue entre </w:t>
      </w:r>
      <w:r w:rsidRPr="00707D72">
        <w:rPr>
          <w:rFonts w:ascii="Arial" w:hAnsi="Arial" w:cs="Arial"/>
          <w:b/>
          <w:sz w:val="20"/>
          <w:szCs w:val="20"/>
        </w:rPr>
        <w:t>0,37 y 0,43 AVAC</w:t>
      </w:r>
      <w:r>
        <w:rPr>
          <w:rFonts w:ascii="Arial" w:hAnsi="Arial" w:cs="Arial"/>
          <w:sz w:val="20"/>
          <w:szCs w:val="20"/>
        </w:rPr>
        <w:t xml:space="preserve"> y los factores que más influyeron fueron los mismos que los especificados para la comparación de osimertinib y gefitinib. La evaluación económica realizada por AstraZeneca asume que gefitinib y afatinib son equivalentes en eficacia. </w:t>
      </w:r>
    </w:p>
    <w:p w:rsidR="00DD1521" w:rsidRDefault="00DD1521">
      <w:pPr>
        <w:pStyle w:val="Normal1"/>
        <w:spacing w:after="0" w:line="240" w:lineRule="auto"/>
        <w:jc w:val="both"/>
        <w:rPr>
          <w:rFonts w:ascii="Arial" w:hAnsi="Arial" w:cs="Arial"/>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En conclusión, el panel de revisión de expertos de pCODR consideró que los RCEI tanto para la comparación realizada por el laboratorio como por los reanálisis llevados a cabo por el panel fueron altas. Un factor que tuvo un gran impacto en los RCEI fue el método de extrapolación de las curvas de SLP. El comité de revisión de expertos consideró adecuadas las modificaciones relacionadas con los métodos de extrapolación realizadas por el panel de evaluación económica, así como el uso del tiempo hasta la interrupción del tratamiento para aplicar en el modelo la duración del tratamiento y el horizonte temporal de 7 años. La aplicación de estas modificaciones se tradujo en un incremento del RCEI de 50.000 $ a 100.000 $ en las comparaciones presentadas por el panel de evaluación económica. El comité concluyó que osimertinib no es coste-efectivo ni en la comparación realizada por el laboratorio titular de la comercialización ni en el reanálisis llevado a cabo por el panel de evaluación económica y que requeriría una reducción sustancial del precio para alcanzar un umbral de disponibilidad a pagar dentro de los márgenes establecidos.</w:t>
      </w:r>
    </w:p>
    <w:p w:rsidR="00DD1521" w:rsidRDefault="00DD1521">
      <w:pPr>
        <w:pStyle w:val="Normal1"/>
        <w:spacing w:after="0" w:line="240" w:lineRule="auto"/>
        <w:jc w:val="both"/>
        <w:rPr>
          <w:rFonts w:ascii="Arial" w:hAnsi="Arial" w:cs="Arial"/>
          <w:sz w:val="20"/>
          <w:szCs w:val="20"/>
        </w:rPr>
      </w:pPr>
    </w:p>
    <w:p w:rsidR="00DD1521" w:rsidRPr="00707D72" w:rsidRDefault="00DD1521">
      <w:pPr>
        <w:pStyle w:val="Normal1"/>
        <w:spacing w:after="0" w:line="240" w:lineRule="auto"/>
        <w:jc w:val="both"/>
        <w:rPr>
          <w:rFonts w:ascii="Arial" w:hAnsi="Arial" w:cs="Arial"/>
          <w:bCs/>
          <w:sz w:val="20"/>
          <w:szCs w:val="20"/>
          <w:u w:val="single"/>
        </w:rPr>
      </w:pPr>
      <w:r w:rsidRPr="00707D72">
        <w:rPr>
          <w:rFonts w:ascii="Arial" w:hAnsi="Arial" w:cs="Arial"/>
          <w:bCs/>
          <w:sz w:val="20"/>
          <w:szCs w:val="20"/>
          <w:u w:val="single"/>
        </w:rPr>
        <w:t>Revisión crítica y aplicabilidad de la evaluación económica del Informe de evaluación económica de la CADTH.</w:t>
      </w:r>
    </w:p>
    <w:p w:rsidR="00DD1521" w:rsidRDefault="00DD1521">
      <w:pPr>
        <w:pStyle w:val="Normal1"/>
        <w:spacing w:after="0" w:line="240" w:lineRule="auto"/>
        <w:jc w:val="both"/>
        <w:rPr>
          <w:rFonts w:ascii="Arial" w:hAnsi="Arial" w:cs="Arial"/>
          <w:b/>
          <w:bCs/>
          <w:sz w:val="20"/>
          <w:szCs w:val="20"/>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VALIDEZ INTERNA: las principales limitaciones expuestas por la CADTH sobre la evaluación económica presentada por el laboratorio fueron:</w:t>
      </w:r>
    </w:p>
    <w:p w:rsidR="00DD1521" w:rsidRDefault="00DD1521">
      <w:pPr>
        <w:pStyle w:val="Normal1"/>
        <w:numPr>
          <w:ilvl w:val="0"/>
          <w:numId w:val="12"/>
        </w:numPr>
        <w:spacing w:after="0" w:line="240" w:lineRule="auto"/>
        <w:jc w:val="both"/>
        <w:rPr>
          <w:rFonts w:ascii="Arial" w:hAnsi="Arial" w:cs="Arial"/>
          <w:sz w:val="20"/>
          <w:szCs w:val="20"/>
        </w:rPr>
      </w:pPr>
      <w:r>
        <w:rPr>
          <w:rFonts w:ascii="Arial" w:hAnsi="Arial" w:cs="Arial"/>
          <w:sz w:val="20"/>
          <w:szCs w:val="20"/>
        </w:rPr>
        <w:t xml:space="preserve">Los datos de supervivencia para realizar el modelo fueron extraídos del ensayo clínico FLAURA, en el que se comparó osimertinib frente a erlotinib o gefitinib. No se disponen de EECC comparativos de osimertinib frente a afatinib ni tampoco Astrazeneca incluye una comparación indirecta de osimertinib vs afatinib en el análisis económico. Sin embargo, en base a los resultados del ensayo LUX-lung 7 en el que las diferencias en eficacia entre gefitinib y afatinib fueron marginales, esta asunción se considera aceptable, aunque no deja de ser una limitación.  </w:t>
      </w:r>
    </w:p>
    <w:p w:rsidR="00DD1521" w:rsidRDefault="00DD1521">
      <w:pPr>
        <w:pStyle w:val="Normal1"/>
        <w:numPr>
          <w:ilvl w:val="0"/>
          <w:numId w:val="12"/>
        </w:numPr>
        <w:spacing w:after="0" w:line="240" w:lineRule="auto"/>
        <w:jc w:val="both"/>
        <w:rPr>
          <w:rFonts w:ascii="Arial" w:hAnsi="Arial" w:cs="Arial"/>
          <w:sz w:val="20"/>
          <w:szCs w:val="20"/>
        </w:rPr>
      </w:pPr>
      <w:r>
        <w:rPr>
          <w:rFonts w:ascii="Arial" w:hAnsi="Arial" w:cs="Arial"/>
          <w:sz w:val="20"/>
          <w:szCs w:val="20"/>
        </w:rPr>
        <w:t xml:space="preserve">La duración del tratamiento en primera y en segunda línea fue estimada a través con el tiempo hasta la progresión. Sin </w:t>
      </w:r>
      <w:r w:rsidR="00E172A8">
        <w:rPr>
          <w:rFonts w:ascii="Arial" w:hAnsi="Arial" w:cs="Arial"/>
          <w:sz w:val="20"/>
          <w:szCs w:val="20"/>
        </w:rPr>
        <w:t>embargo,</w:t>
      </w:r>
      <w:r>
        <w:rPr>
          <w:rFonts w:ascii="Arial" w:hAnsi="Arial" w:cs="Arial"/>
          <w:sz w:val="20"/>
          <w:szCs w:val="20"/>
        </w:rPr>
        <w:t xml:space="preserve"> en panel de evaluación económica de la CADTH consideró que el tiempo hasta la progresión no refleja realmente la duración del tratamiento, ya que probablemente existan pacientes que continúen en tratamiento con osimertinib más allá de la progresión. </w:t>
      </w:r>
    </w:p>
    <w:p w:rsidR="00DD1521" w:rsidRDefault="00DD1521">
      <w:pPr>
        <w:pStyle w:val="Normal1"/>
        <w:numPr>
          <w:ilvl w:val="0"/>
          <w:numId w:val="12"/>
        </w:numPr>
        <w:spacing w:after="0" w:line="240" w:lineRule="auto"/>
        <w:jc w:val="both"/>
        <w:rPr>
          <w:rFonts w:ascii="Arial" w:hAnsi="Arial" w:cs="Arial"/>
          <w:sz w:val="20"/>
          <w:szCs w:val="20"/>
        </w:rPr>
      </w:pPr>
      <w:r>
        <w:rPr>
          <w:rFonts w:ascii="Arial" w:hAnsi="Arial" w:cs="Arial"/>
          <w:sz w:val="20"/>
          <w:szCs w:val="20"/>
        </w:rPr>
        <w:t xml:space="preserve">El laboratorio asumió en su evaluación económica que la proporción de pacientes que recibieron tratamiento en segunda línea fue constante a lo largo del tiempo. Sin embargo, esta premisa fue considerada inapropiada por parte de los evaluadores de la CADTH. </w:t>
      </w:r>
    </w:p>
    <w:p w:rsidR="00DD1521" w:rsidRDefault="00DD1521">
      <w:pPr>
        <w:pStyle w:val="Normal1"/>
        <w:spacing w:after="0" w:line="240" w:lineRule="auto"/>
        <w:jc w:val="both"/>
        <w:rPr>
          <w:rFonts w:ascii="Arial" w:hAnsi="Arial" w:cs="Arial"/>
          <w:sz w:val="16"/>
          <w:szCs w:val="16"/>
          <w:vertAlign w:val="superscript"/>
        </w:rPr>
      </w:pPr>
    </w:p>
    <w:p w:rsidR="00DD1521" w:rsidRDefault="00DD1521">
      <w:pPr>
        <w:pStyle w:val="Normal1"/>
        <w:spacing w:after="0" w:line="240" w:lineRule="auto"/>
        <w:jc w:val="both"/>
        <w:rPr>
          <w:rFonts w:ascii="Arial" w:hAnsi="Arial" w:cs="Arial"/>
          <w:sz w:val="20"/>
          <w:szCs w:val="20"/>
        </w:rPr>
      </w:pPr>
      <w:r>
        <w:rPr>
          <w:rFonts w:ascii="Arial" w:hAnsi="Arial" w:cs="Arial"/>
          <w:sz w:val="20"/>
          <w:szCs w:val="20"/>
        </w:rPr>
        <w:t>VALIDEZ EXTERNA: la aplicabilidad de los resultados de la evaluación económica presentada por el laboratorio, y del posterior reanálisis del CADTH, se encuentra limitada por varios aspectos:</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t>Ausencia de inclusión de comparadores utilizados en práctica clínica en nuestro medio: erlotinib (en primera línea), quimioterapia con cisplatino-pemetrexed como opción terapéutica de segunda línea ni la inmunoterapia como opción de tercera línea.</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t xml:space="preserve">Diferencias existentes respecto a los costes de adquisición de los medicamentos </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t>Los valores de utilidad de los estados de salud determinadas en población diferente a la española</w:t>
      </w:r>
    </w:p>
    <w:p w:rsidR="00DD1521" w:rsidRDefault="00DD1521">
      <w:pPr>
        <w:pStyle w:val="Normal1"/>
        <w:numPr>
          <w:ilvl w:val="0"/>
          <w:numId w:val="11"/>
        </w:numPr>
        <w:spacing w:after="0" w:line="240" w:lineRule="auto"/>
        <w:jc w:val="both"/>
        <w:rPr>
          <w:rFonts w:ascii="Arial" w:hAnsi="Arial" w:cs="Arial"/>
          <w:sz w:val="20"/>
          <w:szCs w:val="20"/>
        </w:rPr>
      </w:pPr>
      <w:r>
        <w:rPr>
          <w:rFonts w:ascii="Arial" w:hAnsi="Arial" w:cs="Arial"/>
          <w:sz w:val="20"/>
          <w:szCs w:val="20"/>
        </w:rPr>
        <w:lastRenderedPageBreak/>
        <w:t>En el análisis proporcionado no se han considerado otros costes directos relacionados con el tratamiento.</w:t>
      </w:r>
    </w:p>
    <w:p w:rsidR="00DD1521" w:rsidRDefault="00DD1521" w:rsidP="0028603B">
      <w:pPr>
        <w:pStyle w:val="Normal1"/>
        <w:spacing w:after="0" w:line="240" w:lineRule="auto"/>
        <w:ind w:left="360"/>
        <w:jc w:val="both"/>
        <w:rPr>
          <w:rFonts w:ascii="Arial" w:hAnsi="Arial" w:cs="Arial"/>
          <w:sz w:val="20"/>
          <w:szCs w:val="20"/>
        </w:rPr>
      </w:pPr>
    </w:p>
    <w:p w:rsidR="00DD1521" w:rsidRDefault="00DD1521">
      <w:pPr>
        <w:spacing w:after="0" w:line="240" w:lineRule="auto"/>
        <w:rPr>
          <w:rFonts w:ascii="Arial" w:hAnsi="Arial" w:cs="Arial"/>
          <w:b/>
          <w:bCs/>
          <w:color w:val="0000FF"/>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29" w:name="_Toc348931390"/>
      <w:bookmarkStart w:id="130" w:name="_Toc344399659"/>
      <w:bookmarkStart w:id="131" w:name="_Toc5793773"/>
      <w:r>
        <w:rPr>
          <w:rFonts w:ascii="Arial" w:hAnsi="Arial" w:cs="Arial"/>
          <w:sz w:val="20"/>
          <w:szCs w:val="20"/>
        </w:rPr>
        <w:t xml:space="preserve">7.3 </w:t>
      </w:r>
      <w:bookmarkEnd w:id="129"/>
      <w:bookmarkEnd w:id="130"/>
      <w:r>
        <w:rPr>
          <w:rFonts w:ascii="Arial" w:hAnsi="Arial" w:cs="Arial"/>
          <w:sz w:val="20"/>
          <w:szCs w:val="20"/>
        </w:rPr>
        <w:t>Evaluación económica de elaboración propia</w:t>
      </w:r>
      <w:bookmarkEnd w:id="131"/>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between w:val="single" w:sz="4" w:space="1" w:color="auto"/>
        </w:pBdr>
        <w:shd w:val="clear" w:color="auto" w:fill="D9D9D9"/>
        <w:spacing w:after="0" w:line="240" w:lineRule="auto"/>
        <w:rPr>
          <w:rFonts w:ascii="Arial" w:hAnsi="Arial" w:cs="Arial"/>
          <w:b/>
          <w:bCs/>
          <w:sz w:val="20"/>
          <w:szCs w:val="20"/>
        </w:rPr>
      </w:pPr>
      <w:r>
        <w:rPr>
          <w:rFonts w:ascii="Arial" w:hAnsi="Arial" w:cs="Arial"/>
          <w:b/>
          <w:bCs/>
          <w:sz w:val="20"/>
          <w:szCs w:val="20"/>
        </w:rPr>
        <w:t>7.3.1. Análisis de minimización de costes. Estudios propios</w:t>
      </w:r>
    </w:p>
    <w:p w:rsidR="00DD1521" w:rsidRDefault="00DD1521">
      <w:pPr>
        <w:snapToGrid w:val="0"/>
        <w:spacing w:after="0" w:line="240" w:lineRule="auto"/>
        <w:jc w:val="both"/>
        <w:rPr>
          <w:rFonts w:ascii="Arial" w:hAnsi="Arial" w:cs="Arial"/>
          <w:sz w:val="20"/>
          <w:szCs w:val="20"/>
        </w:rPr>
      </w:pPr>
    </w:p>
    <w:p w:rsidR="00DD1521" w:rsidRDefault="00DD1521">
      <w:pPr>
        <w:snapToGrid w:val="0"/>
        <w:spacing w:after="0" w:line="240" w:lineRule="auto"/>
        <w:jc w:val="both"/>
        <w:rPr>
          <w:rFonts w:ascii="Arial" w:hAnsi="Arial" w:cs="Arial"/>
          <w:sz w:val="20"/>
          <w:szCs w:val="20"/>
        </w:rPr>
      </w:pPr>
      <w:r>
        <w:rPr>
          <w:rFonts w:ascii="Arial" w:hAnsi="Arial" w:cs="Arial"/>
          <w:sz w:val="20"/>
          <w:szCs w:val="20"/>
        </w:rPr>
        <w:t>No procede.</w:t>
      </w:r>
    </w:p>
    <w:p w:rsidR="00DD1521" w:rsidRDefault="00DD1521">
      <w:pPr>
        <w:snapToGrid w:val="0"/>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between w:val="single" w:sz="4" w:space="1" w:color="auto"/>
        </w:pBdr>
        <w:shd w:val="clear" w:color="auto" w:fill="D9D9D9"/>
        <w:spacing w:after="0" w:line="240" w:lineRule="auto"/>
        <w:rPr>
          <w:rFonts w:ascii="Arial" w:hAnsi="Arial" w:cs="Arial"/>
          <w:b/>
          <w:bCs/>
          <w:sz w:val="20"/>
          <w:szCs w:val="20"/>
        </w:rPr>
      </w:pPr>
      <w:r>
        <w:rPr>
          <w:rFonts w:ascii="Arial" w:hAnsi="Arial" w:cs="Arial"/>
          <w:b/>
          <w:bCs/>
          <w:sz w:val="20"/>
          <w:szCs w:val="20"/>
        </w:rPr>
        <w:t>7.3.2. Coste-efectividad. Estudios propios</w:t>
      </w:r>
    </w:p>
    <w:p w:rsidR="00DD1521" w:rsidRDefault="00DD1521">
      <w:pPr>
        <w:spacing w:after="0" w:line="240" w:lineRule="auto"/>
        <w:jc w:val="both"/>
        <w:rPr>
          <w:rFonts w:ascii="Arial" w:hAnsi="Arial" w:cs="Arial"/>
          <w:color w:val="FF0000"/>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b/>
          <w:bCs/>
          <w:sz w:val="20"/>
          <w:szCs w:val="20"/>
        </w:rPr>
        <w:t>Tratamiento de segunda línea del CPNM avanzado o metastásico con mutación positiva del EGFR T790M</w:t>
      </w:r>
    </w:p>
    <w:p w:rsidR="00DD1521" w:rsidRDefault="00DD1521">
      <w:pPr>
        <w:spacing w:after="0" w:line="240" w:lineRule="auto"/>
        <w:jc w:val="both"/>
        <w:rPr>
          <w:rFonts w:ascii="Arial" w:hAnsi="Arial" w:cs="Arial"/>
          <w:color w:val="FF0000"/>
          <w:sz w:val="20"/>
          <w:szCs w:val="20"/>
        </w:rPr>
      </w:pPr>
    </w:p>
    <w:tbl>
      <w:tblPr>
        <w:tblW w:w="10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2"/>
        <w:gridCol w:w="1134"/>
        <w:gridCol w:w="1134"/>
        <w:gridCol w:w="993"/>
        <w:gridCol w:w="1134"/>
        <w:gridCol w:w="992"/>
        <w:gridCol w:w="1134"/>
        <w:gridCol w:w="1134"/>
        <w:gridCol w:w="992"/>
        <w:gridCol w:w="1134"/>
      </w:tblGrid>
      <w:tr w:rsidR="00DD1521">
        <w:trPr>
          <w:cantSplit/>
          <w:jc w:val="center"/>
        </w:trPr>
        <w:tc>
          <w:tcPr>
            <w:tcW w:w="10683" w:type="dxa"/>
            <w:gridSpan w:val="10"/>
            <w:shd w:val="clear" w:color="auto" w:fill="CCFFCC"/>
          </w:tcPr>
          <w:p w:rsidR="00DD1521" w:rsidRDefault="00DD1521">
            <w:pPr>
              <w:spacing w:after="0" w:line="240" w:lineRule="auto"/>
              <w:jc w:val="both"/>
              <w:rPr>
                <w:rFonts w:ascii="Arial" w:hAnsi="Arial" w:cs="Arial"/>
                <w:b/>
                <w:bCs/>
                <w:sz w:val="18"/>
                <w:szCs w:val="18"/>
              </w:rPr>
            </w:pPr>
            <w:r>
              <w:rPr>
                <w:rFonts w:ascii="Arial" w:hAnsi="Arial" w:cs="Arial"/>
                <w:b/>
                <w:bCs/>
                <w:sz w:val="18"/>
                <w:szCs w:val="18"/>
              </w:rPr>
              <w:t>Tabla 18. Análisis de coste-efectividad según variables de supervivencia incluidas en los estudios.</w:t>
            </w:r>
          </w:p>
        </w:tc>
      </w:tr>
      <w:tr w:rsidR="00DD1521">
        <w:trPr>
          <w:cantSplit/>
          <w:jc w:val="center"/>
        </w:trPr>
        <w:tc>
          <w:tcPr>
            <w:tcW w:w="902" w:type="dxa"/>
            <w:shd w:val="clear" w:color="auto" w:fill="E0E0E0"/>
          </w:tcPr>
          <w:p w:rsidR="00DD1521" w:rsidRDefault="00DD1521">
            <w:pPr>
              <w:spacing w:after="0" w:line="240" w:lineRule="auto"/>
              <w:jc w:val="center"/>
              <w:rPr>
                <w:rFonts w:ascii="Arial" w:hAnsi="Arial" w:cs="Arial"/>
                <w:sz w:val="16"/>
                <w:szCs w:val="16"/>
              </w:rPr>
            </w:pPr>
          </w:p>
        </w:tc>
        <w:tc>
          <w:tcPr>
            <w:tcW w:w="1134" w:type="dxa"/>
            <w:shd w:val="clear" w:color="auto" w:fill="E0E0E0"/>
            <w:vAlign w:val="center"/>
          </w:tcPr>
          <w:p w:rsidR="00DD1521" w:rsidRDefault="00DD1521">
            <w:pPr>
              <w:spacing w:after="0" w:line="240" w:lineRule="auto"/>
              <w:ind w:right="-70"/>
              <w:jc w:val="center"/>
              <w:rPr>
                <w:rFonts w:ascii="Arial" w:hAnsi="Arial" w:cs="Arial"/>
                <w:b/>
                <w:bCs/>
                <w:sz w:val="16"/>
                <w:szCs w:val="16"/>
              </w:rPr>
            </w:pPr>
            <w:r>
              <w:rPr>
                <w:rFonts w:ascii="Arial" w:hAnsi="Arial" w:cs="Arial"/>
                <w:b/>
                <w:bCs/>
                <w:sz w:val="16"/>
                <w:szCs w:val="16"/>
              </w:rPr>
              <w:t>Variable</w:t>
            </w:r>
          </w:p>
        </w:tc>
        <w:tc>
          <w:tcPr>
            <w:tcW w:w="1134" w:type="dxa"/>
            <w:shd w:val="clear" w:color="auto" w:fill="E0E0E0"/>
            <w:vAlign w:val="center"/>
          </w:tcPr>
          <w:p w:rsidR="00DD1521" w:rsidRDefault="00DD1521">
            <w:pPr>
              <w:spacing w:after="0" w:line="240" w:lineRule="auto"/>
              <w:jc w:val="center"/>
              <w:rPr>
                <w:rFonts w:ascii="Arial" w:hAnsi="Arial" w:cs="Arial"/>
                <w:sz w:val="16"/>
                <w:szCs w:val="16"/>
              </w:rPr>
            </w:pPr>
            <w:r>
              <w:rPr>
                <w:rFonts w:ascii="Arial" w:hAnsi="Arial" w:cs="Arial"/>
                <w:b/>
                <w:bCs/>
                <w:sz w:val="16"/>
                <w:szCs w:val="16"/>
              </w:rPr>
              <w:t>Descripción de la VARIABLE evaluada</w:t>
            </w:r>
          </w:p>
        </w:tc>
        <w:tc>
          <w:tcPr>
            <w:tcW w:w="993" w:type="dxa"/>
            <w:shd w:val="clear" w:color="auto" w:fill="E0E0E0"/>
            <w:vAlign w:val="center"/>
          </w:tcPr>
          <w:p w:rsidR="00DD1521" w:rsidRDefault="00DD1521">
            <w:pPr>
              <w:spacing w:after="0" w:line="240" w:lineRule="auto"/>
              <w:ind w:right="-70"/>
              <w:jc w:val="center"/>
              <w:rPr>
                <w:rFonts w:ascii="Arial" w:hAnsi="Arial" w:cs="Arial"/>
                <w:sz w:val="16"/>
                <w:szCs w:val="16"/>
              </w:rPr>
            </w:pPr>
            <w:r>
              <w:rPr>
                <w:rFonts w:ascii="Arial" w:hAnsi="Arial" w:cs="Arial"/>
                <w:b/>
                <w:bCs/>
                <w:sz w:val="16"/>
                <w:szCs w:val="16"/>
              </w:rPr>
              <w:t>Eficacia de osimertinib</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Eficacia de platino / pemetrexed</w:t>
            </w:r>
          </w:p>
        </w:tc>
        <w:tc>
          <w:tcPr>
            <w:tcW w:w="992"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Diferencia en años</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 paciente con osimertinib</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paciente con platino/ pemetrexed</w:t>
            </w:r>
          </w:p>
        </w:tc>
        <w:tc>
          <w:tcPr>
            <w:tcW w:w="992"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incremen-tal</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Razón Coste-efectividad incremental (RCEI)</w:t>
            </w:r>
          </w:p>
        </w:tc>
      </w:tr>
      <w:tr w:rsidR="00DD1521">
        <w:trPr>
          <w:cantSplit/>
          <w:trHeight w:val="660"/>
          <w:jc w:val="center"/>
        </w:trPr>
        <w:tc>
          <w:tcPr>
            <w:tcW w:w="902"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Estudio pivotal AURA3</w:t>
            </w:r>
          </w:p>
        </w:tc>
        <w:tc>
          <w:tcPr>
            <w:tcW w:w="1134" w:type="dxa"/>
            <w:vAlign w:val="center"/>
          </w:tcPr>
          <w:p w:rsidR="00DD1521" w:rsidRDefault="00DD1521">
            <w:pPr>
              <w:spacing w:after="0" w:line="240" w:lineRule="auto"/>
              <w:rPr>
                <w:rFonts w:ascii="Arial" w:hAnsi="Arial" w:cs="Arial"/>
                <w:sz w:val="16"/>
                <w:szCs w:val="16"/>
              </w:rPr>
            </w:pPr>
            <w:r>
              <w:rPr>
                <w:rFonts w:ascii="Arial" w:hAnsi="Arial" w:cs="Arial"/>
                <w:sz w:val="16"/>
                <w:szCs w:val="16"/>
              </w:rPr>
              <w:t>Principal evaluada por el investigador</w:t>
            </w:r>
          </w:p>
        </w:tc>
        <w:tc>
          <w:tcPr>
            <w:tcW w:w="1134"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Mediana SLP (meses)</w:t>
            </w:r>
          </w:p>
        </w:tc>
        <w:tc>
          <w:tcPr>
            <w:tcW w:w="993"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10,1</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4,4</w:t>
            </w:r>
          </w:p>
        </w:tc>
        <w:tc>
          <w:tcPr>
            <w:tcW w:w="992"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0,475 (5,7 meses)</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51.108 €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13.909 €</w:t>
            </w:r>
          </w:p>
        </w:tc>
        <w:tc>
          <w:tcPr>
            <w:tcW w:w="992" w:type="dxa"/>
            <w:vAlign w:val="center"/>
          </w:tcPr>
          <w:p w:rsidR="00DD1521" w:rsidRDefault="00DD1521">
            <w:pPr>
              <w:tabs>
                <w:tab w:val="left" w:pos="231"/>
                <w:tab w:val="center" w:pos="284"/>
              </w:tabs>
              <w:spacing w:after="0" w:line="240" w:lineRule="auto"/>
              <w:jc w:val="center"/>
              <w:rPr>
                <w:rFonts w:ascii="Arial" w:hAnsi="Arial" w:cs="Arial"/>
                <w:sz w:val="16"/>
                <w:szCs w:val="16"/>
              </w:rPr>
            </w:pPr>
            <w:r>
              <w:rPr>
                <w:rFonts w:ascii="Arial" w:hAnsi="Arial" w:cs="Arial"/>
                <w:sz w:val="16"/>
                <w:szCs w:val="16"/>
              </w:rPr>
              <w:t>37.199 €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78.314 €/ AVGLP</w:t>
            </w:r>
          </w:p>
        </w:tc>
      </w:tr>
      <w:tr w:rsidR="00DD1521">
        <w:trPr>
          <w:cantSplit/>
          <w:trHeight w:val="660"/>
          <w:jc w:val="center"/>
        </w:trPr>
        <w:tc>
          <w:tcPr>
            <w:tcW w:w="902"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Estudio pivotal AURA3</w:t>
            </w:r>
          </w:p>
        </w:tc>
        <w:tc>
          <w:tcPr>
            <w:tcW w:w="1134" w:type="dxa"/>
            <w:vAlign w:val="center"/>
          </w:tcPr>
          <w:p w:rsidR="00DD1521" w:rsidRDefault="00DD1521">
            <w:pPr>
              <w:spacing w:after="0" w:line="240" w:lineRule="auto"/>
              <w:rPr>
                <w:rFonts w:ascii="Arial" w:hAnsi="Arial" w:cs="Arial"/>
                <w:sz w:val="16"/>
                <w:szCs w:val="16"/>
              </w:rPr>
            </w:pPr>
            <w:r>
              <w:rPr>
                <w:rFonts w:ascii="Arial" w:hAnsi="Arial" w:cs="Arial"/>
                <w:sz w:val="16"/>
                <w:szCs w:val="16"/>
              </w:rPr>
              <w:t>Principal evaluada por el CRI</w:t>
            </w:r>
          </w:p>
        </w:tc>
        <w:tc>
          <w:tcPr>
            <w:tcW w:w="1134"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Mediana SLP (meses)</w:t>
            </w:r>
          </w:p>
        </w:tc>
        <w:tc>
          <w:tcPr>
            <w:tcW w:w="993"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11,1</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4,2</w:t>
            </w:r>
          </w:p>
        </w:tc>
        <w:tc>
          <w:tcPr>
            <w:tcW w:w="992"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0,567 (6,8 meses)</w:t>
            </w:r>
          </w:p>
        </w:tc>
        <w:tc>
          <w:tcPr>
            <w:tcW w:w="1134" w:type="dxa"/>
            <w:vAlign w:val="center"/>
          </w:tcPr>
          <w:p w:rsidR="00DD1521" w:rsidRDefault="00DD1521">
            <w:pPr>
              <w:spacing w:after="0"/>
              <w:jc w:val="center"/>
            </w:pPr>
            <w:r>
              <w:rPr>
                <w:rFonts w:ascii="Arial" w:hAnsi="Arial" w:cs="Arial"/>
                <w:sz w:val="16"/>
                <w:szCs w:val="16"/>
              </w:rPr>
              <w:t>51.108 €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13.909 €</w:t>
            </w:r>
          </w:p>
        </w:tc>
        <w:tc>
          <w:tcPr>
            <w:tcW w:w="992" w:type="dxa"/>
            <w:vAlign w:val="center"/>
          </w:tcPr>
          <w:p w:rsidR="00DD1521" w:rsidRDefault="00DD1521">
            <w:pPr>
              <w:tabs>
                <w:tab w:val="left" w:pos="231"/>
                <w:tab w:val="center" w:pos="284"/>
              </w:tabs>
              <w:spacing w:after="0" w:line="240" w:lineRule="auto"/>
              <w:jc w:val="center"/>
              <w:rPr>
                <w:rFonts w:ascii="Arial" w:hAnsi="Arial" w:cs="Arial"/>
                <w:sz w:val="16"/>
                <w:szCs w:val="16"/>
              </w:rPr>
            </w:pPr>
            <w:r>
              <w:rPr>
                <w:rFonts w:ascii="Arial" w:hAnsi="Arial" w:cs="Arial"/>
                <w:sz w:val="16"/>
                <w:szCs w:val="16"/>
              </w:rPr>
              <w:t>37.199 €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65.607 €/ AVGLP</w:t>
            </w:r>
          </w:p>
        </w:tc>
      </w:tr>
      <w:tr w:rsidR="00DD1521">
        <w:trPr>
          <w:cantSplit/>
          <w:trHeight w:val="660"/>
          <w:jc w:val="center"/>
        </w:trPr>
        <w:tc>
          <w:tcPr>
            <w:tcW w:w="902"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 xml:space="preserve">Evaluación de Bertranou et al. </w:t>
            </w:r>
          </w:p>
        </w:tc>
        <w:tc>
          <w:tcPr>
            <w:tcW w:w="1134" w:type="dxa"/>
            <w:vAlign w:val="center"/>
          </w:tcPr>
          <w:p w:rsidR="00DD1521" w:rsidRDefault="00DD1521">
            <w:pPr>
              <w:spacing w:after="0" w:line="240" w:lineRule="auto"/>
              <w:rPr>
                <w:rFonts w:ascii="Arial" w:hAnsi="Arial" w:cs="Arial"/>
                <w:sz w:val="16"/>
                <w:szCs w:val="16"/>
              </w:rPr>
            </w:pPr>
            <w:r>
              <w:rPr>
                <w:rFonts w:ascii="Arial" w:hAnsi="Arial" w:cs="Arial"/>
                <w:sz w:val="16"/>
                <w:szCs w:val="16"/>
              </w:rPr>
              <w:t>Secundaria extrapolada</w:t>
            </w:r>
          </w:p>
        </w:tc>
        <w:tc>
          <w:tcPr>
            <w:tcW w:w="1134"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Mediana SG (meses)</w:t>
            </w:r>
          </w:p>
        </w:tc>
        <w:tc>
          <w:tcPr>
            <w:tcW w:w="993"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40,15</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19,15</w:t>
            </w:r>
          </w:p>
        </w:tc>
        <w:tc>
          <w:tcPr>
            <w:tcW w:w="992"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1,750 (21 meses)</w:t>
            </w:r>
          </w:p>
        </w:tc>
        <w:tc>
          <w:tcPr>
            <w:tcW w:w="1134" w:type="dxa"/>
            <w:vAlign w:val="center"/>
          </w:tcPr>
          <w:p w:rsidR="00DD1521" w:rsidRDefault="00DD1521">
            <w:pPr>
              <w:spacing w:after="0"/>
              <w:jc w:val="center"/>
            </w:pPr>
            <w:r>
              <w:rPr>
                <w:rFonts w:ascii="Arial" w:hAnsi="Arial" w:cs="Arial"/>
                <w:sz w:val="16"/>
                <w:szCs w:val="16"/>
              </w:rPr>
              <w:t>51.108 €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13.909 €</w:t>
            </w:r>
          </w:p>
        </w:tc>
        <w:tc>
          <w:tcPr>
            <w:tcW w:w="992" w:type="dxa"/>
            <w:vAlign w:val="center"/>
          </w:tcPr>
          <w:p w:rsidR="00DD1521" w:rsidRDefault="00DD1521">
            <w:pPr>
              <w:tabs>
                <w:tab w:val="left" w:pos="231"/>
                <w:tab w:val="center" w:pos="284"/>
              </w:tabs>
              <w:spacing w:after="0" w:line="240" w:lineRule="auto"/>
              <w:jc w:val="center"/>
              <w:rPr>
                <w:rFonts w:ascii="Arial" w:hAnsi="Arial" w:cs="Arial"/>
                <w:sz w:val="16"/>
                <w:szCs w:val="16"/>
              </w:rPr>
            </w:pPr>
            <w:r>
              <w:rPr>
                <w:rFonts w:ascii="Arial" w:hAnsi="Arial" w:cs="Arial"/>
                <w:sz w:val="16"/>
                <w:szCs w:val="16"/>
              </w:rPr>
              <w:t>37.199 €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21.257 €/ AVG</w:t>
            </w:r>
          </w:p>
        </w:tc>
      </w:tr>
      <w:tr w:rsidR="00DD1521">
        <w:trPr>
          <w:cantSplit/>
          <w:jc w:val="center"/>
        </w:trPr>
        <w:tc>
          <w:tcPr>
            <w:tcW w:w="10683" w:type="dxa"/>
            <w:gridSpan w:val="10"/>
            <w:shd w:val="clear" w:color="auto" w:fill="F2F2F2"/>
          </w:tcPr>
          <w:p w:rsidR="00DD1521" w:rsidRPr="00BA51E1" w:rsidRDefault="00DD1521">
            <w:pPr>
              <w:pStyle w:val="Encabezado"/>
              <w:tabs>
                <w:tab w:val="clear" w:pos="4252"/>
                <w:tab w:val="clear" w:pos="8504"/>
              </w:tabs>
              <w:spacing w:after="0" w:line="240" w:lineRule="auto"/>
              <w:jc w:val="both"/>
              <w:rPr>
                <w:rFonts w:ascii="Arial" w:hAnsi="Arial" w:cs="Arial"/>
                <w:sz w:val="16"/>
                <w:szCs w:val="16"/>
              </w:rPr>
            </w:pPr>
            <w:r w:rsidRPr="00BA51E1">
              <w:rPr>
                <w:rFonts w:ascii="Arial" w:hAnsi="Arial" w:cs="Arial"/>
                <w:sz w:val="16"/>
                <w:szCs w:val="16"/>
              </w:rPr>
              <w:t xml:space="preserve">AVGLP: año de vida ganado libre de progresión. AVG: años de vida ganados </w:t>
            </w:r>
          </w:p>
        </w:tc>
      </w:tr>
    </w:tbl>
    <w:p w:rsidR="00DD1521" w:rsidRDefault="00DD1521">
      <w:pPr>
        <w:spacing w:after="0" w:line="240" w:lineRule="auto"/>
        <w:jc w:val="both"/>
        <w:rPr>
          <w:rFonts w:ascii="Arial" w:hAnsi="Arial" w:cs="Arial"/>
          <w:color w:val="FF0000"/>
          <w:sz w:val="20"/>
          <w:szCs w:val="20"/>
        </w:rPr>
      </w:pPr>
    </w:p>
    <w:p w:rsidR="00DD1521" w:rsidRDefault="00DD1521">
      <w:pPr>
        <w:pStyle w:val="Encabezado"/>
        <w:tabs>
          <w:tab w:val="clear" w:pos="4252"/>
          <w:tab w:val="clear" w:pos="8504"/>
        </w:tabs>
        <w:spacing w:after="0" w:line="240" w:lineRule="auto"/>
        <w:rPr>
          <w:rFonts w:ascii="Arial" w:hAnsi="Arial" w:cs="Arial"/>
          <w:sz w:val="20"/>
        </w:rPr>
      </w:pPr>
      <w:r>
        <w:rPr>
          <w:rFonts w:ascii="Arial" w:hAnsi="Arial" w:cs="Arial"/>
          <w:sz w:val="20"/>
        </w:rPr>
        <w:t>Se ha incluido un cálculo a partir de la mediana de SG calculada por Bertranou et al, sin embargo, hay que tener en cuenta las limitaciones de esta extrapolación.</w:t>
      </w:r>
    </w:p>
    <w:p w:rsidR="00DD1521" w:rsidRDefault="00DD1521">
      <w:pPr>
        <w:pStyle w:val="Encabezado"/>
        <w:tabs>
          <w:tab w:val="clear" w:pos="4252"/>
          <w:tab w:val="clear" w:pos="8504"/>
        </w:tabs>
        <w:spacing w:after="0" w:line="240" w:lineRule="auto"/>
        <w:rPr>
          <w:rFonts w:ascii="Arial" w:hAnsi="Arial" w:cs="Arial"/>
          <w:sz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Si realizamos un </w:t>
      </w:r>
      <w:r>
        <w:rPr>
          <w:rFonts w:ascii="Arial" w:hAnsi="Arial" w:cs="Arial"/>
          <w:b/>
          <w:bCs/>
          <w:sz w:val="20"/>
          <w:szCs w:val="20"/>
        </w:rPr>
        <w:t>análisis de sensibilidad</w:t>
      </w:r>
      <w:r>
        <w:rPr>
          <w:rFonts w:ascii="Arial" w:hAnsi="Arial" w:cs="Arial"/>
          <w:sz w:val="20"/>
          <w:szCs w:val="20"/>
        </w:rPr>
        <w:t xml:space="preserve"> utilizando un coste menor para osimertinib (4.367 €/envase), el RCEI descendería hasta los </w:t>
      </w:r>
      <w:r w:rsidRPr="00855DEA">
        <w:rPr>
          <w:rFonts w:ascii="Arial" w:hAnsi="Arial" w:cs="Arial"/>
          <w:b/>
          <w:sz w:val="20"/>
          <w:szCs w:val="20"/>
        </w:rPr>
        <w:t>45.193 €/AVGLP</w:t>
      </w:r>
      <w:r>
        <w:rPr>
          <w:rFonts w:ascii="Arial" w:hAnsi="Arial" w:cs="Arial"/>
          <w:sz w:val="20"/>
          <w:szCs w:val="20"/>
        </w:rPr>
        <w:t xml:space="preserve"> en el caso de la evaluación del investigador y los </w:t>
      </w:r>
      <w:r w:rsidRPr="00855DEA">
        <w:rPr>
          <w:rFonts w:ascii="Arial" w:hAnsi="Arial" w:cs="Arial"/>
          <w:b/>
          <w:sz w:val="20"/>
          <w:szCs w:val="20"/>
        </w:rPr>
        <w:t>37.861 €/AVGLP</w:t>
      </w:r>
      <w:r>
        <w:rPr>
          <w:rFonts w:ascii="Arial" w:hAnsi="Arial" w:cs="Arial"/>
          <w:sz w:val="20"/>
          <w:szCs w:val="20"/>
        </w:rPr>
        <w:t xml:space="preserve"> según la evaluación del CRI. El coste por AVG sería en este caso de 12.266 € según la extrapolación de los datos de Bertranou.</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primera línea del CPNM avanzado o metastásico con mutaciones activadoras de EGFR</w:t>
      </w:r>
    </w:p>
    <w:p w:rsidR="00DD1521" w:rsidRDefault="00DD1521">
      <w:pPr>
        <w:pStyle w:val="Normal1"/>
        <w:spacing w:after="0" w:line="240" w:lineRule="auto"/>
        <w:jc w:val="both"/>
        <w:rPr>
          <w:rFonts w:ascii="Arial" w:hAnsi="Arial" w:cs="Arial"/>
          <w:sz w:val="20"/>
          <w:szCs w:val="20"/>
        </w:rPr>
      </w:pPr>
    </w:p>
    <w:tbl>
      <w:tblPr>
        <w:tblW w:w="10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2"/>
        <w:gridCol w:w="1134"/>
        <w:gridCol w:w="1134"/>
        <w:gridCol w:w="993"/>
        <w:gridCol w:w="1134"/>
        <w:gridCol w:w="992"/>
        <w:gridCol w:w="1134"/>
        <w:gridCol w:w="1134"/>
        <w:gridCol w:w="992"/>
        <w:gridCol w:w="1134"/>
      </w:tblGrid>
      <w:tr w:rsidR="00DD1521">
        <w:trPr>
          <w:cantSplit/>
          <w:jc w:val="center"/>
        </w:trPr>
        <w:tc>
          <w:tcPr>
            <w:tcW w:w="10683" w:type="dxa"/>
            <w:gridSpan w:val="10"/>
            <w:shd w:val="clear" w:color="auto" w:fill="CCFFCC"/>
          </w:tcPr>
          <w:p w:rsidR="00DD1521" w:rsidRDefault="00DD1521">
            <w:pPr>
              <w:spacing w:after="0" w:line="240" w:lineRule="auto"/>
              <w:jc w:val="both"/>
              <w:rPr>
                <w:rFonts w:ascii="Arial" w:hAnsi="Arial" w:cs="Arial"/>
                <w:b/>
                <w:bCs/>
                <w:sz w:val="18"/>
                <w:szCs w:val="18"/>
              </w:rPr>
            </w:pPr>
            <w:r>
              <w:rPr>
                <w:rFonts w:ascii="Arial" w:hAnsi="Arial" w:cs="Arial"/>
                <w:b/>
                <w:bCs/>
                <w:sz w:val="18"/>
                <w:szCs w:val="18"/>
              </w:rPr>
              <w:t>Tabla 19. Análisis de coste-efectividad según variables de supervivencia incluidas en los estudios.</w:t>
            </w:r>
          </w:p>
        </w:tc>
      </w:tr>
      <w:tr w:rsidR="00DD1521">
        <w:trPr>
          <w:cantSplit/>
          <w:jc w:val="center"/>
        </w:trPr>
        <w:tc>
          <w:tcPr>
            <w:tcW w:w="902" w:type="dxa"/>
            <w:shd w:val="clear" w:color="auto" w:fill="E0E0E0"/>
          </w:tcPr>
          <w:p w:rsidR="00DD1521" w:rsidRDefault="00DD1521">
            <w:pPr>
              <w:spacing w:after="0" w:line="240" w:lineRule="auto"/>
              <w:jc w:val="center"/>
              <w:rPr>
                <w:rFonts w:ascii="Arial" w:hAnsi="Arial" w:cs="Arial"/>
                <w:sz w:val="16"/>
                <w:szCs w:val="16"/>
              </w:rPr>
            </w:pPr>
          </w:p>
        </w:tc>
        <w:tc>
          <w:tcPr>
            <w:tcW w:w="1134" w:type="dxa"/>
            <w:shd w:val="clear" w:color="auto" w:fill="E0E0E0"/>
            <w:vAlign w:val="center"/>
          </w:tcPr>
          <w:p w:rsidR="00DD1521" w:rsidRDefault="00DD1521">
            <w:pPr>
              <w:spacing w:after="0" w:line="240" w:lineRule="auto"/>
              <w:ind w:right="-70"/>
              <w:jc w:val="center"/>
              <w:rPr>
                <w:rFonts w:ascii="Arial" w:hAnsi="Arial" w:cs="Arial"/>
                <w:b/>
                <w:bCs/>
                <w:sz w:val="16"/>
                <w:szCs w:val="16"/>
              </w:rPr>
            </w:pPr>
            <w:r>
              <w:rPr>
                <w:rFonts w:ascii="Arial" w:hAnsi="Arial" w:cs="Arial"/>
                <w:b/>
                <w:bCs/>
                <w:sz w:val="16"/>
                <w:szCs w:val="16"/>
              </w:rPr>
              <w:t>Variable</w:t>
            </w:r>
          </w:p>
        </w:tc>
        <w:tc>
          <w:tcPr>
            <w:tcW w:w="1134" w:type="dxa"/>
            <w:shd w:val="clear" w:color="auto" w:fill="E0E0E0"/>
            <w:vAlign w:val="center"/>
          </w:tcPr>
          <w:p w:rsidR="00DD1521" w:rsidRDefault="00DD1521">
            <w:pPr>
              <w:spacing w:after="0" w:line="240" w:lineRule="auto"/>
              <w:jc w:val="center"/>
              <w:rPr>
                <w:rFonts w:ascii="Arial" w:hAnsi="Arial" w:cs="Arial"/>
                <w:sz w:val="16"/>
                <w:szCs w:val="16"/>
              </w:rPr>
            </w:pPr>
            <w:r>
              <w:rPr>
                <w:rFonts w:ascii="Arial" w:hAnsi="Arial" w:cs="Arial"/>
                <w:b/>
                <w:bCs/>
                <w:sz w:val="16"/>
                <w:szCs w:val="16"/>
              </w:rPr>
              <w:t>Descripción de la VARIABLE evaluada</w:t>
            </w:r>
          </w:p>
        </w:tc>
        <w:tc>
          <w:tcPr>
            <w:tcW w:w="993" w:type="dxa"/>
            <w:shd w:val="clear" w:color="auto" w:fill="E0E0E0"/>
            <w:vAlign w:val="center"/>
          </w:tcPr>
          <w:p w:rsidR="00DD1521" w:rsidRDefault="00DD1521">
            <w:pPr>
              <w:spacing w:after="0" w:line="240" w:lineRule="auto"/>
              <w:ind w:right="-70"/>
              <w:jc w:val="center"/>
              <w:rPr>
                <w:rFonts w:ascii="Arial" w:hAnsi="Arial" w:cs="Arial"/>
                <w:sz w:val="16"/>
                <w:szCs w:val="16"/>
              </w:rPr>
            </w:pPr>
            <w:r>
              <w:rPr>
                <w:rFonts w:ascii="Arial" w:hAnsi="Arial" w:cs="Arial"/>
                <w:b/>
                <w:bCs/>
                <w:sz w:val="16"/>
                <w:szCs w:val="16"/>
              </w:rPr>
              <w:t>Eficacia de osimertinib</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Eficacia de Erlotinib / Gefitinib</w:t>
            </w:r>
          </w:p>
        </w:tc>
        <w:tc>
          <w:tcPr>
            <w:tcW w:w="992"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Diferencia en años</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 paciente con osimertinib</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paciente con Erlotinib / Gefitinib</w:t>
            </w:r>
          </w:p>
        </w:tc>
        <w:tc>
          <w:tcPr>
            <w:tcW w:w="992"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incremen-tal</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Razón Coste-efectividad incremental (RCEI)</w:t>
            </w:r>
          </w:p>
        </w:tc>
      </w:tr>
      <w:tr w:rsidR="00DD1521">
        <w:trPr>
          <w:cantSplit/>
          <w:trHeight w:val="529"/>
          <w:jc w:val="center"/>
        </w:trPr>
        <w:tc>
          <w:tcPr>
            <w:tcW w:w="902"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Estudio pivotal FLAURA</w:t>
            </w:r>
          </w:p>
        </w:tc>
        <w:tc>
          <w:tcPr>
            <w:tcW w:w="1134" w:type="dxa"/>
            <w:vAlign w:val="center"/>
          </w:tcPr>
          <w:p w:rsidR="00DD1521" w:rsidRDefault="00DD1521">
            <w:pPr>
              <w:spacing w:after="0" w:line="240" w:lineRule="auto"/>
              <w:rPr>
                <w:rFonts w:ascii="Arial" w:hAnsi="Arial" w:cs="Arial"/>
                <w:sz w:val="16"/>
                <w:szCs w:val="16"/>
              </w:rPr>
            </w:pPr>
            <w:r>
              <w:rPr>
                <w:rFonts w:ascii="Arial" w:hAnsi="Arial" w:cs="Arial"/>
                <w:sz w:val="16"/>
                <w:szCs w:val="16"/>
              </w:rPr>
              <w:t>Principal evaluada por investigador</w:t>
            </w:r>
          </w:p>
        </w:tc>
        <w:tc>
          <w:tcPr>
            <w:tcW w:w="1134"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Mediana SLP (meses)</w:t>
            </w:r>
          </w:p>
        </w:tc>
        <w:tc>
          <w:tcPr>
            <w:tcW w:w="993"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18,9</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10,2</w:t>
            </w:r>
          </w:p>
        </w:tc>
        <w:tc>
          <w:tcPr>
            <w:tcW w:w="992"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0,725 (8,7 meses)</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102.215 €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24.460 €</w:t>
            </w:r>
          </w:p>
        </w:tc>
        <w:tc>
          <w:tcPr>
            <w:tcW w:w="992" w:type="dxa"/>
            <w:vAlign w:val="center"/>
          </w:tcPr>
          <w:p w:rsidR="00DD1521" w:rsidRDefault="00DD1521">
            <w:pPr>
              <w:tabs>
                <w:tab w:val="left" w:pos="231"/>
                <w:tab w:val="center" w:pos="284"/>
              </w:tabs>
              <w:spacing w:after="0" w:line="240" w:lineRule="auto"/>
              <w:jc w:val="center"/>
              <w:rPr>
                <w:rFonts w:ascii="Arial" w:hAnsi="Arial" w:cs="Arial"/>
                <w:sz w:val="16"/>
                <w:szCs w:val="16"/>
              </w:rPr>
            </w:pPr>
            <w:r>
              <w:rPr>
                <w:rFonts w:ascii="Arial" w:hAnsi="Arial" w:cs="Arial"/>
                <w:sz w:val="16"/>
                <w:szCs w:val="16"/>
              </w:rPr>
              <w:t>77.755 €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107.248 €/ AVGLP</w:t>
            </w:r>
          </w:p>
        </w:tc>
      </w:tr>
      <w:tr w:rsidR="00DD1521">
        <w:trPr>
          <w:cantSplit/>
          <w:trHeight w:val="567"/>
          <w:jc w:val="center"/>
        </w:trPr>
        <w:tc>
          <w:tcPr>
            <w:tcW w:w="902"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Estudio pivotal FLAURA</w:t>
            </w:r>
          </w:p>
        </w:tc>
        <w:tc>
          <w:tcPr>
            <w:tcW w:w="1134" w:type="dxa"/>
            <w:vAlign w:val="center"/>
          </w:tcPr>
          <w:p w:rsidR="00DD1521" w:rsidRDefault="00DD1521">
            <w:pPr>
              <w:spacing w:after="0" w:line="240" w:lineRule="auto"/>
              <w:rPr>
                <w:rFonts w:ascii="Arial" w:hAnsi="Arial" w:cs="Arial"/>
                <w:sz w:val="16"/>
                <w:szCs w:val="16"/>
              </w:rPr>
            </w:pPr>
            <w:r>
              <w:rPr>
                <w:rFonts w:ascii="Arial" w:hAnsi="Arial" w:cs="Arial"/>
                <w:sz w:val="16"/>
                <w:szCs w:val="16"/>
              </w:rPr>
              <w:t>Principal evaluada por el CRI</w:t>
            </w:r>
          </w:p>
        </w:tc>
        <w:tc>
          <w:tcPr>
            <w:tcW w:w="1134"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Mediana SLP (meses)</w:t>
            </w:r>
          </w:p>
        </w:tc>
        <w:tc>
          <w:tcPr>
            <w:tcW w:w="993"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17,7</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9,7</w:t>
            </w:r>
          </w:p>
        </w:tc>
        <w:tc>
          <w:tcPr>
            <w:tcW w:w="992"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0,666 (8 meses)</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102.215 €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24.460 €</w:t>
            </w:r>
          </w:p>
        </w:tc>
        <w:tc>
          <w:tcPr>
            <w:tcW w:w="992" w:type="dxa"/>
            <w:vAlign w:val="center"/>
          </w:tcPr>
          <w:p w:rsidR="00DD1521" w:rsidRDefault="00DD1521">
            <w:pPr>
              <w:tabs>
                <w:tab w:val="left" w:pos="231"/>
                <w:tab w:val="center" w:pos="284"/>
              </w:tabs>
              <w:spacing w:after="0" w:line="240" w:lineRule="auto"/>
              <w:jc w:val="center"/>
              <w:rPr>
                <w:rFonts w:ascii="Arial" w:hAnsi="Arial" w:cs="Arial"/>
                <w:sz w:val="16"/>
                <w:szCs w:val="16"/>
              </w:rPr>
            </w:pPr>
            <w:r>
              <w:rPr>
                <w:rFonts w:ascii="Arial" w:hAnsi="Arial" w:cs="Arial"/>
                <w:sz w:val="16"/>
                <w:szCs w:val="16"/>
              </w:rPr>
              <w:t>77.755 €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116.749 €/ AVGLP</w:t>
            </w:r>
          </w:p>
        </w:tc>
      </w:tr>
      <w:tr w:rsidR="00DD1521">
        <w:trPr>
          <w:cantSplit/>
          <w:jc w:val="center"/>
        </w:trPr>
        <w:tc>
          <w:tcPr>
            <w:tcW w:w="10683" w:type="dxa"/>
            <w:gridSpan w:val="10"/>
            <w:shd w:val="clear" w:color="auto" w:fill="F2F2F2"/>
          </w:tcPr>
          <w:p w:rsidR="00DD1521" w:rsidRPr="00BA51E1" w:rsidRDefault="00DD1521">
            <w:pPr>
              <w:pStyle w:val="Encabezado"/>
              <w:tabs>
                <w:tab w:val="clear" w:pos="4252"/>
                <w:tab w:val="clear" w:pos="8504"/>
              </w:tabs>
              <w:spacing w:after="0" w:line="240" w:lineRule="auto"/>
              <w:jc w:val="both"/>
              <w:rPr>
                <w:rFonts w:ascii="Arial" w:hAnsi="Arial" w:cs="Arial"/>
                <w:sz w:val="16"/>
                <w:szCs w:val="16"/>
              </w:rPr>
            </w:pPr>
            <w:r w:rsidRPr="00BA51E1">
              <w:rPr>
                <w:rFonts w:ascii="Arial" w:hAnsi="Arial" w:cs="Arial"/>
                <w:sz w:val="16"/>
                <w:szCs w:val="16"/>
              </w:rPr>
              <w:t>AVGLP: año de vida ganado libre de progresión</w:t>
            </w:r>
          </w:p>
        </w:tc>
      </w:tr>
    </w:tbl>
    <w:p w:rsidR="00DD1521" w:rsidRDefault="00DD1521">
      <w:pPr>
        <w:pStyle w:val="Normal1"/>
        <w:tabs>
          <w:tab w:val="center" w:pos="4252"/>
          <w:tab w:val="right" w:pos="8504"/>
        </w:tabs>
        <w:spacing w:after="0" w:line="240" w:lineRule="auto"/>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lastRenderedPageBreak/>
        <w:t xml:space="preserve">Si realizamos un </w:t>
      </w:r>
      <w:r>
        <w:rPr>
          <w:rFonts w:ascii="Arial" w:hAnsi="Arial" w:cs="Arial"/>
          <w:b/>
          <w:bCs/>
          <w:sz w:val="20"/>
          <w:szCs w:val="20"/>
        </w:rPr>
        <w:t>análisis de sensibilidad</w:t>
      </w:r>
      <w:r>
        <w:rPr>
          <w:rFonts w:ascii="Arial" w:hAnsi="Arial" w:cs="Arial"/>
          <w:sz w:val="20"/>
          <w:szCs w:val="20"/>
        </w:rPr>
        <w:t xml:space="preserve"> utilizando un coste menor para osimertinib (4.367 €/envase), el RCEI descendería hasta los </w:t>
      </w:r>
      <w:r>
        <w:rPr>
          <w:rFonts w:ascii="Arial" w:hAnsi="Arial" w:cs="Arial"/>
          <w:b/>
          <w:sz w:val="20"/>
          <w:szCs w:val="20"/>
        </w:rPr>
        <w:t>63.841</w:t>
      </w:r>
      <w:r w:rsidRPr="00855DEA">
        <w:rPr>
          <w:rFonts w:ascii="Arial" w:hAnsi="Arial" w:cs="Arial"/>
          <w:b/>
          <w:sz w:val="20"/>
          <w:szCs w:val="20"/>
        </w:rPr>
        <w:t xml:space="preserve"> €/AVGLP</w:t>
      </w:r>
      <w:r>
        <w:rPr>
          <w:rFonts w:ascii="Arial" w:hAnsi="Arial" w:cs="Arial"/>
          <w:sz w:val="20"/>
          <w:szCs w:val="20"/>
        </w:rPr>
        <w:t xml:space="preserve"> en el caso de la evaluación del investigador y los </w:t>
      </w:r>
      <w:r>
        <w:rPr>
          <w:rFonts w:ascii="Arial" w:hAnsi="Arial" w:cs="Arial"/>
          <w:b/>
          <w:sz w:val="20"/>
          <w:szCs w:val="20"/>
        </w:rPr>
        <w:t>69.497</w:t>
      </w:r>
      <w:r w:rsidRPr="00855DEA">
        <w:rPr>
          <w:rFonts w:ascii="Arial" w:hAnsi="Arial" w:cs="Arial"/>
          <w:b/>
          <w:sz w:val="20"/>
          <w:szCs w:val="20"/>
        </w:rPr>
        <w:t xml:space="preserve"> €/AVGLP</w:t>
      </w:r>
      <w:r>
        <w:rPr>
          <w:rFonts w:ascii="Arial" w:hAnsi="Arial" w:cs="Arial"/>
          <w:sz w:val="20"/>
          <w:szCs w:val="20"/>
        </w:rPr>
        <w:t xml:space="preserve"> según la evaluación del CRI.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Si </w:t>
      </w:r>
      <w:r w:rsidRPr="00D83FDB">
        <w:rPr>
          <w:rFonts w:ascii="Arial" w:hAnsi="Arial" w:cs="Arial"/>
          <w:b/>
          <w:sz w:val="20"/>
          <w:szCs w:val="20"/>
        </w:rPr>
        <w:t>además</w:t>
      </w:r>
      <w:r>
        <w:rPr>
          <w:rFonts w:ascii="Arial" w:hAnsi="Arial" w:cs="Arial"/>
          <w:sz w:val="20"/>
          <w:szCs w:val="20"/>
        </w:rPr>
        <w:t xml:space="preserve"> aplicamos un coste un </w:t>
      </w:r>
      <w:r w:rsidRPr="00855DEA">
        <w:rPr>
          <w:rFonts w:ascii="Arial" w:hAnsi="Arial" w:cs="Arial"/>
          <w:b/>
          <w:sz w:val="20"/>
          <w:szCs w:val="20"/>
        </w:rPr>
        <w:t>30% inferior para gefitinib</w:t>
      </w:r>
      <w:r>
        <w:rPr>
          <w:rFonts w:ascii="Arial" w:hAnsi="Arial" w:cs="Arial"/>
          <w:sz w:val="20"/>
          <w:szCs w:val="20"/>
        </w:rPr>
        <w:t xml:space="preserve">, por la probable aparición de genéricos en el primer semestre de 2019, el RCEI de osimertinib frente a este fármaco sería de </w:t>
      </w:r>
      <w:r>
        <w:rPr>
          <w:rFonts w:ascii="Arial" w:hAnsi="Arial" w:cs="Arial"/>
          <w:b/>
          <w:sz w:val="20"/>
          <w:szCs w:val="20"/>
        </w:rPr>
        <w:t>73.963</w:t>
      </w:r>
      <w:r w:rsidRPr="00855DEA">
        <w:rPr>
          <w:rFonts w:ascii="Arial" w:hAnsi="Arial" w:cs="Arial"/>
          <w:b/>
          <w:sz w:val="20"/>
          <w:szCs w:val="20"/>
        </w:rPr>
        <w:t xml:space="preserve"> €/A</w:t>
      </w:r>
      <w:r>
        <w:rPr>
          <w:rFonts w:ascii="Arial" w:hAnsi="Arial" w:cs="Arial"/>
          <w:b/>
          <w:sz w:val="20"/>
          <w:szCs w:val="20"/>
        </w:rPr>
        <w:t>V</w:t>
      </w:r>
      <w:r w:rsidRPr="00855DEA">
        <w:rPr>
          <w:rFonts w:ascii="Arial" w:hAnsi="Arial" w:cs="Arial"/>
          <w:b/>
          <w:sz w:val="20"/>
          <w:szCs w:val="20"/>
        </w:rPr>
        <w:t>GLP</w:t>
      </w:r>
      <w:r>
        <w:rPr>
          <w:rFonts w:ascii="Arial" w:hAnsi="Arial" w:cs="Arial"/>
          <w:sz w:val="20"/>
          <w:szCs w:val="20"/>
        </w:rPr>
        <w:t xml:space="preserve"> en el caso de la evaluación del investigador o de </w:t>
      </w:r>
      <w:r w:rsidRPr="00855DEA">
        <w:rPr>
          <w:rFonts w:ascii="Arial" w:hAnsi="Arial" w:cs="Arial"/>
          <w:b/>
          <w:sz w:val="20"/>
          <w:szCs w:val="20"/>
        </w:rPr>
        <w:t>80.512 €/A</w:t>
      </w:r>
      <w:r>
        <w:rPr>
          <w:rFonts w:ascii="Arial" w:hAnsi="Arial" w:cs="Arial"/>
          <w:b/>
          <w:sz w:val="20"/>
          <w:szCs w:val="20"/>
        </w:rPr>
        <w:t>V</w:t>
      </w:r>
      <w:r w:rsidRPr="00855DEA">
        <w:rPr>
          <w:rFonts w:ascii="Arial" w:hAnsi="Arial" w:cs="Arial"/>
          <w:b/>
          <w:sz w:val="20"/>
          <w:szCs w:val="20"/>
        </w:rPr>
        <w:t>GLP</w:t>
      </w:r>
      <w:r>
        <w:rPr>
          <w:rFonts w:ascii="Arial" w:hAnsi="Arial" w:cs="Arial"/>
          <w:sz w:val="20"/>
          <w:szCs w:val="20"/>
        </w:rPr>
        <w:t xml:space="preserve"> según la evaluación del CRI.</w:t>
      </w:r>
    </w:p>
    <w:p w:rsidR="00DD1521" w:rsidRDefault="00DD1521">
      <w:pPr>
        <w:pStyle w:val="Encabezado"/>
        <w:tabs>
          <w:tab w:val="clear" w:pos="4252"/>
          <w:tab w:val="clear" w:pos="8504"/>
        </w:tabs>
        <w:spacing w:after="0" w:line="240" w:lineRule="auto"/>
        <w:rPr>
          <w:rFonts w:ascii="Arial" w:hAnsi="Arial" w:cs="Arial"/>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32" w:name="_Toc348931455"/>
      <w:bookmarkStart w:id="133" w:name="_Toc5793774"/>
      <w:r>
        <w:rPr>
          <w:rFonts w:ascii="Arial" w:hAnsi="Arial" w:cs="Arial"/>
          <w:sz w:val="20"/>
          <w:szCs w:val="20"/>
        </w:rPr>
        <w:t>7.3.3 Coste-utilidad. Estudios propios</w:t>
      </w:r>
      <w:bookmarkEnd w:id="132"/>
      <w:bookmarkEnd w:id="133"/>
    </w:p>
    <w:p w:rsidR="00DD1521" w:rsidRDefault="00DD1521">
      <w:pPr>
        <w:pStyle w:val="Encabezado"/>
        <w:tabs>
          <w:tab w:val="clear" w:pos="4252"/>
          <w:tab w:val="clear" w:pos="8504"/>
        </w:tabs>
        <w:spacing w:after="0" w:line="240" w:lineRule="auto"/>
        <w:rPr>
          <w:rFonts w:ascii="Arial" w:hAnsi="Arial" w:cs="Arial"/>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b/>
          <w:bCs/>
          <w:sz w:val="20"/>
          <w:szCs w:val="20"/>
        </w:rPr>
        <w:t>Tratamiento de segunda línea del CPNM avanzado o metastásico con mutación positiva del EGFR T790M</w:t>
      </w:r>
    </w:p>
    <w:p w:rsidR="00DD1521" w:rsidRDefault="00DD1521">
      <w:pPr>
        <w:pStyle w:val="Encabezado"/>
        <w:tabs>
          <w:tab w:val="clear" w:pos="4252"/>
          <w:tab w:val="clear" w:pos="8504"/>
        </w:tabs>
        <w:spacing w:after="0" w:line="240" w:lineRule="auto"/>
        <w:rPr>
          <w:rFonts w:ascii="Arial" w:hAnsi="Arial" w:cs="Arial"/>
        </w:rPr>
      </w:pP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54"/>
        <w:gridCol w:w="850"/>
        <w:gridCol w:w="1134"/>
        <w:gridCol w:w="1134"/>
        <w:gridCol w:w="1134"/>
        <w:gridCol w:w="1429"/>
        <w:gridCol w:w="1134"/>
        <w:gridCol w:w="992"/>
        <w:gridCol w:w="1134"/>
      </w:tblGrid>
      <w:tr w:rsidR="00DD1521">
        <w:trPr>
          <w:cantSplit/>
          <w:jc w:val="center"/>
        </w:trPr>
        <w:tc>
          <w:tcPr>
            <w:tcW w:w="9995" w:type="dxa"/>
            <w:gridSpan w:val="9"/>
            <w:shd w:val="clear" w:color="auto" w:fill="CCFFCC"/>
          </w:tcPr>
          <w:p w:rsidR="00DD1521" w:rsidRDefault="00DD1521">
            <w:pPr>
              <w:spacing w:after="0" w:line="240" w:lineRule="auto"/>
              <w:jc w:val="both"/>
              <w:rPr>
                <w:rFonts w:ascii="Arial" w:hAnsi="Arial" w:cs="Arial"/>
                <w:b/>
                <w:bCs/>
                <w:sz w:val="18"/>
                <w:szCs w:val="18"/>
              </w:rPr>
            </w:pPr>
            <w:r>
              <w:rPr>
                <w:rFonts w:ascii="Arial" w:hAnsi="Arial" w:cs="Arial"/>
                <w:b/>
                <w:bCs/>
                <w:sz w:val="18"/>
                <w:szCs w:val="18"/>
              </w:rPr>
              <w:t>Tabla 20. Análisis de coste-utilidad según variables de supervivencia incluidas en los estudios.</w:t>
            </w:r>
          </w:p>
        </w:tc>
      </w:tr>
      <w:tr w:rsidR="00DD1521">
        <w:trPr>
          <w:cantSplit/>
          <w:jc w:val="center"/>
        </w:trPr>
        <w:tc>
          <w:tcPr>
            <w:tcW w:w="1054" w:type="dxa"/>
            <w:shd w:val="clear" w:color="auto" w:fill="E0E0E0"/>
          </w:tcPr>
          <w:p w:rsidR="00DD1521" w:rsidRDefault="00DD1521">
            <w:pPr>
              <w:spacing w:after="0" w:line="240" w:lineRule="auto"/>
              <w:jc w:val="center"/>
              <w:rPr>
                <w:rFonts w:ascii="Arial" w:hAnsi="Arial" w:cs="Arial"/>
                <w:sz w:val="16"/>
                <w:szCs w:val="16"/>
              </w:rPr>
            </w:pPr>
          </w:p>
        </w:tc>
        <w:tc>
          <w:tcPr>
            <w:tcW w:w="850" w:type="dxa"/>
            <w:shd w:val="clear" w:color="auto" w:fill="E0E0E0"/>
            <w:vAlign w:val="center"/>
          </w:tcPr>
          <w:p w:rsidR="00DD1521" w:rsidRDefault="00DD1521">
            <w:pPr>
              <w:spacing w:after="0" w:line="240" w:lineRule="auto"/>
              <w:ind w:right="-70"/>
              <w:jc w:val="center"/>
              <w:rPr>
                <w:rFonts w:ascii="Arial" w:hAnsi="Arial" w:cs="Arial"/>
                <w:b/>
                <w:bCs/>
                <w:sz w:val="16"/>
                <w:szCs w:val="16"/>
              </w:rPr>
            </w:pPr>
            <w:r>
              <w:rPr>
                <w:rFonts w:ascii="Arial" w:hAnsi="Arial" w:cs="Arial"/>
                <w:b/>
                <w:bCs/>
                <w:sz w:val="16"/>
                <w:szCs w:val="16"/>
              </w:rPr>
              <w:t>Variable</w:t>
            </w:r>
          </w:p>
        </w:tc>
        <w:tc>
          <w:tcPr>
            <w:tcW w:w="1134" w:type="dxa"/>
            <w:shd w:val="clear" w:color="auto" w:fill="E0E0E0"/>
            <w:vAlign w:val="center"/>
          </w:tcPr>
          <w:p w:rsidR="00DD1521" w:rsidRDefault="00DD1521">
            <w:pPr>
              <w:spacing w:after="0" w:line="240" w:lineRule="auto"/>
              <w:ind w:right="-70"/>
              <w:jc w:val="center"/>
              <w:rPr>
                <w:rFonts w:ascii="Arial" w:hAnsi="Arial" w:cs="Arial"/>
                <w:sz w:val="16"/>
                <w:szCs w:val="16"/>
              </w:rPr>
            </w:pPr>
            <w:r>
              <w:rPr>
                <w:rFonts w:ascii="Arial" w:hAnsi="Arial" w:cs="Arial"/>
                <w:b/>
                <w:bCs/>
                <w:sz w:val="16"/>
                <w:szCs w:val="16"/>
              </w:rPr>
              <w:t>AVAC con osimertinib</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AVAC con platino / pemetrexed</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Diferencia de AVAC</w:t>
            </w:r>
          </w:p>
        </w:tc>
        <w:tc>
          <w:tcPr>
            <w:tcW w:w="1429"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 paciente con osimertinib</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paciente con Platino / Pemetrexed</w:t>
            </w:r>
          </w:p>
        </w:tc>
        <w:tc>
          <w:tcPr>
            <w:tcW w:w="992"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incremen-tal</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 xml:space="preserve"> RCEI</w:t>
            </w:r>
          </w:p>
        </w:tc>
      </w:tr>
      <w:tr w:rsidR="00DD1521">
        <w:trPr>
          <w:cantSplit/>
          <w:trHeight w:val="520"/>
          <w:jc w:val="center"/>
        </w:trPr>
        <w:tc>
          <w:tcPr>
            <w:tcW w:w="1054"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 xml:space="preserve">Evaluación de Bertranou </w:t>
            </w:r>
          </w:p>
        </w:tc>
        <w:tc>
          <w:tcPr>
            <w:tcW w:w="850"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AVAC en años</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2,841</w:t>
            </w:r>
          </w:p>
        </w:tc>
        <w:tc>
          <w:tcPr>
            <w:tcW w:w="1134" w:type="dxa"/>
            <w:vAlign w:val="center"/>
          </w:tcPr>
          <w:p w:rsidR="00DD1521" w:rsidRDefault="00DD1521">
            <w:pPr>
              <w:spacing w:after="0" w:line="240" w:lineRule="auto"/>
              <w:ind w:right="-70"/>
              <w:jc w:val="center"/>
              <w:rPr>
                <w:rFonts w:ascii="Arial" w:hAnsi="Arial" w:cs="Arial"/>
                <w:sz w:val="16"/>
                <w:szCs w:val="16"/>
              </w:rPr>
            </w:pPr>
            <w:r>
              <w:rPr>
                <w:rFonts w:ascii="Arial" w:hAnsi="Arial" w:cs="Arial"/>
                <w:sz w:val="16"/>
                <w:szCs w:val="16"/>
              </w:rPr>
              <w:t>1,3</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1,541</w:t>
            </w:r>
          </w:p>
        </w:tc>
        <w:tc>
          <w:tcPr>
            <w:tcW w:w="1429"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51.108 €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13.909 €</w:t>
            </w:r>
          </w:p>
        </w:tc>
        <w:tc>
          <w:tcPr>
            <w:tcW w:w="992" w:type="dxa"/>
            <w:vAlign w:val="center"/>
          </w:tcPr>
          <w:p w:rsidR="00DD1521" w:rsidRDefault="00DD1521">
            <w:pPr>
              <w:tabs>
                <w:tab w:val="left" w:pos="231"/>
                <w:tab w:val="center" w:pos="284"/>
              </w:tabs>
              <w:spacing w:after="0" w:line="240" w:lineRule="auto"/>
              <w:jc w:val="center"/>
              <w:rPr>
                <w:rFonts w:ascii="Arial" w:hAnsi="Arial" w:cs="Arial"/>
                <w:sz w:val="16"/>
                <w:szCs w:val="16"/>
              </w:rPr>
            </w:pPr>
            <w:r>
              <w:rPr>
                <w:rFonts w:ascii="Arial" w:hAnsi="Arial" w:cs="Arial"/>
                <w:sz w:val="16"/>
                <w:szCs w:val="16"/>
              </w:rPr>
              <w:t>37.199 €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24.139 €/ AVAC</w:t>
            </w:r>
          </w:p>
        </w:tc>
      </w:tr>
      <w:tr w:rsidR="00DD1521">
        <w:trPr>
          <w:cantSplit/>
          <w:jc w:val="center"/>
        </w:trPr>
        <w:tc>
          <w:tcPr>
            <w:tcW w:w="9995" w:type="dxa"/>
            <w:gridSpan w:val="9"/>
            <w:shd w:val="clear" w:color="auto" w:fill="F2F2F2"/>
          </w:tcPr>
          <w:p w:rsidR="00DD1521" w:rsidRPr="00BA51E1" w:rsidRDefault="00DD1521">
            <w:pPr>
              <w:pStyle w:val="Encabezado"/>
              <w:tabs>
                <w:tab w:val="clear" w:pos="4252"/>
                <w:tab w:val="clear" w:pos="8504"/>
              </w:tabs>
              <w:spacing w:after="0" w:line="240" w:lineRule="auto"/>
              <w:jc w:val="both"/>
              <w:rPr>
                <w:rFonts w:ascii="Arial" w:hAnsi="Arial" w:cs="Arial"/>
                <w:sz w:val="16"/>
                <w:szCs w:val="16"/>
              </w:rPr>
            </w:pPr>
            <w:r w:rsidRPr="00BA51E1">
              <w:rPr>
                <w:rFonts w:ascii="Arial" w:hAnsi="Arial" w:cs="Arial"/>
                <w:sz w:val="16"/>
                <w:szCs w:val="16"/>
              </w:rPr>
              <w:t>AVAC: años de vida ganados ajustados por calidad</w:t>
            </w:r>
          </w:p>
        </w:tc>
      </w:tr>
    </w:tbl>
    <w:p w:rsidR="00DD1521" w:rsidRDefault="00DD1521">
      <w:pPr>
        <w:pStyle w:val="Encabezado"/>
        <w:tabs>
          <w:tab w:val="clear" w:pos="4252"/>
          <w:tab w:val="clear" w:pos="8504"/>
        </w:tabs>
        <w:spacing w:after="0" w:line="240" w:lineRule="auto"/>
        <w:rPr>
          <w:rFonts w:ascii="Arial" w:hAnsi="Arial" w:cs="Arial"/>
          <w:sz w:val="20"/>
        </w:rPr>
      </w:pPr>
    </w:p>
    <w:p w:rsidR="00DD1521" w:rsidRDefault="00DD1521">
      <w:pPr>
        <w:pStyle w:val="Encabezado"/>
        <w:tabs>
          <w:tab w:val="clear" w:pos="4252"/>
          <w:tab w:val="clear" w:pos="8504"/>
        </w:tabs>
        <w:spacing w:after="0" w:line="240" w:lineRule="auto"/>
        <w:jc w:val="both"/>
        <w:rPr>
          <w:rFonts w:ascii="Arial" w:hAnsi="Arial" w:cs="Arial"/>
          <w:sz w:val="20"/>
        </w:rPr>
      </w:pPr>
      <w:r>
        <w:rPr>
          <w:rFonts w:ascii="Arial" w:hAnsi="Arial" w:cs="Arial"/>
          <w:sz w:val="20"/>
        </w:rPr>
        <w:t xml:space="preserve">Si realizamos un </w:t>
      </w:r>
      <w:r>
        <w:rPr>
          <w:rFonts w:ascii="Arial" w:hAnsi="Arial" w:cs="Arial"/>
          <w:b/>
          <w:bCs/>
          <w:sz w:val="20"/>
        </w:rPr>
        <w:t>análisis de sensibilidad</w:t>
      </w:r>
      <w:r>
        <w:rPr>
          <w:rFonts w:ascii="Arial" w:hAnsi="Arial" w:cs="Arial"/>
          <w:sz w:val="20"/>
        </w:rPr>
        <w:t xml:space="preserve"> utilizando un coste menor para osimertinib (4.367 €/envase), el RCEI descendería hasta los 13.930 €/AVAC ganado.</w:t>
      </w:r>
    </w:p>
    <w:p w:rsidR="00DD1521" w:rsidRDefault="00DD1521">
      <w:pPr>
        <w:pStyle w:val="Encabezado"/>
        <w:tabs>
          <w:tab w:val="clear" w:pos="4252"/>
          <w:tab w:val="clear" w:pos="8504"/>
        </w:tabs>
        <w:spacing w:after="0" w:line="240" w:lineRule="auto"/>
        <w:rPr>
          <w:rFonts w:ascii="Arial" w:hAnsi="Arial" w:cs="Arial"/>
          <w:sz w:val="20"/>
        </w:rPr>
      </w:pPr>
    </w:p>
    <w:p w:rsidR="00DD1521" w:rsidRDefault="00DD152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z w:val="20"/>
          <w:szCs w:val="20"/>
        </w:rPr>
      </w:pPr>
      <w:r>
        <w:rPr>
          <w:rFonts w:ascii="Arial" w:hAnsi="Arial" w:cs="Arial"/>
          <w:b/>
          <w:bCs/>
          <w:sz w:val="20"/>
          <w:szCs w:val="20"/>
        </w:rPr>
        <w:t>Tratamiento de primera línea del CPNM avanzado o metastásico con mutaciones activadoras de EGFR</w:t>
      </w:r>
    </w:p>
    <w:p w:rsidR="00DD1521" w:rsidRDefault="00DD1521">
      <w:pPr>
        <w:pStyle w:val="Encabezado"/>
        <w:tabs>
          <w:tab w:val="clear" w:pos="4252"/>
          <w:tab w:val="clear" w:pos="8504"/>
        </w:tabs>
        <w:spacing w:after="0" w:line="240" w:lineRule="auto"/>
        <w:rPr>
          <w:rFonts w:ascii="Arial" w:hAnsi="Arial" w:cs="Arial"/>
          <w:sz w:val="20"/>
        </w:rPr>
      </w:pP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54"/>
        <w:gridCol w:w="850"/>
        <w:gridCol w:w="1134"/>
        <w:gridCol w:w="1134"/>
        <w:gridCol w:w="1134"/>
        <w:gridCol w:w="1429"/>
        <w:gridCol w:w="1134"/>
        <w:gridCol w:w="992"/>
        <w:gridCol w:w="1134"/>
      </w:tblGrid>
      <w:tr w:rsidR="00DD1521">
        <w:trPr>
          <w:cantSplit/>
          <w:jc w:val="center"/>
        </w:trPr>
        <w:tc>
          <w:tcPr>
            <w:tcW w:w="9995" w:type="dxa"/>
            <w:gridSpan w:val="9"/>
            <w:shd w:val="clear" w:color="auto" w:fill="CCFFCC"/>
          </w:tcPr>
          <w:p w:rsidR="00DD1521" w:rsidRDefault="00DD1521">
            <w:pPr>
              <w:spacing w:after="0" w:line="240" w:lineRule="auto"/>
              <w:jc w:val="both"/>
              <w:rPr>
                <w:rFonts w:ascii="Arial" w:hAnsi="Arial" w:cs="Arial"/>
                <w:b/>
                <w:bCs/>
                <w:sz w:val="18"/>
                <w:szCs w:val="18"/>
              </w:rPr>
            </w:pPr>
            <w:r>
              <w:rPr>
                <w:rFonts w:ascii="Arial" w:hAnsi="Arial" w:cs="Arial"/>
                <w:b/>
                <w:bCs/>
                <w:sz w:val="18"/>
                <w:szCs w:val="18"/>
              </w:rPr>
              <w:t>Tabla 21. Análisis de coste-utilidad según variables de supervivencia incluidas en los estudios.</w:t>
            </w:r>
          </w:p>
        </w:tc>
      </w:tr>
      <w:tr w:rsidR="00DD1521">
        <w:trPr>
          <w:cantSplit/>
          <w:jc w:val="center"/>
        </w:trPr>
        <w:tc>
          <w:tcPr>
            <w:tcW w:w="1054" w:type="dxa"/>
            <w:shd w:val="clear" w:color="auto" w:fill="E0E0E0"/>
          </w:tcPr>
          <w:p w:rsidR="00DD1521" w:rsidRDefault="00DD1521">
            <w:pPr>
              <w:spacing w:after="0" w:line="240" w:lineRule="auto"/>
              <w:jc w:val="center"/>
              <w:rPr>
                <w:rFonts w:ascii="Arial" w:hAnsi="Arial" w:cs="Arial"/>
                <w:sz w:val="16"/>
                <w:szCs w:val="16"/>
              </w:rPr>
            </w:pPr>
          </w:p>
        </w:tc>
        <w:tc>
          <w:tcPr>
            <w:tcW w:w="850" w:type="dxa"/>
            <w:shd w:val="clear" w:color="auto" w:fill="E0E0E0"/>
            <w:vAlign w:val="center"/>
          </w:tcPr>
          <w:p w:rsidR="00DD1521" w:rsidRDefault="00DD1521">
            <w:pPr>
              <w:spacing w:after="0" w:line="240" w:lineRule="auto"/>
              <w:ind w:right="-70"/>
              <w:jc w:val="center"/>
              <w:rPr>
                <w:rFonts w:ascii="Arial" w:hAnsi="Arial" w:cs="Arial"/>
                <w:b/>
                <w:bCs/>
                <w:sz w:val="16"/>
                <w:szCs w:val="16"/>
              </w:rPr>
            </w:pPr>
            <w:r>
              <w:rPr>
                <w:rFonts w:ascii="Arial" w:hAnsi="Arial" w:cs="Arial"/>
                <w:b/>
                <w:bCs/>
                <w:sz w:val="16"/>
                <w:szCs w:val="16"/>
              </w:rPr>
              <w:t>Variable</w:t>
            </w:r>
          </w:p>
        </w:tc>
        <w:tc>
          <w:tcPr>
            <w:tcW w:w="1134" w:type="dxa"/>
            <w:shd w:val="clear" w:color="auto" w:fill="E0E0E0"/>
            <w:vAlign w:val="center"/>
          </w:tcPr>
          <w:p w:rsidR="00DD1521" w:rsidRDefault="00DD1521">
            <w:pPr>
              <w:spacing w:after="0" w:line="240" w:lineRule="auto"/>
              <w:ind w:right="-70"/>
              <w:jc w:val="center"/>
              <w:rPr>
                <w:rFonts w:ascii="Arial" w:hAnsi="Arial" w:cs="Arial"/>
                <w:sz w:val="16"/>
                <w:szCs w:val="16"/>
              </w:rPr>
            </w:pPr>
            <w:r>
              <w:rPr>
                <w:rFonts w:ascii="Arial" w:hAnsi="Arial" w:cs="Arial"/>
                <w:b/>
                <w:bCs/>
                <w:sz w:val="16"/>
                <w:szCs w:val="16"/>
              </w:rPr>
              <w:t>AVAC con osimertinib</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AVAC con erlotinib</w:t>
            </w:r>
          </w:p>
          <w:p w:rsidR="00DD1521" w:rsidRDefault="00DD1521">
            <w:pPr>
              <w:spacing w:after="0" w:line="240" w:lineRule="auto"/>
              <w:jc w:val="center"/>
              <w:rPr>
                <w:rFonts w:ascii="Arial" w:hAnsi="Arial" w:cs="Arial"/>
                <w:b/>
                <w:bCs/>
                <w:sz w:val="16"/>
                <w:szCs w:val="16"/>
              </w:rPr>
            </w:pPr>
            <w:r>
              <w:rPr>
                <w:rFonts w:ascii="Arial" w:hAnsi="Arial" w:cs="Arial"/>
                <w:b/>
                <w:bCs/>
                <w:sz w:val="16"/>
                <w:szCs w:val="16"/>
              </w:rPr>
              <w:t>/gefitinib</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Diferencia de AVAC</w:t>
            </w:r>
          </w:p>
        </w:tc>
        <w:tc>
          <w:tcPr>
            <w:tcW w:w="1429"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 paciente con osimertinib</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paciente con Erlotinib / Gefitinib</w:t>
            </w:r>
          </w:p>
        </w:tc>
        <w:tc>
          <w:tcPr>
            <w:tcW w:w="992"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incremen-tal</w:t>
            </w:r>
          </w:p>
        </w:tc>
        <w:tc>
          <w:tcPr>
            <w:tcW w:w="1134" w:type="dxa"/>
            <w:shd w:val="clear" w:color="auto" w:fill="E0E0E0"/>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RCEI</w:t>
            </w:r>
          </w:p>
        </w:tc>
      </w:tr>
      <w:tr w:rsidR="00DD1521">
        <w:trPr>
          <w:cantSplit/>
          <w:trHeight w:val="483"/>
          <w:jc w:val="center"/>
        </w:trPr>
        <w:tc>
          <w:tcPr>
            <w:tcW w:w="1054"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 xml:space="preserve">Evaluación de Ezeife </w:t>
            </w:r>
          </w:p>
        </w:tc>
        <w:tc>
          <w:tcPr>
            <w:tcW w:w="850"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 xml:space="preserve">AVAC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w:t>
            </w:r>
          </w:p>
        </w:tc>
        <w:tc>
          <w:tcPr>
            <w:tcW w:w="1134" w:type="dxa"/>
            <w:vAlign w:val="center"/>
          </w:tcPr>
          <w:p w:rsidR="00DD1521" w:rsidRDefault="00DD1521">
            <w:pPr>
              <w:spacing w:after="0" w:line="240" w:lineRule="auto"/>
              <w:ind w:right="-70"/>
              <w:jc w:val="center"/>
              <w:rPr>
                <w:rFonts w:ascii="Arial" w:hAnsi="Arial" w:cs="Arial"/>
                <w:sz w:val="16"/>
                <w:szCs w:val="16"/>
              </w:rPr>
            </w:pPr>
            <w:r>
              <w:rPr>
                <w:rFonts w:ascii="Arial" w:hAnsi="Arial" w:cs="Arial"/>
                <w:sz w:val="16"/>
                <w:szCs w:val="16"/>
              </w:rPr>
              <w:t>-</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0,79</w:t>
            </w:r>
          </w:p>
        </w:tc>
        <w:tc>
          <w:tcPr>
            <w:tcW w:w="1429"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102.215 €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24.460 €</w:t>
            </w:r>
          </w:p>
        </w:tc>
        <w:tc>
          <w:tcPr>
            <w:tcW w:w="992" w:type="dxa"/>
            <w:vAlign w:val="center"/>
          </w:tcPr>
          <w:p w:rsidR="00DD1521" w:rsidRDefault="00DD1521">
            <w:pPr>
              <w:tabs>
                <w:tab w:val="left" w:pos="231"/>
                <w:tab w:val="center" w:pos="284"/>
              </w:tabs>
              <w:spacing w:after="0" w:line="240" w:lineRule="auto"/>
              <w:jc w:val="center"/>
              <w:rPr>
                <w:rFonts w:ascii="Arial" w:hAnsi="Arial" w:cs="Arial"/>
                <w:sz w:val="16"/>
                <w:szCs w:val="16"/>
              </w:rPr>
            </w:pPr>
            <w:r>
              <w:rPr>
                <w:rFonts w:ascii="Arial" w:hAnsi="Arial" w:cs="Arial"/>
                <w:sz w:val="16"/>
                <w:szCs w:val="16"/>
              </w:rPr>
              <w:t>77.755 €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98.424 €/ AVAC</w:t>
            </w:r>
          </w:p>
        </w:tc>
      </w:tr>
      <w:tr w:rsidR="00DD1521">
        <w:trPr>
          <w:cantSplit/>
          <w:trHeight w:val="419"/>
          <w:jc w:val="center"/>
        </w:trPr>
        <w:tc>
          <w:tcPr>
            <w:tcW w:w="1054" w:type="dxa"/>
            <w:vAlign w:val="center"/>
          </w:tcPr>
          <w:p w:rsidR="00DD1521" w:rsidRDefault="00DD1521">
            <w:pPr>
              <w:spacing w:after="0" w:line="240" w:lineRule="auto"/>
              <w:ind w:right="-70"/>
              <w:rPr>
                <w:rFonts w:ascii="Arial" w:hAnsi="Arial" w:cs="Arial"/>
                <w:sz w:val="16"/>
                <w:szCs w:val="16"/>
              </w:rPr>
            </w:pPr>
          </w:p>
        </w:tc>
        <w:tc>
          <w:tcPr>
            <w:tcW w:w="850" w:type="dxa"/>
            <w:vAlign w:val="center"/>
          </w:tcPr>
          <w:p w:rsidR="00DD1521" w:rsidRDefault="00DD1521">
            <w:pPr>
              <w:spacing w:after="0" w:line="240" w:lineRule="auto"/>
              <w:ind w:right="-70"/>
              <w:jc w:val="center"/>
              <w:rPr>
                <w:rFonts w:ascii="Arial" w:hAnsi="Arial" w:cs="Arial"/>
                <w:b/>
                <w:bCs/>
                <w:sz w:val="16"/>
                <w:szCs w:val="16"/>
              </w:rPr>
            </w:pPr>
            <w:r>
              <w:rPr>
                <w:rFonts w:ascii="Arial" w:hAnsi="Arial" w:cs="Arial"/>
                <w:b/>
                <w:bCs/>
                <w:sz w:val="16"/>
                <w:szCs w:val="16"/>
              </w:rPr>
              <w:t>Variable</w:t>
            </w:r>
          </w:p>
        </w:tc>
        <w:tc>
          <w:tcPr>
            <w:tcW w:w="1134" w:type="dxa"/>
            <w:vAlign w:val="center"/>
          </w:tcPr>
          <w:p w:rsidR="00DD1521" w:rsidRDefault="00DD1521">
            <w:pPr>
              <w:spacing w:after="0" w:line="240" w:lineRule="auto"/>
              <w:ind w:right="-70"/>
              <w:jc w:val="center"/>
              <w:rPr>
                <w:rFonts w:ascii="Arial" w:hAnsi="Arial" w:cs="Arial"/>
                <w:sz w:val="16"/>
                <w:szCs w:val="16"/>
              </w:rPr>
            </w:pPr>
            <w:r>
              <w:rPr>
                <w:rFonts w:ascii="Arial" w:hAnsi="Arial" w:cs="Arial"/>
                <w:b/>
                <w:bCs/>
                <w:sz w:val="16"/>
                <w:szCs w:val="16"/>
              </w:rPr>
              <w:t>AVAC con osimertinib</w:t>
            </w:r>
          </w:p>
        </w:tc>
        <w:tc>
          <w:tcPr>
            <w:tcW w:w="1134" w:type="dxa"/>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AVAC con afatinib</w:t>
            </w:r>
          </w:p>
        </w:tc>
        <w:tc>
          <w:tcPr>
            <w:tcW w:w="1134" w:type="dxa"/>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Diferencia de AVAC</w:t>
            </w:r>
          </w:p>
        </w:tc>
        <w:tc>
          <w:tcPr>
            <w:tcW w:w="1429" w:type="dxa"/>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 paciente con osimertinib</w:t>
            </w:r>
          </w:p>
        </w:tc>
        <w:tc>
          <w:tcPr>
            <w:tcW w:w="1134" w:type="dxa"/>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paciente con Afatinib</w:t>
            </w:r>
          </w:p>
        </w:tc>
        <w:tc>
          <w:tcPr>
            <w:tcW w:w="992" w:type="dxa"/>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Coste incremen-tal</w:t>
            </w:r>
          </w:p>
        </w:tc>
        <w:tc>
          <w:tcPr>
            <w:tcW w:w="1134" w:type="dxa"/>
            <w:vAlign w:val="center"/>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RCEI</w:t>
            </w:r>
          </w:p>
        </w:tc>
      </w:tr>
      <w:tr w:rsidR="00DD1521">
        <w:trPr>
          <w:cantSplit/>
          <w:trHeight w:val="433"/>
          <w:jc w:val="center"/>
        </w:trPr>
        <w:tc>
          <w:tcPr>
            <w:tcW w:w="1054" w:type="dxa"/>
            <w:vAlign w:val="center"/>
          </w:tcPr>
          <w:p w:rsidR="00DD1521" w:rsidRDefault="00DD1521">
            <w:pPr>
              <w:spacing w:after="0" w:line="240" w:lineRule="auto"/>
              <w:ind w:right="-70"/>
              <w:rPr>
                <w:rFonts w:ascii="Arial" w:hAnsi="Arial" w:cs="Arial"/>
                <w:sz w:val="16"/>
                <w:szCs w:val="16"/>
              </w:rPr>
            </w:pPr>
            <w:r>
              <w:rPr>
                <w:rFonts w:ascii="Arial" w:hAnsi="Arial" w:cs="Arial"/>
                <w:sz w:val="16"/>
                <w:szCs w:val="16"/>
              </w:rPr>
              <w:t xml:space="preserve">Evaluación de Ezeife </w:t>
            </w:r>
          </w:p>
        </w:tc>
        <w:tc>
          <w:tcPr>
            <w:tcW w:w="850"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AVAC</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w:t>
            </w:r>
          </w:p>
        </w:tc>
        <w:tc>
          <w:tcPr>
            <w:tcW w:w="1134" w:type="dxa"/>
            <w:vAlign w:val="center"/>
          </w:tcPr>
          <w:p w:rsidR="00DD1521" w:rsidRDefault="00DD1521">
            <w:pPr>
              <w:spacing w:after="0" w:line="240" w:lineRule="auto"/>
              <w:ind w:right="-70"/>
              <w:jc w:val="center"/>
              <w:rPr>
                <w:rFonts w:ascii="Arial" w:hAnsi="Arial" w:cs="Arial"/>
                <w:sz w:val="16"/>
                <w:szCs w:val="16"/>
              </w:rPr>
            </w:pPr>
            <w:r>
              <w:rPr>
                <w:rFonts w:ascii="Arial" w:hAnsi="Arial" w:cs="Arial"/>
                <w:sz w:val="16"/>
                <w:szCs w:val="16"/>
              </w:rPr>
              <w:t>-</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0,79</w:t>
            </w:r>
          </w:p>
        </w:tc>
        <w:tc>
          <w:tcPr>
            <w:tcW w:w="1429"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102.215 €</w:t>
            </w:r>
          </w:p>
        </w:tc>
        <w:tc>
          <w:tcPr>
            <w:tcW w:w="1134" w:type="dxa"/>
            <w:vAlign w:val="center"/>
          </w:tcPr>
          <w:p w:rsidR="00DD1521" w:rsidRDefault="00DD1521">
            <w:pPr>
              <w:spacing w:after="0" w:line="240" w:lineRule="auto"/>
              <w:jc w:val="center"/>
              <w:rPr>
                <w:rFonts w:ascii="Arial" w:hAnsi="Arial" w:cs="Arial"/>
                <w:b/>
                <w:bCs/>
                <w:sz w:val="16"/>
                <w:szCs w:val="16"/>
              </w:rPr>
            </w:pPr>
            <w:r>
              <w:rPr>
                <w:rFonts w:ascii="Arial" w:hAnsi="Arial" w:cs="Arial"/>
                <w:sz w:val="16"/>
                <w:szCs w:val="16"/>
              </w:rPr>
              <w:t>28.717 €</w:t>
            </w:r>
          </w:p>
        </w:tc>
        <w:tc>
          <w:tcPr>
            <w:tcW w:w="992"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73.498 €</w:t>
            </w:r>
          </w:p>
        </w:tc>
        <w:tc>
          <w:tcPr>
            <w:tcW w:w="1134" w:type="dxa"/>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93.035 €</w:t>
            </w:r>
          </w:p>
        </w:tc>
      </w:tr>
      <w:tr w:rsidR="00DD1521">
        <w:trPr>
          <w:cantSplit/>
          <w:jc w:val="center"/>
        </w:trPr>
        <w:tc>
          <w:tcPr>
            <w:tcW w:w="9995" w:type="dxa"/>
            <w:gridSpan w:val="9"/>
            <w:shd w:val="clear" w:color="auto" w:fill="F2F2F2"/>
          </w:tcPr>
          <w:p w:rsidR="00DD1521" w:rsidRPr="00BA51E1" w:rsidRDefault="00DD1521">
            <w:pPr>
              <w:pStyle w:val="Encabezado"/>
              <w:tabs>
                <w:tab w:val="clear" w:pos="4252"/>
                <w:tab w:val="clear" w:pos="8504"/>
              </w:tabs>
              <w:spacing w:after="0" w:line="240" w:lineRule="auto"/>
              <w:jc w:val="both"/>
              <w:rPr>
                <w:rFonts w:ascii="Arial" w:hAnsi="Arial" w:cs="Arial"/>
                <w:sz w:val="16"/>
                <w:szCs w:val="16"/>
              </w:rPr>
            </w:pPr>
            <w:r w:rsidRPr="00BA51E1">
              <w:rPr>
                <w:rFonts w:ascii="Arial" w:hAnsi="Arial" w:cs="Arial"/>
                <w:sz w:val="16"/>
                <w:szCs w:val="16"/>
              </w:rPr>
              <w:t>AVAC: años de vida ganados ajustados por calidad</w:t>
            </w:r>
          </w:p>
        </w:tc>
      </w:tr>
    </w:tbl>
    <w:p w:rsidR="00DD1521" w:rsidRDefault="00DD1521">
      <w:pPr>
        <w:spacing w:after="0" w:line="240" w:lineRule="auto"/>
        <w:jc w:val="both"/>
        <w:rPr>
          <w:rFonts w:ascii="Arial" w:hAnsi="Arial" w:cs="Arial"/>
          <w:sz w:val="20"/>
          <w:szCs w:val="20"/>
        </w:rPr>
      </w:pPr>
    </w:p>
    <w:p w:rsidR="00DD1521" w:rsidRDefault="00DD1521" w:rsidP="00A50D3F">
      <w:pPr>
        <w:spacing w:after="0" w:line="240" w:lineRule="auto"/>
        <w:jc w:val="both"/>
        <w:rPr>
          <w:rFonts w:ascii="Arial" w:hAnsi="Arial" w:cs="Arial"/>
          <w:sz w:val="20"/>
          <w:szCs w:val="20"/>
        </w:rPr>
      </w:pPr>
      <w:r>
        <w:rPr>
          <w:rFonts w:ascii="Arial" w:hAnsi="Arial" w:cs="Arial"/>
          <w:sz w:val="20"/>
          <w:szCs w:val="20"/>
        </w:rPr>
        <w:t xml:space="preserve">Si realizamos un </w:t>
      </w:r>
      <w:r>
        <w:rPr>
          <w:rFonts w:ascii="Arial" w:hAnsi="Arial" w:cs="Arial"/>
          <w:b/>
          <w:bCs/>
          <w:sz w:val="20"/>
          <w:szCs w:val="20"/>
        </w:rPr>
        <w:t>análisis de sensibilidad</w:t>
      </w:r>
      <w:r>
        <w:rPr>
          <w:rFonts w:ascii="Arial" w:hAnsi="Arial" w:cs="Arial"/>
          <w:sz w:val="20"/>
          <w:szCs w:val="20"/>
        </w:rPr>
        <w:t xml:space="preserve"> utilizando un coste menor para osimertinib (4.367 €/envase), el RCEI descendería hasta los 58.589 €/AVAC ganado en el caso de erlotinib o gefitinib y hasta los 53.200 € en el caso de afatinib. Para que el RCEI estuviera aproximadamente en el umbral de referencia habitual en España (21.000 €/AVAC ganado) el tratamiento completo de osimertinib no debería ser superior a 41.050 €, lo que supone unos </w:t>
      </w:r>
      <w:r>
        <w:rPr>
          <w:rFonts w:ascii="Arial" w:hAnsi="Arial" w:cs="Arial"/>
          <w:b/>
          <w:bCs/>
          <w:sz w:val="20"/>
          <w:szCs w:val="20"/>
        </w:rPr>
        <w:t>2.534 € por envase de 30 comprimidos</w:t>
      </w:r>
      <w:r>
        <w:rPr>
          <w:rFonts w:ascii="Arial" w:hAnsi="Arial" w:cs="Arial"/>
          <w:sz w:val="20"/>
          <w:szCs w:val="20"/>
        </w:rPr>
        <w:t>.</w:t>
      </w:r>
    </w:p>
    <w:p w:rsidR="00DD1521" w:rsidRPr="009D7A20" w:rsidRDefault="00DD1521">
      <w:pPr>
        <w:spacing w:after="0" w:line="240" w:lineRule="auto"/>
        <w:jc w:val="both"/>
        <w:rPr>
          <w:rFonts w:ascii="Arial" w:hAnsi="Arial" w:cs="Arial"/>
          <w:sz w:val="20"/>
          <w:szCs w:val="20"/>
        </w:rPr>
      </w:pPr>
    </w:p>
    <w:p w:rsidR="00DD1521" w:rsidRPr="009D7A20" w:rsidRDefault="00DD1521">
      <w:pPr>
        <w:spacing w:after="0" w:line="240" w:lineRule="auto"/>
        <w:jc w:val="both"/>
        <w:rPr>
          <w:rFonts w:ascii="Arial" w:hAnsi="Arial" w:cs="Arial"/>
          <w:sz w:val="20"/>
          <w:szCs w:val="20"/>
        </w:rPr>
      </w:pPr>
      <w:r w:rsidRPr="009D7A20">
        <w:rPr>
          <w:rFonts w:ascii="Arial" w:hAnsi="Arial" w:cs="Arial"/>
          <w:sz w:val="20"/>
          <w:szCs w:val="20"/>
        </w:rPr>
        <w:t xml:space="preserve">Si además aplicamos un coste </w:t>
      </w:r>
      <w:r w:rsidRPr="009D7A20">
        <w:rPr>
          <w:rFonts w:ascii="Arial" w:hAnsi="Arial" w:cs="Arial"/>
          <w:b/>
          <w:sz w:val="20"/>
          <w:szCs w:val="20"/>
        </w:rPr>
        <w:t>un 30% inferior para gefitinib</w:t>
      </w:r>
      <w:r w:rsidRPr="009D7A20">
        <w:rPr>
          <w:rFonts w:ascii="Arial" w:hAnsi="Arial" w:cs="Arial"/>
          <w:sz w:val="20"/>
          <w:szCs w:val="20"/>
        </w:rPr>
        <w:t xml:space="preserve">, por la probable aparición de genéricos en el primer semestre de 2019, el RCEI de osimertinib frente a este fármaco sería de 67.877 €/AVAC ganado. Si aplicamos el coste de gefitinib genérico, para que el RCEI estuviera aproximadamente en el umbral de referencia habitual en España (21.000 €/AVAC ganado) el tratamiento completo de osimertinib no debería ser superior a 33.712 €, lo que supone unos </w:t>
      </w:r>
      <w:r w:rsidRPr="009D7A20">
        <w:rPr>
          <w:rFonts w:ascii="Arial" w:hAnsi="Arial" w:cs="Arial"/>
          <w:b/>
          <w:bCs/>
          <w:sz w:val="20"/>
          <w:szCs w:val="20"/>
        </w:rPr>
        <w:t>2.081 € por envase de 30 comprimidos</w:t>
      </w:r>
      <w:r w:rsidRPr="009D7A20">
        <w:rPr>
          <w:rFonts w:ascii="Arial" w:hAnsi="Arial" w:cs="Arial"/>
          <w:sz w:val="20"/>
          <w:szCs w:val="20"/>
        </w:rPr>
        <w:t>.</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rPr>
      </w:pPr>
      <w:r>
        <w:rPr>
          <w:rFonts w:ascii="Arial" w:hAnsi="Arial" w:cs="Arial"/>
          <w:b/>
          <w:bCs/>
          <w:sz w:val="20"/>
          <w:szCs w:val="20"/>
        </w:rPr>
        <w:t>7.4. Estimación del impacto presupuestario y de los beneficios esperados en salud</w:t>
      </w:r>
    </w:p>
    <w:p w:rsidR="00DD1521" w:rsidRDefault="00DD1521">
      <w:pPr>
        <w:spacing w:after="0" w:line="240" w:lineRule="auto"/>
        <w:jc w:val="both"/>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b/>
          <w:bCs/>
          <w:sz w:val="20"/>
          <w:szCs w:val="20"/>
        </w:rPr>
      </w:pPr>
      <w:r>
        <w:rPr>
          <w:rFonts w:ascii="Arial" w:hAnsi="Arial" w:cs="Arial"/>
          <w:b/>
          <w:bCs/>
          <w:sz w:val="20"/>
          <w:szCs w:val="20"/>
        </w:rPr>
        <w:t>7.4.1. Estimación de la población diana</w:t>
      </w:r>
    </w:p>
    <w:p w:rsidR="00DD1521" w:rsidRDefault="00DD1521">
      <w:pPr>
        <w:spacing w:after="0" w:line="240" w:lineRule="auto"/>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 En la tabla se expone la población diana en las dos indicaciones evaluadas en el informe.</w:t>
      </w:r>
    </w:p>
    <w:p w:rsidR="00DD1521" w:rsidRDefault="00DD1521">
      <w:pPr>
        <w:spacing w:after="0" w:line="240" w:lineRule="auto"/>
        <w:jc w:val="both"/>
        <w:rPr>
          <w:rFonts w:ascii="Arial" w:hAnsi="Arial" w:cs="Arial"/>
          <w:sz w:val="20"/>
          <w:szCs w:val="20"/>
        </w:rPr>
      </w:pPr>
    </w:p>
    <w:tbl>
      <w:tblPr>
        <w:tblW w:w="8996" w:type="dxa"/>
        <w:tblInd w:w="-106" w:type="dxa"/>
        <w:tblLayout w:type="fixed"/>
        <w:tblLook w:val="00A0" w:firstRow="1" w:lastRow="0" w:firstColumn="1" w:lastColumn="0" w:noHBand="0" w:noVBand="0"/>
      </w:tblPr>
      <w:tblGrid>
        <w:gridCol w:w="6541"/>
        <w:gridCol w:w="2455"/>
      </w:tblGrid>
      <w:tr w:rsidR="00DD1521">
        <w:trPr>
          <w:trHeight w:val="18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CFFCC"/>
          </w:tcPr>
          <w:p w:rsidR="00DD1521" w:rsidRDefault="00DD1521">
            <w:pPr>
              <w:pStyle w:val="Normal1"/>
              <w:spacing w:after="0" w:line="240" w:lineRule="auto"/>
            </w:pPr>
            <w:r>
              <w:rPr>
                <w:rFonts w:ascii="Arial" w:hAnsi="Arial" w:cs="Arial"/>
                <w:b/>
                <w:bCs/>
                <w:sz w:val="18"/>
                <w:szCs w:val="18"/>
              </w:rPr>
              <w:t>Tabla 22. Estimación de la población diana.</w:t>
            </w:r>
          </w:p>
        </w:tc>
      </w:tr>
      <w:tr w:rsidR="00DD1521">
        <w:trPr>
          <w:trHeight w:val="1607"/>
        </w:trPr>
        <w:tc>
          <w:tcPr>
            <w:tcW w:w="8996" w:type="dxa"/>
            <w:gridSpan w:val="2"/>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 xml:space="preserve">Fármaco e indicación: </w:t>
            </w:r>
          </w:p>
          <w:p w:rsidR="00DD1521" w:rsidRDefault="00DD1521">
            <w:pPr>
              <w:pStyle w:val="Normal1"/>
              <w:spacing w:after="0" w:line="240" w:lineRule="auto"/>
              <w:rPr>
                <w:rFonts w:ascii="Arial" w:hAnsi="Arial" w:cs="Arial"/>
                <w:sz w:val="16"/>
                <w:szCs w:val="16"/>
              </w:rPr>
            </w:pPr>
            <w:r>
              <w:rPr>
                <w:rFonts w:ascii="Arial" w:hAnsi="Arial" w:cs="Arial"/>
                <w:sz w:val="16"/>
                <w:szCs w:val="16"/>
              </w:rPr>
              <w:t>Pacientes adultos con CPNM localmente avanzado con mutación EGFR positiva</w:t>
            </w:r>
          </w:p>
          <w:p w:rsidR="00DD1521" w:rsidRDefault="00DD1521">
            <w:pPr>
              <w:pStyle w:val="Normal1"/>
              <w:spacing w:after="0" w:line="240" w:lineRule="auto"/>
              <w:rPr>
                <w:rFonts w:ascii="Arial" w:hAnsi="Arial" w:cs="Arial"/>
              </w:rPr>
            </w:pPr>
            <w:r>
              <w:rPr>
                <w:rFonts w:ascii="Arial" w:hAnsi="Arial" w:cs="Arial"/>
                <w:sz w:val="16"/>
                <w:szCs w:val="16"/>
              </w:rPr>
              <w:t>Pacientes adultos con CPNM localmente avanzado o metastásico con mutación positiva del EGFR T790M.</w:t>
            </w:r>
          </w:p>
          <w:p w:rsidR="00DD1521" w:rsidRDefault="00DD1521">
            <w:pPr>
              <w:pStyle w:val="Normal1"/>
              <w:spacing w:after="0" w:line="240" w:lineRule="auto"/>
              <w:rPr>
                <w:rFonts w:ascii="Arial" w:hAnsi="Arial" w:cs="Arial"/>
              </w:rPr>
            </w:pPr>
            <w:r>
              <w:rPr>
                <w:rFonts w:ascii="Arial" w:hAnsi="Arial" w:cs="Arial"/>
                <w:b/>
                <w:bCs/>
                <w:sz w:val="16"/>
                <w:szCs w:val="16"/>
              </w:rPr>
              <w:t xml:space="preserve">Escenario: </w:t>
            </w:r>
            <w:r>
              <w:rPr>
                <w:rFonts w:ascii="Arial" w:eastAsia="Arial Unicode MS" w:hAnsi="Arial" w:cs="Arial"/>
                <w:sz w:val="16"/>
                <w:szCs w:val="16"/>
              </w:rPr>
              <w:t>1ª y ≥ 2ª línea de tratamiento.</w:t>
            </w:r>
          </w:p>
          <w:p w:rsidR="00DD1521" w:rsidRDefault="00DD1521">
            <w:pPr>
              <w:pStyle w:val="Normal1"/>
              <w:spacing w:after="0" w:line="240" w:lineRule="auto"/>
              <w:rPr>
                <w:rFonts w:ascii="Arial" w:hAnsi="Arial" w:cs="Arial"/>
              </w:rPr>
            </w:pPr>
            <w:r>
              <w:rPr>
                <w:rFonts w:ascii="Arial" w:hAnsi="Arial" w:cs="Arial"/>
                <w:b/>
                <w:bCs/>
                <w:sz w:val="16"/>
                <w:szCs w:val="16"/>
              </w:rPr>
              <w:t>Ámbito y horizonte temporal:</w:t>
            </w:r>
            <w:r>
              <w:rPr>
                <w:rFonts w:ascii="Arial" w:hAnsi="Arial" w:cs="Arial"/>
                <w:sz w:val="16"/>
                <w:szCs w:val="16"/>
              </w:rPr>
              <w:t xml:space="preserve"> Estatal, anual.</w:t>
            </w:r>
          </w:p>
          <w:p w:rsidR="00DD1521" w:rsidRDefault="00DD1521">
            <w:pPr>
              <w:pStyle w:val="Normal1"/>
              <w:spacing w:after="0" w:line="240" w:lineRule="auto"/>
              <w:jc w:val="both"/>
            </w:pPr>
            <w:r>
              <w:rPr>
                <w:rFonts w:ascii="Arial" w:hAnsi="Arial" w:cs="Arial"/>
                <w:b/>
                <w:bCs/>
                <w:sz w:val="16"/>
                <w:szCs w:val="16"/>
              </w:rPr>
              <w:t xml:space="preserve">Estimación: </w:t>
            </w:r>
            <w:r>
              <w:rPr>
                <w:rFonts w:ascii="Arial" w:hAnsi="Arial" w:cs="Arial"/>
                <w:sz w:val="16"/>
                <w:szCs w:val="16"/>
              </w:rPr>
              <w:t>Se ha considerado una incidencia actual de cáncer de pulmón en la población española a partir de una estimación de los datos procedentes del proyecto GLOBOCAN del International Agency for Research on Cancer (IARC) de la Organización Mundial de la Salud. Teniendo en cuenta que el número de casos en España se incrementará cada año en aproximadamente un 1,98%, del 2015 al 2020, y partiendo de la estimación del año 2015 (28.324 nuevos casos) se ha calculado una cifra de 30.003 pacientes para el año 2018.</w:t>
            </w:r>
          </w:p>
        </w:tc>
      </w:tr>
      <w:tr w:rsidR="00DD1521">
        <w:trPr>
          <w:trHeight w:val="120"/>
        </w:trPr>
        <w:tc>
          <w:tcPr>
            <w:tcW w:w="6541" w:type="dxa"/>
            <w:tcBorders>
              <w:top w:val="single" w:sz="4" w:space="0" w:color="000000"/>
              <w:left w:val="single" w:sz="4" w:space="0" w:color="000000"/>
              <w:bottom w:val="single" w:sz="4" w:space="0" w:color="000000"/>
            </w:tcBorders>
            <w:shd w:val="clear" w:color="auto" w:fill="D9D9D9"/>
          </w:tcPr>
          <w:p w:rsidR="00DD1521" w:rsidRDefault="00DD1521">
            <w:pPr>
              <w:pStyle w:val="Normal1"/>
              <w:spacing w:after="0" w:line="240" w:lineRule="auto"/>
            </w:pPr>
            <w:r>
              <w:rPr>
                <w:rFonts w:ascii="Arial" w:hAnsi="Arial" w:cs="Arial"/>
                <w:b/>
                <w:bCs/>
                <w:sz w:val="16"/>
                <w:szCs w:val="16"/>
              </w:rPr>
              <w:t>Ámbito</w:t>
            </w:r>
          </w:p>
        </w:tc>
        <w:tc>
          <w:tcPr>
            <w:tcW w:w="2455" w:type="dxa"/>
            <w:tcBorders>
              <w:top w:val="single" w:sz="4" w:space="0" w:color="000000"/>
              <w:left w:val="single" w:sz="4" w:space="0" w:color="000000"/>
              <w:bottom w:val="single" w:sz="4" w:space="0" w:color="000000"/>
              <w:right w:val="single" w:sz="4" w:space="0" w:color="000000"/>
            </w:tcBorders>
            <w:shd w:val="clear" w:color="auto" w:fill="D9D9D9"/>
          </w:tcPr>
          <w:p w:rsidR="00DD1521" w:rsidRDefault="00DD1521">
            <w:pPr>
              <w:pStyle w:val="Normal1"/>
              <w:spacing w:after="0" w:line="240" w:lineRule="auto"/>
              <w:jc w:val="center"/>
            </w:pPr>
            <w:r>
              <w:rPr>
                <w:rFonts w:ascii="Arial" w:hAnsi="Arial" w:cs="Arial"/>
                <w:b/>
                <w:bCs/>
                <w:sz w:val="16"/>
                <w:szCs w:val="16"/>
              </w:rPr>
              <w:t>España</w:t>
            </w:r>
          </w:p>
        </w:tc>
      </w:tr>
      <w:tr w:rsidR="00DD1521">
        <w:trPr>
          <w:trHeight w:val="160"/>
        </w:trPr>
        <w:tc>
          <w:tcPr>
            <w:tcW w:w="6541"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pPr>
            <w:r>
              <w:rPr>
                <w:rFonts w:ascii="Arial" w:hAnsi="Arial" w:cs="Arial"/>
                <w:b/>
                <w:bCs/>
                <w:sz w:val="16"/>
                <w:szCs w:val="16"/>
              </w:rPr>
              <w:t xml:space="preserve">Población de referencia </w:t>
            </w:r>
            <w:r>
              <w:rPr>
                <w:rFonts w:ascii="Arial" w:hAnsi="Arial" w:cs="Arial"/>
                <w:sz w:val="16"/>
                <w:szCs w:val="16"/>
              </w:rPr>
              <w:t>(habitantes)</w:t>
            </w:r>
            <w:r>
              <w:t xml:space="preserve"> </w:t>
            </w:r>
          </w:p>
        </w:tc>
        <w:tc>
          <w:tcPr>
            <w:tcW w:w="2455"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jc w:val="center"/>
            </w:pPr>
            <w:r>
              <w:rPr>
                <w:rFonts w:ascii="Arial" w:hAnsi="Arial" w:cs="Arial"/>
                <w:sz w:val="16"/>
                <w:szCs w:val="16"/>
              </w:rPr>
              <w:t>46.528.966</w:t>
            </w:r>
          </w:p>
        </w:tc>
      </w:tr>
      <w:tr w:rsidR="00DD1521">
        <w:trPr>
          <w:trHeight w:val="340"/>
        </w:trPr>
        <w:tc>
          <w:tcPr>
            <w:tcW w:w="6541"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pPr>
            <w:r>
              <w:rPr>
                <w:rFonts w:ascii="Arial" w:hAnsi="Arial" w:cs="Arial"/>
                <w:b/>
                <w:bCs/>
                <w:sz w:val="16"/>
                <w:szCs w:val="16"/>
              </w:rPr>
              <w:t>Población con cáncer de pulmón (estimación para 2018)</w:t>
            </w:r>
          </w:p>
        </w:tc>
        <w:tc>
          <w:tcPr>
            <w:tcW w:w="2455"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jc w:val="center"/>
            </w:pPr>
            <w:r>
              <w:rPr>
                <w:rFonts w:ascii="Arial" w:hAnsi="Arial" w:cs="Arial"/>
                <w:sz w:val="16"/>
                <w:szCs w:val="16"/>
              </w:rPr>
              <w:t>30.003</w:t>
            </w:r>
          </w:p>
        </w:tc>
      </w:tr>
      <w:tr w:rsidR="00DD1521">
        <w:trPr>
          <w:trHeight w:val="320"/>
        </w:trPr>
        <w:tc>
          <w:tcPr>
            <w:tcW w:w="6541" w:type="dxa"/>
            <w:tcBorders>
              <w:top w:val="single" w:sz="4" w:space="0" w:color="000000"/>
              <w:left w:val="single" w:sz="4" w:space="0" w:color="000000"/>
              <w:bottom w:val="single" w:sz="4" w:space="0" w:color="000000"/>
            </w:tcBorders>
            <w:vAlign w:val="center"/>
          </w:tcPr>
          <w:p w:rsidR="00DD1521" w:rsidRDefault="00DD1521">
            <w:pPr>
              <w:pStyle w:val="Normal1"/>
              <w:spacing w:after="0" w:line="240" w:lineRule="auto"/>
            </w:pPr>
            <w:r>
              <w:rPr>
                <w:rFonts w:ascii="Arial" w:hAnsi="Arial" w:cs="Arial"/>
                <w:b/>
                <w:bCs/>
                <w:sz w:val="16"/>
                <w:szCs w:val="16"/>
              </w:rPr>
              <w:t>Población con CPNM</w:t>
            </w:r>
          </w:p>
          <w:p w:rsidR="00DD1521" w:rsidRDefault="00DD1521">
            <w:pPr>
              <w:pStyle w:val="Normal1"/>
              <w:spacing w:after="0" w:line="240" w:lineRule="auto"/>
            </w:pPr>
            <w:r>
              <w:rPr>
                <w:rFonts w:ascii="Arial" w:hAnsi="Arial" w:cs="Arial"/>
                <w:sz w:val="16"/>
                <w:szCs w:val="16"/>
              </w:rPr>
              <w:t>85% de casos de cáncer de pulmón</w:t>
            </w:r>
          </w:p>
        </w:tc>
        <w:tc>
          <w:tcPr>
            <w:tcW w:w="2455" w:type="dxa"/>
            <w:tcBorders>
              <w:top w:val="single" w:sz="4" w:space="0" w:color="0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jc w:val="center"/>
            </w:pPr>
            <w:r>
              <w:rPr>
                <w:rFonts w:ascii="Arial" w:hAnsi="Arial" w:cs="Arial"/>
                <w:sz w:val="16"/>
                <w:szCs w:val="16"/>
              </w:rPr>
              <w:t>25.503</w:t>
            </w:r>
          </w:p>
        </w:tc>
      </w:tr>
      <w:tr w:rsidR="00DD1521">
        <w:trPr>
          <w:trHeight w:val="340"/>
        </w:trPr>
        <w:tc>
          <w:tcPr>
            <w:tcW w:w="6541" w:type="dxa"/>
            <w:tcBorders>
              <w:top w:val="single" w:sz="4" w:space="0" w:color="000000"/>
              <w:left w:val="single" w:sz="4" w:space="0" w:color="000000"/>
              <w:bottom w:val="single" w:sz="18" w:space="0" w:color="C00000"/>
            </w:tcBorders>
            <w:vAlign w:val="center"/>
          </w:tcPr>
          <w:p w:rsidR="00DD1521" w:rsidRDefault="00DD1521">
            <w:pPr>
              <w:pStyle w:val="Normal1"/>
              <w:spacing w:after="0" w:line="240" w:lineRule="auto"/>
            </w:pPr>
            <w:r>
              <w:rPr>
                <w:rFonts w:ascii="Arial" w:hAnsi="Arial" w:cs="Arial"/>
                <w:b/>
                <w:bCs/>
                <w:sz w:val="16"/>
                <w:szCs w:val="16"/>
              </w:rPr>
              <w:t>Población con CPNM avanzado o metastásico al diagnóstico</w:t>
            </w:r>
          </w:p>
          <w:p w:rsidR="00DD1521" w:rsidRDefault="00DD1521">
            <w:pPr>
              <w:pStyle w:val="Normal1"/>
              <w:spacing w:after="0" w:line="240" w:lineRule="auto"/>
            </w:pPr>
            <w:r>
              <w:rPr>
                <w:rFonts w:ascii="Arial" w:hAnsi="Arial" w:cs="Arial"/>
                <w:sz w:val="16"/>
                <w:szCs w:val="16"/>
              </w:rPr>
              <w:t>80% de los casos diagnosticados</w:t>
            </w:r>
          </w:p>
        </w:tc>
        <w:tc>
          <w:tcPr>
            <w:tcW w:w="2455" w:type="dxa"/>
            <w:tcBorders>
              <w:top w:val="single" w:sz="4" w:space="0" w:color="000000"/>
              <w:left w:val="single" w:sz="4" w:space="0" w:color="000000"/>
              <w:bottom w:val="single" w:sz="18" w:space="0" w:color="C00000"/>
              <w:right w:val="single" w:sz="4" w:space="0" w:color="000000"/>
            </w:tcBorders>
            <w:vAlign w:val="center"/>
          </w:tcPr>
          <w:p w:rsidR="00DD1521" w:rsidRDefault="00DD1521">
            <w:pPr>
              <w:pStyle w:val="Normal1"/>
              <w:spacing w:after="0" w:line="240" w:lineRule="auto"/>
              <w:jc w:val="center"/>
            </w:pPr>
            <w:r>
              <w:rPr>
                <w:rFonts w:ascii="Arial" w:hAnsi="Arial" w:cs="Arial"/>
                <w:sz w:val="16"/>
                <w:szCs w:val="16"/>
              </w:rPr>
              <w:t>20.402</w:t>
            </w:r>
          </w:p>
        </w:tc>
      </w:tr>
      <w:tr w:rsidR="00DD1521">
        <w:trPr>
          <w:trHeight w:val="180"/>
        </w:trPr>
        <w:tc>
          <w:tcPr>
            <w:tcW w:w="6541" w:type="dxa"/>
            <w:tcBorders>
              <w:top w:val="single" w:sz="18" w:space="0" w:color="C00000"/>
              <w:left w:val="single" w:sz="18" w:space="0" w:color="C00000"/>
              <w:bottom w:val="single" w:sz="18" w:space="0" w:color="C00000"/>
              <w:right w:val="single" w:sz="18" w:space="0" w:color="C00000"/>
            </w:tcBorders>
            <w:vAlign w:val="center"/>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Población con CPNM avanzado o metastásico con mutación EGFR positiva (EGFRm) tratados con ITK anti-EGFR en 1L</w:t>
            </w:r>
          </w:p>
          <w:p w:rsidR="00DD1521" w:rsidRDefault="00DD1521">
            <w:pPr>
              <w:pStyle w:val="Normal1"/>
              <w:spacing w:after="0" w:line="240" w:lineRule="auto"/>
            </w:pPr>
            <w:r>
              <w:rPr>
                <w:rFonts w:ascii="Arial" w:hAnsi="Arial" w:cs="Arial"/>
                <w:b/>
                <w:bCs/>
                <w:sz w:val="16"/>
                <w:szCs w:val="16"/>
              </w:rPr>
              <w:t>(10%)</w:t>
            </w:r>
          </w:p>
        </w:tc>
        <w:tc>
          <w:tcPr>
            <w:tcW w:w="2455" w:type="dxa"/>
            <w:tcBorders>
              <w:top w:val="single" w:sz="18" w:space="0" w:color="C00000"/>
              <w:left w:val="single" w:sz="18" w:space="0" w:color="C00000"/>
              <w:bottom w:val="single" w:sz="18" w:space="0" w:color="C00000"/>
              <w:right w:val="single" w:sz="18" w:space="0" w:color="C00000"/>
            </w:tcBorders>
            <w:vAlign w:val="center"/>
          </w:tcPr>
          <w:p w:rsidR="00DD1521" w:rsidRDefault="00DD1521">
            <w:pPr>
              <w:pStyle w:val="Normal1"/>
              <w:spacing w:after="0" w:line="240" w:lineRule="auto"/>
              <w:jc w:val="center"/>
            </w:pPr>
            <w:r>
              <w:rPr>
                <w:rFonts w:ascii="Arial" w:hAnsi="Arial" w:cs="Arial"/>
                <w:sz w:val="16"/>
                <w:szCs w:val="16"/>
              </w:rPr>
              <w:t>2.040</w:t>
            </w:r>
          </w:p>
        </w:tc>
      </w:tr>
      <w:tr w:rsidR="00DD1521">
        <w:trPr>
          <w:trHeight w:val="180"/>
        </w:trPr>
        <w:tc>
          <w:tcPr>
            <w:tcW w:w="6541" w:type="dxa"/>
            <w:tcBorders>
              <w:top w:val="single" w:sz="18" w:space="0" w:color="C00000"/>
              <w:left w:val="single" w:sz="4" w:space="0" w:color="000000"/>
              <w:bottom w:val="single" w:sz="4" w:space="0" w:color="000000"/>
            </w:tcBorders>
            <w:vAlign w:val="center"/>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Población con CPNM avanzado EGFRm y T790M de novo (5%)</w:t>
            </w:r>
          </w:p>
        </w:tc>
        <w:tc>
          <w:tcPr>
            <w:tcW w:w="2455" w:type="dxa"/>
            <w:tcBorders>
              <w:top w:val="single" w:sz="18" w:space="0" w:color="C00000"/>
              <w:left w:val="single" w:sz="4" w:space="0" w:color="000000"/>
              <w:bottom w:val="single" w:sz="4" w:space="0" w:color="000000"/>
              <w:right w:val="single" w:sz="4" w:space="0" w:color="00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102</w:t>
            </w:r>
          </w:p>
        </w:tc>
      </w:tr>
      <w:tr w:rsidR="00DD1521" w:rsidTr="00F65116">
        <w:trPr>
          <w:trHeight w:val="420"/>
        </w:trPr>
        <w:tc>
          <w:tcPr>
            <w:tcW w:w="6541" w:type="dxa"/>
            <w:tcBorders>
              <w:top w:val="single" w:sz="4" w:space="0" w:color="000000"/>
              <w:left w:val="single" w:sz="4" w:space="0" w:color="000000"/>
              <w:bottom w:val="single" w:sz="4" w:space="0" w:color="auto"/>
            </w:tcBorders>
            <w:vAlign w:val="center"/>
          </w:tcPr>
          <w:p w:rsidR="00DD1521" w:rsidRDefault="00DD1521">
            <w:pPr>
              <w:pStyle w:val="Normal1"/>
              <w:spacing w:after="0" w:line="240" w:lineRule="auto"/>
            </w:pPr>
            <w:r>
              <w:rPr>
                <w:rFonts w:ascii="Arial" w:hAnsi="Arial" w:cs="Arial"/>
                <w:b/>
                <w:bCs/>
                <w:sz w:val="16"/>
                <w:szCs w:val="16"/>
              </w:rPr>
              <w:t>Población con CPNM EGFRm que podría recibir tratamiento tras progresión a TKI-EGFR (90%)</w:t>
            </w:r>
          </w:p>
        </w:tc>
        <w:tc>
          <w:tcPr>
            <w:tcW w:w="2455" w:type="dxa"/>
            <w:tcBorders>
              <w:top w:val="single" w:sz="4" w:space="0" w:color="000000"/>
              <w:left w:val="single" w:sz="4" w:space="0" w:color="000000"/>
              <w:bottom w:val="single" w:sz="4" w:space="0" w:color="auto"/>
              <w:right w:val="single" w:sz="4" w:space="0" w:color="000000"/>
            </w:tcBorders>
            <w:vAlign w:val="center"/>
          </w:tcPr>
          <w:p w:rsidR="00DD1521" w:rsidRDefault="00DD1521">
            <w:pPr>
              <w:pStyle w:val="Normal1"/>
              <w:spacing w:after="0" w:line="240" w:lineRule="auto"/>
              <w:jc w:val="center"/>
            </w:pPr>
            <w:r>
              <w:rPr>
                <w:rFonts w:ascii="Arial" w:hAnsi="Arial" w:cs="Arial"/>
                <w:sz w:val="16"/>
                <w:szCs w:val="16"/>
              </w:rPr>
              <w:t>1.836</w:t>
            </w:r>
          </w:p>
        </w:tc>
      </w:tr>
      <w:tr w:rsidR="00DD1521" w:rsidTr="00F65116">
        <w:trPr>
          <w:trHeight w:val="420"/>
        </w:trPr>
        <w:tc>
          <w:tcPr>
            <w:tcW w:w="6541" w:type="dxa"/>
            <w:tcBorders>
              <w:top w:val="single" w:sz="4" w:space="0" w:color="auto"/>
              <w:left w:val="single" w:sz="4" w:space="0" w:color="auto"/>
              <w:bottom w:val="single" w:sz="18" w:space="0" w:color="FF0000"/>
              <w:right w:val="single" w:sz="4" w:space="0" w:color="auto"/>
            </w:tcBorders>
            <w:vAlign w:val="center"/>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Población con CPNM EGFRm sobre la que se puede hacer el test 90%</w:t>
            </w:r>
          </w:p>
        </w:tc>
        <w:tc>
          <w:tcPr>
            <w:tcW w:w="2455" w:type="dxa"/>
            <w:tcBorders>
              <w:top w:val="single" w:sz="4" w:space="0" w:color="auto"/>
              <w:left w:val="single" w:sz="4" w:space="0" w:color="auto"/>
              <w:bottom w:val="single" w:sz="18" w:space="0" w:color="FF0000"/>
              <w:right w:val="single" w:sz="4" w:space="0" w:color="auto"/>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1.652</w:t>
            </w:r>
          </w:p>
        </w:tc>
      </w:tr>
      <w:tr w:rsidR="00DD1521" w:rsidTr="00F65116">
        <w:trPr>
          <w:trHeight w:val="420"/>
        </w:trPr>
        <w:tc>
          <w:tcPr>
            <w:tcW w:w="6541" w:type="dxa"/>
            <w:tcBorders>
              <w:top w:val="single" w:sz="18" w:space="0" w:color="0000FF"/>
              <w:left w:val="single" w:sz="18" w:space="0" w:color="FF0000"/>
              <w:bottom w:val="single" w:sz="18" w:space="0" w:color="FF0000"/>
              <w:right w:val="single" w:sz="12" w:space="0" w:color="C00000"/>
            </w:tcBorders>
            <w:vAlign w:val="center"/>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Población con CPNM EGFRm que han progresado a un ITK anti-EGFR con mutación T790M identificada en el test (60%)</w:t>
            </w:r>
          </w:p>
        </w:tc>
        <w:tc>
          <w:tcPr>
            <w:tcW w:w="2455" w:type="dxa"/>
            <w:tcBorders>
              <w:top w:val="single" w:sz="18" w:space="0" w:color="0000FF"/>
              <w:left w:val="single" w:sz="12" w:space="0" w:color="C00000"/>
              <w:bottom w:val="single" w:sz="18" w:space="0" w:color="FF0000"/>
              <w:right w:val="single" w:sz="18" w:space="0" w:color="FF0000"/>
            </w:tcBorders>
            <w:vAlign w:val="center"/>
          </w:tcPr>
          <w:p w:rsidR="00DD1521" w:rsidRDefault="00DD1521">
            <w:pPr>
              <w:pStyle w:val="Normal1"/>
              <w:spacing w:after="0" w:line="240" w:lineRule="auto"/>
              <w:jc w:val="center"/>
              <w:rPr>
                <w:rFonts w:ascii="Arial" w:hAnsi="Arial" w:cs="Arial"/>
                <w:sz w:val="16"/>
                <w:szCs w:val="16"/>
              </w:rPr>
            </w:pPr>
            <w:r>
              <w:rPr>
                <w:rFonts w:ascii="Arial" w:hAnsi="Arial" w:cs="Arial"/>
                <w:sz w:val="16"/>
                <w:szCs w:val="16"/>
              </w:rPr>
              <w:t>992</w:t>
            </w:r>
          </w:p>
        </w:tc>
      </w:tr>
      <w:tr w:rsidR="00DD1521" w:rsidTr="00F65116">
        <w:trPr>
          <w:trHeight w:val="240"/>
        </w:trPr>
        <w:tc>
          <w:tcPr>
            <w:tcW w:w="8996" w:type="dxa"/>
            <w:gridSpan w:val="2"/>
            <w:tcBorders>
              <w:top w:val="single" w:sz="18" w:space="0" w:color="FF0000"/>
              <w:left w:val="single" w:sz="4" w:space="0" w:color="000000"/>
              <w:bottom w:val="single" w:sz="4" w:space="0" w:color="000000"/>
              <w:right w:val="single" w:sz="4" w:space="0" w:color="000000"/>
            </w:tcBorders>
            <w:shd w:val="clear" w:color="auto" w:fill="D9D9D9"/>
          </w:tcPr>
          <w:p w:rsidR="00DD1521" w:rsidRDefault="00DD1521">
            <w:pPr>
              <w:pStyle w:val="Normal1"/>
              <w:spacing w:after="0" w:line="240" w:lineRule="auto"/>
              <w:jc w:val="both"/>
            </w:pPr>
            <w:r>
              <w:rPr>
                <w:rFonts w:ascii="Arial" w:hAnsi="Arial" w:cs="Arial"/>
                <w:sz w:val="16"/>
                <w:szCs w:val="16"/>
                <w:u w:val="single"/>
              </w:rPr>
              <w:t>Referencias</w:t>
            </w:r>
            <w:r>
              <w:rPr>
                <w:rFonts w:ascii="Arial" w:hAnsi="Arial" w:cs="Arial"/>
                <w:sz w:val="16"/>
                <w:szCs w:val="16"/>
              </w:rPr>
              <w:t>:</w:t>
            </w:r>
            <w:r>
              <w:rPr>
                <w:rFonts w:ascii="Arial" w:hAnsi="Arial" w:cs="Arial"/>
                <w:sz w:val="15"/>
                <w:szCs w:val="15"/>
              </w:rPr>
              <w:t> </w:t>
            </w:r>
          </w:p>
          <w:p w:rsidR="00DD1521" w:rsidRDefault="00DD1521">
            <w:pPr>
              <w:pStyle w:val="Normal1"/>
              <w:numPr>
                <w:ilvl w:val="0"/>
                <w:numId w:val="13"/>
              </w:numPr>
              <w:tabs>
                <w:tab w:val="left" w:pos="234"/>
              </w:tabs>
              <w:spacing w:after="0" w:line="240" w:lineRule="auto"/>
              <w:ind w:left="234" w:hanging="234"/>
              <w:jc w:val="both"/>
            </w:pPr>
            <w:r>
              <w:rPr>
                <w:rFonts w:ascii="Arial" w:hAnsi="Arial" w:cs="Arial"/>
                <w:sz w:val="16"/>
                <w:szCs w:val="16"/>
              </w:rPr>
              <w:t xml:space="preserve">Cifras provisionales de población española a 1 de enero de 2017 [Internet]. Instituto Nacional de Estadística. 2017 [citado 10 de octubre de 2018]. Disponible en: </w:t>
            </w:r>
            <w:hyperlink r:id="rId16">
              <w:r>
                <w:rPr>
                  <w:rFonts w:ascii="Arial" w:hAnsi="Arial" w:cs="Arial"/>
                  <w:color w:val="000000"/>
                  <w:sz w:val="16"/>
                  <w:szCs w:val="16"/>
                  <w:u w:val="single"/>
                </w:rPr>
                <w:t>http://www.ine.es</w:t>
              </w:r>
            </w:hyperlink>
          </w:p>
          <w:p w:rsidR="00DD1521" w:rsidRDefault="00DD1521">
            <w:pPr>
              <w:pStyle w:val="Normal1"/>
              <w:numPr>
                <w:ilvl w:val="0"/>
                <w:numId w:val="13"/>
              </w:numPr>
              <w:tabs>
                <w:tab w:val="left" w:pos="234"/>
              </w:tabs>
              <w:spacing w:after="0" w:line="240" w:lineRule="auto"/>
              <w:ind w:left="234" w:hanging="234"/>
              <w:jc w:val="both"/>
            </w:pPr>
            <w:r>
              <w:rPr>
                <w:rFonts w:ascii="Arial" w:hAnsi="Arial" w:cs="Arial"/>
                <w:sz w:val="16"/>
                <w:szCs w:val="16"/>
                <w:lang w:val="en-US"/>
              </w:rPr>
              <w:t xml:space="preserve">Globocan 2012 v 1.0. Cancer Indicence and Mortality Worldwide: IARC. </w:t>
            </w:r>
            <w:r>
              <w:rPr>
                <w:rFonts w:ascii="Arial" w:hAnsi="Arial" w:cs="Arial"/>
                <w:sz w:val="16"/>
                <w:szCs w:val="16"/>
              </w:rPr>
              <w:t>Proyections 2015-20120.</w:t>
            </w:r>
          </w:p>
          <w:p w:rsidR="00DD1521" w:rsidRDefault="00DD1521">
            <w:pPr>
              <w:pStyle w:val="Normal1"/>
              <w:numPr>
                <w:ilvl w:val="0"/>
                <w:numId w:val="13"/>
              </w:numPr>
              <w:tabs>
                <w:tab w:val="left" w:pos="234"/>
              </w:tabs>
              <w:spacing w:after="0" w:line="240" w:lineRule="auto"/>
              <w:ind w:left="234" w:hanging="234"/>
              <w:jc w:val="both"/>
              <w:rPr>
                <w:lang w:val="en-US"/>
              </w:rPr>
            </w:pPr>
            <w:r>
              <w:rPr>
                <w:rFonts w:ascii="Arial" w:hAnsi="Arial" w:cs="Arial"/>
                <w:sz w:val="16"/>
                <w:szCs w:val="16"/>
              </w:rPr>
              <w:t xml:space="preserve">Ministerio de Sanidad. Informe de Posicionamiento Terapéutico de osimertinib (Tagrisso®) en el cáncer de pulmón no microcítico con presencia de la mutación T790M. </w:t>
            </w:r>
            <w:r>
              <w:rPr>
                <w:rFonts w:ascii="Arial" w:hAnsi="Arial" w:cs="Arial"/>
                <w:sz w:val="16"/>
                <w:szCs w:val="16"/>
                <w:lang w:val="en-US"/>
              </w:rPr>
              <w:t xml:space="preserve">2018 agosto de [cited 2018 Sep 28]; Available from: </w:t>
            </w:r>
            <w:hyperlink r:id="rId17">
              <w:r>
                <w:rPr>
                  <w:rFonts w:ascii="Arial" w:hAnsi="Arial" w:cs="Arial"/>
                  <w:color w:val="0000FF"/>
                  <w:sz w:val="16"/>
                  <w:szCs w:val="16"/>
                  <w:u w:val="single"/>
                  <w:lang w:val="en-US"/>
                </w:rPr>
                <w:t>https://www.aemps.gob.es/medicamentosUsoHumano/informesPublicos/docs/IPT-osimertinib-Tagrisso-cancer-pulmon-NM-MT790.pdf</w:t>
              </w:r>
            </w:hyperlink>
          </w:p>
          <w:p w:rsidR="00DD1521" w:rsidRDefault="00DD1521">
            <w:pPr>
              <w:pStyle w:val="Normal1"/>
              <w:numPr>
                <w:ilvl w:val="0"/>
                <w:numId w:val="13"/>
              </w:numPr>
              <w:tabs>
                <w:tab w:val="left" w:pos="234"/>
              </w:tabs>
              <w:spacing w:after="0" w:line="240" w:lineRule="auto"/>
              <w:ind w:left="234" w:hanging="234"/>
              <w:jc w:val="both"/>
            </w:pPr>
            <w:r>
              <w:rPr>
                <w:rFonts w:ascii="Arial" w:hAnsi="Arial" w:cs="Arial"/>
                <w:sz w:val="16"/>
                <w:szCs w:val="16"/>
                <w:lang w:val="en-US"/>
              </w:rPr>
              <w:t xml:space="preserve">Garcia-Campelo R, Bernabé R, Cobo M, Corral J, Coves J, Dominé M, Nadal E, Rodriguez-Abreu D, Viñolas N, Massuti B. SEOM clinical guidelines for the treatment of non-small cell lung cancer (NSCLC) 2015. </w:t>
            </w:r>
            <w:r>
              <w:rPr>
                <w:rFonts w:ascii="Arial" w:hAnsi="Arial" w:cs="Arial"/>
                <w:sz w:val="16"/>
                <w:szCs w:val="16"/>
              </w:rPr>
              <w:t>Clin Transl Oncol. 2015;17(12):1020-9.</w:t>
            </w:r>
          </w:p>
        </w:tc>
      </w:tr>
    </w:tbl>
    <w:p w:rsidR="00DD1521" w:rsidRDefault="00DD1521">
      <w:pPr>
        <w:spacing w:after="0" w:line="240" w:lineRule="auto"/>
        <w:jc w:val="both"/>
        <w:rPr>
          <w:rFonts w:ascii="Arial" w:hAnsi="Arial" w:cs="Arial"/>
          <w:sz w:val="20"/>
          <w:szCs w:val="20"/>
        </w:rPr>
      </w:pPr>
    </w:p>
    <w:p w:rsidR="00DD1521" w:rsidRDefault="00DD1521">
      <w:pPr>
        <w:spacing w:after="0" w:line="240" w:lineRule="auto"/>
        <w:rPr>
          <w:rFonts w:ascii="Arial" w:hAnsi="Arial" w:cs="Arial"/>
          <w:sz w:val="20"/>
          <w:szCs w:val="20"/>
        </w:rPr>
      </w:pPr>
    </w:p>
    <w:p w:rsidR="00DD1521" w:rsidRDefault="00DD1521">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b/>
          <w:bCs/>
          <w:sz w:val="20"/>
          <w:szCs w:val="20"/>
        </w:rPr>
      </w:pPr>
      <w:r>
        <w:rPr>
          <w:rFonts w:ascii="Arial" w:hAnsi="Arial" w:cs="Arial"/>
          <w:b/>
          <w:bCs/>
          <w:sz w:val="20"/>
          <w:szCs w:val="20"/>
        </w:rPr>
        <w:t>7.4.2 Estudios publicados de impacto presupuestario</w:t>
      </w:r>
    </w:p>
    <w:p w:rsidR="00DD1521" w:rsidRDefault="00DD1521">
      <w:pPr>
        <w:spacing w:after="0" w:line="240" w:lineRule="auto"/>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No se han identificado publicaciones sobre el impacto presupuestario que supondría la incorporación de osimertinib al algoritmo de tratamiento del CPNM, avanzado o metastásico.</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pPr>
    </w:p>
    <w:p w:rsidR="00DD1521" w:rsidRDefault="00DD152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hAnsi="Arial" w:cs="Arial"/>
          <w:b/>
          <w:bCs/>
          <w:sz w:val="20"/>
          <w:szCs w:val="20"/>
        </w:rPr>
      </w:pPr>
      <w:r>
        <w:rPr>
          <w:rFonts w:ascii="Arial" w:hAnsi="Arial" w:cs="Arial"/>
          <w:b/>
          <w:bCs/>
          <w:sz w:val="20"/>
          <w:szCs w:val="20"/>
        </w:rPr>
        <w:t>7.4.3. Estimación propia de impacto presupuestario y beneficios en salud a nivel autonómico/estatal</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A continuación se presenta la estimación del impacto presupuestario que supondría el desplazamiento de cada una de las alternativas disponibles por osimertinib en el tratamiento de los pacientes con CPNM en cada una de las indicaciones evaluadas en el informe:</w:t>
      </w:r>
    </w:p>
    <w:p w:rsidR="00DD1521" w:rsidRDefault="00DD1521">
      <w:pPr>
        <w:spacing w:after="0" w:line="240" w:lineRule="auto"/>
        <w:jc w:val="both"/>
        <w:rPr>
          <w:rFonts w:ascii="Arial" w:hAnsi="Arial" w:cs="Arial"/>
          <w:sz w:val="20"/>
          <w:szCs w:val="20"/>
        </w:rPr>
      </w:pPr>
    </w:p>
    <w:p w:rsidR="00DD1521" w:rsidRDefault="00DD1521">
      <w:pPr>
        <w:pBdr>
          <w:top w:val="single" w:sz="2" w:space="1" w:color="auto"/>
          <w:left w:val="single" w:sz="2" w:space="4" w:color="auto"/>
          <w:bottom w:val="single" w:sz="2" w:space="1" w:color="auto"/>
          <w:right w:val="single" w:sz="2" w:space="4" w:color="auto"/>
        </w:pBdr>
        <w:spacing w:after="0" w:line="240" w:lineRule="auto"/>
        <w:jc w:val="both"/>
        <w:rPr>
          <w:rFonts w:ascii="Arial" w:hAnsi="Arial" w:cs="Arial"/>
          <w:sz w:val="20"/>
          <w:szCs w:val="20"/>
        </w:rPr>
      </w:pPr>
      <w:r>
        <w:rPr>
          <w:rFonts w:ascii="Arial" w:hAnsi="Arial" w:cs="Arial"/>
          <w:b/>
          <w:bCs/>
          <w:sz w:val="20"/>
          <w:szCs w:val="20"/>
        </w:rPr>
        <w:t>Tratamiento de segunda línea del CPNM avanzado o metastásico con mutación positiva del EGFR T790M</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pPr>
      <w:r>
        <w:rPr>
          <w:rFonts w:ascii="Arial" w:hAnsi="Arial" w:cs="Arial"/>
          <w:sz w:val="20"/>
          <w:szCs w:val="20"/>
        </w:rPr>
        <w:t xml:space="preserve">No se consideran los pacientes con mutación T790M de novo por ser un escaso número de pacientes). </w:t>
      </w:r>
    </w:p>
    <w:p w:rsidR="00DD1521" w:rsidRDefault="00DD1521">
      <w:pPr>
        <w:spacing w:after="0" w:line="240" w:lineRule="auto"/>
        <w:rPr>
          <w:rFonts w:ascii="Arial" w:hAnsi="Arial" w:cs="Arial"/>
          <w:sz w:val="20"/>
          <w:szCs w:val="20"/>
        </w:rPr>
      </w:pPr>
    </w:p>
    <w:tbl>
      <w:tblPr>
        <w:tblW w:w="89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51"/>
        <w:gridCol w:w="2268"/>
        <w:gridCol w:w="1417"/>
        <w:gridCol w:w="851"/>
        <w:gridCol w:w="1584"/>
        <w:gridCol w:w="1858"/>
      </w:tblGrid>
      <w:tr w:rsidR="00DD1521">
        <w:trPr>
          <w:cantSplit/>
          <w:trHeight w:val="244"/>
        </w:trPr>
        <w:tc>
          <w:tcPr>
            <w:tcW w:w="8929" w:type="dxa"/>
            <w:gridSpan w:val="6"/>
            <w:shd w:val="clear" w:color="auto" w:fill="CCFFCC"/>
          </w:tcPr>
          <w:p w:rsidR="00DD1521" w:rsidRDefault="00DD1521">
            <w:pPr>
              <w:pBdr>
                <w:top w:val="single" w:sz="4" w:space="0" w:color="000000"/>
                <w:left w:val="single" w:sz="4" w:space="4" w:color="000000"/>
                <w:right w:val="single" w:sz="4" w:space="4" w:color="000000"/>
              </w:pBdr>
              <w:spacing w:after="0" w:line="240" w:lineRule="auto"/>
              <w:jc w:val="both"/>
            </w:pPr>
            <w:r>
              <w:rPr>
                <w:rFonts w:ascii="Arial" w:hAnsi="Arial" w:cs="Arial"/>
                <w:b/>
                <w:bCs/>
                <w:sz w:val="18"/>
                <w:szCs w:val="18"/>
              </w:rPr>
              <w:t>Tabla 23. Estimación propia de impacto presupuestario.</w:t>
            </w:r>
          </w:p>
        </w:tc>
      </w:tr>
      <w:tr w:rsidR="00DD1521">
        <w:trPr>
          <w:cantSplit/>
          <w:trHeight w:val="300"/>
        </w:trPr>
        <w:tc>
          <w:tcPr>
            <w:tcW w:w="8929" w:type="dxa"/>
            <w:gridSpan w:val="6"/>
          </w:tcPr>
          <w:p w:rsidR="00DD1521" w:rsidRDefault="00DD1521">
            <w:pPr>
              <w:spacing w:after="0" w:line="240" w:lineRule="auto"/>
            </w:pPr>
            <w:r>
              <w:rPr>
                <w:rFonts w:ascii="Arial" w:hAnsi="Arial" w:cs="Arial"/>
                <w:b/>
                <w:bCs/>
                <w:sz w:val="16"/>
                <w:szCs w:val="16"/>
              </w:rPr>
              <w:t xml:space="preserve">Medicamento e indicación: </w:t>
            </w:r>
            <w:r>
              <w:rPr>
                <w:rFonts w:ascii="Arial" w:hAnsi="Arial" w:cs="Arial"/>
                <w:sz w:val="16"/>
                <w:szCs w:val="16"/>
              </w:rPr>
              <w:t>Osimertinib en el tratamiento de pacientes adultos con CPNM avanzado, T790M, tratados previamente con ITK anti-EGFR.</w:t>
            </w:r>
          </w:p>
          <w:p w:rsidR="00DD1521" w:rsidRDefault="00DD1521">
            <w:pPr>
              <w:spacing w:after="0" w:line="240" w:lineRule="auto"/>
            </w:pPr>
            <w:r>
              <w:rPr>
                <w:rFonts w:ascii="Arial" w:hAnsi="Arial" w:cs="Arial"/>
                <w:b/>
                <w:bCs/>
                <w:sz w:val="16"/>
                <w:szCs w:val="16"/>
              </w:rPr>
              <w:t xml:space="preserve">Ámbito y horizonte temporal: </w:t>
            </w:r>
            <w:r>
              <w:rPr>
                <w:rFonts w:ascii="Arial" w:hAnsi="Arial" w:cs="Arial"/>
                <w:sz w:val="16"/>
                <w:szCs w:val="16"/>
              </w:rPr>
              <w:t>Estatal y anual.</w:t>
            </w:r>
            <w:r>
              <w:rPr>
                <w:rFonts w:ascii="Arial" w:hAnsi="Arial" w:cs="Arial"/>
                <w:b/>
                <w:bCs/>
                <w:sz w:val="16"/>
                <w:szCs w:val="16"/>
              </w:rPr>
              <w:t xml:space="preserve"> </w:t>
            </w:r>
          </w:p>
        </w:tc>
      </w:tr>
      <w:tr w:rsidR="00DD1521">
        <w:trPr>
          <w:trHeight w:val="366"/>
        </w:trPr>
        <w:tc>
          <w:tcPr>
            <w:tcW w:w="951" w:type="dxa"/>
            <w:shd w:val="clear" w:color="auto" w:fill="D9D9D9"/>
          </w:tcPr>
          <w:p w:rsidR="00DD1521" w:rsidRDefault="00DD1521">
            <w:pPr>
              <w:spacing w:after="0" w:line="240" w:lineRule="auto"/>
            </w:pPr>
            <w:r>
              <w:rPr>
                <w:rFonts w:ascii="Arial" w:hAnsi="Arial" w:cs="Arial"/>
                <w:b/>
                <w:bCs/>
                <w:sz w:val="16"/>
                <w:szCs w:val="16"/>
              </w:rPr>
              <w:t>Nº de pacientes</w:t>
            </w:r>
          </w:p>
        </w:tc>
        <w:tc>
          <w:tcPr>
            <w:tcW w:w="2268" w:type="dxa"/>
            <w:shd w:val="clear" w:color="auto" w:fill="D9D9D9"/>
          </w:tcPr>
          <w:p w:rsidR="00DD1521" w:rsidRDefault="00DD1521">
            <w:pPr>
              <w:spacing w:after="0" w:line="240" w:lineRule="auto"/>
            </w:pPr>
            <w:r>
              <w:rPr>
                <w:rFonts w:ascii="Arial" w:hAnsi="Arial" w:cs="Arial"/>
                <w:b/>
                <w:bCs/>
                <w:sz w:val="16"/>
                <w:szCs w:val="16"/>
              </w:rPr>
              <w:t>Alternativa desplazada</w:t>
            </w:r>
          </w:p>
        </w:tc>
        <w:tc>
          <w:tcPr>
            <w:tcW w:w="1417" w:type="dxa"/>
            <w:tcBorders>
              <w:right w:val="single" w:sz="2" w:space="0" w:color="auto"/>
            </w:tcBorders>
            <w:shd w:val="clear" w:color="auto" w:fill="D9D9D9"/>
          </w:tcPr>
          <w:p w:rsidR="00DD1521" w:rsidRDefault="00DD1521">
            <w:pPr>
              <w:spacing w:after="0" w:line="240" w:lineRule="auto"/>
            </w:pPr>
            <w:r>
              <w:rPr>
                <w:rFonts w:ascii="Arial" w:hAnsi="Arial" w:cs="Arial"/>
                <w:b/>
                <w:bCs/>
                <w:sz w:val="16"/>
                <w:szCs w:val="16"/>
              </w:rPr>
              <w:t>Coste incremental por paciente</w:t>
            </w:r>
          </w:p>
        </w:tc>
        <w:tc>
          <w:tcPr>
            <w:tcW w:w="851" w:type="dxa"/>
            <w:tcBorders>
              <w:left w:val="single" w:sz="2" w:space="0" w:color="auto"/>
              <w:right w:val="single" w:sz="2" w:space="0" w:color="auto"/>
            </w:tcBorders>
            <w:shd w:val="clear" w:color="auto" w:fill="D9D9D9"/>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AVGLP</w:t>
            </w:r>
          </w:p>
          <w:p w:rsidR="00DD1521" w:rsidRDefault="00DD1521">
            <w:pPr>
              <w:spacing w:after="0" w:line="240" w:lineRule="auto"/>
              <w:jc w:val="center"/>
            </w:pPr>
            <w:r>
              <w:rPr>
                <w:rFonts w:ascii="Arial" w:hAnsi="Arial" w:cs="Arial"/>
                <w:b/>
                <w:bCs/>
                <w:sz w:val="16"/>
                <w:szCs w:val="16"/>
              </w:rPr>
              <w:t>(años)</w:t>
            </w:r>
          </w:p>
        </w:tc>
        <w:tc>
          <w:tcPr>
            <w:tcW w:w="1584" w:type="dxa"/>
            <w:tcBorders>
              <w:left w:val="single" w:sz="2" w:space="0" w:color="auto"/>
            </w:tcBorders>
            <w:shd w:val="clear" w:color="auto" w:fill="D9D9D9"/>
          </w:tcPr>
          <w:p w:rsidR="00DD1521" w:rsidRDefault="00DD1521">
            <w:pPr>
              <w:spacing w:after="0" w:line="240" w:lineRule="auto"/>
              <w:jc w:val="center"/>
            </w:pPr>
            <w:r>
              <w:rPr>
                <w:rFonts w:ascii="Arial" w:hAnsi="Arial" w:cs="Arial"/>
                <w:b/>
                <w:bCs/>
                <w:sz w:val="16"/>
                <w:szCs w:val="16"/>
              </w:rPr>
              <w:t>Beneficio en salud</w:t>
            </w:r>
          </w:p>
        </w:tc>
        <w:tc>
          <w:tcPr>
            <w:tcW w:w="1858" w:type="dxa"/>
            <w:shd w:val="clear" w:color="auto" w:fill="D9D9D9"/>
          </w:tcPr>
          <w:p w:rsidR="00DD1521" w:rsidRDefault="00DD1521">
            <w:pPr>
              <w:spacing w:after="0" w:line="240" w:lineRule="auto"/>
            </w:pPr>
            <w:r>
              <w:rPr>
                <w:rFonts w:ascii="Arial" w:hAnsi="Arial" w:cs="Arial"/>
                <w:b/>
                <w:bCs/>
                <w:sz w:val="16"/>
                <w:szCs w:val="16"/>
              </w:rPr>
              <w:t>Impacto económico</w:t>
            </w:r>
          </w:p>
        </w:tc>
      </w:tr>
      <w:tr w:rsidR="00DD1521">
        <w:trPr>
          <w:cantSplit/>
          <w:trHeight w:val="62"/>
        </w:trPr>
        <w:tc>
          <w:tcPr>
            <w:tcW w:w="951" w:type="dxa"/>
            <w:vMerge w:val="restart"/>
            <w:vAlign w:val="center"/>
          </w:tcPr>
          <w:p w:rsidR="00DD1521" w:rsidRDefault="00DD1521">
            <w:pPr>
              <w:spacing w:after="0" w:line="240" w:lineRule="auto"/>
              <w:jc w:val="center"/>
            </w:pPr>
            <w:r>
              <w:rPr>
                <w:rFonts w:ascii="Arial" w:hAnsi="Arial" w:cs="Arial"/>
                <w:sz w:val="16"/>
                <w:szCs w:val="16"/>
              </w:rPr>
              <w:t>992</w:t>
            </w:r>
          </w:p>
        </w:tc>
        <w:tc>
          <w:tcPr>
            <w:tcW w:w="2268" w:type="dxa"/>
            <w:vAlign w:val="center"/>
          </w:tcPr>
          <w:p w:rsidR="00DD1521" w:rsidRDefault="00DD1521">
            <w:pPr>
              <w:spacing w:after="0" w:line="240" w:lineRule="auto"/>
            </w:pPr>
            <w:r>
              <w:rPr>
                <w:rFonts w:ascii="Arial" w:hAnsi="Arial" w:cs="Arial"/>
                <w:sz w:val="16"/>
                <w:szCs w:val="16"/>
              </w:rPr>
              <w:t>QT basada en platino (cisplatino+pemetrexed)</w:t>
            </w:r>
          </w:p>
        </w:tc>
        <w:tc>
          <w:tcPr>
            <w:tcW w:w="1417" w:type="dxa"/>
            <w:tcBorders>
              <w:right w:val="single" w:sz="2" w:space="0" w:color="auto"/>
            </w:tcBorders>
            <w:vAlign w:val="center"/>
          </w:tcPr>
          <w:p w:rsidR="00DD1521" w:rsidRDefault="00DD1521">
            <w:pPr>
              <w:spacing w:after="0" w:line="240" w:lineRule="auto"/>
            </w:pPr>
            <w:r>
              <w:rPr>
                <w:rFonts w:ascii="Arial" w:hAnsi="Arial" w:cs="Arial"/>
                <w:sz w:val="16"/>
                <w:szCs w:val="16"/>
              </w:rPr>
              <w:t>37.199 €</w:t>
            </w:r>
          </w:p>
        </w:tc>
        <w:tc>
          <w:tcPr>
            <w:tcW w:w="851" w:type="dxa"/>
            <w:vMerge w:val="restart"/>
            <w:tcBorders>
              <w:left w:val="single" w:sz="2" w:space="0" w:color="auto"/>
              <w:right w:val="single" w:sz="2" w:space="0" w:color="auto"/>
            </w:tcBorders>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0,475</w:t>
            </w:r>
          </w:p>
        </w:tc>
        <w:tc>
          <w:tcPr>
            <w:tcW w:w="1584" w:type="dxa"/>
            <w:vMerge w:val="restart"/>
            <w:tcBorders>
              <w:left w:val="single" w:sz="2" w:space="0" w:color="auto"/>
            </w:tcBorders>
            <w:vAlign w:val="center"/>
          </w:tcPr>
          <w:p w:rsidR="00DD1521" w:rsidRDefault="00DD1521">
            <w:pPr>
              <w:spacing w:after="0" w:line="240" w:lineRule="auto"/>
              <w:rPr>
                <w:rFonts w:ascii="Arial" w:hAnsi="Arial" w:cs="Arial"/>
                <w:sz w:val="16"/>
                <w:szCs w:val="16"/>
              </w:rPr>
            </w:pPr>
            <w:r>
              <w:rPr>
                <w:rFonts w:ascii="Arial" w:hAnsi="Arial" w:cs="Arial"/>
                <w:sz w:val="16"/>
                <w:szCs w:val="16"/>
              </w:rPr>
              <w:t>471,2 años de vida sin progresión</w:t>
            </w:r>
          </w:p>
        </w:tc>
        <w:tc>
          <w:tcPr>
            <w:tcW w:w="1858" w:type="dxa"/>
            <w:vAlign w:val="center"/>
          </w:tcPr>
          <w:p w:rsidR="00DD1521" w:rsidRDefault="00DD1521">
            <w:pPr>
              <w:spacing w:after="0" w:line="240" w:lineRule="auto"/>
            </w:pPr>
            <w:r>
              <w:rPr>
                <w:rFonts w:ascii="Arial" w:hAnsi="Arial" w:cs="Arial"/>
                <w:sz w:val="16"/>
                <w:szCs w:val="16"/>
              </w:rPr>
              <w:t>36.901.408  €</w:t>
            </w:r>
          </w:p>
        </w:tc>
      </w:tr>
      <w:tr w:rsidR="00DD1521">
        <w:trPr>
          <w:cantSplit/>
          <w:trHeight w:val="45"/>
        </w:trPr>
        <w:tc>
          <w:tcPr>
            <w:tcW w:w="951" w:type="dxa"/>
            <w:vMerge/>
            <w:vAlign w:val="center"/>
          </w:tcPr>
          <w:p w:rsidR="00DD1521" w:rsidRDefault="00DD1521">
            <w:pPr>
              <w:snapToGrid w:val="0"/>
              <w:spacing w:after="0" w:line="240" w:lineRule="auto"/>
            </w:pPr>
          </w:p>
        </w:tc>
        <w:tc>
          <w:tcPr>
            <w:tcW w:w="2268" w:type="dxa"/>
            <w:vAlign w:val="center"/>
          </w:tcPr>
          <w:p w:rsidR="00DD1521" w:rsidRDefault="00DD1521">
            <w:pPr>
              <w:spacing w:after="0" w:line="240" w:lineRule="auto"/>
            </w:pPr>
            <w:r>
              <w:rPr>
                <w:rFonts w:ascii="Arial" w:hAnsi="Arial" w:cs="Arial"/>
                <w:sz w:val="16"/>
                <w:szCs w:val="16"/>
              </w:rPr>
              <w:t>Docetaxel</w:t>
            </w:r>
          </w:p>
        </w:tc>
        <w:tc>
          <w:tcPr>
            <w:tcW w:w="1417" w:type="dxa"/>
            <w:tcBorders>
              <w:right w:val="single" w:sz="2" w:space="0" w:color="auto"/>
            </w:tcBorders>
            <w:vAlign w:val="center"/>
          </w:tcPr>
          <w:p w:rsidR="00DD1521" w:rsidRDefault="00DD1521">
            <w:pPr>
              <w:spacing w:after="0" w:line="240" w:lineRule="auto"/>
            </w:pPr>
            <w:r>
              <w:rPr>
                <w:rFonts w:ascii="Arial" w:hAnsi="Arial" w:cs="Arial"/>
                <w:sz w:val="16"/>
                <w:szCs w:val="16"/>
              </w:rPr>
              <w:t>48.357 €</w:t>
            </w:r>
          </w:p>
        </w:tc>
        <w:tc>
          <w:tcPr>
            <w:tcW w:w="851" w:type="dxa"/>
            <w:vMerge/>
            <w:tcBorders>
              <w:left w:val="single" w:sz="2" w:space="0" w:color="auto"/>
              <w:right w:val="single" w:sz="2" w:space="0" w:color="auto"/>
            </w:tcBorders>
            <w:vAlign w:val="center"/>
          </w:tcPr>
          <w:p w:rsidR="00DD1521" w:rsidRDefault="00DD1521">
            <w:pPr>
              <w:spacing w:after="0" w:line="240" w:lineRule="auto"/>
              <w:rPr>
                <w:rFonts w:ascii="Arial" w:hAnsi="Arial" w:cs="Arial"/>
                <w:sz w:val="16"/>
                <w:szCs w:val="16"/>
              </w:rPr>
            </w:pPr>
          </w:p>
        </w:tc>
        <w:tc>
          <w:tcPr>
            <w:tcW w:w="1584" w:type="dxa"/>
            <w:vMerge/>
            <w:tcBorders>
              <w:left w:val="single" w:sz="2" w:space="0" w:color="auto"/>
            </w:tcBorders>
            <w:vAlign w:val="center"/>
          </w:tcPr>
          <w:p w:rsidR="00DD1521" w:rsidRDefault="00DD1521">
            <w:pPr>
              <w:spacing w:after="0" w:line="240" w:lineRule="auto"/>
              <w:rPr>
                <w:rFonts w:ascii="Arial" w:hAnsi="Arial" w:cs="Arial"/>
                <w:sz w:val="16"/>
                <w:szCs w:val="16"/>
              </w:rPr>
            </w:pPr>
          </w:p>
        </w:tc>
        <w:tc>
          <w:tcPr>
            <w:tcW w:w="1858" w:type="dxa"/>
            <w:vAlign w:val="center"/>
          </w:tcPr>
          <w:p w:rsidR="00DD1521" w:rsidRDefault="00DD1521">
            <w:pPr>
              <w:spacing w:after="0" w:line="240" w:lineRule="auto"/>
              <w:rPr>
                <w:rFonts w:ascii="Arial" w:hAnsi="Arial" w:cs="Arial"/>
                <w:sz w:val="16"/>
                <w:szCs w:val="16"/>
              </w:rPr>
            </w:pPr>
            <w:r>
              <w:rPr>
                <w:rFonts w:ascii="Arial" w:hAnsi="Arial" w:cs="Arial"/>
                <w:sz w:val="16"/>
                <w:szCs w:val="16"/>
              </w:rPr>
              <w:t>47.970.144 €</w:t>
            </w:r>
          </w:p>
        </w:tc>
      </w:tr>
      <w:tr w:rsidR="00DD1521">
        <w:trPr>
          <w:cantSplit/>
          <w:trHeight w:val="53"/>
        </w:trPr>
        <w:tc>
          <w:tcPr>
            <w:tcW w:w="951" w:type="dxa"/>
            <w:vMerge/>
            <w:vAlign w:val="center"/>
          </w:tcPr>
          <w:p w:rsidR="00DD1521" w:rsidRDefault="00DD1521">
            <w:pPr>
              <w:snapToGrid w:val="0"/>
              <w:spacing w:after="0" w:line="240" w:lineRule="auto"/>
            </w:pPr>
          </w:p>
        </w:tc>
        <w:tc>
          <w:tcPr>
            <w:tcW w:w="2268" w:type="dxa"/>
            <w:vAlign w:val="center"/>
          </w:tcPr>
          <w:p w:rsidR="00DD1521" w:rsidRDefault="00DD1521">
            <w:pPr>
              <w:spacing w:after="0" w:line="240" w:lineRule="auto"/>
            </w:pPr>
            <w:r>
              <w:rPr>
                <w:rFonts w:ascii="Arial" w:hAnsi="Arial" w:cs="Arial"/>
                <w:sz w:val="16"/>
                <w:szCs w:val="16"/>
              </w:rPr>
              <w:t>Pemetrexed</w:t>
            </w:r>
          </w:p>
        </w:tc>
        <w:tc>
          <w:tcPr>
            <w:tcW w:w="1417" w:type="dxa"/>
            <w:tcBorders>
              <w:right w:val="single" w:sz="2" w:space="0" w:color="auto"/>
            </w:tcBorders>
            <w:vAlign w:val="center"/>
          </w:tcPr>
          <w:p w:rsidR="00DD1521" w:rsidRDefault="00DD1521">
            <w:pPr>
              <w:spacing w:after="0" w:line="240" w:lineRule="auto"/>
            </w:pPr>
            <w:r>
              <w:rPr>
                <w:rFonts w:ascii="Arial" w:hAnsi="Arial" w:cs="Arial"/>
                <w:sz w:val="16"/>
                <w:szCs w:val="16"/>
              </w:rPr>
              <w:t>42.618 €</w:t>
            </w:r>
          </w:p>
        </w:tc>
        <w:tc>
          <w:tcPr>
            <w:tcW w:w="851" w:type="dxa"/>
            <w:vMerge/>
            <w:tcBorders>
              <w:left w:val="single" w:sz="2" w:space="0" w:color="auto"/>
              <w:right w:val="single" w:sz="2" w:space="0" w:color="auto"/>
            </w:tcBorders>
            <w:vAlign w:val="center"/>
          </w:tcPr>
          <w:p w:rsidR="00DD1521" w:rsidRDefault="00DD1521">
            <w:pPr>
              <w:spacing w:after="0" w:line="240" w:lineRule="auto"/>
              <w:rPr>
                <w:rFonts w:ascii="Arial" w:hAnsi="Arial" w:cs="Arial"/>
                <w:sz w:val="16"/>
                <w:szCs w:val="16"/>
              </w:rPr>
            </w:pPr>
          </w:p>
        </w:tc>
        <w:tc>
          <w:tcPr>
            <w:tcW w:w="1584" w:type="dxa"/>
            <w:vMerge/>
            <w:tcBorders>
              <w:left w:val="single" w:sz="2" w:space="0" w:color="auto"/>
            </w:tcBorders>
            <w:vAlign w:val="center"/>
          </w:tcPr>
          <w:p w:rsidR="00DD1521" w:rsidRDefault="00DD1521">
            <w:pPr>
              <w:spacing w:after="0" w:line="240" w:lineRule="auto"/>
              <w:rPr>
                <w:rFonts w:ascii="Arial" w:hAnsi="Arial" w:cs="Arial"/>
                <w:sz w:val="16"/>
                <w:szCs w:val="16"/>
              </w:rPr>
            </w:pPr>
          </w:p>
        </w:tc>
        <w:tc>
          <w:tcPr>
            <w:tcW w:w="1858" w:type="dxa"/>
            <w:vAlign w:val="center"/>
          </w:tcPr>
          <w:p w:rsidR="00DD1521" w:rsidRDefault="00DD1521">
            <w:pPr>
              <w:spacing w:after="0" w:line="240" w:lineRule="auto"/>
              <w:rPr>
                <w:rFonts w:ascii="Arial" w:hAnsi="Arial" w:cs="Arial"/>
                <w:sz w:val="16"/>
                <w:szCs w:val="16"/>
              </w:rPr>
            </w:pPr>
            <w:r>
              <w:rPr>
                <w:rFonts w:ascii="Arial" w:hAnsi="Arial" w:cs="Arial"/>
                <w:sz w:val="16"/>
                <w:szCs w:val="16"/>
              </w:rPr>
              <w:t>42.277.056 €</w:t>
            </w:r>
          </w:p>
        </w:tc>
      </w:tr>
    </w:tbl>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pPr>
      <w:r>
        <w:rPr>
          <w:rFonts w:ascii="Arial" w:hAnsi="Arial" w:cs="Arial"/>
          <w:sz w:val="20"/>
          <w:szCs w:val="20"/>
        </w:rPr>
        <w:t>El impacto presupuestario anual estimado a nivel nacional, se sitúa entre 36,9 millones de  € y 47,9 millones de €, variando en función del porcentaje de desplazamiento de las diferentes alternativas disponibles en la indicación evaluada. El beneficio con esta inversión sería de 471,2 años de vida sin progresión ganados.</w:t>
      </w:r>
    </w:p>
    <w:p w:rsidR="00DD1521" w:rsidRDefault="00DD1521">
      <w:pPr>
        <w:spacing w:after="0" w:line="240" w:lineRule="auto"/>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Si realizamos un </w:t>
      </w:r>
      <w:r>
        <w:rPr>
          <w:rFonts w:ascii="Arial" w:hAnsi="Arial" w:cs="Arial"/>
          <w:b/>
          <w:bCs/>
          <w:sz w:val="20"/>
          <w:szCs w:val="20"/>
        </w:rPr>
        <w:t>análisis de sensibilidad</w:t>
      </w:r>
      <w:r>
        <w:rPr>
          <w:rFonts w:ascii="Arial" w:hAnsi="Arial" w:cs="Arial"/>
          <w:sz w:val="20"/>
          <w:szCs w:val="20"/>
        </w:rPr>
        <w:t xml:space="preserve"> utilizando un coste menor para osimertinib (4.367 €/envase), el impacto presupuestario estaría entre 21,2 y 32,3 millones de €,  según el tratamiento al que desplazara.</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p>
    <w:p w:rsidR="00DD1521" w:rsidRDefault="00DD1521">
      <w:pPr>
        <w:pBdr>
          <w:top w:val="single" w:sz="2" w:space="1" w:color="auto"/>
          <w:left w:val="single" w:sz="2" w:space="4" w:color="auto"/>
          <w:bottom w:val="single" w:sz="2" w:space="1" w:color="auto"/>
          <w:right w:val="single" w:sz="2" w:space="4" w:color="auto"/>
        </w:pBdr>
        <w:spacing w:after="0" w:line="240" w:lineRule="auto"/>
        <w:jc w:val="both"/>
        <w:rPr>
          <w:rFonts w:ascii="Arial" w:hAnsi="Arial" w:cs="Arial"/>
          <w:b/>
          <w:bCs/>
          <w:sz w:val="20"/>
          <w:szCs w:val="20"/>
        </w:rPr>
      </w:pPr>
      <w:r>
        <w:rPr>
          <w:rFonts w:ascii="Arial" w:hAnsi="Arial" w:cs="Arial"/>
          <w:b/>
          <w:bCs/>
          <w:sz w:val="20"/>
          <w:szCs w:val="20"/>
        </w:rPr>
        <w:t>Tratamiento de primera línea del CPNM avanzado o metastásico con mutaciones activadoras de EGFR</w:t>
      </w:r>
    </w:p>
    <w:p w:rsidR="00DD1521" w:rsidRDefault="00DD1521">
      <w:pPr>
        <w:spacing w:after="0" w:line="240" w:lineRule="auto"/>
        <w:rPr>
          <w:rFonts w:ascii="Arial" w:hAnsi="Arial" w:cs="Arial"/>
          <w:sz w:val="20"/>
          <w:szCs w:val="20"/>
        </w:rPr>
      </w:pPr>
    </w:p>
    <w:p w:rsidR="00DD1521" w:rsidRDefault="00DD1521">
      <w:pPr>
        <w:spacing w:after="0" w:line="240" w:lineRule="auto"/>
        <w:rPr>
          <w:rFonts w:ascii="Arial" w:hAnsi="Arial" w:cs="Arial"/>
          <w:sz w:val="20"/>
          <w:szCs w:val="20"/>
        </w:rPr>
      </w:pPr>
      <w:r>
        <w:rPr>
          <w:rFonts w:ascii="Arial" w:hAnsi="Arial" w:cs="Arial"/>
          <w:sz w:val="20"/>
          <w:szCs w:val="20"/>
        </w:rPr>
        <w:t xml:space="preserve">La población estimada candidata a recibir tratamiento de primera línea con un ITK anti-EGFR es de 2040 pacientes aproximadamente. </w:t>
      </w:r>
    </w:p>
    <w:p w:rsidR="00DD1521" w:rsidRDefault="00DD1521">
      <w:pPr>
        <w:spacing w:after="0" w:line="240" w:lineRule="auto"/>
        <w:rPr>
          <w:rFonts w:ascii="Arial" w:hAnsi="Arial" w:cs="Arial"/>
          <w:sz w:val="20"/>
          <w:szCs w:val="20"/>
        </w:rPr>
      </w:pPr>
    </w:p>
    <w:tbl>
      <w:tblPr>
        <w:tblW w:w="89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51"/>
        <w:gridCol w:w="1276"/>
        <w:gridCol w:w="2306"/>
        <w:gridCol w:w="1048"/>
        <w:gridCol w:w="1490"/>
        <w:gridCol w:w="1858"/>
      </w:tblGrid>
      <w:tr w:rsidR="00DD1521">
        <w:trPr>
          <w:cantSplit/>
          <w:trHeight w:val="244"/>
        </w:trPr>
        <w:tc>
          <w:tcPr>
            <w:tcW w:w="8929" w:type="dxa"/>
            <w:gridSpan w:val="6"/>
            <w:shd w:val="clear" w:color="auto" w:fill="CCFFCC"/>
          </w:tcPr>
          <w:p w:rsidR="00DD1521" w:rsidRDefault="00DD1521">
            <w:pPr>
              <w:pBdr>
                <w:top w:val="single" w:sz="4" w:space="0" w:color="000000"/>
                <w:left w:val="single" w:sz="4" w:space="4" w:color="000000"/>
                <w:right w:val="single" w:sz="4" w:space="4" w:color="000000"/>
              </w:pBdr>
              <w:spacing w:after="0" w:line="240" w:lineRule="auto"/>
              <w:jc w:val="both"/>
            </w:pPr>
            <w:r>
              <w:rPr>
                <w:rFonts w:ascii="Arial" w:hAnsi="Arial" w:cs="Arial"/>
                <w:b/>
                <w:bCs/>
                <w:sz w:val="18"/>
                <w:szCs w:val="18"/>
              </w:rPr>
              <w:t>Tabla 24. Estimación propia de impacto presupuestario.</w:t>
            </w:r>
          </w:p>
        </w:tc>
      </w:tr>
      <w:tr w:rsidR="00DD1521">
        <w:trPr>
          <w:cantSplit/>
          <w:trHeight w:val="300"/>
        </w:trPr>
        <w:tc>
          <w:tcPr>
            <w:tcW w:w="8929" w:type="dxa"/>
            <w:gridSpan w:val="6"/>
          </w:tcPr>
          <w:p w:rsidR="00DD1521" w:rsidRDefault="00DD1521">
            <w:pPr>
              <w:spacing w:after="0" w:line="240" w:lineRule="auto"/>
            </w:pPr>
            <w:r>
              <w:rPr>
                <w:rFonts w:ascii="Arial" w:hAnsi="Arial" w:cs="Arial"/>
                <w:b/>
                <w:bCs/>
                <w:sz w:val="16"/>
                <w:szCs w:val="16"/>
              </w:rPr>
              <w:t xml:space="preserve">Medicamento e indicación: </w:t>
            </w:r>
            <w:r>
              <w:rPr>
                <w:rFonts w:ascii="Arial" w:hAnsi="Arial" w:cs="Arial"/>
                <w:sz w:val="16"/>
                <w:szCs w:val="16"/>
              </w:rPr>
              <w:t>Osimertinib en el tratamiento de primera línea de pacientes adultos con CPNM avanzado o metastásico con mutaciones activadoras de EGFR.</w:t>
            </w:r>
          </w:p>
          <w:p w:rsidR="00DD1521" w:rsidRDefault="00DD1521">
            <w:pPr>
              <w:spacing w:after="0" w:line="240" w:lineRule="auto"/>
            </w:pPr>
            <w:r>
              <w:rPr>
                <w:rFonts w:ascii="Arial" w:hAnsi="Arial" w:cs="Arial"/>
                <w:b/>
                <w:bCs/>
                <w:sz w:val="16"/>
                <w:szCs w:val="16"/>
              </w:rPr>
              <w:t xml:space="preserve">Ámbito y horizonte temporal: </w:t>
            </w:r>
            <w:r>
              <w:rPr>
                <w:rFonts w:ascii="Arial" w:hAnsi="Arial" w:cs="Arial"/>
                <w:sz w:val="16"/>
                <w:szCs w:val="16"/>
              </w:rPr>
              <w:t>Estatal y anual.</w:t>
            </w:r>
            <w:r>
              <w:rPr>
                <w:rFonts w:ascii="Arial" w:hAnsi="Arial" w:cs="Arial"/>
                <w:b/>
                <w:bCs/>
                <w:sz w:val="16"/>
                <w:szCs w:val="16"/>
              </w:rPr>
              <w:t xml:space="preserve"> </w:t>
            </w:r>
          </w:p>
        </w:tc>
      </w:tr>
      <w:tr w:rsidR="00DD1521">
        <w:trPr>
          <w:trHeight w:val="366"/>
        </w:trPr>
        <w:tc>
          <w:tcPr>
            <w:tcW w:w="951" w:type="dxa"/>
            <w:shd w:val="clear" w:color="auto" w:fill="D9D9D9"/>
          </w:tcPr>
          <w:p w:rsidR="00DD1521" w:rsidRDefault="00DD1521">
            <w:pPr>
              <w:spacing w:after="0" w:line="240" w:lineRule="auto"/>
            </w:pPr>
            <w:r>
              <w:rPr>
                <w:rFonts w:ascii="Arial" w:hAnsi="Arial" w:cs="Arial"/>
                <w:b/>
                <w:bCs/>
                <w:sz w:val="16"/>
                <w:szCs w:val="16"/>
              </w:rPr>
              <w:t>Nº de pacientes</w:t>
            </w:r>
          </w:p>
        </w:tc>
        <w:tc>
          <w:tcPr>
            <w:tcW w:w="1276" w:type="dxa"/>
            <w:shd w:val="clear" w:color="auto" w:fill="D9D9D9"/>
          </w:tcPr>
          <w:p w:rsidR="00DD1521" w:rsidRDefault="00DD1521">
            <w:pPr>
              <w:spacing w:after="0" w:line="240" w:lineRule="auto"/>
            </w:pPr>
            <w:r>
              <w:rPr>
                <w:rFonts w:ascii="Arial" w:hAnsi="Arial" w:cs="Arial"/>
                <w:b/>
                <w:bCs/>
                <w:sz w:val="16"/>
                <w:szCs w:val="16"/>
              </w:rPr>
              <w:t>Alternativa desplazada</w:t>
            </w:r>
          </w:p>
        </w:tc>
        <w:tc>
          <w:tcPr>
            <w:tcW w:w="2306" w:type="dxa"/>
            <w:tcBorders>
              <w:right w:val="single" w:sz="2" w:space="0" w:color="auto"/>
            </w:tcBorders>
            <w:shd w:val="clear" w:color="auto" w:fill="D9D9D9"/>
          </w:tcPr>
          <w:p w:rsidR="00DD1521" w:rsidRDefault="00DD1521">
            <w:pPr>
              <w:spacing w:after="0" w:line="240" w:lineRule="auto"/>
            </w:pPr>
            <w:r>
              <w:rPr>
                <w:rFonts w:ascii="Arial" w:hAnsi="Arial" w:cs="Arial"/>
                <w:b/>
                <w:bCs/>
                <w:sz w:val="16"/>
                <w:szCs w:val="16"/>
              </w:rPr>
              <w:t>Coste incremental por paciente</w:t>
            </w:r>
          </w:p>
        </w:tc>
        <w:tc>
          <w:tcPr>
            <w:tcW w:w="1048" w:type="dxa"/>
            <w:tcBorders>
              <w:top w:val="single" w:sz="2" w:space="0" w:color="auto"/>
              <w:left w:val="single" w:sz="2" w:space="0" w:color="auto"/>
              <w:right w:val="single" w:sz="2" w:space="0" w:color="auto"/>
            </w:tcBorders>
            <w:shd w:val="clear" w:color="auto" w:fill="D9D9D9"/>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AVGLP</w:t>
            </w:r>
          </w:p>
          <w:p w:rsidR="00DD1521" w:rsidRDefault="00DD1521">
            <w:pPr>
              <w:spacing w:after="0" w:line="240" w:lineRule="auto"/>
              <w:jc w:val="center"/>
            </w:pPr>
            <w:r>
              <w:rPr>
                <w:rFonts w:ascii="Arial" w:hAnsi="Arial" w:cs="Arial"/>
                <w:b/>
                <w:bCs/>
                <w:sz w:val="16"/>
                <w:szCs w:val="16"/>
              </w:rPr>
              <w:t>(años)</w:t>
            </w:r>
          </w:p>
        </w:tc>
        <w:tc>
          <w:tcPr>
            <w:tcW w:w="1490" w:type="dxa"/>
            <w:tcBorders>
              <w:top w:val="single" w:sz="2" w:space="0" w:color="auto"/>
              <w:left w:val="single" w:sz="2" w:space="0" w:color="auto"/>
            </w:tcBorders>
            <w:shd w:val="clear" w:color="auto" w:fill="D9D9D9"/>
          </w:tcPr>
          <w:p w:rsidR="00DD1521" w:rsidRDefault="00DD1521">
            <w:pPr>
              <w:spacing w:after="0" w:line="240" w:lineRule="auto"/>
              <w:jc w:val="center"/>
            </w:pPr>
            <w:r>
              <w:rPr>
                <w:rFonts w:ascii="Arial" w:hAnsi="Arial" w:cs="Arial"/>
                <w:b/>
                <w:bCs/>
                <w:sz w:val="16"/>
                <w:szCs w:val="16"/>
              </w:rPr>
              <w:t>Beneficio en salud</w:t>
            </w:r>
          </w:p>
        </w:tc>
        <w:tc>
          <w:tcPr>
            <w:tcW w:w="1858" w:type="dxa"/>
            <w:shd w:val="clear" w:color="auto" w:fill="D9D9D9"/>
          </w:tcPr>
          <w:p w:rsidR="00DD1521" w:rsidRDefault="00DD1521">
            <w:pPr>
              <w:spacing w:after="0" w:line="240" w:lineRule="auto"/>
            </w:pPr>
            <w:r>
              <w:rPr>
                <w:rFonts w:ascii="Arial" w:hAnsi="Arial" w:cs="Arial"/>
                <w:b/>
                <w:bCs/>
                <w:sz w:val="16"/>
                <w:szCs w:val="16"/>
              </w:rPr>
              <w:t>Impacto económico</w:t>
            </w:r>
          </w:p>
        </w:tc>
      </w:tr>
      <w:tr w:rsidR="00DD1521">
        <w:trPr>
          <w:cantSplit/>
          <w:trHeight w:val="62"/>
        </w:trPr>
        <w:tc>
          <w:tcPr>
            <w:tcW w:w="951" w:type="dxa"/>
            <w:vMerge w:val="restart"/>
            <w:vAlign w:val="center"/>
          </w:tcPr>
          <w:p w:rsidR="00DD1521" w:rsidRDefault="00DD1521">
            <w:pPr>
              <w:spacing w:after="0" w:line="240" w:lineRule="auto"/>
              <w:jc w:val="center"/>
            </w:pPr>
            <w:r>
              <w:rPr>
                <w:rFonts w:ascii="Arial" w:hAnsi="Arial" w:cs="Arial"/>
                <w:sz w:val="16"/>
                <w:szCs w:val="16"/>
              </w:rPr>
              <w:t>2040</w:t>
            </w:r>
          </w:p>
        </w:tc>
        <w:tc>
          <w:tcPr>
            <w:tcW w:w="1276" w:type="dxa"/>
            <w:vAlign w:val="center"/>
          </w:tcPr>
          <w:p w:rsidR="00DD1521" w:rsidRDefault="00DD1521">
            <w:pPr>
              <w:spacing w:after="0" w:line="240" w:lineRule="auto"/>
            </w:pPr>
            <w:r>
              <w:rPr>
                <w:rFonts w:ascii="Arial" w:hAnsi="Arial" w:cs="Arial"/>
                <w:sz w:val="16"/>
                <w:szCs w:val="16"/>
              </w:rPr>
              <w:t>Erlotinib</w:t>
            </w:r>
          </w:p>
        </w:tc>
        <w:tc>
          <w:tcPr>
            <w:tcW w:w="2306" w:type="dxa"/>
            <w:tcBorders>
              <w:right w:val="single" w:sz="2" w:space="0" w:color="auto"/>
            </w:tcBorders>
            <w:vAlign w:val="center"/>
          </w:tcPr>
          <w:p w:rsidR="00DD1521" w:rsidRDefault="00DD1521">
            <w:pPr>
              <w:spacing w:after="0" w:line="240" w:lineRule="auto"/>
            </w:pPr>
            <w:r>
              <w:rPr>
                <w:rFonts w:ascii="Arial" w:hAnsi="Arial" w:cs="Arial"/>
                <w:sz w:val="16"/>
                <w:szCs w:val="16"/>
              </w:rPr>
              <w:t>77.755 €</w:t>
            </w:r>
          </w:p>
        </w:tc>
        <w:tc>
          <w:tcPr>
            <w:tcW w:w="1048" w:type="dxa"/>
            <w:vMerge w:val="restart"/>
            <w:tcBorders>
              <w:left w:val="single" w:sz="2" w:space="0" w:color="auto"/>
              <w:right w:val="single" w:sz="2" w:space="0" w:color="auto"/>
            </w:tcBorders>
            <w:vAlign w:val="center"/>
          </w:tcPr>
          <w:p w:rsidR="00DD1521" w:rsidRDefault="00DD1521">
            <w:pPr>
              <w:spacing w:after="0" w:line="240" w:lineRule="auto"/>
              <w:jc w:val="center"/>
              <w:rPr>
                <w:rFonts w:ascii="Arial" w:hAnsi="Arial" w:cs="Arial"/>
                <w:sz w:val="16"/>
                <w:szCs w:val="16"/>
              </w:rPr>
            </w:pPr>
            <w:r>
              <w:rPr>
                <w:rFonts w:ascii="Arial" w:hAnsi="Arial" w:cs="Arial"/>
                <w:sz w:val="16"/>
                <w:szCs w:val="16"/>
              </w:rPr>
              <w:t>0,725</w:t>
            </w:r>
          </w:p>
        </w:tc>
        <w:tc>
          <w:tcPr>
            <w:tcW w:w="1490" w:type="dxa"/>
            <w:vMerge w:val="restart"/>
            <w:tcBorders>
              <w:left w:val="single" w:sz="2" w:space="0" w:color="auto"/>
            </w:tcBorders>
            <w:vAlign w:val="center"/>
          </w:tcPr>
          <w:p w:rsidR="00DD1521" w:rsidRDefault="00DD1521">
            <w:pPr>
              <w:spacing w:after="0" w:line="240" w:lineRule="auto"/>
              <w:rPr>
                <w:rFonts w:ascii="Arial" w:hAnsi="Arial" w:cs="Arial"/>
                <w:sz w:val="16"/>
                <w:szCs w:val="16"/>
              </w:rPr>
            </w:pPr>
            <w:r>
              <w:rPr>
                <w:rFonts w:ascii="Arial" w:hAnsi="Arial" w:cs="Arial"/>
                <w:sz w:val="16"/>
                <w:szCs w:val="16"/>
              </w:rPr>
              <w:t>1.479 años de vida sin progresión</w:t>
            </w:r>
          </w:p>
        </w:tc>
        <w:tc>
          <w:tcPr>
            <w:tcW w:w="1858" w:type="dxa"/>
            <w:vAlign w:val="center"/>
          </w:tcPr>
          <w:p w:rsidR="00DD1521" w:rsidRDefault="00DD1521">
            <w:pPr>
              <w:spacing w:after="0" w:line="240" w:lineRule="auto"/>
            </w:pPr>
            <w:r>
              <w:rPr>
                <w:rFonts w:ascii="Arial" w:hAnsi="Arial" w:cs="Arial"/>
                <w:sz w:val="16"/>
                <w:szCs w:val="16"/>
              </w:rPr>
              <w:t>158.620.200 €</w:t>
            </w:r>
          </w:p>
        </w:tc>
      </w:tr>
      <w:tr w:rsidR="00DD1521">
        <w:trPr>
          <w:cantSplit/>
          <w:trHeight w:val="45"/>
        </w:trPr>
        <w:tc>
          <w:tcPr>
            <w:tcW w:w="951" w:type="dxa"/>
            <w:vMerge/>
            <w:vAlign w:val="center"/>
          </w:tcPr>
          <w:p w:rsidR="00DD1521" w:rsidRDefault="00DD1521">
            <w:pPr>
              <w:snapToGrid w:val="0"/>
              <w:spacing w:after="0" w:line="240" w:lineRule="auto"/>
            </w:pPr>
          </w:p>
        </w:tc>
        <w:tc>
          <w:tcPr>
            <w:tcW w:w="1276" w:type="dxa"/>
            <w:vAlign w:val="center"/>
          </w:tcPr>
          <w:p w:rsidR="00DD1521" w:rsidRDefault="00DD1521">
            <w:pPr>
              <w:spacing w:after="0" w:line="240" w:lineRule="auto"/>
            </w:pPr>
            <w:r>
              <w:rPr>
                <w:rFonts w:ascii="Arial" w:hAnsi="Arial" w:cs="Arial"/>
                <w:sz w:val="16"/>
                <w:szCs w:val="16"/>
              </w:rPr>
              <w:t>Gefitinib</w:t>
            </w:r>
          </w:p>
        </w:tc>
        <w:tc>
          <w:tcPr>
            <w:tcW w:w="2306" w:type="dxa"/>
            <w:tcBorders>
              <w:right w:val="single" w:sz="2" w:space="0" w:color="auto"/>
            </w:tcBorders>
            <w:vAlign w:val="center"/>
          </w:tcPr>
          <w:p w:rsidR="00DD1521" w:rsidRDefault="00DD1521">
            <w:pPr>
              <w:spacing w:after="0" w:line="240" w:lineRule="auto"/>
            </w:pPr>
            <w:r>
              <w:rPr>
                <w:rFonts w:ascii="Arial" w:hAnsi="Arial" w:cs="Arial"/>
                <w:sz w:val="16"/>
                <w:szCs w:val="16"/>
              </w:rPr>
              <w:t>77.755 €</w:t>
            </w:r>
          </w:p>
        </w:tc>
        <w:tc>
          <w:tcPr>
            <w:tcW w:w="1048" w:type="dxa"/>
            <w:vMerge/>
            <w:tcBorders>
              <w:left w:val="single" w:sz="2" w:space="0" w:color="auto"/>
              <w:right w:val="single" w:sz="2" w:space="0" w:color="auto"/>
            </w:tcBorders>
            <w:vAlign w:val="center"/>
          </w:tcPr>
          <w:p w:rsidR="00DD1521" w:rsidRDefault="00DD1521">
            <w:pPr>
              <w:spacing w:after="0" w:line="240" w:lineRule="auto"/>
              <w:rPr>
                <w:rFonts w:ascii="Arial" w:hAnsi="Arial" w:cs="Arial"/>
                <w:sz w:val="16"/>
                <w:szCs w:val="16"/>
              </w:rPr>
            </w:pPr>
          </w:p>
        </w:tc>
        <w:tc>
          <w:tcPr>
            <w:tcW w:w="1490" w:type="dxa"/>
            <w:vMerge/>
            <w:tcBorders>
              <w:left w:val="single" w:sz="2" w:space="0" w:color="auto"/>
            </w:tcBorders>
            <w:vAlign w:val="center"/>
          </w:tcPr>
          <w:p w:rsidR="00DD1521" w:rsidRDefault="00DD1521">
            <w:pPr>
              <w:spacing w:after="0" w:line="240" w:lineRule="auto"/>
              <w:rPr>
                <w:rFonts w:ascii="Arial" w:hAnsi="Arial" w:cs="Arial"/>
                <w:sz w:val="16"/>
                <w:szCs w:val="16"/>
              </w:rPr>
            </w:pPr>
          </w:p>
        </w:tc>
        <w:tc>
          <w:tcPr>
            <w:tcW w:w="1858" w:type="dxa"/>
            <w:vAlign w:val="center"/>
          </w:tcPr>
          <w:p w:rsidR="00DD1521" w:rsidRDefault="00DD1521">
            <w:pPr>
              <w:spacing w:after="0" w:line="240" w:lineRule="auto"/>
              <w:rPr>
                <w:rFonts w:ascii="Arial" w:hAnsi="Arial" w:cs="Arial"/>
                <w:sz w:val="16"/>
                <w:szCs w:val="16"/>
              </w:rPr>
            </w:pPr>
            <w:r>
              <w:rPr>
                <w:rFonts w:ascii="Arial" w:hAnsi="Arial" w:cs="Arial"/>
                <w:sz w:val="16"/>
                <w:szCs w:val="16"/>
              </w:rPr>
              <w:t>158.620.200 €</w:t>
            </w:r>
          </w:p>
        </w:tc>
      </w:tr>
    </w:tbl>
    <w:p w:rsidR="00DD1521" w:rsidRDefault="00DD1521">
      <w:pPr>
        <w:spacing w:after="0" w:line="240" w:lineRule="auto"/>
        <w:rPr>
          <w:rFonts w:ascii="Arial" w:hAnsi="Arial" w:cs="Arial"/>
          <w:sz w:val="20"/>
          <w:szCs w:val="20"/>
        </w:rPr>
      </w:pPr>
    </w:p>
    <w:p w:rsidR="00DD1521" w:rsidRDefault="00DD1521">
      <w:pPr>
        <w:spacing w:after="0" w:line="240" w:lineRule="auto"/>
        <w:jc w:val="both"/>
      </w:pPr>
      <w:r>
        <w:rPr>
          <w:rFonts w:ascii="Arial" w:hAnsi="Arial" w:cs="Arial"/>
          <w:sz w:val="20"/>
          <w:szCs w:val="20"/>
        </w:rPr>
        <w:t>El impacto presupuestario anual estimado a nivel nacional, sería de 158,6 millones de €, variando en función del porcentaje de desplazamiento de las diferentes alternativas disponibles en la indicación evaluada. El beneficio esperado con esta inversión sería de 1.479 años de vida sin progresión ganados.</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Si realizamos un </w:t>
      </w:r>
      <w:r>
        <w:rPr>
          <w:rFonts w:ascii="Arial" w:hAnsi="Arial" w:cs="Arial"/>
          <w:b/>
          <w:bCs/>
          <w:sz w:val="20"/>
          <w:szCs w:val="20"/>
        </w:rPr>
        <w:t>análisis de sensibilidad</w:t>
      </w:r>
      <w:r>
        <w:rPr>
          <w:rFonts w:ascii="Arial" w:hAnsi="Arial" w:cs="Arial"/>
          <w:sz w:val="20"/>
          <w:szCs w:val="20"/>
        </w:rPr>
        <w:t xml:space="preserve"> utilizando un coste menor para osimertinib (4.367 €/envase), el impacto presupuestario sería de unos 94,4 millones de €.</w:t>
      </w:r>
    </w:p>
    <w:p w:rsidR="00DD1521" w:rsidRDefault="00DD1521">
      <w:pPr>
        <w:spacing w:after="0" w:line="240" w:lineRule="auto"/>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Se realiza un análisis de </w:t>
      </w:r>
      <w:r>
        <w:rPr>
          <w:rFonts w:ascii="Arial" w:hAnsi="Arial" w:cs="Arial"/>
          <w:b/>
          <w:bCs/>
          <w:sz w:val="20"/>
          <w:szCs w:val="20"/>
        </w:rPr>
        <w:t>sensibilidad suponiendo una reducción del 25%</w:t>
      </w:r>
      <w:r>
        <w:rPr>
          <w:rFonts w:ascii="Arial" w:hAnsi="Arial" w:cs="Arial"/>
          <w:sz w:val="20"/>
          <w:szCs w:val="20"/>
        </w:rPr>
        <w:t xml:space="preserve"> en el coste del último supuesto al incluir la indicación en primera línea (3.275 €/envase). En este caso impacto presupuestario estaría en torno a los 58,3 millones de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Si realizamos análisis de sensibilidad aplicando un coste un 30% inferior para gefitinib, por la probable aparición de genéricos en el primer trimestre de 2019, manteniendo el coste de 4.367 </w:t>
      </w:r>
      <w:r>
        <w:rPr>
          <w:rFonts w:ascii="Arial" w:hAnsi="Arial" w:cs="Arial"/>
          <w:sz w:val="20"/>
          <w:szCs w:val="20"/>
        </w:rPr>
        <w:lastRenderedPageBreak/>
        <w:t>€/envase para osimertinib, el impacto presupuestario en la indicación de primera línea sería de unos 109 millones de €.</w:t>
      </w:r>
    </w:p>
    <w:p w:rsidR="00DD1521" w:rsidRDefault="00DD1521">
      <w:pPr>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Suponiendo que el precio de osimertinib tras la aparición de gefitinib genérico se ajustara al umbral de 21.000 €/AVAC ganado, es decir, 2.081 €/envase, el impacto presupuestario en esta línea sería de unos 33,8 millones de €.</w:t>
      </w:r>
    </w:p>
    <w:p w:rsidR="00DD1521" w:rsidRDefault="00DD1521">
      <w:pPr>
        <w:spacing w:after="0" w:line="240" w:lineRule="auto"/>
        <w:jc w:val="right"/>
        <w:rPr>
          <w:rFonts w:ascii="Arial" w:hAnsi="Arial" w:cs="Arial"/>
        </w:rPr>
      </w:pPr>
    </w:p>
    <w:p w:rsidR="00DD1521" w:rsidRDefault="00DD1521">
      <w:pPr>
        <w:spacing w:after="0" w:line="240" w:lineRule="auto"/>
        <w:rPr>
          <w:rFonts w:ascii="Arial" w:hAnsi="Arial" w:cs="Arial"/>
          <w:color w:val="000080"/>
          <w:sz w:val="20"/>
          <w:szCs w:val="20"/>
        </w:rPr>
      </w:pPr>
    </w:p>
    <w:tbl>
      <w:tblPr>
        <w:tblW w:w="885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59"/>
      </w:tblGrid>
      <w:tr w:rsidR="00DD1521">
        <w:trPr>
          <w:trHeight w:val="228"/>
        </w:trPr>
        <w:tc>
          <w:tcPr>
            <w:tcW w:w="8859" w:type="dxa"/>
            <w:shd w:val="clear" w:color="auto" w:fill="B3B3B3"/>
          </w:tcPr>
          <w:p w:rsidR="00DD1521" w:rsidRPr="00E23D29" w:rsidRDefault="00DD1521">
            <w:pPr>
              <w:pStyle w:val="Ttulo1"/>
              <w:shd w:val="clear" w:color="auto" w:fill="A6A6A6"/>
              <w:spacing w:after="0" w:line="240" w:lineRule="auto"/>
              <w:rPr>
                <w:rFonts w:ascii="Arial" w:hAnsi="Arial" w:cs="Arial"/>
                <w:kern w:val="0"/>
                <w:sz w:val="20"/>
                <w:szCs w:val="20"/>
              </w:rPr>
            </w:pPr>
            <w:bookmarkStart w:id="134" w:name="_Toc348931394"/>
            <w:bookmarkStart w:id="135" w:name="_Toc344399663"/>
            <w:bookmarkStart w:id="136" w:name="_Toc5793775"/>
            <w:r w:rsidRPr="00E23D29">
              <w:rPr>
                <w:rFonts w:ascii="Arial" w:hAnsi="Arial" w:cs="Arial"/>
                <w:kern w:val="0"/>
                <w:sz w:val="20"/>
                <w:szCs w:val="20"/>
              </w:rPr>
              <w:t>8. EVALUACIÓN DE LA CONVENIENCIA.</w:t>
            </w:r>
            <w:bookmarkEnd w:id="134"/>
            <w:bookmarkEnd w:id="135"/>
            <w:bookmarkEnd w:id="136"/>
            <w:r w:rsidRPr="00E23D29">
              <w:rPr>
                <w:rFonts w:ascii="Arial" w:hAnsi="Arial" w:cs="Arial"/>
                <w:kern w:val="0"/>
                <w:sz w:val="20"/>
                <w:szCs w:val="20"/>
              </w:rPr>
              <w:t xml:space="preserve"> </w:t>
            </w:r>
          </w:p>
        </w:tc>
      </w:tr>
    </w:tbl>
    <w:p w:rsidR="00DD1521" w:rsidRDefault="00DD1521">
      <w:pPr>
        <w:spacing w:after="0" w:line="240" w:lineRule="auto"/>
        <w:rPr>
          <w:rFonts w:ascii="Arial" w:hAnsi="Arial" w:cs="Arial"/>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37" w:name="_Toc348931395"/>
      <w:bookmarkStart w:id="138" w:name="_Toc344399664"/>
      <w:bookmarkStart w:id="139" w:name="_Toc5793776"/>
      <w:r>
        <w:rPr>
          <w:rFonts w:ascii="Arial" w:hAnsi="Arial" w:cs="Arial"/>
          <w:sz w:val="20"/>
          <w:szCs w:val="20"/>
        </w:rPr>
        <w:t>8.1 Descripción de la conveniencia</w:t>
      </w:r>
      <w:bookmarkEnd w:id="137"/>
      <w:bookmarkEnd w:id="138"/>
      <w:bookmarkEnd w:id="139"/>
    </w:p>
    <w:p w:rsidR="00DD1521" w:rsidRDefault="00DD1521">
      <w:pPr>
        <w:shd w:val="clear" w:color="auto" w:fill="FFFFFF"/>
        <w:spacing w:after="0" w:line="240" w:lineRule="auto"/>
        <w:jc w:val="both"/>
        <w:rPr>
          <w:rFonts w:ascii="Arial" w:hAnsi="Arial" w:cs="Arial"/>
          <w:color w:val="000080"/>
          <w:sz w:val="20"/>
          <w:szCs w:val="20"/>
        </w:rPr>
      </w:pPr>
    </w:p>
    <w:p w:rsidR="00DD1521" w:rsidRDefault="00DD1521">
      <w:pPr>
        <w:spacing w:after="0" w:line="240" w:lineRule="auto"/>
        <w:rPr>
          <w:rFonts w:ascii="Arial" w:hAnsi="Arial" w:cs="Arial"/>
          <w:sz w:val="20"/>
          <w:szCs w:val="20"/>
        </w:rPr>
      </w:pPr>
      <w:r>
        <w:rPr>
          <w:rFonts w:ascii="Arial" w:hAnsi="Arial" w:cs="Arial"/>
          <w:sz w:val="20"/>
          <w:szCs w:val="20"/>
        </w:rPr>
        <w:t xml:space="preserve">En el caso de los pacientes con mutación positiva del EGFR T790M, la vía de administración oral se considera una ventaja respecto a la quimioterapia intravenosa, pudiendo reducir las pérdidas de productividad de pacientes y cuidadores (relacionadas con la necesidad de administración en hospital de día). </w:t>
      </w:r>
    </w:p>
    <w:p w:rsidR="00DD1521" w:rsidRDefault="00DD1521">
      <w:pPr>
        <w:spacing w:after="0" w:line="240" w:lineRule="auto"/>
        <w:rPr>
          <w:rFonts w:ascii="Arial" w:hAnsi="Arial" w:cs="Arial"/>
          <w:color w:val="000080"/>
          <w:sz w:val="20"/>
          <w:szCs w:val="20"/>
        </w:rPr>
      </w:pPr>
    </w:p>
    <w:p w:rsidR="00DD1521" w:rsidRDefault="00DD1521">
      <w:pPr>
        <w:spacing w:after="0" w:line="240" w:lineRule="auto"/>
        <w:rPr>
          <w:rFonts w:ascii="Arial" w:hAnsi="Arial" w:cs="Arial"/>
          <w:color w:val="000080"/>
          <w:sz w:val="20"/>
          <w:szCs w:val="20"/>
        </w:rPr>
      </w:pPr>
    </w:p>
    <w:p w:rsidR="00DD1521" w:rsidRDefault="00DD1521">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szCs w:val="20"/>
        </w:rPr>
      </w:pPr>
      <w:bookmarkStart w:id="140" w:name="_Toc344399665"/>
      <w:bookmarkStart w:id="141" w:name="_Toc348931396"/>
      <w:bookmarkStart w:id="142" w:name="_Toc5793777"/>
      <w:r>
        <w:rPr>
          <w:rFonts w:ascii="Arial" w:hAnsi="Arial" w:cs="Arial"/>
          <w:sz w:val="20"/>
          <w:szCs w:val="20"/>
        </w:rPr>
        <w:t>8.2 Influencia de la conveniencia en la efectividad del tratamiento</w:t>
      </w:r>
      <w:bookmarkEnd w:id="140"/>
      <w:bookmarkEnd w:id="141"/>
      <w:bookmarkEnd w:id="142"/>
    </w:p>
    <w:p w:rsidR="00DD1521" w:rsidRDefault="00DD1521">
      <w:pPr>
        <w:shd w:val="clear" w:color="auto" w:fill="FFFFFF"/>
        <w:spacing w:after="0" w:line="240" w:lineRule="auto"/>
        <w:jc w:val="both"/>
        <w:rPr>
          <w:rFonts w:ascii="Arial" w:hAnsi="Arial" w:cs="Arial"/>
          <w:b/>
          <w:bCs/>
          <w:color w:val="000080"/>
          <w:sz w:val="20"/>
          <w:szCs w:val="20"/>
        </w:rPr>
      </w:pPr>
    </w:p>
    <w:p w:rsidR="00DD1521" w:rsidRDefault="00DD1521">
      <w:pPr>
        <w:spacing w:after="0" w:line="240" w:lineRule="auto"/>
        <w:jc w:val="both"/>
        <w:rPr>
          <w:rFonts w:ascii="Arial" w:hAnsi="Arial" w:cs="Arial"/>
          <w:sz w:val="20"/>
          <w:szCs w:val="20"/>
        </w:rPr>
      </w:pPr>
      <w:r>
        <w:rPr>
          <w:rFonts w:ascii="Arial" w:hAnsi="Arial" w:cs="Arial"/>
          <w:sz w:val="20"/>
          <w:szCs w:val="20"/>
        </w:rPr>
        <w:t xml:space="preserve">La efectividad de los tratamientos puede verse comprometida por la falta de adherencia a los mismos. En el caso de osimertinib en pacientes con mutación positiva del EGFR T790M, el lugar de administración (domicilio </w:t>
      </w:r>
      <w:r>
        <w:rPr>
          <w:rFonts w:ascii="Arial" w:hAnsi="Arial" w:cs="Arial"/>
          <w:i/>
          <w:iCs/>
          <w:sz w:val="20"/>
          <w:szCs w:val="20"/>
        </w:rPr>
        <w:t>vs</w:t>
      </w:r>
      <w:r>
        <w:rPr>
          <w:rFonts w:ascii="Arial" w:hAnsi="Arial" w:cs="Arial"/>
          <w:sz w:val="20"/>
          <w:szCs w:val="20"/>
        </w:rPr>
        <w:t>. hospital de día), podría influir negativamente en la adherencia al tratamiento, lo que podría traducirse en una pérdida de efectividad.</w:t>
      </w:r>
    </w:p>
    <w:p w:rsidR="00DD1521" w:rsidRDefault="00DD1521">
      <w:pPr>
        <w:spacing w:after="0" w:line="240" w:lineRule="auto"/>
        <w:jc w:val="both"/>
      </w:pPr>
    </w:p>
    <w:p w:rsidR="00DD1521" w:rsidRDefault="00DD1521">
      <w:pPr>
        <w:spacing w:after="0" w:line="240" w:lineRule="auto"/>
        <w:jc w:val="both"/>
        <w:rPr>
          <w:rFonts w:ascii="Arial" w:hAnsi="Arial" w:cs="Arial"/>
          <w:sz w:val="20"/>
          <w:szCs w:val="20"/>
        </w:rPr>
      </w:pPr>
      <w:r w:rsidRPr="00F65116">
        <w:rPr>
          <w:rFonts w:ascii="Arial" w:hAnsi="Arial" w:cs="Arial"/>
          <w:sz w:val="20"/>
          <w:szCs w:val="20"/>
        </w:rPr>
        <w:t>En la comparación entre los diferentes ITK</w:t>
      </w:r>
      <w:r>
        <w:rPr>
          <w:rFonts w:ascii="Arial" w:hAnsi="Arial" w:cs="Arial"/>
          <w:sz w:val="20"/>
          <w:szCs w:val="20"/>
        </w:rPr>
        <w:t xml:space="preserve"> anti</w:t>
      </w:r>
      <w:r w:rsidRPr="00F65116">
        <w:rPr>
          <w:rFonts w:ascii="Arial" w:hAnsi="Arial" w:cs="Arial"/>
          <w:sz w:val="20"/>
          <w:szCs w:val="20"/>
        </w:rPr>
        <w:t>-EGFR</w:t>
      </w:r>
      <w:r>
        <w:rPr>
          <w:rFonts w:ascii="Arial" w:hAnsi="Arial" w:cs="Arial"/>
          <w:sz w:val="20"/>
          <w:szCs w:val="20"/>
        </w:rPr>
        <w:t>, osimertinib presenta la ventaja de poder administrarse con o sin alimentos, incluso con inhibidores de la bomba de protones, sin que su biodisponibilidad se vea afectada.</w:t>
      </w:r>
    </w:p>
    <w:p w:rsidR="00DD1521" w:rsidRDefault="00DD1521">
      <w:pPr>
        <w:spacing w:after="0" w:line="240" w:lineRule="auto"/>
        <w:jc w:val="both"/>
        <w:rPr>
          <w:rFonts w:ascii="Arial" w:hAnsi="Arial" w:cs="Arial"/>
          <w:sz w:val="20"/>
          <w:szCs w:val="20"/>
        </w:rPr>
      </w:pPr>
    </w:p>
    <w:p w:rsidR="00DD1521" w:rsidRPr="00F65116" w:rsidRDefault="00DD1521">
      <w:pPr>
        <w:spacing w:after="0" w:line="240" w:lineRule="auto"/>
        <w:jc w:val="both"/>
        <w:rPr>
          <w:rFonts w:ascii="Arial" w:hAnsi="Arial" w:cs="Arial"/>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DD1521">
        <w:tc>
          <w:tcPr>
            <w:tcW w:w="8890" w:type="dxa"/>
            <w:shd w:val="clear" w:color="auto" w:fill="B3B3B3"/>
          </w:tcPr>
          <w:p w:rsidR="00DD1521" w:rsidRPr="00E23D29" w:rsidRDefault="00DD1521">
            <w:pPr>
              <w:pStyle w:val="Ttulo1"/>
              <w:shd w:val="clear" w:color="auto" w:fill="A6A6A6"/>
              <w:spacing w:after="0" w:line="240" w:lineRule="auto"/>
              <w:rPr>
                <w:rFonts w:ascii="Arial" w:hAnsi="Arial" w:cs="Arial"/>
                <w:kern w:val="0"/>
                <w:sz w:val="20"/>
                <w:szCs w:val="20"/>
              </w:rPr>
            </w:pPr>
            <w:bookmarkStart w:id="143" w:name="_Toc344399666"/>
            <w:bookmarkStart w:id="144" w:name="_Toc348931397"/>
            <w:bookmarkStart w:id="145" w:name="_Toc5793778"/>
            <w:r w:rsidRPr="00E23D29">
              <w:rPr>
                <w:rFonts w:ascii="Arial" w:hAnsi="Arial" w:cs="Arial"/>
                <w:kern w:val="0"/>
                <w:sz w:val="20"/>
                <w:szCs w:val="20"/>
              </w:rPr>
              <w:t>9. AREA DE CONCLUSIONES.</w:t>
            </w:r>
            <w:bookmarkEnd w:id="143"/>
            <w:bookmarkEnd w:id="144"/>
            <w:bookmarkEnd w:id="145"/>
          </w:p>
        </w:tc>
      </w:tr>
    </w:tbl>
    <w:p w:rsidR="00DD1521" w:rsidRDefault="00DD1521">
      <w:pPr>
        <w:pStyle w:val="Encabezado"/>
        <w:tabs>
          <w:tab w:val="clear" w:pos="4252"/>
          <w:tab w:val="clear" w:pos="8504"/>
        </w:tabs>
        <w:spacing w:after="0" w:line="240" w:lineRule="auto"/>
        <w:rPr>
          <w:rFonts w:ascii="Arial" w:hAnsi="Arial" w:cs="Arial"/>
          <w:b/>
          <w:bCs/>
          <w:sz w:val="20"/>
        </w:rPr>
      </w:pPr>
    </w:p>
    <w:p w:rsidR="00DD1521" w:rsidRPr="005D7726" w:rsidRDefault="00DD1521" w:rsidP="005D7726">
      <w:pPr>
        <w:pStyle w:val="Encabezado2"/>
        <w:pBdr>
          <w:top w:val="single" w:sz="4" w:space="1" w:color="000001"/>
          <w:left w:val="single" w:sz="4" w:space="4" w:color="000001"/>
          <w:bottom w:val="single" w:sz="4" w:space="1" w:color="000001"/>
          <w:right w:val="single" w:sz="4" w:space="4" w:color="000001"/>
        </w:pBdr>
        <w:shd w:val="clear" w:color="auto" w:fill="D9D9D9"/>
        <w:rPr>
          <w:rFonts w:ascii="Arial" w:hAnsi="Arial" w:cs="Arial"/>
          <w:sz w:val="20"/>
          <w:szCs w:val="20"/>
        </w:rPr>
      </w:pPr>
      <w:bookmarkStart w:id="146" w:name="_Toc516050566"/>
      <w:r w:rsidRPr="005D7726">
        <w:rPr>
          <w:rFonts w:ascii="Arial" w:hAnsi="Arial" w:cs="Arial"/>
          <w:sz w:val="20"/>
        </w:rPr>
        <w:t>9.1 Resumen de los aspectos más significativos respecto a la alternativa y propuestas</w:t>
      </w:r>
      <w:bookmarkEnd w:id="146"/>
    </w:p>
    <w:p w:rsidR="00DD1521" w:rsidRPr="005D7726" w:rsidRDefault="00DD1521">
      <w:pPr>
        <w:pStyle w:val="Encabezado"/>
        <w:tabs>
          <w:tab w:val="clear" w:pos="4252"/>
          <w:tab w:val="clear" w:pos="8504"/>
        </w:tabs>
        <w:spacing w:after="0" w:line="240" w:lineRule="auto"/>
        <w:rPr>
          <w:rFonts w:ascii="Arial" w:hAnsi="Arial" w:cs="Arial"/>
          <w:b/>
          <w:bCs/>
          <w:sz w:val="20"/>
        </w:rPr>
      </w:pPr>
    </w:p>
    <w:p w:rsidR="00DD1521" w:rsidRDefault="00DD1521">
      <w:pPr>
        <w:pStyle w:val="Encabezado"/>
        <w:pBdr>
          <w:top w:val="single" w:sz="2" w:space="1" w:color="auto"/>
          <w:left w:val="single" w:sz="2" w:space="4" w:color="auto"/>
          <w:bottom w:val="single" w:sz="2" w:space="1" w:color="auto"/>
          <w:right w:val="single" w:sz="2" w:space="4" w:color="auto"/>
        </w:pBdr>
        <w:tabs>
          <w:tab w:val="clear" w:pos="4252"/>
          <w:tab w:val="clear" w:pos="8504"/>
        </w:tabs>
        <w:spacing w:after="0" w:line="240" w:lineRule="auto"/>
        <w:rPr>
          <w:rFonts w:ascii="Arial" w:hAnsi="Arial" w:cs="Arial"/>
          <w:b/>
          <w:bCs/>
          <w:sz w:val="20"/>
        </w:rPr>
      </w:pPr>
      <w:r>
        <w:rPr>
          <w:rFonts w:ascii="Arial" w:hAnsi="Arial" w:cs="Arial"/>
          <w:b/>
          <w:bCs/>
          <w:sz w:val="20"/>
        </w:rPr>
        <w:t>Tratamiento de segunda línea del CPNM avanzado o metastásico con mutación positiva del EGFR T790M</w:t>
      </w:r>
    </w:p>
    <w:p w:rsidR="00DD1521" w:rsidRDefault="00DD1521">
      <w:pPr>
        <w:pStyle w:val="Encabezado"/>
        <w:tabs>
          <w:tab w:val="clear" w:pos="4252"/>
          <w:tab w:val="clear" w:pos="8504"/>
        </w:tabs>
        <w:spacing w:after="0" w:line="240" w:lineRule="auto"/>
        <w:rPr>
          <w:rFonts w:ascii="Arial" w:hAnsi="Arial" w:cs="Arial"/>
          <w:b/>
          <w:bCs/>
          <w:sz w:val="20"/>
        </w:rPr>
      </w:pPr>
    </w:p>
    <w:p w:rsidR="00DD1521" w:rsidRDefault="00DD1521">
      <w:pPr>
        <w:pStyle w:val="Encabezado"/>
        <w:numPr>
          <w:ilvl w:val="0"/>
          <w:numId w:val="14"/>
        </w:numPr>
        <w:tabs>
          <w:tab w:val="clear" w:pos="4252"/>
          <w:tab w:val="clear" w:pos="8504"/>
        </w:tabs>
        <w:spacing w:after="0" w:line="240" w:lineRule="auto"/>
        <w:rPr>
          <w:rFonts w:ascii="Arial" w:hAnsi="Arial" w:cs="Arial"/>
          <w:sz w:val="20"/>
        </w:rPr>
      </w:pPr>
      <w:r>
        <w:rPr>
          <w:rFonts w:ascii="Arial" w:hAnsi="Arial" w:cs="Arial"/>
          <w:sz w:val="20"/>
        </w:rPr>
        <w:t xml:space="preserve">Aspectos </w:t>
      </w:r>
      <w:r w:rsidR="00E87E23">
        <w:rPr>
          <w:rFonts w:ascii="Arial" w:hAnsi="Arial" w:cs="Arial"/>
          <w:sz w:val="20"/>
        </w:rPr>
        <w:t>clínico-terapéuticos</w:t>
      </w:r>
      <w:r>
        <w:rPr>
          <w:rFonts w:ascii="Arial" w:hAnsi="Arial" w:cs="Arial"/>
          <w:sz w:val="20"/>
        </w:rPr>
        <w:t>.</w:t>
      </w:r>
    </w:p>
    <w:p w:rsidR="00DD1521" w:rsidRDefault="00DD1521" w:rsidP="0028603B">
      <w:pPr>
        <w:pStyle w:val="Encabezado"/>
        <w:tabs>
          <w:tab w:val="clear" w:pos="4252"/>
          <w:tab w:val="clear" w:pos="8504"/>
        </w:tabs>
        <w:spacing w:after="0" w:line="240" w:lineRule="auto"/>
        <w:ind w:left="360"/>
        <w:rPr>
          <w:rFonts w:ascii="Arial" w:hAnsi="Arial" w:cs="Arial"/>
          <w:sz w:val="20"/>
        </w:rPr>
      </w:pPr>
    </w:p>
    <w:p w:rsidR="00DD1521" w:rsidRDefault="00DD1521">
      <w:pPr>
        <w:pStyle w:val="Encabezado"/>
        <w:numPr>
          <w:ilvl w:val="0"/>
          <w:numId w:val="15"/>
        </w:numPr>
        <w:tabs>
          <w:tab w:val="clear" w:pos="4252"/>
          <w:tab w:val="clear" w:pos="8504"/>
        </w:tabs>
        <w:spacing w:after="0" w:line="240" w:lineRule="auto"/>
        <w:jc w:val="both"/>
        <w:rPr>
          <w:rFonts w:ascii="Arial" w:hAnsi="Arial" w:cs="Arial"/>
          <w:sz w:val="20"/>
        </w:rPr>
      </w:pPr>
      <w:r>
        <w:rPr>
          <w:rFonts w:ascii="Arial" w:hAnsi="Arial" w:cs="Arial"/>
          <w:sz w:val="20"/>
        </w:rPr>
        <w:t>La evidencia disponible en relación con osimertinib en el tratamiento del CPNM avanzado o metastásico con mutación positiva tras ITK procede de un ensayo fase III, comparativo, abierto (AURA3) cuya variable principal fue la supervivencia libre de progresión (variable intermedia).</w:t>
      </w:r>
    </w:p>
    <w:p w:rsidR="00DD1521" w:rsidRDefault="00DD1521">
      <w:pPr>
        <w:pStyle w:val="Encabezado"/>
        <w:numPr>
          <w:ilvl w:val="0"/>
          <w:numId w:val="15"/>
        </w:numPr>
        <w:tabs>
          <w:tab w:val="clear" w:pos="4252"/>
          <w:tab w:val="clear" w:pos="8504"/>
        </w:tabs>
        <w:spacing w:after="0" w:line="240" w:lineRule="auto"/>
        <w:jc w:val="both"/>
        <w:rPr>
          <w:rFonts w:ascii="Arial" w:hAnsi="Arial" w:cs="Arial"/>
          <w:sz w:val="20"/>
        </w:rPr>
      </w:pPr>
      <w:r>
        <w:rPr>
          <w:rFonts w:ascii="Arial" w:hAnsi="Arial" w:cs="Arial"/>
          <w:sz w:val="20"/>
        </w:rPr>
        <w:t>La mediana de SLP para los pacientes tratados con osimertinib fue de 10,1 meses, frente a los 4,4 meses de los que recibieron platino + pemetrexed, con una diferencia de medianas de 5,7 meses y un HR de 0,30 (IC95% 0,23 a 0,41; p&lt;0,001).</w:t>
      </w:r>
    </w:p>
    <w:p w:rsidR="00DD1521" w:rsidRDefault="00DD1521">
      <w:pPr>
        <w:pStyle w:val="Encabezado"/>
        <w:numPr>
          <w:ilvl w:val="0"/>
          <w:numId w:val="15"/>
        </w:numPr>
        <w:tabs>
          <w:tab w:val="clear" w:pos="4252"/>
          <w:tab w:val="clear" w:pos="8504"/>
        </w:tabs>
        <w:spacing w:after="0" w:line="240" w:lineRule="auto"/>
        <w:jc w:val="both"/>
        <w:rPr>
          <w:rFonts w:ascii="Arial" w:hAnsi="Arial" w:cs="Arial"/>
          <w:sz w:val="20"/>
        </w:rPr>
      </w:pPr>
      <w:r>
        <w:rPr>
          <w:rFonts w:ascii="Arial" w:hAnsi="Arial" w:cs="Arial"/>
          <w:sz w:val="20"/>
        </w:rPr>
        <w:t>Estos resultados fueron consistentes en todos los subgrupos analizados, incluidos los pacientes con metástasis en SNC.</w:t>
      </w:r>
    </w:p>
    <w:p w:rsidR="00DD1521" w:rsidRDefault="00DD1521">
      <w:pPr>
        <w:pStyle w:val="Encabezado"/>
        <w:numPr>
          <w:ilvl w:val="0"/>
          <w:numId w:val="15"/>
        </w:numPr>
        <w:tabs>
          <w:tab w:val="clear" w:pos="4252"/>
          <w:tab w:val="clear" w:pos="8504"/>
        </w:tabs>
        <w:spacing w:after="0" w:line="240" w:lineRule="auto"/>
        <w:jc w:val="both"/>
        <w:rPr>
          <w:rFonts w:ascii="Arial" w:hAnsi="Arial" w:cs="Arial"/>
          <w:sz w:val="20"/>
        </w:rPr>
      </w:pPr>
      <w:r>
        <w:rPr>
          <w:rFonts w:ascii="Arial" w:hAnsi="Arial" w:cs="Arial"/>
          <w:sz w:val="20"/>
        </w:rPr>
        <w:t xml:space="preserve">En el EC AURA3 no se consiguió demostrar la superioridad de osimertinib en términos de SG, aunque los resultados aún son inmaduros. En cualquier caso, no se espera que proporcionen mucha información por el cruzamiento masivo de los pacientes. </w:t>
      </w:r>
    </w:p>
    <w:p w:rsidR="00DD1521" w:rsidRDefault="00DD1521">
      <w:pPr>
        <w:pStyle w:val="Encabezado"/>
        <w:numPr>
          <w:ilvl w:val="0"/>
          <w:numId w:val="15"/>
        </w:numPr>
        <w:tabs>
          <w:tab w:val="clear" w:pos="4252"/>
          <w:tab w:val="clear" w:pos="8504"/>
        </w:tabs>
        <w:spacing w:after="0" w:line="240" w:lineRule="auto"/>
        <w:jc w:val="both"/>
        <w:rPr>
          <w:rFonts w:ascii="Arial" w:hAnsi="Arial" w:cs="Arial"/>
          <w:sz w:val="20"/>
        </w:rPr>
      </w:pPr>
      <w:r>
        <w:rPr>
          <w:rFonts w:ascii="Arial" w:hAnsi="Arial" w:cs="Arial"/>
          <w:sz w:val="20"/>
        </w:rPr>
        <w:t>En líneas generales, el perfil de seguridad de osimertinib se considera aceptable y en consonancia con el de otros ITK.</w:t>
      </w:r>
    </w:p>
    <w:p w:rsidR="00DD1521" w:rsidRDefault="00DD1521">
      <w:pPr>
        <w:pStyle w:val="Encabezado"/>
        <w:numPr>
          <w:ilvl w:val="0"/>
          <w:numId w:val="15"/>
        </w:numPr>
        <w:tabs>
          <w:tab w:val="clear" w:pos="4252"/>
          <w:tab w:val="clear" w:pos="8504"/>
        </w:tabs>
        <w:spacing w:after="0" w:line="240" w:lineRule="auto"/>
        <w:jc w:val="both"/>
        <w:rPr>
          <w:rFonts w:ascii="Arial" w:hAnsi="Arial" w:cs="Arial"/>
          <w:sz w:val="20"/>
        </w:rPr>
      </w:pPr>
      <w:r>
        <w:rPr>
          <w:rFonts w:ascii="Arial" w:hAnsi="Arial" w:cs="Arial"/>
          <w:sz w:val="20"/>
        </w:rPr>
        <w:lastRenderedPageBreak/>
        <w:t>Los eventos adversos más frecuentemente registrados son rash, sequedad de piel, paroniquia, disminución de apetito, náuseas y fatiga.</w:t>
      </w:r>
    </w:p>
    <w:p w:rsidR="00DD1521" w:rsidRDefault="00DD1521">
      <w:pPr>
        <w:pStyle w:val="Encabezado"/>
        <w:numPr>
          <w:ilvl w:val="0"/>
          <w:numId w:val="15"/>
        </w:numPr>
        <w:tabs>
          <w:tab w:val="clear" w:pos="4252"/>
          <w:tab w:val="clear" w:pos="8504"/>
        </w:tabs>
        <w:spacing w:after="0" w:line="240" w:lineRule="auto"/>
        <w:jc w:val="both"/>
        <w:rPr>
          <w:rFonts w:ascii="Arial" w:hAnsi="Arial" w:cs="Arial"/>
          <w:sz w:val="20"/>
        </w:rPr>
      </w:pPr>
      <w:r>
        <w:rPr>
          <w:rFonts w:ascii="Arial" w:hAnsi="Arial" w:cs="Arial"/>
          <w:sz w:val="20"/>
        </w:rPr>
        <w:t>El tratamiento con osimertinib se ha asociado con prolongación del intervalo QTc y con enfermedad pulmonar intersticial.</w:t>
      </w:r>
    </w:p>
    <w:p w:rsidR="00DD1521" w:rsidRDefault="00DD1521">
      <w:pPr>
        <w:pStyle w:val="Encabezado"/>
        <w:tabs>
          <w:tab w:val="clear" w:pos="4252"/>
          <w:tab w:val="clear" w:pos="8504"/>
        </w:tabs>
        <w:spacing w:after="0" w:line="240" w:lineRule="auto"/>
        <w:ind w:left="720"/>
        <w:jc w:val="both"/>
        <w:rPr>
          <w:rFonts w:ascii="Arial" w:hAnsi="Arial" w:cs="Arial"/>
          <w:sz w:val="20"/>
        </w:rPr>
      </w:pPr>
    </w:p>
    <w:p w:rsidR="00DD1521" w:rsidRDefault="00DD1521">
      <w:pPr>
        <w:pStyle w:val="Encabezado"/>
        <w:numPr>
          <w:ilvl w:val="0"/>
          <w:numId w:val="14"/>
        </w:numPr>
        <w:tabs>
          <w:tab w:val="clear" w:pos="4252"/>
          <w:tab w:val="clear" w:pos="8504"/>
        </w:tabs>
        <w:spacing w:after="0" w:line="240" w:lineRule="auto"/>
        <w:rPr>
          <w:rFonts w:ascii="Arial" w:hAnsi="Arial" w:cs="Arial"/>
          <w:sz w:val="20"/>
        </w:rPr>
      </w:pPr>
      <w:r>
        <w:rPr>
          <w:rFonts w:ascii="Arial" w:hAnsi="Arial" w:cs="Arial"/>
          <w:sz w:val="20"/>
        </w:rPr>
        <w:t>Coste, coste eficacia incremental e impacto presupuestario.</w:t>
      </w:r>
    </w:p>
    <w:p w:rsidR="00DD1521" w:rsidRDefault="00DD1521" w:rsidP="0028603B">
      <w:pPr>
        <w:pStyle w:val="Encabezado"/>
        <w:tabs>
          <w:tab w:val="clear" w:pos="4252"/>
          <w:tab w:val="clear" w:pos="8504"/>
        </w:tabs>
        <w:spacing w:after="0" w:line="240" w:lineRule="auto"/>
        <w:ind w:left="360"/>
        <w:rPr>
          <w:rFonts w:ascii="Arial" w:hAnsi="Arial" w:cs="Arial"/>
          <w:sz w:val="20"/>
        </w:rPr>
      </w:pPr>
    </w:p>
    <w:p w:rsidR="00DD1521" w:rsidRDefault="00DD1521">
      <w:pPr>
        <w:pStyle w:val="Encabezado"/>
        <w:numPr>
          <w:ilvl w:val="0"/>
          <w:numId w:val="16"/>
        </w:numPr>
        <w:tabs>
          <w:tab w:val="clear" w:pos="4252"/>
          <w:tab w:val="clear" w:pos="8504"/>
        </w:tabs>
        <w:spacing w:after="0" w:line="240" w:lineRule="auto"/>
        <w:jc w:val="both"/>
        <w:rPr>
          <w:rFonts w:ascii="Arial" w:hAnsi="Arial" w:cs="Arial"/>
          <w:sz w:val="20"/>
        </w:rPr>
      </w:pPr>
      <w:r>
        <w:rPr>
          <w:rFonts w:ascii="Arial" w:hAnsi="Arial" w:cs="Arial"/>
          <w:sz w:val="20"/>
        </w:rPr>
        <w:t xml:space="preserve">El </w:t>
      </w:r>
      <w:r w:rsidRPr="00B63DF8">
        <w:rPr>
          <w:rFonts w:ascii="Arial" w:hAnsi="Arial" w:cs="Arial"/>
          <w:b/>
          <w:sz w:val="20"/>
        </w:rPr>
        <w:t>coste por tratamiento</w:t>
      </w:r>
      <w:r>
        <w:rPr>
          <w:rFonts w:ascii="Arial" w:hAnsi="Arial" w:cs="Arial"/>
          <w:sz w:val="20"/>
        </w:rPr>
        <w:t xml:space="preserve"> con osimertinib en esta indicación, según la duración del tratamiento medio del estudio AURA3 es de 51.108 €, aunque este coste puede ser inferior según un análisis de sensibilidad realizado con un coste por envase inferior (4.367 €). En este caso, el coste por paciente sería de 35.376 €.</w:t>
      </w:r>
    </w:p>
    <w:p w:rsidR="00DD1521" w:rsidRDefault="00DD1521">
      <w:pPr>
        <w:pStyle w:val="Encabezado"/>
        <w:numPr>
          <w:ilvl w:val="0"/>
          <w:numId w:val="16"/>
        </w:numPr>
        <w:tabs>
          <w:tab w:val="clear" w:pos="4252"/>
          <w:tab w:val="clear" w:pos="8504"/>
        </w:tabs>
        <w:spacing w:after="0" w:line="240" w:lineRule="auto"/>
        <w:jc w:val="both"/>
        <w:rPr>
          <w:rFonts w:ascii="Arial" w:hAnsi="Arial" w:cs="Arial"/>
          <w:sz w:val="20"/>
        </w:rPr>
      </w:pPr>
      <w:r>
        <w:rPr>
          <w:rFonts w:ascii="Arial" w:hAnsi="Arial" w:cs="Arial"/>
          <w:sz w:val="20"/>
        </w:rPr>
        <w:t xml:space="preserve">El </w:t>
      </w:r>
      <w:r w:rsidRPr="00B63DF8">
        <w:rPr>
          <w:rFonts w:ascii="Arial" w:hAnsi="Arial" w:cs="Arial"/>
          <w:b/>
          <w:sz w:val="20"/>
        </w:rPr>
        <w:t>coste incremental</w:t>
      </w:r>
      <w:r>
        <w:rPr>
          <w:rFonts w:ascii="Arial" w:hAnsi="Arial" w:cs="Arial"/>
          <w:sz w:val="20"/>
        </w:rPr>
        <w:t xml:space="preserve"> respecto a la terapia de referencia (platino-pemetrexed) es de 37.199 €, 21.467 € si realizamos análisis de sensibilidad con un menor coste por envase.</w:t>
      </w:r>
    </w:p>
    <w:p w:rsidR="00DD1521" w:rsidRDefault="00DD1521">
      <w:pPr>
        <w:pStyle w:val="Encabezado"/>
        <w:numPr>
          <w:ilvl w:val="0"/>
          <w:numId w:val="16"/>
        </w:numPr>
        <w:tabs>
          <w:tab w:val="clear" w:pos="4252"/>
          <w:tab w:val="clear" w:pos="8504"/>
        </w:tabs>
        <w:spacing w:after="0" w:line="240" w:lineRule="auto"/>
        <w:jc w:val="both"/>
        <w:rPr>
          <w:rFonts w:ascii="Arial" w:hAnsi="Arial" w:cs="Arial"/>
          <w:sz w:val="20"/>
        </w:rPr>
      </w:pPr>
      <w:r>
        <w:rPr>
          <w:rFonts w:ascii="Arial" w:hAnsi="Arial" w:cs="Arial"/>
          <w:sz w:val="20"/>
        </w:rPr>
        <w:t xml:space="preserve">El </w:t>
      </w:r>
      <w:r w:rsidRPr="00B63DF8">
        <w:rPr>
          <w:rFonts w:ascii="Arial" w:hAnsi="Arial" w:cs="Arial"/>
          <w:b/>
          <w:sz w:val="20"/>
        </w:rPr>
        <w:t>coste eficacia incremental</w:t>
      </w:r>
      <w:r>
        <w:rPr>
          <w:rFonts w:ascii="Arial" w:hAnsi="Arial" w:cs="Arial"/>
          <w:sz w:val="20"/>
        </w:rPr>
        <w:t xml:space="preserve"> frente a la terapia de referencia estaría en torno a los 78.314 € por año de vida libre de progresión ganado (45.193 €/AVGLP según análisis de sensibilidad).</w:t>
      </w:r>
    </w:p>
    <w:p w:rsidR="00DD1521" w:rsidRDefault="00DD1521">
      <w:pPr>
        <w:pStyle w:val="Encabezado"/>
        <w:numPr>
          <w:ilvl w:val="0"/>
          <w:numId w:val="16"/>
        </w:numPr>
        <w:tabs>
          <w:tab w:val="clear" w:pos="4252"/>
          <w:tab w:val="clear" w:pos="8504"/>
        </w:tabs>
        <w:spacing w:after="0" w:line="240" w:lineRule="auto"/>
        <w:jc w:val="both"/>
        <w:rPr>
          <w:rFonts w:ascii="Arial" w:hAnsi="Arial" w:cs="Arial"/>
          <w:sz w:val="20"/>
        </w:rPr>
      </w:pPr>
      <w:r>
        <w:rPr>
          <w:rFonts w:ascii="Arial" w:hAnsi="Arial" w:cs="Arial"/>
          <w:sz w:val="20"/>
        </w:rPr>
        <w:t xml:space="preserve">Si realizamos en análisis </w:t>
      </w:r>
      <w:r w:rsidRPr="00B63DF8">
        <w:rPr>
          <w:rFonts w:ascii="Arial" w:hAnsi="Arial" w:cs="Arial"/>
          <w:b/>
          <w:sz w:val="20"/>
        </w:rPr>
        <w:t>coste-utilidad</w:t>
      </w:r>
      <w:r>
        <w:rPr>
          <w:rFonts w:ascii="Arial" w:hAnsi="Arial" w:cs="Arial"/>
          <w:sz w:val="20"/>
        </w:rPr>
        <w:t xml:space="preserve"> con las utilidades extrapoladas de un estudio publicado en 2018 desde la perspectiva del Reino Unido, el coste por AVAC se situaría en 24.139 € (13.930 €/AVAC si realizamos análisis de sensibilidad).</w:t>
      </w:r>
    </w:p>
    <w:p w:rsidR="00DD1521" w:rsidRDefault="00DD1521">
      <w:pPr>
        <w:pStyle w:val="Encabezado"/>
        <w:numPr>
          <w:ilvl w:val="0"/>
          <w:numId w:val="16"/>
        </w:numPr>
        <w:tabs>
          <w:tab w:val="clear" w:pos="4252"/>
          <w:tab w:val="clear" w:pos="8504"/>
        </w:tabs>
        <w:spacing w:after="0" w:line="240" w:lineRule="auto"/>
        <w:jc w:val="both"/>
        <w:rPr>
          <w:rFonts w:ascii="Arial" w:hAnsi="Arial" w:cs="Arial"/>
          <w:sz w:val="20"/>
        </w:rPr>
      </w:pPr>
      <w:r>
        <w:rPr>
          <w:rFonts w:ascii="Arial" w:hAnsi="Arial" w:cs="Arial"/>
          <w:sz w:val="20"/>
        </w:rPr>
        <w:t xml:space="preserve">El </w:t>
      </w:r>
      <w:r w:rsidRPr="00B63DF8">
        <w:rPr>
          <w:rFonts w:ascii="Arial" w:hAnsi="Arial" w:cs="Arial"/>
          <w:b/>
          <w:sz w:val="20"/>
        </w:rPr>
        <w:t>impacto presupuestario</w:t>
      </w:r>
      <w:r>
        <w:rPr>
          <w:rFonts w:ascii="Arial" w:hAnsi="Arial" w:cs="Arial"/>
          <w:sz w:val="20"/>
        </w:rPr>
        <w:t xml:space="preserve"> anual estimado a nivel nacional, se sitúa entre 36,9 millones de € y 47,9 millones de €, variando en función del porcentaje de desplazamiento de las diferentes alternativas disponibles en la indicación evaluada. El beneficio con esta inversión sería de 471,2 años de vida sin progresión ganados. Si realizamos un análisis de sensibilidad utilizando un coste menor para osimertinib (4.367 €/envase), el impacto presupuestario estaría entre 21,2 y 32,3 millones de €, según el tratamiento al que desplazara.</w:t>
      </w:r>
    </w:p>
    <w:p w:rsidR="00DD1521" w:rsidRDefault="00DD1521">
      <w:pPr>
        <w:pStyle w:val="Encabezado"/>
        <w:tabs>
          <w:tab w:val="clear" w:pos="4252"/>
          <w:tab w:val="clear" w:pos="8504"/>
        </w:tabs>
        <w:spacing w:after="0" w:line="240" w:lineRule="auto"/>
        <w:rPr>
          <w:rFonts w:ascii="Arial" w:hAnsi="Arial" w:cs="Arial"/>
          <w:b/>
          <w:bCs/>
          <w:sz w:val="20"/>
        </w:rPr>
      </w:pPr>
    </w:p>
    <w:p w:rsidR="00DD1521" w:rsidRDefault="00DD1521">
      <w:pPr>
        <w:pStyle w:val="Encabezado"/>
        <w:pBdr>
          <w:top w:val="single" w:sz="2" w:space="1" w:color="auto"/>
          <w:left w:val="single" w:sz="2" w:space="4" w:color="auto"/>
          <w:bottom w:val="single" w:sz="2" w:space="1" w:color="auto"/>
          <w:right w:val="single" w:sz="2" w:space="4" w:color="auto"/>
        </w:pBdr>
        <w:tabs>
          <w:tab w:val="clear" w:pos="4252"/>
          <w:tab w:val="clear" w:pos="8504"/>
        </w:tabs>
        <w:spacing w:after="0" w:line="240" w:lineRule="auto"/>
        <w:jc w:val="both"/>
        <w:rPr>
          <w:rFonts w:ascii="Arial" w:hAnsi="Arial" w:cs="Arial"/>
          <w:b/>
          <w:bCs/>
          <w:sz w:val="20"/>
        </w:rPr>
      </w:pPr>
      <w:r>
        <w:rPr>
          <w:rFonts w:ascii="Arial" w:hAnsi="Arial" w:cs="Arial"/>
          <w:b/>
          <w:bCs/>
          <w:sz w:val="20"/>
        </w:rPr>
        <w:t>Tratamiento de primera línea del CPNM avanzado o metastásico con mutaciones activadoras de EGFR</w:t>
      </w:r>
    </w:p>
    <w:p w:rsidR="00DD1521" w:rsidRDefault="00DD1521">
      <w:pPr>
        <w:pStyle w:val="Encabezado"/>
        <w:tabs>
          <w:tab w:val="clear" w:pos="4252"/>
          <w:tab w:val="clear" w:pos="8504"/>
        </w:tabs>
        <w:spacing w:after="0" w:line="240" w:lineRule="auto"/>
        <w:rPr>
          <w:rFonts w:ascii="Arial" w:hAnsi="Arial" w:cs="Arial"/>
          <w:b/>
          <w:bCs/>
          <w:sz w:val="20"/>
        </w:rPr>
      </w:pPr>
    </w:p>
    <w:p w:rsidR="00DD1521" w:rsidRDefault="00DD1521">
      <w:pPr>
        <w:pStyle w:val="Encabezado"/>
        <w:numPr>
          <w:ilvl w:val="0"/>
          <w:numId w:val="17"/>
        </w:numPr>
        <w:tabs>
          <w:tab w:val="clear" w:pos="4252"/>
          <w:tab w:val="clear" w:pos="8504"/>
        </w:tabs>
        <w:spacing w:after="0" w:line="240" w:lineRule="auto"/>
        <w:rPr>
          <w:rFonts w:ascii="Arial" w:hAnsi="Arial" w:cs="Arial"/>
          <w:sz w:val="20"/>
        </w:rPr>
      </w:pPr>
      <w:r>
        <w:rPr>
          <w:rFonts w:ascii="Arial" w:hAnsi="Arial" w:cs="Arial"/>
          <w:sz w:val="20"/>
        </w:rPr>
        <w:t xml:space="preserve">Aspectos </w:t>
      </w:r>
      <w:r w:rsidR="00E87E23">
        <w:rPr>
          <w:rFonts w:ascii="Arial" w:hAnsi="Arial" w:cs="Arial"/>
          <w:sz w:val="20"/>
        </w:rPr>
        <w:t>clínico-terapéuticos</w:t>
      </w:r>
      <w:r>
        <w:rPr>
          <w:rFonts w:ascii="Arial" w:hAnsi="Arial" w:cs="Arial"/>
          <w:sz w:val="20"/>
        </w:rPr>
        <w:t>.</w:t>
      </w:r>
    </w:p>
    <w:p w:rsidR="00DD1521" w:rsidRDefault="00DD1521" w:rsidP="0028603B">
      <w:pPr>
        <w:pStyle w:val="Encabezado"/>
        <w:tabs>
          <w:tab w:val="clear" w:pos="4252"/>
          <w:tab w:val="clear" w:pos="8504"/>
        </w:tabs>
        <w:spacing w:after="0" w:line="240" w:lineRule="auto"/>
        <w:ind w:left="360"/>
        <w:rPr>
          <w:rFonts w:ascii="Arial" w:hAnsi="Arial" w:cs="Arial"/>
          <w:sz w:val="20"/>
        </w:rPr>
      </w:pPr>
    </w:p>
    <w:p w:rsidR="00DD1521" w:rsidRDefault="00DD1521">
      <w:pPr>
        <w:pStyle w:val="Encabezado"/>
        <w:widowControl w:val="0"/>
        <w:numPr>
          <w:ilvl w:val="0"/>
          <w:numId w:val="18"/>
        </w:numPr>
        <w:tabs>
          <w:tab w:val="clear" w:pos="4252"/>
          <w:tab w:val="clear" w:pos="8504"/>
        </w:tabs>
        <w:suppressAutoHyphens/>
        <w:spacing w:after="0" w:line="240" w:lineRule="auto"/>
        <w:jc w:val="both"/>
        <w:rPr>
          <w:rFonts w:ascii="Arial" w:hAnsi="Arial" w:cs="Arial"/>
          <w:sz w:val="20"/>
        </w:rPr>
      </w:pPr>
      <w:r>
        <w:rPr>
          <w:rFonts w:ascii="Arial" w:hAnsi="Arial" w:cs="Arial"/>
          <w:sz w:val="20"/>
        </w:rPr>
        <w:t>La evidencia de osimertinib en el tratamiento de primera línea del CPNM avanzado o metastásico con mutaciones activadoras de EGFR proviene del ensayo pivotal FLAURA, un estudio fase III, aleatorizado y doble ciego.</w:t>
      </w:r>
    </w:p>
    <w:p w:rsidR="00DD1521" w:rsidRDefault="00DD1521">
      <w:pPr>
        <w:pStyle w:val="Encabezado"/>
        <w:widowControl w:val="0"/>
        <w:numPr>
          <w:ilvl w:val="0"/>
          <w:numId w:val="18"/>
        </w:numPr>
        <w:tabs>
          <w:tab w:val="clear" w:pos="4252"/>
          <w:tab w:val="clear" w:pos="8504"/>
        </w:tabs>
        <w:suppressAutoHyphens/>
        <w:spacing w:after="0" w:line="240" w:lineRule="auto"/>
        <w:jc w:val="both"/>
        <w:rPr>
          <w:rFonts w:ascii="Arial" w:hAnsi="Arial" w:cs="Arial"/>
          <w:sz w:val="20"/>
        </w:rPr>
      </w:pPr>
      <w:r>
        <w:rPr>
          <w:rFonts w:ascii="Arial" w:hAnsi="Arial" w:cs="Arial"/>
          <w:sz w:val="20"/>
        </w:rPr>
        <w:t xml:space="preserve">Osimertinib obtuvo un beneficio de 8,7 meses en la mediana de SLP frente al tratamiento con un ITK anti-EGFR de primera generación (erlotinib o gefitinib) con un HR de 0,46 (IC95% 0,37-0,57), siendo un resultado tanto estadísticamente significativo como clínicamente relevante. </w:t>
      </w:r>
    </w:p>
    <w:p w:rsidR="00DD1521" w:rsidRDefault="00DD1521">
      <w:pPr>
        <w:pStyle w:val="Encabezado"/>
        <w:widowControl w:val="0"/>
        <w:numPr>
          <w:ilvl w:val="0"/>
          <w:numId w:val="18"/>
        </w:numPr>
        <w:tabs>
          <w:tab w:val="clear" w:pos="4252"/>
          <w:tab w:val="clear" w:pos="8504"/>
        </w:tabs>
        <w:suppressAutoHyphens/>
        <w:spacing w:after="0" w:line="240" w:lineRule="auto"/>
        <w:jc w:val="both"/>
        <w:rPr>
          <w:rFonts w:ascii="Arial" w:hAnsi="Arial" w:cs="Arial"/>
          <w:sz w:val="20"/>
        </w:rPr>
      </w:pPr>
      <w:r>
        <w:rPr>
          <w:rFonts w:ascii="Arial" w:hAnsi="Arial" w:cs="Arial"/>
          <w:sz w:val="20"/>
        </w:rPr>
        <w:t>Hasta la fecha, no disponemos de resultados maduros de SG, variable clave para confirmar el beneficio adicional de osimertinib frente al resto de alternativas disponibles y frente a la secuenciación de tratamientos.</w:t>
      </w:r>
    </w:p>
    <w:p w:rsidR="00DD1521" w:rsidRDefault="00DD1521">
      <w:pPr>
        <w:pStyle w:val="Normal1"/>
        <w:widowControl w:val="0"/>
        <w:numPr>
          <w:ilvl w:val="0"/>
          <w:numId w:val="18"/>
        </w:numPr>
        <w:suppressAutoHyphens/>
        <w:spacing w:after="0" w:line="240" w:lineRule="auto"/>
        <w:jc w:val="both"/>
        <w:rPr>
          <w:rFonts w:ascii="Arial" w:hAnsi="Arial" w:cs="Arial"/>
          <w:sz w:val="20"/>
          <w:szCs w:val="20"/>
        </w:rPr>
      </w:pPr>
      <w:r>
        <w:rPr>
          <w:rFonts w:ascii="Arial" w:hAnsi="Arial" w:cs="Arial"/>
          <w:sz w:val="20"/>
          <w:szCs w:val="20"/>
        </w:rPr>
        <w:t>Osimertinib mantuvo su beneficio en términos de SLP frente al brazo control independientemente de la presencia o no de metástasis en SNC al inicio del estudio.</w:t>
      </w:r>
    </w:p>
    <w:p w:rsidR="00DD1521" w:rsidRDefault="00DD1521">
      <w:pPr>
        <w:pStyle w:val="Normal1"/>
        <w:widowControl w:val="0"/>
        <w:numPr>
          <w:ilvl w:val="0"/>
          <w:numId w:val="18"/>
        </w:numPr>
        <w:suppressAutoHyphens/>
        <w:spacing w:after="0" w:line="240" w:lineRule="auto"/>
        <w:jc w:val="both"/>
        <w:rPr>
          <w:rFonts w:ascii="Arial" w:hAnsi="Arial" w:cs="Arial"/>
          <w:sz w:val="20"/>
          <w:szCs w:val="20"/>
        </w:rPr>
      </w:pPr>
      <w:r>
        <w:rPr>
          <w:rFonts w:ascii="Arial" w:hAnsi="Arial" w:cs="Arial"/>
          <w:sz w:val="20"/>
          <w:szCs w:val="20"/>
        </w:rPr>
        <w:t>Entre las limitaciones más importantes del estudio FLAURA se encuentra la exclusión de afatinib como comparador. Dentro del análisis de eficacia no fue preespecificado ni llevado a cabo un análisis en función del ITK utilizado en el grupo comparador.</w:t>
      </w:r>
    </w:p>
    <w:p w:rsidR="00DD1521" w:rsidRDefault="00DD1521">
      <w:pPr>
        <w:pStyle w:val="Normal1"/>
        <w:widowControl w:val="0"/>
        <w:numPr>
          <w:ilvl w:val="0"/>
          <w:numId w:val="18"/>
        </w:numPr>
        <w:suppressAutoHyphens/>
        <w:spacing w:after="0" w:line="240" w:lineRule="auto"/>
        <w:jc w:val="both"/>
        <w:rPr>
          <w:rFonts w:ascii="Arial" w:hAnsi="Arial" w:cs="Arial"/>
          <w:sz w:val="20"/>
          <w:szCs w:val="20"/>
        </w:rPr>
      </w:pPr>
      <w:r>
        <w:rPr>
          <w:rFonts w:ascii="Arial" w:hAnsi="Arial" w:cs="Arial"/>
          <w:sz w:val="20"/>
          <w:szCs w:val="20"/>
        </w:rPr>
        <w:t>La FDA ha aprobado otro fármaco similar (dacomitinib) con el que tampoco se ha comparado directamente. En la comparación indirecta ajustada no parece haber diferencias estadísticamente significativas entre ellos en cuanto a SLP.</w:t>
      </w:r>
    </w:p>
    <w:p w:rsidR="00DD1521" w:rsidRDefault="00DD1521">
      <w:pPr>
        <w:pStyle w:val="Normal1"/>
        <w:widowControl w:val="0"/>
        <w:numPr>
          <w:ilvl w:val="0"/>
          <w:numId w:val="18"/>
        </w:numPr>
        <w:suppressAutoHyphens/>
        <w:spacing w:after="0" w:line="240" w:lineRule="auto"/>
        <w:jc w:val="both"/>
        <w:rPr>
          <w:rFonts w:ascii="Arial" w:hAnsi="Arial" w:cs="Arial"/>
          <w:sz w:val="20"/>
          <w:szCs w:val="20"/>
        </w:rPr>
      </w:pPr>
      <w:r>
        <w:rPr>
          <w:rFonts w:ascii="Arial" w:hAnsi="Arial" w:cs="Arial"/>
          <w:sz w:val="20"/>
          <w:szCs w:val="20"/>
        </w:rPr>
        <w:t xml:space="preserve">Respecto al perfil de seguridad, los resultados obtenidos en el ensayo FLAURA fueron comparables a los obtenidos en los ensayos previos realizados con osimertinib en segunda línea. </w:t>
      </w:r>
    </w:p>
    <w:p w:rsidR="00DD1521" w:rsidRDefault="00DD1521">
      <w:pPr>
        <w:pStyle w:val="Prrafodelista"/>
        <w:numPr>
          <w:ilvl w:val="0"/>
          <w:numId w:val="19"/>
        </w:numPr>
        <w:suppressAutoHyphens/>
        <w:spacing w:after="0" w:line="240" w:lineRule="auto"/>
        <w:jc w:val="both"/>
        <w:rPr>
          <w:rFonts w:ascii="Arial" w:hAnsi="Arial" w:cs="Arial"/>
          <w:sz w:val="20"/>
          <w:szCs w:val="20"/>
        </w:rPr>
      </w:pPr>
      <w:r>
        <w:rPr>
          <w:rFonts w:ascii="Arial" w:hAnsi="Arial" w:cs="Arial"/>
          <w:sz w:val="20"/>
          <w:szCs w:val="20"/>
        </w:rPr>
        <w:lastRenderedPageBreak/>
        <w:t>La tasa de efectos adversos fue similar al brazo control, destacando que las alteraciones cardíacas fueron más frecuentes en el grupo tratado con osimertinib, especialmente la prolongación de intervalo QT en un 10% aunque ningún caso tuvo repercusión clínica.</w:t>
      </w:r>
    </w:p>
    <w:p w:rsidR="00DD1521" w:rsidRDefault="00DD1521">
      <w:pPr>
        <w:pStyle w:val="Textoindependiente32"/>
        <w:spacing w:after="0" w:line="240" w:lineRule="auto"/>
        <w:jc w:val="both"/>
        <w:rPr>
          <w:sz w:val="20"/>
          <w:szCs w:val="20"/>
        </w:rPr>
      </w:pPr>
    </w:p>
    <w:p w:rsidR="00DD1521" w:rsidRDefault="00DD1521">
      <w:pPr>
        <w:pStyle w:val="Textoindependiente32"/>
        <w:spacing w:after="0" w:line="240" w:lineRule="auto"/>
        <w:jc w:val="both"/>
        <w:rPr>
          <w:sz w:val="20"/>
          <w:szCs w:val="20"/>
        </w:rPr>
      </w:pPr>
      <w:r>
        <w:rPr>
          <w:sz w:val="20"/>
          <w:szCs w:val="20"/>
        </w:rPr>
        <w:t>B) Coste, coste eficacia incremental e impacto presupuestario.</w:t>
      </w:r>
    </w:p>
    <w:p w:rsidR="00DD1521" w:rsidRDefault="00DD1521">
      <w:pPr>
        <w:pStyle w:val="Textoindependiente32"/>
        <w:spacing w:after="0" w:line="240" w:lineRule="auto"/>
        <w:jc w:val="both"/>
        <w:rPr>
          <w:sz w:val="20"/>
          <w:szCs w:val="20"/>
        </w:rPr>
      </w:pPr>
    </w:p>
    <w:p w:rsidR="00DD1521" w:rsidRDefault="00DD1521">
      <w:pPr>
        <w:pStyle w:val="Encabezado"/>
        <w:numPr>
          <w:ilvl w:val="0"/>
          <w:numId w:val="20"/>
        </w:numPr>
        <w:tabs>
          <w:tab w:val="clear" w:pos="4252"/>
          <w:tab w:val="clear" w:pos="8504"/>
        </w:tabs>
        <w:spacing w:after="0" w:line="240" w:lineRule="auto"/>
        <w:jc w:val="both"/>
        <w:rPr>
          <w:rFonts w:ascii="Arial" w:hAnsi="Arial" w:cs="Arial"/>
          <w:sz w:val="20"/>
        </w:rPr>
      </w:pPr>
      <w:bookmarkStart w:id="147" w:name="_Toc344399667"/>
      <w:bookmarkStart w:id="148" w:name="_Toc348931398"/>
      <w:r>
        <w:rPr>
          <w:rFonts w:ascii="Arial" w:hAnsi="Arial" w:cs="Arial"/>
          <w:sz w:val="20"/>
        </w:rPr>
        <w:t xml:space="preserve">El </w:t>
      </w:r>
      <w:r w:rsidRPr="00B63DF8">
        <w:rPr>
          <w:rFonts w:ascii="Arial" w:hAnsi="Arial" w:cs="Arial"/>
          <w:b/>
          <w:sz w:val="20"/>
        </w:rPr>
        <w:t>coste por tratamiento</w:t>
      </w:r>
      <w:r>
        <w:rPr>
          <w:rFonts w:ascii="Arial" w:hAnsi="Arial" w:cs="Arial"/>
          <w:sz w:val="20"/>
        </w:rPr>
        <w:t xml:space="preserve"> con osimertinib en esta indicación, según la duración del tratamiento medio del estudio FLAURA es de 102.215 €, aunque este coste puede ser inferior según un análisis de sensibilidad realizado con un coste por envase inferior (4.367 €). En este caso, el coste por paciente sería de 70.745 €.</w:t>
      </w:r>
    </w:p>
    <w:p w:rsidR="00DD1521" w:rsidRDefault="00DD1521">
      <w:pPr>
        <w:pStyle w:val="Encabezado"/>
        <w:numPr>
          <w:ilvl w:val="0"/>
          <w:numId w:val="20"/>
        </w:numPr>
        <w:tabs>
          <w:tab w:val="clear" w:pos="4252"/>
          <w:tab w:val="clear" w:pos="8504"/>
        </w:tabs>
        <w:spacing w:after="0" w:line="240" w:lineRule="auto"/>
        <w:jc w:val="both"/>
        <w:rPr>
          <w:rFonts w:ascii="Arial" w:hAnsi="Arial" w:cs="Arial"/>
          <w:sz w:val="20"/>
        </w:rPr>
      </w:pPr>
      <w:r>
        <w:rPr>
          <w:rFonts w:ascii="Arial" w:hAnsi="Arial" w:cs="Arial"/>
          <w:sz w:val="20"/>
        </w:rPr>
        <w:t xml:space="preserve">El </w:t>
      </w:r>
      <w:r w:rsidRPr="00B63DF8">
        <w:rPr>
          <w:rFonts w:ascii="Arial" w:hAnsi="Arial" w:cs="Arial"/>
          <w:b/>
          <w:sz w:val="20"/>
        </w:rPr>
        <w:t>coste incremental</w:t>
      </w:r>
      <w:r>
        <w:rPr>
          <w:rFonts w:ascii="Arial" w:hAnsi="Arial" w:cs="Arial"/>
          <w:sz w:val="20"/>
        </w:rPr>
        <w:t xml:space="preserve"> respecto a la terapia de referencia (erlotinib o gefitinib) es de 77.755 €, 46.285 € si realizamos análisis de sensibilidad con un menor coste por envase.</w:t>
      </w:r>
    </w:p>
    <w:p w:rsidR="00DD1521" w:rsidRDefault="00DD1521">
      <w:pPr>
        <w:pStyle w:val="Encabezado"/>
        <w:numPr>
          <w:ilvl w:val="0"/>
          <w:numId w:val="20"/>
        </w:numPr>
        <w:tabs>
          <w:tab w:val="clear" w:pos="4252"/>
          <w:tab w:val="clear" w:pos="8504"/>
        </w:tabs>
        <w:spacing w:after="0" w:line="240" w:lineRule="auto"/>
        <w:jc w:val="both"/>
        <w:rPr>
          <w:rFonts w:ascii="Arial" w:hAnsi="Arial" w:cs="Arial"/>
          <w:sz w:val="20"/>
        </w:rPr>
      </w:pPr>
      <w:r>
        <w:rPr>
          <w:rFonts w:ascii="Arial" w:hAnsi="Arial" w:cs="Arial"/>
          <w:sz w:val="20"/>
        </w:rPr>
        <w:t xml:space="preserve">El </w:t>
      </w:r>
      <w:r w:rsidRPr="00B63DF8">
        <w:rPr>
          <w:rFonts w:ascii="Arial" w:hAnsi="Arial" w:cs="Arial"/>
          <w:b/>
          <w:sz w:val="20"/>
        </w:rPr>
        <w:t>coste eficacia incremental</w:t>
      </w:r>
      <w:r>
        <w:rPr>
          <w:rFonts w:ascii="Arial" w:hAnsi="Arial" w:cs="Arial"/>
          <w:sz w:val="20"/>
        </w:rPr>
        <w:t xml:space="preserve"> frente a la terapia de referencia estaría en torno a los 107.258 € por año de vida libre de progresión ganado (63.841 €/AVGLP según análisis de sensibilidad).</w:t>
      </w:r>
    </w:p>
    <w:p w:rsidR="00DD1521" w:rsidRPr="00897B8F" w:rsidRDefault="00DD1521" w:rsidP="00897B8F">
      <w:pPr>
        <w:pStyle w:val="Encabezado"/>
        <w:numPr>
          <w:ilvl w:val="0"/>
          <w:numId w:val="20"/>
        </w:numPr>
        <w:tabs>
          <w:tab w:val="clear" w:pos="4252"/>
          <w:tab w:val="clear" w:pos="8504"/>
        </w:tabs>
        <w:spacing w:after="0" w:line="240" w:lineRule="auto"/>
        <w:jc w:val="both"/>
        <w:rPr>
          <w:rFonts w:ascii="Arial" w:hAnsi="Arial" w:cs="Arial"/>
          <w:sz w:val="20"/>
        </w:rPr>
      </w:pPr>
      <w:r w:rsidRPr="00897B8F">
        <w:rPr>
          <w:rFonts w:ascii="Arial" w:hAnsi="Arial" w:cs="Arial"/>
          <w:sz w:val="20"/>
        </w:rPr>
        <w:t xml:space="preserve">Si realizamos en análisis </w:t>
      </w:r>
      <w:r w:rsidRPr="00B63DF8">
        <w:rPr>
          <w:rFonts w:ascii="Arial" w:hAnsi="Arial" w:cs="Arial"/>
          <w:b/>
          <w:sz w:val="20"/>
        </w:rPr>
        <w:t>coste-utilidad</w:t>
      </w:r>
      <w:r w:rsidRPr="00897B8F">
        <w:rPr>
          <w:rFonts w:ascii="Arial" w:hAnsi="Arial" w:cs="Arial"/>
          <w:sz w:val="20"/>
        </w:rPr>
        <w:t xml:space="preserve"> </w:t>
      </w:r>
      <w:r>
        <w:rPr>
          <w:rFonts w:ascii="Arial" w:hAnsi="Arial" w:cs="Arial"/>
          <w:sz w:val="20"/>
        </w:rPr>
        <w:t xml:space="preserve">frente a erlotinib y gefitinib </w:t>
      </w:r>
      <w:r w:rsidRPr="00897B8F">
        <w:rPr>
          <w:rFonts w:ascii="Arial" w:hAnsi="Arial" w:cs="Arial"/>
          <w:sz w:val="20"/>
        </w:rPr>
        <w:t>con las utilidades extrapoladas de un estudio publicado en 2018 desde la perspectiva de Canadá, el coste por AVAC se situaría en 98.424 € (</w:t>
      </w:r>
      <w:r>
        <w:rPr>
          <w:rFonts w:ascii="Arial" w:hAnsi="Arial" w:cs="Arial"/>
          <w:sz w:val="20"/>
        </w:rPr>
        <w:t>58.589</w:t>
      </w:r>
      <w:r w:rsidRPr="00897B8F">
        <w:rPr>
          <w:rFonts w:ascii="Arial" w:hAnsi="Arial" w:cs="Arial"/>
          <w:sz w:val="20"/>
        </w:rPr>
        <w:t xml:space="preserve"> €/AVAC si realizamos análisis de sensibilidad con un menor precio de osimertinib).</w:t>
      </w:r>
    </w:p>
    <w:p w:rsidR="00DD1521" w:rsidRPr="00897B8F" w:rsidRDefault="00DD1521" w:rsidP="00897B8F">
      <w:pPr>
        <w:pStyle w:val="Encabezado"/>
        <w:numPr>
          <w:ilvl w:val="0"/>
          <w:numId w:val="20"/>
        </w:numPr>
        <w:tabs>
          <w:tab w:val="clear" w:pos="4252"/>
          <w:tab w:val="clear" w:pos="8504"/>
        </w:tabs>
        <w:spacing w:after="0" w:line="240" w:lineRule="auto"/>
        <w:jc w:val="both"/>
        <w:rPr>
          <w:rFonts w:ascii="Arial" w:hAnsi="Arial" w:cs="Arial"/>
          <w:sz w:val="20"/>
        </w:rPr>
      </w:pPr>
      <w:r w:rsidRPr="00897B8F">
        <w:rPr>
          <w:rFonts w:ascii="Arial" w:hAnsi="Arial" w:cs="Arial"/>
          <w:sz w:val="20"/>
        </w:rPr>
        <w:t xml:space="preserve">Por tanto, con el precio actual de adquisición de osimertinib, no se considera como un fármaco coste-efectivo frente a sus alternativas disponibles. </w:t>
      </w:r>
    </w:p>
    <w:p w:rsidR="00DD1521" w:rsidRPr="00897B8F" w:rsidRDefault="00DD1521" w:rsidP="00897B8F">
      <w:pPr>
        <w:pStyle w:val="Encabezado"/>
        <w:numPr>
          <w:ilvl w:val="0"/>
          <w:numId w:val="20"/>
        </w:numPr>
        <w:tabs>
          <w:tab w:val="clear" w:pos="4252"/>
          <w:tab w:val="clear" w:pos="8504"/>
        </w:tabs>
        <w:spacing w:after="0" w:line="240" w:lineRule="auto"/>
        <w:jc w:val="both"/>
        <w:rPr>
          <w:rFonts w:ascii="Arial" w:hAnsi="Arial" w:cs="Arial"/>
          <w:sz w:val="20"/>
        </w:rPr>
      </w:pPr>
      <w:r w:rsidRPr="00897B8F">
        <w:rPr>
          <w:rFonts w:ascii="Arial" w:hAnsi="Arial" w:cs="Arial"/>
          <w:sz w:val="20"/>
        </w:rPr>
        <w:t xml:space="preserve">El </w:t>
      </w:r>
      <w:r w:rsidRPr="00B63DF8">
        <w:rPr>
          <w:rFonts w:ascii="Arial" w:hAnsi="Arial" w:cs="Arial"/>
          <w:b/>
          <w:sz w:val="20"/>
        </w:rPr>
        <w:t>impacto presupuestario</w:t>
      </w:r>
      <w:r w:rsidRPr="00897B8F">
        <w:rPr>
          <w:rFonts w:ascii="Arial" w:hAnsi="Arial" w:cs="Arial"/>
          <w:sz w:val="20"/>
        </w:rPr>
        <w:t xml:space="preserve"> anual estimado a nivel nacional, sería de unos 158 millones de  €. El beneficio con esta inversión sería de 1.479 años de vida sin progresión ganados. Si realizamos un análisis de sensibilidad utilizando un coste menor para osimertinib (4.367 €/envase), el impacto presupuestario estaría sería de unos </w:t>
      </w:r>
      <w:r>
        <w:rPr>
          <w:rFonts w:ascii="Arial" w:hAnsi="Arial" w:cs="Arial"/>
          <w:sz w:val="20"/>
        </w:rPr>
        <w:t>94,4</w:t>
      </w:r>
      <w:r w:rsidRPr="00897B8F">
        <w:rPr>
          <w:rFonts w:ascii="Arial" w:hAnsi="Arial" w:cs="Arial"/>
          <w:sz w:val="20"/>
        </w:rPr>
        <w:t xml:space="preserve"> millones de €. Si al aprobarse la nueva indicación del fármaco, el coste por envase descendiese </w:t>
      </w:r>
      <w:r>
        <w:rPr>
          <w:rFonts w:ascii="Arial" w:hAnsi="Arial" w:cs="Arial"/>
          <w:sz w:val="20"/>
        </w:rPr>
        <w:t xml:space="preserve">un 25%, </w:t>
      </w:r>
      <w:r w:rsidRPr="00897B8F">
        <w:rPr>
          <w:rFonts w:ascii="Arial" w:hAnsi="Arial" w:cs="Arial"/>
          <w:sz w:val="20"/>
        </w:rPr>
        <w:t xml:space="preserve">hasta 3.275 € por envase, el impacto presupuestario en este caso sería de unos </w:t>
      </w:r>
      <w:r>
        <w:rPr>
          <w:rFonts w:ascii="Arial" w:hAnsi="Arial" w:cs="Arial"/>
          <w:sz w:val="20"/>
        </w:rPr>
        <w:t>58</w:t>
      </w:r>
      <w:r w:rsidRPr="00897B8F">
        <w:rPr>
          <w:rFonts w:ascii="Arial" w:hAnsi="Arial" w:cs="Arial"/>
          <w:sz w:val="20"/>
        </w:rPr>
        <w:t xml:space="preserve"> millones de €.</w:t>
      </w:r>
    </w:p>
    <w:p w:rsidR="00DD1521" w:rsidRPr="00897B8F" w:rsidRDefault="00DD1521" w:rsidP="00897B8F">
      <w:pPr>
        <w:pStyle w:val="Encabezado"/>
        <w:numPr>
          <w:ilvl w:val="0"/>
          <w:numId w:val="20"/>
        </w:numPr>
        <w:tabs>
          <w:tab w:val="clear" w:pos="4252"/>
          <w:tab w:val="clear" w:pos="8504"/>
        </w:tabs>
        <w:spacing w:after="0" w:line="240" w:lineRule="auto"/>
        <w:jc w:val="both"/>
        <w:rPr>
          <w:rFonts w:ascii="Arial" w:hAnsi="Arial" w:cs="Arial"/>
          <w:sz w:val="20"/>
        </w:rPr>
      </w:pPr>
      <w:r w:rsidRPr="00897B8F">
        <w:rPr>
          <w:rFonts w:ascii="Arial" w:hAnsi="Arial" w:cs="Arial"/>
          <w:sz w:val="20"/>
        </w:rPr>
        <w:t xml:space="preserve">Debido a la comercialización en el primer semestre de 2019 de genéricos de gefitinib, con la consecuente bajada de precios, para conseguir una RCEI dentro del umbral de 21.000 €/AVAC ganado y un impacto presupuestario asumible sería necesario aplicar una reducción sustancial del </w:t>
      </w:r>
      <w:r w:rsidRPr="00B63DF8">
        <w:rPr>
          <w:rFonts w:ascii="Arial" w:hAnsi="Arial" w:cs="Arial"/>
          <w:b/>
          <w:sz w:val="20"/>
        </w:rPr>
        <w:t>coste de adquisición</w:t>
      </w:r>
      <w:r w:rsidRPr="00897B8F">
        <w:rPr>
          <w:rFonts w:ascii="Arial" w:hAnsi="Arial" w:cs="Arial"/>
          <w:sz w:val="20"/>
        </w:rPr>
        <w:t xml:space="preserve"> de osimertinib (hasta unos </w:t>
      </w:r>
      <w:r w:rsidRPr="00B63DF8">
        <w:rPr>
          <w:rFonts w:ascii="Arial" w:hAnsi="Arial" w:cs="Arial"/>
          <w:b/>
          <w:sz w:val="20"/>
        </w:rPr>
        <w:t>2.081 €/envase</w:t>
      </w:r>
      <w:r w:rsidRPr="00897B8F">
        <w:rPr>
          <w:rFonts w:ascii="Arial" w:hAnsi="Arial" w:cs="Arial"/>
          <w:sz w:val="20"/>
        </w:rPr>
        <w:t>).</w:t>
      </w:r>
    </w:p>
    <w:p w:rsidR="00DD1521" w:rsidRDefault="00DD1521" w:rsidP="00897B8F">
      <w:pPr>
        <w:pStyle w:val="Encabezado"/>
        <w:numPr>
          <w:ilvl w:val="0"/>
          <w:numId w:val="20"/>
        </w:numPr>
        <w:tabs>
          <w:tab w:val="clear" w:pos="4252"/>
          <w:tab w:val="clear" w:pos="8504"/>
        </w:tabs>
        <w:spacing w:after="0" w:line="240" w:lineRule="auto"/>
        <w:jc w:val="both"/>
        <w:rPr>
          <w:rFonts w:ascii="Arial" w:hAnsi="Arial" w:cs="Arial"/>
          <w:sz w:val="20"/>
        </w:rPr>
      </w:pPr>
      <w:r>
        <w:rPr>
          <w:rFonts w:ascii="Arial" w:hAnsi="Arial" w:cs="Arial"/>
          <w:sz w:val="20"/>
        </w:rPr>
        <w:t>Cuando se comercialice dacomitinib en España, habrá que realizar un análisis de minimización de costes para determinar si alguno de los dos fármacos es más eficiente.</w:t>
      </w:r>
    </w:p>
    <w:p w:rsidR="00DD1521" w:rsidRDefault="00DD1521" w:rsidP="00303273">
      <w:pPr>
        <w:tabs>
          <w:tab w:val="left" w:pos="851"/>
        </w:tabs>
        <w:suppressAutoHyphens/>
        <w:snapToGrid w:val="0"/>
        <w:spacing w:after="0" w:line="240" w:lineRule="auto"/>
        <w:jc w:val="both"/>
        <w:rPr>
          <w:rFonts w:ascii="Arial" w:hAnsi="Arial" w:cs="Arial"/>
          <w:sz w:val="20"/>
          <w:szCs w:val="20"/>
        </w:rPr>
      </w:pPr>
    </w:p>
    <w:p w:rsidR="00DD1521" w:rsidRPr="00303273" w:rsidRDefault="00DD1521" w:rsidP="00303273">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49" w:name="_Toc344399668"/>
      <w:bookmarkStart w:id="150" w:name="_Toc348931399"/>
      <w:bookmarkStart w:id="151" w:name="_Toc500523375"/>
      <w:bookmarkStart w:id="152" w:name="_Toc5793779"/>
      <w:r w:rsidRPr="00303273">
        <w:rPr>
          <w:rFonts w:ascii="Arial" w:hAnsi="Arial" w:cs="Arial"/>
          <w:sz w:val="20"/>
        </w:rPr>
        <w:t>9.2 Decisión</w:t>
      </w:r>
      <w:bookmarkEnd w:id="149"/>
      <w:bookmarkEnd w:id="150"/>
      <w:bookmarkEnd w:id="151"/>
      <w:bookmarkEnd w:id="152"/>
    </w:p>
    <w:p w:rsidR="00DD1521" w:rsidRDefault="00DD1521" w:rsidP="00513E63">
      <w:pPr>
        <w:spacing w:after="0" w:line="240" w:lineRule="auto"/>
        <w:jc w:val="both"/>
        <w:rPr>
          <w:rFonts w:ascii="Arial" w:hAnsi="Arial" w:cs="Arial"/>
          <w:sz w:val="20"/>
          <w:szCs w:val="20"/>
        </w:rPr>
      </w:pPr>
      <w:r>
        <w:rPr>
          <w:rFonts w:ascii="Arial" w:hAnsi="Arial" w:cs="Arial"/>
          <w:bCs/>
          <w:sz w:val="20"/>
        </w:rPr>
        <w:t>A pesar de no disponer de resultados maduros en cuanto a supervivencia global, osimertinib ha demostrado un beneficio relevante mejorando la SLP respecto a la terapia estándar en pacientes con mutaciones activadoras del EGFR, tanto en pacientes con mutación T790M tras tratamiento con otro ITK anti-EGFR, como en pacientes sin tratamiento previo. Por lo tanto, l</w:t>
      </w:r>
      <w:r w:rsidRPr="0001434C">
        <w:rPr>
          <w:rFonts w:ascii="Arial" w:hAnsi="Arial" w:cs="Arial"/>
          <w:bCs/>
          <w:sz w:val="20"/>
        </w:rPr>
        <w:t>a propuesta de los autores del informe es que sea clasificado como</w:t>
      </w:r>
      <w:r w:rsidRPr="00513E63">
        <w:rPr>
          <w:rFonts w:ascii="Arial" w:hAnsi="Arial" w:cs="Arial"/>
          <w:b/>
          <w:bCs/>
          <w:sz w:val="20"/>
        </w:rPr>
        <w:t>: criterio</w:t>
      </w:r>
      <w:r>
        <w:rPr>
          <w:rFonts w:ascii="Arial" w:hAnsi="Arial" w:cs="Arial"/>
          <w:bCs/>
          <w:sz w:val="20"/>
        </w:rPr>
        <w:t xml:space="preserve"> </w:t>
      </w:r>
      <w:r w:rsidRPr="00B84B78">
        <w:rPr>
          <w:rFonts w:ascii="Arial" w:hAnsi="Arial" w:cs="Arial"/>
          <w:b/>
          <w:sz w:val="20"/>
          <w:szCs w:val="20"/>
        </w:rPr>
        <w:t>D2. Se incluye en la GFT</w:t>
      </w:r>
      <w:r w:rsidRPr="00B84B78">
        <w:rPr>
          <w:rFonts w:ascii="Arial" w:hAnsi="Arial" w:cs="Arial"/>
          <w:sz w:val="20"/>
          <w:szCs w:val="20"/>
        </w:rPr>
        <w:t xml:space="preserve"> con recomendaciones específicas</w:t>
      </w:r>
      <w:r>
        <w:rPr>
          <w:rFonts w:ascii="Arial" w:hAnsi="Arial" w:cs="Arial"/>
          <w:sz w:val="20"/>
          <w:szCs w:val="20"/>
        </w:rPr>
        <w:t>.</w:t>
      </w:r>
    </w:p>
    <w:p w:rsidR="00DD1521" w:rsidRDefault="00DD1521" w:rsidP="00513E63">
      <w:pPr>
        <w:spacing w:after="0" w:line="240" w:lineRule="auto"/>
        <w:jc w:val="both"/>
        <w:rPr>
          <w:rFonts w:ascii="Arial" w:hAnsi="Arial" w:cs="Arial"/>
          <w:sz w:val="20"/>
          <w:szCs w:val="20"/>
        </w:rPr>
      </w:pPr>
    </w:p>
    <w:p w:rsidR="00DD1521" w:rsidRPr="00303273" w:rsidRDefault="00DD1521" w:rsidP="00513E63">
      <w:pPr>
        <w:pStyle w:val="Ttulo2"/>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hAnsi="Arial" w:cs="Arial"/>
          <w:sz w:val="20"/>
        </w:rPr>
      </w:pPr>
      <w:bookmarkStart w:id="153" w:name="_Toc344399669"/>
      <w:bookmarkStart w:id="154" w:name="_Toc348931400"/>
      <w:bookmarkStart w:id="155" w:name="_Toc500523376"/>
      <w:bookmarkStart w:id="156" w:name="_Toc5793780"/>
      <w:r w:rsidRPr="00303273">
        <w:rPr>
          <w:rFonts w:ascii="Arial" w:hAnsi="Arial" w:cs="Arial"/>
          <w:sz w:val="20"/>
        </w:rPr>
        <w:t>9.3 Condiciones de uso (Solo en caso de clasificación D-E de la guía GINF)</w:t>
      </w:r>
      <w:bookmarkEnd w:id="153"/>
      <w:bookmarkEnd w:id="154"/>
      <w:bookmarkEnd w:id="155"/>
      <w:bookmarkEnd w:id="156"/>
    </w:p>
    <w:p w:rsidR="00DD1521" w:rsidRDefault="00DD1521" w:rsidP="00513E63">
      <w:pPr>
        <w:pStyle w:val="Encabezado"/>
        <w:tabs>
          <w:tab w:val="clear" w:pos="4252"/>
          <w:tab w:val="clear" w:pos="8504"/>
        </w:tabs>
        <w:spacing w:after="0" w:line="240" w:lineRule="auto"/>
        <w:jc w:val="both"/>
        <w:rPr>
          <w:rFonts w:ascii="Arial" w:hAnsi="Arial" w:cs="Arial"/>
          <w:b/>
          <w:bCs/>
          <w:sz w:val="20"/>
        </w:rPr>
      </w:pPr>
    </w:p>
    <w:p w:rsidR="00DD1521" w:rsidRDefault="00DD1521" w:rsidP="00513E63">
      <w:pPr>
        <w:pStyle w:val="Encabezado"/>
        <w:tabs>
          <w:tab w:val="clear" w:pos="4252"/>
          <w:tab w:val="clear" w:pos="8504"/>
        </w:tabs>
        <w:spacing w:after="0" w:line="240" w:lineRule="auto"/>
        <w:jc w:val="both"/>
        <w:rPr>
          <w:rFonts w:ascii="Arial" w:hAnsi="Arial" w:cs="Arial"/>
          <w:bCs/>
          <w:sz w:val="20"/>
        </w:rPr>
      </w:pPr>
      <w:r w:rsidRPr="00513E63">
        <w:rPr>
          <w:rFonts w:ascii="Arial" w:hAnsi="Arial" w:cs="Arial"/>
          <w:b/>
          <w:bCs/>
          <w:sz w:val="20"/>
        </w:rPr>
        <w:t xml:space="preserve">Indicación: </w:t>
      </w:r>
      <w:r w:rsidRPr="00513E63">
        <w:rPr>
          <w:rFonts w:ascii="Arial" w:hAnsi="Arial" w:cs="Arial"/>
          <w:bCs/>
          <w:sz w:val="20"/>
        </w:rPr>
        <w:t xml:space="preserve">Tratamiento de </w:t>
      </w:r>
      <w:r w:rsidRPr="00544BAC">
        <w:rPr>
          <w:rFonts w:ascii="Arial" w:hAnsi="Arial" w:cs="Arial"/>
          <w:b/>
          <w:bCs/>
          <w:sz w:val="20"/>
        </w:rPr>
        <w:t>segunda línea</w:t>
      </w:r>
      <w:r w:rsidRPr="00513E63">
        <w:rPr>
          <w:rFonts w:ascii="Arial" w:hAnsi="Arial" w:cs="Arial"/>
          <w:bCs/>
          <w:sz w:val="20"/>
        </w:rPr>
        <w:t xml:space="preserve"> del CPNM avanzado o metastásico con mutación positiva del EGFR T790M</w:t>
      </w:r>
      <w:r>
        <w:rPr>
          <w:rFonts w:ascii="Arial" w:hAnsi="Arial" w:cs="Arial"/>
          <w:bCs/>
          <w:sz w:val="20"/>
        </w:rPr>
        <w:t>.</w:t>
      </w:r>
    </w:p>
    <w:p w:rsidR="00DD1521" w:rsidRDefault="00DD1521" w:rsidP="00513E63">
      <w:pPr>
        <w:pStyle w:val="Encabezado"/>
        <w:tabs>
          <w:tab w:val="clear" w:pos="4252"/>
          <w:tab w:val="clear" w:pos="8504"/>
        </w:tabs>
        <w:spacing w:after="0" w:line="240" w:lineRule="auto"/>
        <w:jc w:val="both"/>
        <w:rPr>
          <w:rFonts w:ascii="Arial" w:hAnsi="Arial" w:cs="Arial"/>
          <w:b/>
          <w:bCs/>
          <w:sz w:val="20"/>
        </w:rPr>
      </w:pPr>
    </w:p>
    <w:p w:rsidR="00DD1521" w:rsidRDefault="00DD1521" w:rsidP="00513E63">
      <w:pPr>
        <w:pStyle w:val="Encabezado"/>
        <w:tabs>
          <w:tab w:val="clear" w:pos="4252"/>
          <w:tab w:val="clear" w:pos="8504"/>
        </w:tabs>
        <w:spacing w:after="0" w:line="240" w:lineRule="auto"/>
        <w:jc w:val="both"/>
        <w:rPr>
          <w:rFonts w:ascii="Arial" w:hAnsi="Arial" w:cs="Arial"/>
          <w:b/>
          <w:bCs/>
          <w:sz w:val="20"/>
        </w:rPr>
      </w:pPr>
      <w:r w:rsidRPr="00513E63">
        <w:rPr>
          <w:rFonts w:ascii="Arial" w:hAnsi="Arial" w:cs="Arial"/>
          <w:b/>
          <w:bCs/>
          <w:sz w:val="20"/>
        </w:rPr>
        <w:t>Condiciones de uso:</w:t>
      </w:r>
    </w:p>
    <w:p w:rsidR="00DD1521" w:rsidRDefault="00DD1521" w:rsidP="00513E63">
      <w:pPr>
        <w:pStyle w:val="Encabezado"/>
        <w:numPr>
          <w:ilvl w:val="0"/>
          <w:numId w:val="4"/>
        </w:numPr>
        <w:tabs>
          <w:tab w:val="clear" w:pos="4252"/>
          <w:tab w:val="clear" w:pos="8504"/>
        </w:tabs>
        <w:spacing w:after="0" w:line="240" w:lineRule="auto"/>
        <w:jc w:val="both"/>
        <w:rPr>
          <w:rFonts w:ascii="Arial" w:hAnsi="Arial" w:cs="Arial"/>
          <w:bCs/>
          <w:sz w:val="20"/>
        </w:rPr>
      </w:pPr>
      <w:r>
        <w:rPr>
          <w:rFonts w:ascii="Arial" w:hAnsi="Arial" w:cs="Arial"/>
          <w:bCs/>
          <w:sz w:val="20"/>
        </w:rPr>
        <w:t>ECOG 0-1</w:t>
      </w:r>
    </w:p>
    <w:p w:rsidR="00DD1521" w:rsidRPr="00C40E96" w:rsidRDefault="00DD1521" w:rsidP="00513E63">
      <w:pPr>
        <w:pStyle w:val="Encabezado"/>
        <w:numPr>
          <w:ilvl w:val="0"/>
          <w:numId w:val="4"/>
        </w:numPr>
        <w:tabs>
          <w:tab w:val="clear" w:pos="4252"/>
          <w:tab w:val="clear" w:pos="8504"/>
        </w:tabs>
        <w:spacing w:after="0" w:line="240" w:lineRule="auto"/>
        <w:jc w:val="both"/>
        <w:rPr>
          <w:rFonts w:ascii="Arial" w:hAnsi="Arial" w:cs="Arial"/>
          <w:bCs/>
          <w:sz w:val="20"/>
        </w:rPr>
      </w:pPr>
      <w:r w:rsidRPr="00C40E96">
        <w:rPr>
          <w:rFonts w:ascii="Arial" w:hAnsi="Arial" w:cs="Arial"/>
          <w:bCs/>
          <w:sz w:val="20"/>
        </w:rPr>
        <w:t>Progresión a tratamiento previo con un ITK anti-EGFR.</w:t>
      </w:r>
    </w:p>
    <w:p w:rsidR="00DD1521" w:rsidRPr="00C40E96" w:rsidRDefault="00DD1521" w:rsidP="00513E63">
      <w:pPr>
        <w:pStyle w:val="Encabezado"/>
        <w:numPr>
          <w:ilvl w:val="0"/>
          <w:numId w:val="4"/>
        </w:numPr>
        <w:tabs>
          <w:tab w:val="clear" w:pos="4252"/>
          <w:tab w:val="clear" w:pos="8504"/>
        </w:tabs>
        <w:spacing w:after="0" w:line="240" w:lineRule="auto"/>
        <w:jc w:val="both"/>
        <w:rPr>
          <w:rFonts w:ascii="Arial" w:hAnsi="Arial" w:cs="Arial"/>
          <w:bCs/>
          <w:sz w:val="20"/>
        </w:rPr>
      </w:pPr>
      <w:r w:rsidRPr="00C40E96">
        <w:rPr>
          <w:rFonts w:ascii="Arial" w:hAnsi="Arial" w:cs="Arial"/>
          <w:bCs/>
          <w:sz w:val="20"/>
        </w:rPr>
        <w:t xml:space="preserve">Confirmación de mutación T790M con </w:t>
      </w:r>
      <w:r w:rsidRPr="00C40E96">
        <w:rPr>
          <w:rFonts w:ascii="Arial" w:hAnsi="Arial" w:cs="Arial"/>
          <w:sz w:val="20"/>
        </w:rPr>
        <w:t>un test validado a partir de DNA tumoral, de tejido o circulante en el plasma.</w:t>
      </w:r>
    </w:p>
    <w:p w:rsidR="00DD1521" w:rsidRPr="00513E63" w:rsidRDefault="00DD1521" w:rsidP="00513E63">
      <w:pPr>
        <w:pStyle w:val="Encabezado"/>
        <w:tabs>
          <w:tab w:val="clear" w:pos="4252"/>
          <w:tab w:val="clear" w:pos="8504"/>
        </w:tabs>
        <w:spacing w:after="0" w:line="240" w:lineRule="auto"/>
        <w:jc w:val="both"/>
        <w:rPr>
          <w:rFonts w:ascii="Arial" w:hAnsi="Arial" w:cs="Arial"/>
          <w:bCs/>
          <w:sz w:val="20"/>
        </w:rPr>
      </w:pPr>
    </w:p>
    <w:p w:rsidR="00DD1521" w:rsidRDefault="00DD1521" w:rsidP="00513E63">
      <w:pPr>
        <w:pStyle w:val="Encabezado"/>
        <w:tabs>
          <w:tab w:val="clear" w:pos="4252"/>
          <w:tab w:val="clear" w:pos="8504"/>
        </w:tabs>
        <w:spacing w:after="0" w:line="240" w:lineRule="auto"/>
        <w:jc w:val="both"/>
        <w:rPr>
          <w:rFonts w:ascii="Arial" w:hAnsi="Arial" w:cs="Arial"/>
          <w:bCs/>
          <w:sz w:val="20"/>
        </w:rPr>
      </w:pPr>
      <w:r>
        <w:rPr>
          <w:rFonts w:ascii="Arial" w:hAnsi="Arial" w:cs="Arial"/>
          <w:bCs/>
          <w:sz w:val="20"/>
        </w:rPr>
        <w:lastRenderedPageBreak/>
        <w:t>----------------------------------------------------------------------------------------------------------------------------------</w:t>
      </w:r>
    </w:p>
    <w:p w:rsidR="00DD1521" w:rsidRDefault="00DD1521" w:rsidP="00513E63">
      <w:pPr>
        <w:pStyle w:val="Encabezado"/>
        <w:tabs>
          <w:tab w:val="clear" w:pos="4252"/>
          <w:tab w:val="clear" w:pos="8504"/>
        </w:tabs>
        <w:spacing w:after="0" w:line="240" w:lineRule="auto"/>
        <w:jc w:val="both"/>
        <w:rPr>
          <w:rFonts w:ascii="Arial" w:hAnsi="Arial" w:cs="Arial"/>
          <w:bCs/>
          <w:sz w:val="20"/>
        </w:rPr>
      </w:pPr>
    </w:p>
    <w:p w:rsidR="00DD1521" w:rsidRDefault="00DD1521" w:rsidP="00513E63">
      <w:pPr>
        <w:pStyle w:val="Encabezado"/>
        <w:tabs>
          <w:tab w:val="clear" w:pos="4252"/>
          <w:tab w:val="clear" w:pos="8504"/>
        </w:tabs>
        <w:spacing w:after="0" w:line="240" w:lineRule="auto"/>
        <w:jc w:val="both"/>
        <w:rPr>
          <w:rFonts w:ascii="Arial" w:hAnsi="Arial" w:cs="Arial"/>
          <w:b/>
          <w:bCs/>
          <w:sz w:val="20"/>
        </w:rPr>
      </w:pPr>
      <w:r w:rsidRPr="00513E63">
        <w:rPr>
          <w:rFonts w:ascii="Arial" w:hAnsi="Arial" w:cs="Arial"/>
          <w:b/>
          <w:bCs/>
          <w:sz w:val="20"/>
        </w:rPr>
        <w:t>Indicación:</w:t>
      </w:r>
      <w:r>
        <w:rPr>
          <w:rFonts w:ascii="Arial" w:hAnsi="Arial" w:cs="Arial"/>
          <w:b/>
          <w:bCs/>
          <w:sz w:val="20"/>
        </w:rPr>
        <w:t xml:space="preserve"> </w:t>
      </w:r>
      <w:r w:rsidRPr="00513E63">
        <w:rPr>
          <w:rFonts w:ascii="Arial" w:hAnsi="Arial" w:cs="Arial"/>
          <w:bCs/>
          <w:sz w:val="20"/>
        </w:rPr>
        <w:t xml:space="preserve">Tratamiento de </w:t>
      </w:r>
      <w:r w:rsidRPr="00544BAC">
        <w:rPr>
          <w:rFonts w:ascii="Arial" w:hAnsi="Arial" w:cs="Arial"/>
          <w:b/>
          <w:bCs/>
          <w:sz w:val="20"/>
        </w:rPr>
        <w:t xml:space="preserve">primera línea </w:t>
      </w:r>
      <w:r w:rsidRPr="00513E63">
        <w:rPr>
          <w:rFonts w:ascii="Arial" w:hAnsi="Arial" w:cs="Arial"/>
          <w:bCs/>
          <w:sz w:val="20"/>
        </w:rPr>
        <w:t>del CPNM avanzado o metastásico con mutaciones activadoras de EGFR</w:t>
      </w:r>
      <w:r>
        <w:rPr>
          <w:rFonts w:ascii="Arial" w:hAnsi="Arial" w:cs="Arial"/>
          <w:bCs/>
          <w:sz w:val="20"/>
        </w:rPr>
        <w:t>.</w:t>
      </w:r>
    </w:p>
    <w:p w:rsidR="00DD1521" w:rsidRDefault="00DD1521" w:rsidP="00C40E96">
      <w:pPr>
        <w:pStyle w:val="Encabezado"/>
        <w:tabs>
          <w:tab w:val="clear" w:pos="4252"/>
          <w:tab w:val="clear" w:pos="8504"/>
        </w:tabs>
        <w:spacing w:after="0" w:line="240" w:lineRule="auto"/>
        <w:jc w:val="both"/>
        <w:rPr>
          <w:rFonts w:ascii="Arial" w:hAnsi="Arial" w:cs="Arial"/>
          <w:b/>
          <w:bCs/>
          <w:sz w:val="20"/>
        </w:rPr>
      </w:pPr>
    </w:p>
    <w:p w:rsidR="00DD1521" w:rsidRDefault="00DD1521" w:rsidP="00C40E96">
      <w:pPr>
        <w:pStyle w:val="Encabezado"/>
        <w:tabs>
          <w:tab w:val="clear" w:pos="4252"/>
          <w:tab w:val="clear" w:pos="8504"/>
        </w:tabs>
        <w:spacing w:after="0" w:line="240" w:lineRule="auto"/>
        <w:jc w:val="both"/>
        <w:rPr>
          <w:rFonts w:ascii="Arial" w:hAnsi="Arial" w:cs="Arial"/>
          <w:b/>
          <w:bCs/>
          <w:sz w:val="20"/>
        </w:rPr>
      </w:pPr>
      <w:r w:rsidRPr="00513E63">
        <w:rPr>
          <w:rFonts w:ascii="Arial" w:hAnsi="Arial" w:cs="Arial"/>
          <w:b/>
          <w:bCs/>
          <w:sz w:val="20"/>
        </w:rPr>
        <w:t>Condiciones de uso:</w:t>
      </w:r>
    </w:p>
    <w:p w:rsidR="00DD1521" w:rsidRDefault="00DD1521" w:rsidP="00544BAC">
      <w:pPr>
        <w:pStyle w:val="Encabezado"/>
        <w:numPr>
          <w:ilvl w:val="0"/>
          <w:numId w:val="4"/>
        </w:numPr>
        <w:tabs>
          <w:tab w:val="clear" w:pos="4252"/>
          <w:tab w:val="clear" w:pos="8504"/>
        </w:tabs>
        <w:spacing w:after="0" w:line="240" w:lineRule="auto"/>
        <w:jc w:val="both"/>
        <w:rPr>
          <w:rFonts w:ascii="Arial" w:hAnsi="Arial" w:cs="Arial"/>
          <w:bCs/>
          <w:sz w:val="20"/>
        </w:rPr>
      </w:pPr>
      <w:r>
        <w:rPr>
          <w:rFonts w:ascii="Arial" w:hAnsi="Arial" w:cs="Arial"/>
          <w:bCs/>
          <w:sz w:val="20"/>
        </w:rPr>
        <w:t>ECOG 0-1</w:t>
      </w:r>
    </w:p>
    <w:p w:rsidR="00DD1521" w:rsidRDefault="00DD1521" w:rsidP="00544BAC">
      <w:pPr>
        <w:pStyle w:val="Encabezado"/>
        <w:numPr>
          <w:ilvl w:val="0"/>
          <w:numId w:val="4"/>
        </w:numPr>
        <w:tabs>
          <w:tab w:val="clear" w:pos="4252"/>
          <w:tab w:val="clear" w:pos="8504"/>
        </w:tabs>
        <w:spacing w:after="0" w:line="240" w:lineRule="auto"/>
        <w:jc w:val="both"/>
        <w:rPr>
          <w:rFonts w:ascii="Arial" w:hAnsi="Arial" w:cs="Arial"/>
          <w:bCs/>
          <w:sz w:val="20"/>
        </w:rPr>
      </w:pPr>
      <w:r>
        <w:rPr>
          <w:rFonts w:ascii="Arial" w:hAnsi="Arial" w:cs="Arial"/>
          <w:bCs/>
          <w:sz w:val="20"/>
        </w:rPr>
        <w:t>Histología de adenocarcinoma de pulmón.</w:t>
      </w:r>
    </w:p>
    <w:p w:rsidR="00DD1521" w:rsidRDefault="00DD1521" w:rsidP="00544BAC">
      <w:pPr>
        <w:pStyle w:val="Encabezado"/>
        <w:numPr>
          <w:ilvl w:val="0"/>
          <w:numId w:val="4"/>
        </w:numPr>
        <w:tabs>
          <w:tab w:val="clear" w:pos="4252"/>
          <w:tab w:val="clear" w:pos="8504"/>
        </w:tabs>
        <w:spacing w:after="0" w:line="240" w:lineRule="auto"/>
        <w:jc w:val="both"/>
        <w:rPr>
          <w:rFonts w:ascii="Arial" w:hAnsi="Arial" w:cs="Arial"/>
          <w:bCs/>
          <w:sz w:val="20"/>
        </w:rPr>
      </w:pPr>
      <w:r>
        <w:rPr>
          <w:rFonts w:ascii="Arial" w:hAnsi="Arial" w:cs="Arial"/>
          <w:bCs/>
          <w:sz w:val="20"/>
        </w:rPr>
        <w:t>Sin tratamiento previo para la enfermedad avanzada.</w:t>
      </w:r>
    </w:p>
    <w:p w:rsidR="00DD1521" w:rsidRDefault="00DD1521" w:rsidP="00544BAC">
      <w:pPr>
        <w:pStyle w:val="Encabezado"/>
        <w:numPr>
          <w:ilvl w:val="0"/>
          <w:numId w:val="4"/>
        </w:numPr>
        <w:tabs>
          <w:tab w:val="clear" w:pos="4252"/>
          <w:tab w:val="clear" w:pos="8504"/>
        </w:tabs>
        <w:spacing w:after="0" w:line="240" w:lineRule="auto"/>
        <w:jc w:val="both"/>
        <w:rPr>
          <w:rFonts w:ascii="Arial" w:hAnsi="Arial" w:cs="Arial"/>
          <w:bCs/>
          <w:sz w:val="20"/>
        </w:rPr>
      </w:pPr>
      <w:r>
        <w:rPr>
          <w:rFonts w:ascii="Arial" w:hAnsi="Arial" w:cs="Arial"/>
          <w:bCs/>
          <w:sz w:val="20"/>
        </w:rPr>
        <w:t>Presencia de una de las dos mutaciones comunes en EGFR (Ex19del o L858R)</w:t>
      </w:r>
    </w:p>
    <w:p w:rsidR="00DD1521" w:rsidRDefault="00DD1521" w:rsidP="00544BAC">
      <w:pPr>
        <w:pStyle w:val="Encabezado"/>
        <w:numPr>
          <w:ilvl w:val="0"/>
          <w:numId w:val="4"/>
        </w:numPr>
        <w:tabs>
          <w:tab w:val="clear" w:pos="4252"/>
          <w:tab w:val="clear" w:pos="8504"/>
        </w:tabs>
        <w:spacing w:after="0" w:line="240" w:lineRule="auto"/>
        <w:jc w:val="both"/>
        <w:rPr>
          <w:rFonts w:ascii="Arial" w:hAnsi="Arial" w:cs="Arial"/>
          <w:bCs/>
          <w:sz w:val="20"/>
        </w:rPr>
      </w:pPr>
      <w:r>
        <w:rPr>
          <w:rFonts w:ascii="Arial" w:hAnsi="Arial" w:cs="Arial"/>
          <w:bCs/>
          <w:sz w:val="20"/>
        </w:rPr>
        <w:t>Coste de tratamiento ajustado a un coste/AVAC razonable (entre 2.081 € y 2.534 € por envase de 30 comprimidos).</w:t>
      </w:r>
    </w:p>
    <w:p w:rsidR="00DD1521" w:rsidRDefault="00DD1521" w:rsidP="009D7A20">
      <w:pPr>
        <w:pStyle w:val="Encabezado"/>
        <w:tabs>
          <w:tab w:val="clear" w:pos="4252"/>
          <w:tab w:val="clear" w:pos="8504"/>
        </w:tabs>
        <w:spacing w:after="0" w:line="240" w:lineRule="auto"/>
        <w:jc w:val="both"/>
        <w:rPr>
          <w:rFonts w:ascii="Arial" w:hAnsi="Arial" w:cs="Arial"/>
          <w:bCs/>
          <w:sz w:val="20"/>
        </w:rPr>
      </w:pPr>
    </w:p>
    <w:p w:rsidR="00DD1521" w:rsidRDefault="00DD1521" w:rsidP="009D7A20">
      <w:pPr>
        <w:pStyle w:val="Encabezado"/>
        <w:tabs>
          <w:tab w:val="clear" w:pos="4252"/>
          <w:tab w:val="clear" w:pos="8504"/>
        </w:tabs>
        <w:spacing w:after="0" w:line="240" w:lineRule="auto"/>
        <w:jc w:val="both"/>
        <w:rPr>
          <w:rFonts w:ascii="Arial" w:hAnsi="Arial" w:cs="Arial"/>
          <w:bCs/>
          <w:sz w:val="20"/>
        </w:rPr>
      </w:pPr>
    </w:p>
    <w:p w:rsidR="00DD1521" w:rsidRPr="00303273" w:rsidRDefault="00DD1521" w:rsidP="00303273">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57" w:name="_Toc344399670"/>
      <w:bookmarkStart w:id="158" w:name="_Toc348931401"/>
      <w:bookmarkStart w:id="159" w:name="_Toc500523377"/>
      <w:bookmarkStart w:id="160" w:name="_Toc5793781"/>
      <w:r w:rsidRPr="00303273">
        <w:rPr>
          <w:rFonts w:ascii="Arial" w:hAnsi="Arial" w:cs="Arial"/>
          <w:sz w:val="20"/>
        </w:rPr>
        <w:t>9.4 Plan de seguimiento</w:t>
      </w:r>
      <w:bookmarkEnd w:id="157"/>
      <w:bookmarkEnd w:id="158"/>
      <w:bookmarkEnd w:id="159"/>
      <w:bookmarkEnd w:id="160"/>
    </w:p>
    <w:p w:rsidR="00DD1521" w:rsidRDefault="00DD1521" w:rsidP="005D7726">
      <w:pPr>
        <w:pStyle w:val="Encabezado"/>
        <w:tabs>
          <w:tab w:val="clear" w:pos="4252"/>
          <w:tab w:val="clear" w:pos="8504"/>
        </w:tabs>
        <w:spacing w:after="0" w:line="240" w:lineRule="auto"/>
        <w:jc w:val="both"/>
        <w:rPr>
          <w:rFonts w:ascii="Arial" w:hAnsi="Arial" w:cs="Arial"/>
          <w:bCs/>
          <w:sz w:val="20"/>
        </w:rPr>
      </w:pPr>
      <w:r w:rsidRPr="009D7A20">
        <w:rPr>
          <w:rFonts w:ascii="Arial" w:hAnsi="Arial" w:cs="Arial"/>
          <w:bCs/>
          <w:sz w:val="20"/>
        </w:rPr>
        <w:t xml:space="preserve">Debido </w:t>
      </w:r>
      <w:r>
        <w:rPr>
          <w:rFonts w:ascii="Arial" w:hAnsi="Arial" w:cs="Arial"/>
          <w:bCs/>
          <w:sz w:val="20"/>
        </w:rPr>
        <w:t>a la incertidumbre generada por la falta de resultados maduros en cuanto a SG, se deberá hacer un seguimiento de la efectividad de los tratamientos, registrándose la SLP y la SG en la vida real.</w:t>
      </w:r>
    </w:p>
    <w:p w:rsidR="00DD1521" w:rsidRDefault="00DD1521" w:rsidP="005D7726">
      <w:pPr>
        <w:pStyle w:val="Encabezado"/>
        <w:tabs>
          <w:tab w:val="clear" w:pos="4252"/>
          <w:tab w:val="clear" w:pos="8504"/>
        </w:tabs>
        <w:spacing w:after="0" w:line="240" w:lineRule="auto"/>
        <w:jc w:val="both"/>
        <w:rPr>
          <w:rFonts w:ascii="Arial" w:hAnsi="Arial" w:cs="Arial"/>
          <w:bCs/>
          <w:sz w:val="20"/>
        </w:rPr>
      </w:pPr>
    </w:p>
    <w:p w:rsidR="00DD1521" w:rsidRDefault="00DD1521" w:rsidP="005D7726">
      <w:pPr>
        <w:pStyle w:val="Encabezado"/>
        <w:tabs>
          <w:tab w:val="clear" w:pos="4252"/>
          <w:tab w:val="clear" w:pos="8504"/>
        </w:tabs>
        <w:spacing w:after="0" w:line="240" w:lineRule="auto"/>
        <w:jc w:val="both"/>
        <w:rPr>
          <w:rFonts w:ascii="Arial" w:hAnsi="Arial" w:cs="Arial"/>
          <w:bCs/>
          <w:sz w:val="20"/>
        </w:rPr>
      </w:pPr>
      <w:r>
        <w:rPr>
          <w:rFonts w:ascii="Arial" w:hAnsi="Arial" w:cs="Arial"/>
          <w:bCs/>
          <w:sz w:val="20"/>
        </w:rPr>
        <w:t>Además, se deberán reevaluar las condiciones de uso cuando se disponga de datos fiables de SG procedente de los ensayos clínicos en marcha, así como de la eficiencia del tratamiento si hay modificaciones sustanciales en el coste del resto de ITK anti-EGFR actualmente utilizados en esta patología.</w:t>
      </w:r>
    </w:p>
    <w:p w:rsidR="00DD1521" w:rsidRDefault="00DD1521" w:rsidP="005D7726">
      <w:pPr>
        <w:pStyle w:val="Encabezado"/>
        <w:tabs>
          <w:tab w:val="clear" w:pos="4252"/>
          <w:tab w:val="clear" w:pos="8504"/>
        </w:tabs>
        <w:spacing w:after="0" w:line="240" w:lineRule="auto"/>
        <w:jc w:val="both"/>
        <w:rPr>
          <w:rFonts w:ascii="Arial" w:hAnsi="Arial" w:cs="Arial"/>
          <w:bCs/>
          <w:sz w:val="20"/>
        </w:rPr>
      </w:pPr>
    </w:p>
    <w:p w:rsidR="00DD1521" w:rsidRDefault="00DD1521" w:rsidP="005D7726">
      <w:pPr>
        <w:pStyle w:val="Encabezado"/>
        <w:tabs>
          <w:tab w:val="clear" w:pos="4252"/>
          <w:tab w:val="clear" w:pos="8504"/>
        </w:tabs>
        <w:spacing w:after="0" w:line="240" w:lineRule="auto"/>
        <w:jc w:val="both"/>
        <w:rPr>
          <w:rFonts w:ascii="Arial" w:hAnsi="Arial" w:cs="Arial"/>
          <w:bCs/>
          <w:sz w:val="20"/>
        </w:rPr>
      </w:pPr>
      <w:r w:rsidRPr="00B63DF8">
        <w:rPr>
          <w:rFonts w:ascii="Arial" w:hAnsi="Arial" w:cs="Arial"/>
          <w:bCs/>
          <w:sz w:val="20"/>
        </w:rPr>
        <w:t>Si se comercializa dacomitinib en España, se deberá realizar un análisis de minimización de costes para determinar el posicionamiento de ambos.</w:t>
      </w:r>
    </w:p>
    <w:p w:rsidR="00DD1521" w:rsidRPr="00B63DF8" w:rsidRDefault="00DD1521" w:rsidP="005D7726">
      <w:pPr>
        <w:pStyle w:val="Encabezado"/>
        <w:tabs>
          <w:tab w:val="clear" w:pos="4252"/>
          <w:tab w:val="clear" w:pos="8504"/>
        </w:tabs>
        <w:spacing w:after="0" w:line="240" w:lineRule="auto"/>
        <w:jc w:val="both"/>
        <w:rPr>
          <w:rFonts w:ascii="Arial" w:hAnsi="Arial" w:cs="Arial"/>
          <w:bCs/>
          <w:sz w:val="20"/>
        </w:rPr>
      </w:pPr>
    </w:p>
    <w:bookmarkEnd w:id="147"/>
    <w:bookmarkEnd w:id="148"/>
    <w:p w:rsidR="00DD1521" w:rsidRPr="00AD7CD1" w:rsidRDefault="00DD1521" w:rsidP="00B63DF8">
      <w:pPr>
        <w:spacing w:after="0" w:line="240" w:lineRule="auto"/>
        <w:rPr>
          <w:rFonts w:ascii="Arial" w:hAnsi="Arial" w:cs="Arial"/>
          <w:color w:val="0000FF"/>
          <w:sz w:val="20"/>
          <w:szCs w:val="20"/>
          <w:u w:val="single"/>
        </w:rPr>
      </w:pPr>
    </w:p>
    <w:p w:rsidR="00DD1521" w:rsidRPr="00D72D61" w:rsidRDefault="00DD1521">
      <w:pPr>
        <w:pStyle w:val="Ttulo1"/>
        <w:pBdr>
          <w:top w:val="single" w:sz="4" w:space="1" w:color="auto"/>
          <w:left w:val="single" w:sz="4" w:space="4" w:color="auto"/>
          <w:bottom w:val="single" w:sz="4" w:space="1" w:color="auto"/>
          <w:right w:val="single" w:sz="4" w:space="4" w:color="auto"/>
        </w:pBdr>
        <w:shd w:val="clear" w:color="auto" w:fill="A6A6A6"/>
        <w:spacing w:after="0" w:line="240" w:lineRule="auto"/>
        <w:rPr>
          <w:rFonts w:ascii="Arial" w:hAnsi="Arial" w:cs="Arial"/>
          <w:sz w:val="20"/>
          <w:szCs w:val="20"/>
        </w:rPr>
      </w:pPr>
      <w:bookmarkStart w:id="161" w:name="_Toc348931402"/>
      <w:bookmarkStart w:id="162" w:name="_Toc5793782"/>
      <w:r w:rsidRPr="00D72D61">
        <w:rPr>
          <w:rFonts w:ascii="Arial" w:hAnsi="Arial" w:cs="Arial"/>
          <w:sz w:val="20"/>
          <w:szCs w:val="20"/>
        </w:rPr>
        <w:t>10. BIBLIOGRAFÍA</w:t>
      </w:r>
      <w:bookmarkEnd w:id="161"/>
      <w:bookmarkEnd w:id="162"/>
    </w:p>
    <w:p w:rsidR="00DD1521" w:rsidRPr="00D72D61" w:rsidRDefault="00DD1521">
      <w:pPr>
        <w:spacing w:after="0" w:line="240" w:lineRule="auto"/>
        <w:rPr>
          <w:rFonts w:ascii="Arial" w:hAnsi="Arial" w:cs="Arial"/>
          <w:color w:val="0000FF"/>
          <w:sz w:val="20"/>
          <w:szCs w:val="20"/>
          <w:u w:val="single"/>
        </w:rPr>
      </w:pP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D72D61">
        <w:rPr>
          <w:rFonts w:ascii="Arial" w:hAnsi="Arial" w:cs="Arial"/>
          <w:sz w:val="20"/>
          <w:szCs w:val="20"/>
        </w:rPr>
        <w:fldChar w:fldCharType="begin"/>
      </w:r>
      <w:r w:rsidRPr="00D72D61">
        <w:rPr>
          <w:rFonts w:ascii="Arial" w:hAnsi="Arial" w:cs="Arial"/>
          <w:sz w:val="20"/>
          <w:szCs w:val="20"/>
        </w:rPr>
        <w:instrText xml:space="preserve"> ADDIN ZOTERO_BIBL {"custom":[]} CSL_BIBLIOGRAPHY </w:instrText>
      </w:r>
      <w:r w:rsidRPr="00D72D61">
        <w:rPr>
          <w:rFonts w:ascii="Arial" w:hAnsi="Arial" w:cs="Arial"/>
          <w:sz w:val="20"/>
          <w:szCs w:val="20"/>
        </w:rPr>
        <w:fldChar w:fldCharType="separate"/>
      </w:r>
      <w:r w:rsidRPr="00D72D61">
        <w:rPr>
          <w:rFonts w:ascii="Arial" w:hAnsi="Arial" w:cs="Arial"/>
          <w:sz w:val="20"/>
          <w:szCs w:val="20"/>
        </w:rPr>
        <w:t xml:space="preserve">1. </w:t>
      </w:r>
      <w:r w:rsidRPr="00D72D61">
        <w:rPr>
          <w:rFonts w:ascii="Arial" w:hAnsi="Arial" w:cs="Arial"/>
          <w:sz w:val="20"/>
          <w:szCs w:val="20"/>
        </w:rPr>
        <w:tab/>
      </w:r>
      <w:r>
        <w:rPr>
          <w:rFonts w:ascii="Arial" w:hAnsi="Arial" w:cs="Arial"/>
          <w:sz w:val="20"/>
          <w:szCs w:val="20"/>
        </w:rPr>
        <w:t xml:space="preserve">Informe de Posicionamiento Terapéutico de osimertinib (Tagrisso®) en el cáncer de pulmón no microcítico con presencia de la mutación T790M - IPT-osimertinib-Tagrisso-cancer-pulmon-NM-MT790.pdf [Internet]. </w:t>
      </w:r>
      <w:r w:rsidRPr="00544BAC">
        <w:rPr>
          <w:rFonts w:ascii="Arial" w:hAnsi="Arial" w:cs="Arial"/>
          <w:sz w:val="20"/>
          <w:szCs w:val="20"/>
          <w:lang w:val="en-GB"/>
        </w:rPr>
        <w:t xml:space="preserve">[cited 2018 Dec 5]. </w:t>
      </w:r>
      <w:r>
        <w:rPr>
          <w:rFonts w:ascii="Arial" w:hAnsi="Arial" w:cs="Arial"/>
          <w:sz w:val="20"/>
          <w:szCs w:val="20"/>
          <w:lang w:val="en-US"/>
        </w:rPr>
        <w:t>Available from: https://www.aemps.gob.es/medicamentosUsoHumano/informesPublicos/docs/IPT-osimertinib-Tagrisso-cancer-pulmon-NM-MT790.pdf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93AD2">
        <w:rPr>
          <w:rFonts w:ascii="Arial" w:hAnsi="Arial" w:cs="Arial"/>
          <w:sz w:val="20"/>
          <w:szCs w:val="20"/>
        </w:rPr>
        <w:t xml:space="preserve">2. </w:t>
      </w:r>
      <w:r w:rsidRPr="00B93AD2">
        <w:rPr>
          <w:rFonts w:ascii="Arial" w:hAnsi="Arial" w:cs="Arial"/>
          <w:sz w:val="20"/>
          <w:szCs w:val="20"/>
        </w:rPr>
        <w:tab/>
      </w:r>
      <w:r>
        <w:rPr>
          <w:rFonts w:ascii="Arial" w:hAnsi="Arial" w:cs="Arial"/>
          <w:sz w:val="20"/>
          <w:szCs w:val="20"/>
        </w:rPr>
        <w:t xml:space="preserve">Las cifras del cáncer en España 2018 [Internet]. </w:t>
      </w:r>
      <w:r w:rsidRPr="00544BAC">
        <w:rPr>
          <w:rFonts w:ascii="Arial" w:hAnsi="Arial" w:cs="Arial"/>
          <w:sz w:val="20"/>
          <w:szCs w:val="20"/>
          <w:lang w:val="en-GB"/>
        </w:rPr>
        <w:t xml:space="preserve">[cited 2018 Dec 5]. </w:t>
      </w:r>
      <w:r>
        <w:rPr>
          <w:rFonts w:ascii="Arial" w:hAnsi="Arial" w:cs="Arial"/>
          <w:sz w:val="20"/>
          <w:szCs w:val="20"/>
          <w:lang w:val="en-US"/>
        </w:rPr>
        <w:t>Available from: https://seom.org/ultimas-noticias/106525-las-cifras-del-cancer-en-espana-2018</w:t>
      </w:r>
    </w:p>
    <w:p w:rsidR="00DD1521" w:rsidRPr="00D72D61" w:rsidRDefault="00DD1521">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3. </w:t>
      </w:r>
      <w:r>
        <w:rPr>
          <w:rFonts w:ascii="Arial" w:hAnsi="Arial" w:cs="Arial"/>
          <w:sz w:val="20"/>
          <w:szCs w:val="20"/>
        </w:rPr>
        <w:tab/>
        <w:t xml:space="preserve">La carga de cáncer en España [Internet]. </w:t>
      </w:r>
      <w:r w:rsidRPr="00B85537">
        <w:rPr>
          <w:rFonts w:ascii="Arial" w:hAnsi="Arial" w:cs="Arial"/>
          <w:sz w:val="20"/>
          <w:szCs w:val="20"/>
        </w:rPr>
        <w:t>[cited 201</w:t>
      </w:r>
      <w:r>
        <w:rPr>
          <w:rFonts w:ascii="Arial" w:hAnsi="Arial" w:cs="Arial"/>
          <w:sz w:val="20"/>
          <w:szCs w:val="20"/>
        </w:rPr>
        <w:t>9</w:t>
      </w:r>
      <w:r w:rsidRPr="00B85537">
        <w:rPr>
          <w:rFonts w:ascii="Arial" w:hAnsi="Arial" w:cs="Arial"/>
          <w:sz w:val="20"/>
          <w:szCs w:val="20"/>
        </w:rPr>
        <w:t xml:space="preserve"> </w:t>
      </w:r>
      <w:r>
        <w:rPr>
          <w:rFonts w:ascii="Arial" w:hAnsi="Arial" w:cs="Arial"/>
          <w:sz w:val="20"/>
          <w:szCs w:val="20"/>
        </w:rPr>
        <w:t>apr</w:t>
      </w:r>
      <w:r w:rsidRPr="00B85537">
        <w:rPr>
          <w:rFonts w:ascii="Arial" w:hAnsi="Arial" w:cs="Arial"/>
          <w:sz w:val="20"/>
          <w:szCs w:val="20"/>
        </w:rPr>
        <w:t xml:space="preserve"> 5]. </w:t>
      </w:r>
      <w:r w:rsidRPr="00D72D61">
        <w:rPr>
          <w:rFonts w:ascii="Arial" w:hAnsi="Arial" w:cs="Arial"/>
          <w:sz w:val="20"/>
          <w:szCs w:val="20"/>
        </w:rPr>
        <w:t xml:space="preserve">Available from: </w:t>
      </w:r>
      <w:hyperlink r:id="rId18" w:history="1">
        <w:r>
          <w:rPr>
            <w:rStyle w:val="Hipervnculo"/>
            <w:rFonts w:ascii="Arial" w:hAnsi="Arial" w:cs="Arial"/>
            <w:sz w:val="18"/>
            <w:szCs w:val="18"/>
          </w:rPr>
          <w:t>https://www.aimfa.es/wp-content/uploads/2018/06/omakase-lab-3-2018-burden-of-cancer-in-spain.pdf</w:t>
        </w:r>
      </w:hyperlink>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D72D61">
        <w:rPr>
          <w:rFonts w:ascii="Arial" w:hAnsi="Arial" w:cs="Arial"/>
          <w:sz w:val="20"/>
          <w:szCs w:val="20"/>
        </w:rPr>
        <w:t xml:space="preserve">4. </w:t>
      </w:r>
      <w:r w:rsidRPr="00D72D61">
        <w:rPr>
          <w:rFonts w:ascii="Arial" w:hAnsi="Arial" w:cs="Arial"/>
          <w:sz w:val="20"/>
          <w:szCs w:val="20"/>
        </w:rPr>
        <w:tab/>
        <w:t xml:space="preserve">TAGRISSO, INN-osimertinib - tagrisso-epar-public-assessment-report_en.pdf [Internet]. </w:t>
      </w:r>
      <w:r>
        <w:rPr>
          <w:rFonts w:ascii="Arial" w:hAnsi="Arial" w:cs="Arial"/>
          <w:sz w:val="20"/>
          <w:szCs w:val="20"/>
          <w:lang w:val="en-US"/>
        </w:rPr>
        <w:t>[cited 2018 Dec 5]. Available from: https://www.ema.europa.eu/documents/assessment-report/tagrisso-epar-public-assessment-report_en.pdf [cited 2018 Dec 5]. Available from: https://www.ema.europa.eu/documents/variation-report/tagrisso-h-c-4124-ii-0019-epar-assessment-report-variation_en.pdf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5. </w:t>
      </w:r>
      <w:r>
        <w:rPr>
          <w:rFonts w:ascii="Arial" w:hAnsi="Arial" w:cs="Arial"/>
          <w:sz w:val="20"/>
          <w:szCs w:val="20"/>
          <w:lang w:val="en-US"/>
        </w:rPr>
        <w:tab/>
        <w:t>NCCN [Internet]. [cited 2018 Dec 5]. Available from: https://www.nccn.org/professionals/physician_gls/pdf/nscl.pdf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85537">
        <w:rPr>
          <w:rFonts w:ascii="Arial" w:hAnsi="Arial" w:cs="Arial"/>
          <w:sz w:val="20"/>
          <w:szCs w:val="20"/>
          <w:lang w:val="en-US"/>
        </w:rPr>
        <w:t xml:space="preserve">6. </w:t>
      </w:r>
      <w:r w:rsidRPr="00B85537">
        <w:rPr>
          <w:rFonts w:ascii="Arial" w:hAnsi="Arial" w:cs="Arial"/>
          <w:sz w:val="20"/>
          <w:szCs w:val="20"/>
          <w:lang w:val="en-US"/>
        </w:rPr>
        <w:tab/>
        <w:t xml:space="preserve">Haute Autorité de Santé - TAGRISSO (osimertinib), tyrosine kinase inhibitor [Internet]. </w:t>
      </w:r>
      <w:r>
        <w:rPr>
          <w:rFonts w:ascii="Arial" w:hAnsi="Arial" w:cs="Arial"/>
          <w:sz w:val="20"/>
          <w:szCs w:val="20"/>
          <w:lang w:val="en-US"/>
        </w:rPr>
        <w:t>[cited 2018 Dec 5]. Available from: https://www.has-sante.fr/portail/jcms/c_2676714/en/tagrisso-osimertinib-tyrosine-kinase-inhibitor</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7. </w:t>
      </w:r>
      <w:r>
        <w:rPr>
          <w:rFonts w:ascii="Arial" w:hAnsi="Arial" w:cs="Arial"/>
          <w:sz w:val="20"/>
          <w:szCs w:val="20"/>
          <w:lang w:val="en-US"/>
        </w:rPr>
        <w:tab/>
        <w:t>Osimertinib for treating locally advanced or metastatic EGFR T790M mutation-positive non-small-cell lung cancer | Guidance and guidelines | NICE [Internet]. [cited 2018 Dec 5]. Available from: https://www.nice.org.uk/guidance/TA416/chapter/1-Recommendations</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8. </w:t>
      </w:r>
      <w:r>
        <w:rPr>
          <w:rFonts w:ascii="Arial" w:hAnsi="Arial" w:cs="Arial"/>
          <w:sz w:val="20"/>
          <w:szCs w:val="20"/>
          <w:lang w:val="en-US"/>
        </w:rPr>
        <w:tab/>
        <w:t>Tagrisso for Non-Small Cell Lung Cancer – Details | CADTH.ca [Internet]. [cited 2018 Dec 5]. Available from: https://www.cadth.ca/tagrisso-non-small-cell-lung-cancer-details</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9. </w:t>
      </w:r>
      <w:r>
        <w:rPr>
          <w:rFonts w:ascii="Arial" w:hAnsi="Arial" w:cs="Arial"/>
          <w:sz w:val="20"/>
          <w:szCs w:val="20"/>
          <w:lang w:val="en-US"/>
        </w:rPr>
        <w:tab/>
        <w:t xml:space="preserve">ALIMTA, INN-Pemetrexed - FT_04290002.pdf [Internet]. [cited 2018 Dec 5]. Available from: </w:t>
      </w:r>
      <w:r>
        <w:rPr>
          <w:rFonts w:ascii="Arial" w:hAnsi="Arial" w:cs="Arial"/>
          <w:sz w:val="20"/>
          <w:szCs w:val="20"/>
          <w:lang w:val="en-US"/>
        </w:rPr>
        <w:lastRenderedPageBreak/>
        <w:t>https://cima.aemps.es/cima/pdfs/ft/04290002/FT_04290002.pdf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rPr>
        <w:t xml:space="preserve">10. </w:t>
      </w:r>
      <w:r>
        <w:rPr>
          <w:rFonts w:ascii="Arial" w:hAnsi="Arial" w:cs="Arial"/>
          <w:sz w:val="20"/>
          <w:szCs w:val="20"/>
        </w:rPr>
        <w:tab/>
        <w:t xml:space="preserve">FICHA TECNICA TAXOTERE 20 mg/1 ml CONCENTRADO PARA SOLUCION PARA PERFUSION [Internet]. </w:t>
      </w:r>
      <w:r w:rsidRPr="00B85537">
        <w:rPr>
          <w:rFonts w:ascii="Arial" w:hAnsi="Arial" w:cs="Arial"/>
          <w:sz w:val="20"/>
          <w:szCs w:val="20"/>
        </w:rPr>
        <w:t xml:space="preserve">[cited 2018 Dec 5]. </w:t>
      </w:r>
      <w:r>
        <w:rPr>
          <w:rFonts w:ascii="Arial" w:hAnsi="Arial" w:cs="Arial"/>
          <w:sz w:val="20"/>
          <w:szCs w:val="20"/>
          <w:lang w:val="en-US"/>
        </w:rPr>
        <w:t>Available from: https://cima.aemps.es/cima/dochtml/ft/95002003/FT_95002003.html</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11. </w:t>
      </w:r>
      <w:r>
        <w:rPr>
          <w:rFonts w:ascii="Arial" w:hAnsi="Arial" w:cs="Arial"/>
          <w:sz w:val="20"/>
          <w:szCs w:val="20"/>
          <w:lang w:val="en-US"/>
        </w:rPr>
        <w:tab/>
        <w:t>CIMA AEMPS. Ficha técnica Alimta 100 mg. 2009 Sep 20 [cited 2018 Sep 30]; Available from: https://cima.aemps.es/cima/pdfs/es/ft/04290002/FT_04290002.pdf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D72D61">
        <w:rPr>
          <w:rFonts w:ascii="Arial" w:hAnsi="Arial" w:cs="Arial"/>
          <w:sz w:val="20"/>
          <w:szCs w:val="20"/>
          <w:lang w:val="pt-BR"/>
        </w:rPr>
        <w:t xml:space="preserve">12. </w:t>
      </w:r>
      <w:r w:rsidRPr="00D72D61">
        <w:rPr>
          <w:rFonts w:ascii="Arial" w:hAnsi="Arial" w:cs="Arial"/>
          <w:sz w:val="20"/>
          <w:szCs w:val="20"/>
          <w:lang w:val="pt-BR"/>
        </w:rPr>
        <w:tab/>
        <w:t xml:space="preserve">CIMA AEMPS. Ficha técnica taxotere. </w:t>
      </w:r>
      <w:r>
        <w:rPr>
          <w:rFonts w:ascii="Arial" w:hAnsi="Arial" w:cs="Arial"/>
          <w:sz w:val="20"/>
          <w:szCs w:val="20"/>
          <w:lang w:val="en-US"/>
        </w:rPr>
        <w:t>2015 Nov 27 [cited 2018 Sep 30]; Available from: https://cima.aemps.es/cima/pdfs/es/ft/12769002/FT_12769002.pdf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85537">
        <w:rPr>
          <w:rFonts w:ascii="Arial" w:hAnsi="Arial" w:cs="Arial"/>
          <w:sz w:val="20"/>
          <w:szCs w:val="20"/>
          <w:lang w:val="en-US"/>
        </w:rPr>
        <w:t xml:space="preserve">13. </w:t>
      </w:r>
      <w:r w:rsidRPr="00B85537">
        <w:rPr>
          <w:rFonts w:ascii="Arial" w:hAnsi="Arial" w:cs="Arial"/>
          <w:sz w:val="20"/>
          <w:szCs w:val="20"/>
          <w:lang w:val="en-US"/>
        </w:rPr>
        <w:tab/>
        <w:t xml:space="preserve">FICHA TÉCNICA CISPLATINO [Internet]. [cited 2019 Ene 15]. </w:t>
      </w:r>
      <w:r>
        <w:rPr>
          <w:rFonts w:ascii="Arial" w:hAnsi="Arial" w:cs="Arial"/>
          <w:sz w:val="20"/>
          <w:szCs w:val="20"/>
          <w:lang w:val="en-US"/>
        </w:rPr>
        <w:t xml:space="preserve">Available from: https://cima.aemps.es/cima/dochtml/ft/62107/FT_62107.html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85537">
        <w:rPr>
          <w:rFonts w:ascii="Arial" w:hAnsi="Arial" w:cs="Arial"/>
          <w:sz w:val="20"/>
          <w:szCs w:val="20"/>
          <w:lang w:val="en-US"/>
        </w:rPr>
        <w:t xml:space="preserve">14. </w:t>
      </w:r>
      <w:r w:rsidRPr="00B85537">
        <w:rPr>
          <w:rFonts w:ascii="Arial" w:hAnsi="Arial" w:cs="Arial"/>
          <w:sz w:val="20"/>
          <w:szCs w:val="20"/>
          <w:lang w:val="en-US"/>
        </w:rPr>
        <w:tab/>
        <w:t xml:space="preserve">FICHA TÉCNICA CARBOPLATINO [Internet]. </w:t>
      </w:r>
      <w:r w:rsidRPr="00B85537">
        <w:rPr>
          <w:rFonts w:ascii="Arial" w:hAnsi="Arial" w:cs="Arial"/>
          <w:sz w:val="20"/>
          <w:szCs w:val="20"/>
          <w:lang w:val="en-GB"/>
        </w:rPr>
        <w:t xml:space="preserve">[cited 2019 Ene 15]. </w:t>
      </w:r>
      <w:r>
        <w:rPr>
          <w:rFonts w:ascii="Arial" w:hAnsi="Arial" w:cs="Arial"/>
          <w:sz w:val="20"/>
          <w:szCs w:val="20"/>
          <w:lang w:val="en-US"/>
        </w:rPr>
        <w:t>Available from:</w:t>
      </w:r>
      <w:r>
        <w:rPr>
          <w:lang w:val="en-US"/>
        </w:rPr>
        <w:t xml:space="preserve"> </w:t>
      </w:r>
      <w:r>
        <w:rPr>
          <w:rFonts w:ascii="Arial" w:hAnsi="Arial" w:cs="Arial"/>
          <w:sz w:val="20"/>
          <w:szCs w:val="20"/>
          <w:lang w:val="en-US"/>
        </w:rPr>
        <w:t>https://cima.aemps.es/cima/pdfs/ft/62123/FT_62123.pdf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85537">
        <w:rPr>
          <w:rFonts w:ascii="Arial" w:hAnsi="Arial" w:cs="Arial"/>
          <w:sz w:val="20"/>
          <w:szCs w:val="20"/>
          <w:lang w:val="de-DE"/>
        </w:rPr>
        <w:t xml:space="preserve">15. Tarceva, INN-erlotinib - FT_05311003.pdf [Internet]. </w:t>
      </w:r>
      <w:r>
        <w:rPr>
          <w:rFonts w:ascii="Arial" w:hAnsi="Arial" w:cs="Arial"/>
          <w:sz w:val="20"/>
          <w:szCs w:val="20"/>
          <w:lang w:val="en-US"/>
        </w:rPr>
        <w:t>[cited 2018 Dec 5]. Available from: https://cima.aemps.es/cima/pdfs/ft/05311003/FT_05311003.pdf</w:t>
      </w:r>
    </w:p>
    <w:p w:rsidR="00DD1521" w:rsidRPr="00B85537" w:rsidRDefault="00DD1521">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16. FICHA TECNICA IRESSA 250 mg COMPRIMIDOS RECUBIERTOS CON PELICULA [Internet]. </w:t>
      </w:r>
      <w:r w:rsidRPr="00B85537">
        <w:rPr>
          <w:rFonts w:ascii="Arial" w:hAnsi="Arial" w:cs="Arial"/>
          <w:sz w:val="20"/>
          <w:szCs w:val="20"/>
        </w:rPr>
        <w:t>[cited 2018 Dec 5]. Available from: https://cima.aemps.es/cima/dochtml/ft/09526001/FT_09526001.html</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rPr>
        <w:t xml:space="preserve">17. </w:t>
      </w:r>
      <w:r>
        <w:rPr>
          <w:rFonts w:ascii="Arial" w:hAnsi="Arial" w:cs="Arial"/>
          <w:sz w:val="20"/>
          <w:szCs w:val="20"/>
        </w:rPr>
        <w:tab/>
        <w:t xml:space="preserve">FICHA TECNICA GIOTRIF 40 mg comprimidos recubiertos con pelicula [Internet]. </w:t>
      </w:r>
      <w:r>
        <w:rPr>
          <w:rFonts w:ascii="Arial" w:hAnsi="Arial" w:cs="Arial"/>
          <w:sz w:val="20"/>
          <w:szCs w:val="20"/>
          <w:lang w:val="en-US"/>
        </w:rPr>
        <w:t>[cited 2018 Dec 5]. Available from: https://cima.aemps.es/cima/dochtml/ft/113879009/FT_113879009.html</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18. </w:t>
      </w:r>
      <w:r>
        <w:rPr>
          <w:rFonts w:ascii="Arial" w:hAnsi="Arial" w:cs="Arial"/>
          <w:sz w:val="20"/>
          <w:szCs w:val="20"/>
          <w:lang w:val="en-US"/>
        </w:rPr>
        <w:tab/>
        <w:t>Vizimpro® FDA [Internet]. [cited 2019 Feb 1]. Available from: https://www.accessdata.fda.gov/drugsatfda_docs/label/2018/211288s000lbl.pdf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19. </w:t>
      </w:r>
      <w:r>
        <w:rPr>
          <w:rFonts w:ascii="Arial" w:hAnsi="Arial" w:cs="Arial"/>
          <w:sz w:val="20"/>
          <w:szCs w:val="20"/>
          <w:lang w:val="en-US"/>
        </w:rPr>
        <w:tab/>
        <w:t>TAGRISSO (osimertinib) tablet, for oral use - 208065s000lbl.pdf [Internet]. [cited 2018 Dec 5]. Available from: https://www.accessdata.fda.gov/drugsatfda_docs/label/2015/208065s000lbl.pdf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85537">
        <w:rPr>
          <w:rFonts w:ascii="Arial" w:hAnsi="Arial" w:cs="Arial"/>
          <w:sz w:val="20"/>
          <w:szCs w:val="20"/>
          <w:lang w:val="en-US"/>
        </w:rPr>
        <w:t xml:space="preserve">20. </w:t>
      </w:r>
      <w:r w:rsidRPr="00B85537">
        <w:rPr>
          <w:rFonts w:ascii="Arial" w:hAnsi="Arial" w:cs="Arial"/>
          <w:sz w:val="20"/>
          <w:szCs w:val="20"/>
          <w:lang w:val="en-US"/>
        </w:rPr>
        <w:tab/>
        <w:t xml:space="preserve">CIMA AEMPS. Ficha tecnica Tagrisso. </w:t>
      </w:r>
      <w:r>
        <w:rPr>
          <w:rFonts w:ascii="Arial" w:hAnsi="Arial" w:cs="Arial"/>
          <w:sz w:val="20"/>
          <w:szCs w:val="20"/>
          <w:lang w:val="en-US"/>
        </w:rPr>
        <w:t>2016 diciembre [cited 2018 Sep 30]; Available from: https://cima.aemps.es/cima/pdfs/es/ft/1161086002/FT_1161086002.pdf</w:t>
      </w:r>
    </w:p>
    <w:p w:rsidR="00DD1521" w:rsidRPr="00D048CE" w:rsidRDefault="00DD1521">
      <w:pPr>
        <w:widowControl w:val="0"/>
        <w:autoSpaceDE w:val="0"/>
        <w:autoSpaceDN w:val="0"/>
        <w:adjustRightInd w:val="0"/>
        <w:spacing w:after="0" w:line="240" w:lineRule="auto"/>
        <w:jc w:val="both"/>
        <w:rPr>
          <w:rFonts w:ascii="Arial" w:hAnsi="Arial" w:cs="Arial"/>
          <w:sz w:val="20"/>
          <w:szCs w:val="20"/>
          <w:lang w:val="en-GB"/>
        </w:rPr>
      </w:pPr>
      <w:r>
        <w:rPr>
          <w:rFonts w:ascii="Arial" w:hAnsi="Arial" w:cs="Arial"/>
          <w:sz w:val="20"/>
          <w:szCs w:val="20"/>
          <w:lang w:val="en-US"/>
        </w:rPr>
        <w:t xml:space="preserve">21. </w:t>
      </w:r>
      <w:r>
        <w:rPr>
          <w:rFonts w:ascii="Arial" w:hAnsi="Arial" w:cs="Arial"/>
          <w:sz w:val="20"/>
          <w:szCs w:val="20"/>
          <w:lang w:val="en-US"/>
        </w:rPr>
        <w:tab/>
        <w:t xml:space="preserve">Mok TS, Wu Y-L, Ahn M-J, Garassino MC, Kim HR, Ramalingam SS, et al. Osimertinib or Platinum-Pemetrexed in EGFR T790M-Positive Lung Cancer. </w:t>
      </w:r>
      <w:r w:rsidRPr="00D048CE">
        <w:rPr>
          <w:rFonts w:ascii="Arial" w:hAnsi="Arial" w:cs="Arial"/>
          <w:sz w:val="20"/>
          <w:szCs w:val="20"/>
          <w:lang w:val="en-GB"/>
        </w:rPr>
        <w:t xml:space="preserve">N Engl J Med. 2017 16;376(7):629–40.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D048CE">
        <w:rPr>
          <w:rFonts w:ascii="Arial" w:hAnsi="Arial" w:cs="Arial"/>
          <w:sz w:val="20"/>
          <w:szCs w:val="20"/>
          <w:lang w:val="en-GB"/>
        </w:rPr>
        <w:t xml:space="preserve">22. </w:t>
      </w:r>
      <w:r w:rsidRPr="00D048CE">
        <w:rPr>
          <w:rFonts w:ascii="Arial" w:hAnsi="Arial" w:cs="Arial"/>
          <w:sz w:val="20"/>
          <w:szCs w:val="20"/>
          <w:lang w:val="en-GB"/>
        </w:rPr>
        <w:tab/>
        <w:t xml:space="preserve">Uchino J, Nakao A, Tamiya N, Kaneko Y, Yamada T, Yoshimura K, et al. </w:t>
      </w:r>
      <w:r>
        <w:rPr>
          <w:rFonts w:ascii="Arial" w:hAnsi="Arial" w:cs="Arial"/>
          <w:sz w:val="20"/>
          <w:szCs w:val="20"/>
          <w:lang w:val="en-US"/>
        </w:rPr>
        <w:t xml:space="preserve">Treatment rationale and design of the SPIRAL study: A phase II trial of osimertinib in elderly epidermal growth factor receptor T790M-positive nonsmall-cell lung cancer patients who progressed during prior EGFR-TKI treatment. Medicine (Baltimore). 2018 Jun;97(23):e11081. </w:t>
      </w:r>
    </w:p>
    <w:p w:rsidR="00DD1521" w:rsidRPr="00B85537" w:rsidRDefault="00DD1521">
      <w:pPr>
        <w:widowControl w:val="0"/>
        <w:autoSpaceDE w:val="0"/>
        <w:autoSpaceDN w:val="0"/>
        <w:adjustRightInd w:val="0"/>
        <w:spacing w:after="0" w:line="240" w:lineRule="auto"/>
        <w:jc w:val="both"/>
        <w:rPr>
          <w:rFonts w:ascii="Arial" w:hAnsi="Arial" w:cs="Arial"/>
          <w:sz w:val="20"/>
          <w:szCs w:val="20"/>
          <w:lang w:val="sv-SE"/>
        </w:rPr>
      </w:pPr>
      <w:r>
        <w:rPr>
          <w:rFonts w:ascii="Arial" w:hAnsi="Arial" w:cs="Arial"/>
          <w:sz w:val="20"/>
          <w:szCs w:val="20"/>
          <w:lang w:val="en-US"/>
        </w:rPr>
        <w:t xml:space="preserve">23. </w:t>
      </w:r>
      <w:r>
        <w:rPr>
          <w:rFonts w:ascii="Arial" w:hAnsi="Arial" w:cs="Arial"/>
          <w:sz w:val="20"/>
          <w:szCs w:val="20"/>
          <w:lang w:val="en-US"/>
        </w:rPr>
        <w:tab/>
        <w:t xml:space="preserve">Akamatsu H, Katakami N, Okamoto I, Kato T, Kim YH, Imamura F, et al. Osimertinib in Japanese patients with EGFR T790M mutation-positive advanced non-small-cell lung cancer: AURA3 trial. </w:t>
      </w:r>
      <w:r w:rsidRPr="00B85537">
        <w:rPr>
          <w:rFonts w:ascii="Arial" w:hAnsi="Arial" w:cs="Arial"/>
          <w:sz w:val="20"/>
          <w:szCs w:val="20"/>
          <w:lang w:val="sv-SE"/>
        </w:rPr>
        <w:t xml:space="preserve">Cancer Sci. 2018 Jun;109(6):1930–8.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85537">
        <w:rPr>
          <w:rFonts w:ascii="Arial" w:hAnsi="Arial" w:cs="Arial"/>
          <w:sz w:val="20"/>
          <w:szCs w:val="20"/>
          <w:lang w:val="sv-SE"/>
        </w:rPr>
        <w:t xml:space="preserve">24. </w:t>
      </w:r>
      <w:r w:rsidRPr="00B85537">
        <w:rPr>
          <w:rFonts w:ascii="Arial" w:hAnsi="Arial" w:cs="Arial"/>
          <w:sz w:val="20"/>
          <w:szCs w:val="20"/>
          <w:lang w:val="sv-SE"/>
        </w:rPr>
        <w:tab/>
        <w:t xml:space="preserve">Goss G, Tsai C-M, Shepherd FA, Bazhenova L, Lee JS, Chang G-C, et al. </w:t>
      </w:r>
      <w:r>
        <w:rPr>
          <w:rFonts w:ascii="Arial" w:hAnsi="Arial" w:cs="Arial"/>
          <w:sz w:val="20"/>
          <w:szCs w:val="20"/>
          <w:lang w:val="en-US"/>
        </w:rPr>
        <w:t xml:space="preserve">Osimertinib for pretreated EGFR Thr790Met-positive advanced non-small-cell lung cancer (AURA2): a multicentre, open-label, single-arm, phase 2 study. Lancet Oncol. 2016 Dec;17(12):1643–52.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25. </w:t>
      </w:r>
      <w:r>
        <w:rPr>
          <w:rFonts w:ascii="Arial" w:hAnsi="Arial" w:cs="Arial"/>
          <w:sz w:val="20"/>
          <w:szCs w:val="20"/>
          <w:lang w:val="en-US"/>
        </w:rPr>
        <w:tab/>
        <w:t xml:space="preserve">Yang JC-H, Ahn M-J, Kim D-W, Ramalingam SS, Sequist LV, Su W-C, et al. Osimertinib in Pretreated T790M-Positive Advanced Non-Small-Cell Lung Cancer: AURA Study Phase II Extension Component. J Clin Oncol Off J Am Soc Clin Oncol. 2017 Apr 20;35(12):1288–96.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26. </w:t>
      </w:r>
      <w:r>
        <w:rPr>
          <w:rFonts w:ascii="Arial" w:hAnsi="Arial" w:cs="Arial"/>
          <w:sz w:val="20"/>
          <w:szCs w:val="20"/>
          <w:lang w:val="en-US"/>
        </w:rPr>
        <w:tab/>
        <w:t xml:space="preserve">Soria J-C, Ohe Y, Vansteenkiste J, Reungwetwattana T, Chewaskulyong B, Lee KH, et al. Osimertinib in Untreated EGFR-Mutated Advanced Non-Small-Cell Lung Cancer. N Engl J Med. 2018 11;378(2):113–25.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27. </w:t>
      </w:r>
      <w:r>
        <w:rPr>
          <w:rFonts w:ascii="Arial" w:hAnsi="Arial" w:cs="Arial"/>
          <w:sz w:val="20"/>
          <w:szCs w:val="20"/>
          <w:lang w:val="en-US"/>
        </w:rPr>
        <w:tab/>
        <w:t xml:space="preserve">Paz-Ares L, Tan E-H, O’Byrne K, Zhang L, Hirsh V, Boyer M, et al. Afatinib versus gefitinib in patients with EGFR mutation-positive advanced non-small-cell lung cancer: overall survival data from the phase IIb LUX-Lung 7 trial. Ann Oncol Off J Eur Soc Med Oncol. 2017 01;28(2):270–7.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28. </w:t>
      </w:r>
      <w:r>
        <w:rPr>
          <w:rFonts w:ascii="Arial" w:hAnsi="Arial" w:cs="Arial"/>
          <w:sz w:val="20"/>
          <w:szCs w:val="20"/>
          <w:lang w:val="en-US"/>
        </w:rPr>
        <w:tab/>
        <w:t xml:space="preserve">Fiteni F, Westeel V, Bonnetain F. Surrogate endpoints for overall survival in lung cancer trials: a review. Expert Rev Anticancer Ther. 2017;17(5):447–54.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29. </w:t>
      </w:r>
      <w:r>
        <w:rPr>
          <w:rFonts w:ascii="Arial" w:hAnsi="Arial" w:cs="Arial"/>
          <w:sz w:val="20"/>
          <w:szCs w:val="20"/>
          <w:lang w:val="en-US"/>
        </w:rPr>
        <w:tab/>
        <w:t xml:space="preserve">Soria J-C, Wu Y-L, Nakagawa K, Kim S-W, Yang J-J, Ahn M-J, et al. Gefitinib plus chemotherapy versus placebo plus chemotherapy in EGFR-mutation-positive non-small-cell lung cancer after progression on first-line gefitinib (IMPRESS): a phase 3 randomised trial. Lancet Oncol. 2015;16(8):990–8. </w:t>
      </w:r>
    </w:p>
    <w:p w:rsidR="00DD1521" w:rsidRPr="00B85537"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30. </w:t>
      </w:r>
      <w:r>
        <w:rPr>
          <w:rFonts w:ascii="Arial" w:hAnsi="Arial" w:cs="Arial"/>
          <w:sz w:val="20"/>
          <w:szCs w:val="20"/>
          <w:lang w:val="en-US"/>
        </w:rPr>
        <w:tab/>
        <w:t xml:space="preserve">Zhang W, Wei Y, Yu D, Xu J, Peng J. Gefitinib provides similar effectiveness and improved safety than erlotinib for advanced non-small cell lung cancer: A meta-analysis. </w:t>
      </w:r>
      <w:r w:rsidRPr="00B85537">
        <w:rPr>
          <w:rFonts w:ascii="Arial" w:hAnsi="Arial" w:cs="Arial"/>
          <w:sz w:val="20"/>
          <w:szCs w:val="20"/>
          <w:lang w:val="en-US"/>
        </w:rPr>
        <w:t xml:space="preserve">Medicine (Baltimore). </w:t>
      </w:r>
      <w:r w:rsidRPr="00B85537">
        <w:rPr>
          <w:rFonts w:ascii="Arial" w:hAnsi="Arial" w:cs="Arial"/>
          <w:sz w:val="20"/>
          <w:szCs w:val="20"/>
          <w:lang w:val="en-US"/>
        </w:rPr>
        <w:lastRenderedPageBreak/>
        <w:t xml:space="preserve">2018 Apr;97(16):e0460.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85537">
        <w:rPr>
          <w:rFonts w:ascii="Arial" w:hAnsi="Arial" w:cs="Arial"/>
          <w:sz w:val="20"/>
          <w:szCs w:val="20"/>
          <w:lang w:val="en-US"/>
        </w:rPr>
        <w:t xml:space="preserve">31. </w:t>
      </w:r>
      <w:r w:rsidRPr="00B85537">
        <w:rPr>
          <w:rFonts w:ascii="Arial" w:hAnsi="Arial" w:cs="Arial"/>
          <w:sz w:val="20"/>
          <w:szCs w:val="20"/>
          <w:lang w:val="en-US"/>
        </w:rPr>
        <w:tab/>
        <w:t xml:space="preserve">Yang Z, Hackshaw A, Feng Q, Fu X, Zhang Y, Mao C, et al. </w:t>
      </w:r>
      <w:r>
        <w:rPr>
          <w:rFonts w:ascii="Arial" w:hAnsi="Arial" w:cs="Arial"/>
          <w:sz w:val="20"/>
          <w:szCs w:val="20"/>
          <w:lang w:val="en-US"/>
        </w:rPr>
        <w:t xml:space="preserve">Comparison of gefitinib, erlotinib and afatinib in non-small cell lung cancer: A meta-analysis. Int J Cancer. 2017 15;140(12):2805–19.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32. </w:t>
      </w:r>
      <w:r>
        <w:rPr>
          <w:rFonts w:ascii="Arial" w:hAnsi="Arial" w:cs="Arial"/>
          <w:sz w:val="20"/>
          <w:szCs w:val="20"/>
          <w:lang w:val="en-US"/>
        </w:rPr>
        <w:tab/>
        <w:t xml:space="preserve">Attili I, Karachaliou N, Conte P, Bonanno L, Rosell R. Therapeutic approaches for T790M mutation positive non-small-cell lung cancer. Expert Rev Anticancer Ther. 2018;18(10):1021–30.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33. </w:t>
      </w:r>
      <w:r>
        <w:rPr>
          <w:rFonts w:ascii="Arial" w:hAnsi="Arial" w:cs="Arial"/>
          <w:sz w:val="20"/>
          <w:szCs w:val="20"/>
          <w:lang w:val="en-US"/>
        </w:rPr>
        <w:tab/>
        <w:t xml:space="preserve">Lin J-Z, Ma S-K, Wu S-X, Yu S-H, Li X-Y. A network meta-analysis of nonsmall-cell lung cancer patients with an activating EGFR mutation: Should osimertinib be the first-line treatment? Medicine (Baltimore). 2018 Jul;97(30):e11569. </w:t>
      </w:r>
    </w:p>
    <w:p w:rsidR="00DD1521" w:rsidRPr="000F201F" w:rsidRDefault="00DD1521">
      <w:pPr>
        <w:widowControl w:val="0"/>
        <w:autoSpaceDE w:val="0"/>
        <w:autoSpaceDN w:val="0"/>
        <w:adjustRightInd w:val="0"/>
        <w:spacing w:after="0" w:line="240" w:lineRule="auto"/>
        <w:jc w:val="both"/>
        <w:rPr>
          <w:rFonts w:ascii="Arial" w:hAnsi="Arial" w:cs="Arial"/>
          <w:sz w:val="20"/>
          <w:szCs w:val="20"/>
          <w:lang w:val="nl-NL"/>
        </w:rPr>
      </w:pPr>
      <w:r w:rsidRPr="001D63D0">
        <w:rPr>
          <w:rFonts w:ascii="Arial" w:hAnsi="Arial" w:cs="Arial"/>
          <w:sz w:val="20"/>
          <w:szCs w:val="20"/>
          <w:lang w:val="en-US"/>
        </w:rPr>
        <w:t xml:space="preserve">34. </w:t>
      </w:r>
      <w:r w:rsidRPr="001D63D0">
        <w:rPr>
          <w:rFonts w:ascii="Arial" w:hAnsi="Arial" w:cs="Arial"/>
          <w:sz w:val="20"/>
          <w:szCs w:val="20"/>
          <w:lang w:val="en-US"/>
        </w:rPr>
        <w:tab/>
      </w:r>
      <w:r w:rsidRPr="001D63D0">
        <w:rPr>
          <w:rFonts w:ascii="Arial" w:hAnsi="Arial" w:cs="Arial"/>
          <w:bCs/>
          <w:sz w:val="20"/>
          <w:szCs w:val="20"/>
          <w:lang w:val="en-US"/>
        </w:rPr>
        <w:t xml:space="preserve">D. Planchard, S. Popat, K. Kerr, S. Novello, E. F. Smit, C. Faivre-Finn, T. S. Mok, M. Reck, P. E. Van Schil, M. D. Hellmann &amp; S. Peters, on behalf of the ESMO Guidelines Committee. Metastatic Non-Small-Cell Lung Cancer: ESMO Clinical Practice Guidelines for diagnosis, treatment and follow-up. </w:t>
      </w:r>
      <w:r w:rsidRPr="000F201F">
        <w:rPr>
          <w:rFonts w:ascii="Arial" w:hAnsi="Arial" w:cs="Arial"/>
          <w:bCs/>
          <w:sz w:val="20"/>
          <w:szCs w:val="20"/>
          <w:lang w:val="nl-NL"/>
        </w:rPr>
        <w:t>Versión corregida online disponible en:</w:t>
      </w:r>
      <w:r w:rsidRPr="000F201F">
        <w:rPr>
          <w:rFonts w:ascii="Arial" w:hAnsi="Arial" w:cs="Arial"/>
          <w:bCs/>
          <w:color w:val="000080"/>
          <w:sz w:val="20"/>
          <w:szCs w:val="20"/>
          <w:lang w:val="nl-NL"/>
        </w:rPr>
        <w:t xml:space="preserve"> </w:t>
      </w:r>
      <w:hyperlink r:id="rId19" w:history="1">
        <w:r w:rsidRPr="000F201F">
          <w:rPr>
            <w:rStyle w:val="Hipervnculo"/>
            <w:rFonts w:ascii="Arial" w:hAnsi="Arial" w:cs="Arial"/>
            <w:color w:val="000080"/>
            <w:sz w:val="20"/>
            <w:szCs w:val="20"/>
            <w:lang w:val="nl-NL"/>
          </w:rPr>
          <w:t>https://www.esmo.org/Guidelines/Lung-and-Chest-Tumours/Metastatic-Non-Small-Cell-Lung-Cancer</w:t>
        </w:r>
      </w:hyperlink>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0F201F">
        <w:rPr>
          <w:rFonts w:ascii="Arial" w:hAnsi="Arial" w:cs="Arial"/>
          <w:sz w:val="20"/>
          <w:szCs w:val="20"/>
          <w:lang w:val="nl-NL"/>
        </w:rPr>
        <w:t xml:space="preserve">35. </w:t>
      </w:r>
      <w:r w:rsidRPr="000F201F">
        <w:rPr>
          <w:rFonts w:ascii="Arial" w:hAnsi="Arial" w:cs="Arial"/>
          <w:sz w:val="20"/>
          <w:szCs w:val="20"/>
          <w:lang w:val="nl-NL"/>
        </w:rPr>
        <w:tab/>
        <w:t xml:space="preserve">Hanna N, Johnson D, Temin S, Baker S, Brahmer J, Ellis PM, et al. </w:t>
      </w:r>
      <w:r>
        <w:rPr>
          <w:rFonts w:ascii="Arial" w:hAnsi="Arial" w:cs="Arial"/>
          <w:sz w:val="20"/>
          <w:szCs w:val="20"/>
          <w:lang w:val="en-US"/>
        </w:rPr>
        <w:t xml:space="preserve">Systemic Therapy for Stage IV Non-Small-Cell Lung Cancer: American Society of Clinical Oncology Clinical Practice Guideline Update. J Clin Oncol Off J Am Soc Clin Oncol. 2017 Oct 20;35(30):3484–515.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36. </w:t>
      </w:r>
      <w:r>
        <w:rPr>
          <w:rFonts w:ascii="Arial" w:hAnsi="Arial" w:cs="Arial"/>
          <w:sz w:val="20"/>
          <w:szCs w:val="20"/>
          <w:lang w:val="en-US"/>
        </w:rPr>
        <w:tab/>
        <w:t>IPT_OSIMERTINIB.pdf [Internet]. [cited 2018 Dec 5]. Available from: https://seom.org/seomcms/images/stories/Informes_SEOM/IPT_OSIMERTINIB.pdf</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37. </w:t>
      </w:r>
      <w:r>
        <w:rPr>
          <w:rFonts w:ascii="Arial" w:hAnsi="Arial" w:cs="Arial"/>
          <w:sz w:val="20"/>
          <w:szCs w:val="20"/>
          <w:lang w:val="en-US"/>
        </w:rPr>
        <w:tab/>
        <w:t>Tagrisso for Non-Small Cell Lung Cancer (first line) – Details | CADTH.ca [Internet]. [cited 2018 Dec 5]. Available from: https://www.cadth.ca/tagrisso-non-small-cell-lung-cancer-first-line-details</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85537">
        <w:rPr>
          <w:rFonts w:ascii="Arial" w:hAnsi="Arial" w:cs="Arial"/>
          <w:sz w:val="20"/>
          <w:szCs w:val="20"/>
          <w:lang w:val="it-IT"/>
        </w:rPr>
        <w:t xml:space="preserve">38. </w:t>
      </w:r>
      <w:r w:rsidRPr="00B85537">
        <w:rPr>
          <w:rFonts w:ascii="Arial" w:hAnsi="Arial" w:cs="Arial"/>
          <w:sz w:val="20"/>
          <w:szCs w:val="20"/>
          <w:lang w:val="it-IT"/>
        </w:rPr>
        <w:tab/>
        <w:t xml:space="preserve">Yin Y, Li J. Osimertinib in EGFR T790M-Positive Lung Cancer. </w:t>
      </w:r>
      <w:r>
        <w:rPr>
          <w:rFonts w:ascii="Arial" w:hAnsi="Arial" w:cs="Arial"/>
          <w:sz w:val="20"/>
          <w:szCs w:val="20"/>
          <w:lang w:val="en-US"/>
        </w:rPr>
        <w:t xml:space="preserve">N Engl J Med. 2017 18;376(20):1993.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39. </w:t>
      </w:r>
      <w:r>
        <w:rPr>
          <w:rFonts w:ascii="Arial" w:hAnsi="Arial" w:cs="Arial"/>
          <w:sz w:val="20"/>
          <w:szCs w:val="20"/>
          <w:lang w:val="en-US"/>
        </w:rPr>
        <w:tab/>
        <w:t xml:space="preserve">Minari R, Bordi P, Tiseo M. Third-generation epidermal growth factor receptor-tyrosine kinase inhibitors in T790M-positive non-small cell lung cancer: review on emerged mechanisms of resistance. Transl Lung Cancer Res. 2016 Dec;5(6):695–708.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40. </w:t>
      </w:r>
      <w:r>
        <w:rPr>
          <w:rFonts w:ascii="Arial" w:hAnsi="Arial" w:cs="Arial"/>
          <w:sz w:val="20"/>
          <w:szCs w:val="20"/>
          <w:lang w:val="en-US"/>
        </w:rPr>
        <w:tab/>
        <w:t xml:space="preserve">De Marinis F, Cho BC, Kim D-W, Kim S-W, Hochmair MJ, Metro G, et al. ASTRIS: A real world treatment study of osimertinib in patients (pts) with EGFR T790M positive non-small cell lung cancer (NSCLC). J Clin Oncol. 2017 May 20;35(15_suppl):9036–9036.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41. </w:t>
      </w:r>
      <w:r>
        <w:rPr>
          <w:rFonts w:ascii="Arial" w:hAnsi="Arial" w:cs="Arial"/>
          <w:sz w:val="20"/>
          <w:szCs w:val="20"/>
          <w:lang w:val="en-US"/>
        </w:rPr>
        <w:tab/>
        <w:t>Osimertinib in EGFR T790M positive advanced NSCLC (aNSCLC) – real–life data from the French temporary authorization for use (ATU) program | OncologyPRO [Internet]. [cited 2018 Dec 5]. Available from: https://oncologypro.esmo.org/Meeting-Resources/ESMO-2016/Osimertinib-in-EGFR-T790M-positive-advanced-NSCLC-aNSCLC-real-life-data-from-the-French-temporary-authorization-for-use-ATU-program</w:t>
      </w:r>
    </w:p>
    <w:p w:rsidR="00DD1521" w:rsidRPr="00B85537"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42. </w:t>
      </w:r>
      <w:r>
        <w:rPr>
          <w:rFonts w:ascii="Arial" w:hAnsi="Arial" w:cs="Arial"/>
          <w:sz w:val="20"/>
          <w:szCs w:val="20"/>
          <w:lang w:val="en-US"/>
        </w:rPr>
        <w:tab/>
        <w:t xml:space="preserve">Bertranou E, Bodnar C, Dansk V, Greystoke A, Large S, Dyer M. Cost-effectiveness of osimertinib in the UK for advanced EGFR-T790M non-small cell lung cancer. </w:t>
      </w:r>
      <w:r w:rsidRPr="00B85537">
        <w:rPr>
          <w:rFonts w:ascii="Arial" w:hAnsi="Arial" w:cs="Arial"/>
          <w:sz w:val="20"/>
          <w:szCs w:val="20"/>
          <w:lang w:val="en-US"/>
        </w:rPr>
        <w:t xml:space="preserve">J Med Econ. 2018 Feb;21(2):113–21. </w:t>
      </w:r>
    </w:p>
    <w:p w:rsidR="00DD1521" w:rsidRDefault="00DD1521">
      <w:pPr>
        <w:widowControl w:val="0"/>
        <w:autoSpaceDE w:val="0"/>
        <w:autoSpaceDN w:val="0"/>
        <w:adjustRightInd w:val="0"/>
        <w:spacing w:after="0" w:line="240" w:lineRule="auto"/>
        <w:jc w:val="both"/>
        <w:rPr>
          <w:rFonts w:ascii="Arial" w:hAnsi="Arial" w:cs="Arial"/>
          <w:sz w:val="20"/>
          <w:szCs w:val="20"/>
          <w:lang w:val="en-US"/>
        </w:rPr>
      </w:pPr>
      <w:r w:rsidRPr="00B85537">
        <w:rPr>
          <w:rFonts w:ascii="Arial" w:hAnsi="Arial" w:cs="Arial"/>
          <w:sz w:val="20"/>
          <w:szCs w:val="20"/>
          <w:lang w:val="en-US"/>
        </w:rPr>
        <w:t xml:space="preserve">43. </w:t>
      </w:r>
      <w:r w:rsidRPr="00B85537">
        <w:rPr>
          <w:rFonts w:ascii="Arial" w:hAnsi="Arial" w:cs="Arial"/>
          <w:sz w:val="20"/>
          <w:szCs w:val="20"/>
          <w:lang w:val="en-US"/>
        </w:rPr>
        <w:tab/>
        <w:t xml:space="preserve">Ezeife DA, Kirk V, Chew DS, Nixon NA, Lee R, Le LW, et al. </w:t>
      </w:r>
      <w:r>
        <w:rPr>
          <w:rFonts w:ascii="Arial" w:hAnsi="Arial" w:cs="Arial"/>
          <w:sz w:val="20"/>
          <w:szCs w:val="20"/>
          <w:lang w:val="en-US"/>
        </w:rPr>
        <w:t xml:space="preserve">Economic analysis of osimertinib in previously untreated EGFR-mutant advanced non-small cell lung cancer in Canada. Lung Cancer Amst Neth. 2018;125:1–7. </w:t>
      </w:r>
    </w:p>
    <w:p w:rsidR="00DD1521" w:rsidRPr="000F201F" w:rsidRDefault="00DD1521">
      <w:pPr>
        <w:widowControl w:val="0"/>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en-US"/>
        </w:rPr>
        <w:t xml:space="preserve">44. </w:t>
      </w:r>
      <w:r>
        <w:rPr>
          <w:rFonts w:ascii="Arial" w:hAnsi="Arial" w:cs="Arial"/>
          <w:sz w:val="20"/>
          <w:szCs w:val="20"/>
          <w:lang w:val="en-US"/>
        </w:rPr>
        <w:tab/>
        <w:t>Canadian Agency for Drugs and Technologies in Health. Pan-Canadian Oncology Drug Review Inicial Economic Guidance Report Osimertinib (Tagrisso</w:t>
      </w:r>
      <w:r w:rsidRPr="003F64E5">
        <w:rPr>
          <w:rFonts w:ascii="Arial" w:hAnsi="Arial" w:cs="Arial"/>
          <w:sz w:val="20"/>
          <w:szCs w:val="20"/>
          <w:vertAlign w:val="superscript"/>
          <w:lang w:val="en-US"/>
        </w:rPr>
        <w:t>®</w:t>
      </w:r>
      <w:r>
        <w:rPr>
          <w:rFonts w:ascii="Arial" w:hAnsi="Arial" w:cs="Arial"/>
          <w:sz w:val="20"/>
          <w:szCs w:val="20"/>
          <w:lang w:val="en-US"/>
        </w:rPr>
        <w:t xml:space="preserve">) for Non-Small Cell Lung Cancer [Internet]. Ottawa: Canadian Agency for Drugs and Technologies in Health; 2018. [citado 10 de noviembre de 2018]. </w:t>
      </w:r>
      <w:r w:rsidRPr="000F201F">
        <w:rPr>
          <w:rFonts w:ascii="Arial" w:hAnsi="Arial" w:cs="Arial"/>
          <w:sz w:val="20"/>
          <w:szCs w:val="20"/>
          <w:lang w:val="en-US"/>
        </w:rPr>
        <w:t>Disponible en: https://www.cadth.ca</w:t>
      </w:r>
      <w:r>
        <w:rPr>
          <w:rFonts w:ascii="Arial" w:hAnsi="Arial" w:cs="Arial"/>
          <w:sz w:val="20"/>
          <w:szCs w:val="20"/>
          <w:lang w:val="en-US"/>
        </w:rPr>
        <w:t xml:space="preserve"> </w:t>
      </w:r>
    </w:p>
    <w:p w:rsidR="00DD1521" w:rsidRPr="00521123" w:rsidRDefault="00DD1521" w:rsidP="00521123">
      <w:pPr>
        <w:widowControl w:val="0"/>
        <w:autoSpaceDE w:val="0"/>
        <w:autoSpaceDN w:val="0"/>
        <w:adjustRightInd w:val="0"/>
        <w:spacing w:after="0" w:line="240" w:lineRule="auto"/>
        <w:jc w:val="both"/>
        <w:rPr>
          <w:rFonts w:ascii="Arial" w:hAnsi="Arial" w:cs="Arial"/>
          <w:sz w:val="20"/>
          <w:szCs w:val="20"/>
          <w:lang w:val="en-US"/>
        </w:rPr>
      </w:pPr>
      <w:r w:rsidRPr="00521123">
        <w:rPr>
          <w:rFonts w:ascii="Arial" w:hAnsi="Arial" w:cs="Arial"/>
          <w:sz w:val="20"/>
          <w:szCs w:val="20"/>
          <w:lang w:val="en-US"/>
        </w:rPr>
        <w:t>45. Zhang Y, Sheng J, Yang Y, Fang W, Kang S, He Y et al. Optimized selection of three major EGFR-TKIs in advanced EGFR-positive non-small cell lung cancer: a network meta-analysis. Oncotarget. 2016;7(15):20093-20108</w:t>
      </w:r>
    </w:p>
    <w:p w:rsidR="00DD1521" w:rsidRPr="000F201F" w:rsidRDefault="00DD1521" w:rsidP="00521123">
      <w:pPr>
        <w:widowControl w:val="0"/>
        <w:autoSpaceDE w:val="0"/>
        <w:autoSpaceDN w:val="0"/>
        <w:adjustRightInd w:val="0"/>
        <w:spacing w:after="0" w:line="240" w:lineRule="auto"/>
        <w:jc w:val="both"/>
        <w:rPr>
          <w:rFonts w:ascii="Arial" w:hAnsi="Arial" w:cs="Arial"/>
          <w:sz w:val="20"/>
          <w:szCs w:val="20"/>
        </w:rPr>
      </w:pPr>
      <w:r w:rsidRPr="00521123">
        <w:rPr>
          <w:rFonts w:ascii="Arial" w:hAnsi="Arial" w:cs="Arial"/>
          <w:sz w:val="20"/>
          <w:szCs w:val="20"/>
          <w:lang w:val="en-US"/>
        </w:rPr>
        <w:t xml:space="preserve">46. Zhang Y, Zhang Z, Huang X, Kang S, Chen G, Wu M et al. Therapeutic Efficacy Comparison of 5 Major EGFR-TKIs in Advanced EGFR-positive None Small-cell Lung Cancer: A Network Meta-analysis Based on Head-to-Head Trials. </w:t>
      </w:r>
      <w:r w:rsidRPr="000F201F">
        <w:rPr>
          <w:rFonts w:ascii="Arial" w:hAnsi="Arial" w:cs="Arial"/>
          <w:sz w:val="20"/>
          <w:szCs w:val="20"/>
        </w:rPr>
        <w:t>Clinical Lung Cancer, Vol. 18, No. 5, e333-40</w:t>
      </w:r>
    </w:p>
    <w:p w:rsidR="00DD1521" w:rsidRPr="000F201F" w:rsidRDefault="00DD1521" w:rsidP="00521123">
      <w:pPr>
        <w:pStyle w:val="reference"/>
        <w:spacing w:after="0"/>
        <w:ind w:left="0" w:firstLine="0"/>
        <w:rPr>
          <w:bCs/>
          <w:i/>
          <w:color w:val="000080"/>
          <w:sz w:val="16"/>
          <w:szCs w:val="27"/>
          <w:lang w:val="es-ES" w:eastAsia="es-ES"/>
        </w:rPr>
      </w:pPr>
    </w:p>
    <w:p w:rsidR="00DD1521" w:rsidRDefault="00DD1521">
      <w:pPr>
        <w:widowControl w:val="0"/>
        <w:autoSpaceDE w:val="0"/>
        <w:autoSpaceDN w:val="0"/>
        <w:adjustRightInd w:val="0"/>
        <w:spacing w:after="0" w:line="240" w:lineRule="auto"/>
        <w:jc w:val="both"/>
        <w:rPr>
          <w:rFonts w:ascii="Arial" w:hAnsi="Arial" w:cs="Arial"/>
          <w:sz w:val="20"/>
          <w:szCs w:val="20"/>
        </w:rPr>
      </w:pPr>
    </w:p>
    <w:p w:rsidR="00DD1521" w:rsidRDefault="00DD1521">
      <w:pPr>
        <w:widowControl w:val="0"/>
        <w:autoSpaceDE w:val="0"/>
        <w:autoSpaceDN w:val="0"/>
        <w:adjustRightInd w:val="0"/>
        <w:spacing w:after="0" w:line="240" w:lineRule="auto"/>
        <w:jc w:val="both"/>
        <w:rPr>
          <w:rFonts w:ascii="Arial" w:hAnsi="Arial" w:cs="Arial"/>
          <w:sz w:val="20"/>
          <w:szCs w:val="20"/>
        </w:rPr>
      </w:pPr>
    </w:p>
    <w:p w:rsidR="00DD1521" w:rsidRDefault="00DD1521">
      <w:pPr>
        <w:spacing w:after="0" w:line="240" w:lineRule="auto"/>
        <w:jc w:val="both"/>
        <w:rPr>
          <w:rFonts w:ascii="Arial" w:hAnsi="Arial" w:cs="Arial"/>
          <w:sz w:val="20"/>
          <w:szCs w:val="20"/>
        </w:rPr>
      </w:pPr>
      <w:r w:rsidRPr="00D72D61">
        <w:rPr>
          <w:rFonts w:ascii="Arial" w:hAnsi="Arial" w:cs="Arial"/>
          <w:sz w:val="20"/>
          <w:szCs w:val="20"/>
        </w:rPr>
        <w:fldChar w:fldCharType="end"/>
      </w:r>
    </w:p>
    <w:p w:rsidR="00DD1521" w:rsidRDefault="00DD1521">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DD1521" w:rsidRDefault="00DD1521">
      <w:pPr>
        <w:widowControl w:val="0"/>
        <w:autoSpaceDE w:val="0"/>
        <w:autoSpaceDN w:val="0"/>
        <w:adjustRightInd w:val="0"/>
        <w:spacing w:after="0" w:line="240" w:lineRule="auto"/>
        <w:jc w:val="both"/>
        <w:rPr>
          <w:rFonts w:ascii="Arial" w:hAnsi="Arial" w:cs="Arial"/>
          <w:sz w:val="20"/>
          <w:szCs w:val="20"/>
          <w:highlight w:val="yellow"/>
        </w:rPr>
      </w:pPr>
    </w:p>
    <w:p w:rsidR="00DD1521" w:rsidRDefault="00DD1521">
      <w:pPr>
        <w:keepNext/>
        <w:pageBreakBefore/>
        <w:suppressAutoHyphens/>
        <w:spacing w:after="0" w:line="240" w:lineRule="auto"/>
        <w:jc w:val="both"/>
        <w:outlineLvl w:val="1"/>
        <w:rPr>
          <w:rFonts w:ascii="Cambria" w:hAnsi="Cambria" w:cs="Cambria"/>
          <w:b/>
          <w:bCs/>
          <w:i/>
          <w:iCs/>
          <w:sz w:val="28"/>
          <w:szCs w:val="28"/>
          <w:lang w:val="zh-CN" w:eastAsia="zh-CN"/>
        </w:rPr>
      </w:pPr>
      <w:bookmarkStart w:id="163" w:name="_Toc5793783"/>
      <w:bookmarkStart w:id="164" w:name="_Toc505881165"/>
      <w:r>
        <w:rPr>
          <w:rFonts w:ascii="Arial" w:hAnsi="Arial" w:cs="Arial"/>
          <w:b/>
          <w:bCs/>
          <w:sz w:val="20"/>
          <w:szCs w:val="20"/>
          <w:lang w:val="zh-CN" w:eastAsia="zh-CN"/>
        </w:rPr>
        <w:lastRenderedPageBreak/>
        <w:t>Anexo I: Evaluación del riesgo de sesgo de los estudios pivotales.</w:t>
      </w:r>
      <w:bookmarkEnd w:id="163"/>
    </w:p>
    <w:p w:rsidR="00DD1521" w:rsidRDefault="00DD1521">
      <w:pPr>
        <w:tabs>
          <w:tab w:val="left" w:pos="1280"/>
        </w:tabs>
        <w:spacing w:after="0" w:line="240" w:lineRule="auto"/>
        <w:rPr>
          <w:rFonts w:ascii="Arial" w:hAnsi="Arial" w:cs="Arial"/>
          <w:sz w:val="20"/>
          <w:szCs w:val="20"/>
          <w:lang w:val="zh-CN" w:eastAsia="zh-CN"/>
        </w:rPr>
      </w:pPr>
    </w:p>
    <w:tbl>
      <w:tblPr>
        <w:tblW w:w="91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4"/>
        <w:gridCol w:w="4016"/>
        <w:gridCol w:w="1701"/>
        <w:gridCol w:w="1560"/>
      </w:tblGrid>
      <w:tr w:rsidR="00DD1521">
        <w:tc>
          <w:tcPr>
            <w:tcW w:w="9181" w:type="dxa"/>
            <w:gridSpan w:val="4"/>
            <w:shd w:val="clear" w:color="auto" w:fill="CCFFCC"/>
          </w:tcPr>
          <w:p w:rsidR="00DD1521" w:rsidRDefault="00DD1521">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Tabla unificada de sesgos (Colaboración Cochrane) ensayo clínico pivotal AURA 3</w:t>
            </w:r>
          </w:p>
          <w:p w:rsidR="00DD1521" w:rsidRDefault="00DD1521">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Evaluaciones del riesgo de sesgo</w:t>
            </w:r>
          </w:p>
        </w:tc>
      </w:tr>
      <w:tr w:rsidR="00DD1521">
        <w:tc>
          <w:tcPr>
            <w:tcW w:w="1904" w:type="dxa"/>
            <w:shd w:val="clear" w:color="auto" w:fill="E6E6E6"/>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Item</w:t>
            </w:r>
          </w:p>
        </w:tc>
        <w:tc>
          <w:tcPr>
            <w:tcW w:w="4016" w:type="dxa"/>
            <w:shd w:val="clear" w:color="auto" w:fill="E6E6E6"/>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xml:space="preserve">Descripción </w:t>
            </w:r>
          </w:p>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(cita)</w:t>
            </w:r>
          </w:p>
        </w:tc>
        <w:tc>
          <w:tcPr>
            <w:tcW w:w="1701" w:type="dxa"/>
            <w:shd w:val="clear" w:color="auto" w:fill="E6E6E6"/>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b/>
                <w:bCs/>
                <w:sz w:val="16"/>
                <w:szCs w:val="16"/>
              </w:rPr>
              <w:t>Apoyo para la valoración</w:t>
            </w:r>
            <w:r>
              <w:rPr>
                <w:rFonts w:ascii="Arial" w:hAnsi="Arial" w:cs="Arial"/>
                <w:sz w:val="16"/>
                <w:szCs w:val="16"/>
              </w:rPr>
              <w:t>, observaciones que fundamentan la evaluación.</w:t>
            </w:r>
          </w:p>
        </w:tc>
        <w:tc>
          <w:tcPr>
            <w:tcW w:w="1560" w:type="dxa"/>
            <w:shd w:val="clear" w:color="auto" w:fill="E6E6E6"/>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Evaluación del riesgo de sesgo</w:t>
            </w:r>
          </w:p>
          <w:p w:rsidR="00DD1521" w:rsidRDefault="00DD1521">
            <w:pPr>
              <w:autoSpaceDE w:val="0"/>
              <w:autoSpaceDN w:val="0"/>
              <w:adjustRightInd w:val="0"/>
              <w:spacing w:after="0" w:line="240" w:lineRule="auto"/>
              <w:ind w:right="-108"/>
              <w:rPr>
                <w:rFonts w:ascii="Arial" w:hAnsi="Arial" w:cs="Arial"/>
                <w:b/>
                <w:bCs/>
                <w:sz w:val="16"/>
                <w:szCs w:val="16"/>
              </w:rPr>
            </w:pPr>
            <w:r>
              <w:rPr>
                <w:rFonts w:ascii="Arial" w:hAnsi="Arial" w:cs="Arial"/>
                <w:sz w:val="16"/>
                <w:szCs w:val="16"/>
              </w:rPr>
              <w:t>(Alto riesgo, Bajo riesgo, Riesgo poco claro)</w:t>
            </w:r>
          </w:p>
        </w:tc>
      </w:tr>
      <w:tr w:rsidR="00DD1521">
        <w:tc>
          <w:tcPr>
            <w:tcW w:w="9181" w:type="dxa"/>
            <w:gridSpan w:val="4"/>
            <w:shd w:val="clear" w:color="auto" w:fill="CCFFCC"/>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Sesgo de selección</w:t>
            </w:r>
          </w:p>
        </w:tc>
      </w:tr>
      <w:tr w:rsidR="00DD1521">
        <w:tc>
          <w:tcPr>
            <w:tcW w:w="1904" w:type="dxa"/>
            <w:shd w:val="clear" w:color="auto" w:fill="E6E6E6"/>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Generación de la secuencia de aleatorización </w:t>
            </w:r>
          </w:p>
        </w:tc>
        <w:tc>
          <w:tcPr>
            <w:tcW w:w="4016" w:type="dxa"/>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sz w:val="16"/>
                <w:szCs w:val="16"/>
              </w:rPr>
              <w:t>El estudio pivotal fue un ensayo clínico aleatorizado.</w:t>
            </w:r>
          </w:p>
        </w:tc>
        <w:tc>
          <w:tcPr>
            <w:tcW w:w="1701" w:type="dxa"/>
          </w:tcPr>
          <w:p w:rsidR="00DD1521" w:rsidRDefault="00DD1521">
            <w:pPr>
              <w:autoSpaceDE w:val="0"/>
              <w:autoSpaceDN w:val="0"/>
              <w:adjustRightInd w:val="0"/>
              <w:spacing w:after="0" w:line="240" w:lineRule="auto"/>
              <w:rPr>
                <w:rFonts w:ascii="Arial" w:hAnsi="Arial" w:cs="Arial"/>
                <w:b/>
                <w:bCs/>
                <w:sz w:val="16"/>
                <w:szCs w:val="16"/>
              </w:rPr>
            </w:pPr>
          </w:p>
        </w:tc>
        <w:tc>
          <w:tcPr>
            <w:tcW w:w="1560" w:type="dxa"/>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Bajo riesgo</w:t>
            </w:r>
          </w:p>
        </w:tc>
      </w:tr>
      <w:tr w:rsidR="00DD1521">
        <w:tc>
          <w:tcPr>
            <w:tcW w:w="1904" w:type="dxa"/>
            <w:shd w:val="clear" w:color="auto" w:fill="E6E6E6"/>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Ocultación de la asignación </w:t>
            </w:r>
          </w:p>
        </w:tc>
        <w:tc>
          <w:tcPr>
            <w:tcW w:w="4016" w:type="dxa"/>
          </w:tcPr>
          <w:p w:rsidR="00DD1521" w:rsidRDefault="00DD1521">
            <w:pPr>
              <w:autoSpaceDE w:val="0"/>
              <w:autoSpaceDN w:val="0"/>
              <w:adjustRightInd w:val="0"/>
              <w:spacing w:after="0" w:line="240" w:lineRule="auto"/>
              <w:jc w:val="both"/>
              <w:rPr>
                <w:rFonts w:ascii="Arial" w:hAnsi="Arial" w:cs="Arial"/>
                <w:sz w:val="16"/>
                <w:szCs w:val="16"/>
              </w:rPr>
            </w:pPr>
            <w:r>
              <w:rPr>
                <w:rFonts w:ascii="Arial" w:hAnsi="Arial" w:cs="Arial"/>
                <w:sz w:val="16"/>
                <w:szCs w:val="16"/>
              </w:rPr>
              <w:t>El estudio pivotal fue un ensayo clínico aleatorizado.</w:t>
            </w:r>
          </w:p>
        </w:tc>
        <w:tc>
          <w:tcPr>
            <w:tcW w:w="1701" w:type="dxa"/>
          </w:tcPr>
          <w:p w:rsidR="00DD1521" w:rsidRDefault="00DD1521">
            <w:pPr>
              <w:autoSpaceDE w:val="0"/>
              <w:autoSpaceDN w:val="0"/>
              <w:adjustRightInd w:val="0"/>
              <w:spacing w:after="0" w:line="240" w:lineRule="auto"/>
              <w:jc w:val="both"/>
              <w:rPr>
                <w:rFonts w:ascii="Arial" w:hAnsi="Arial" w:cs="Arial"/>
                <w:sz w:val="16"/>
                <w:szCs w:val="16"/>
              </w:rPr>
            </w:pPr>
            <w:r>
              <w:rPr>
                <w:rFonts w:ascii="Arial" w:hAnsi="Arial" w:cs="Arial"/>
                <w:sz w:val="16"/>
                <w:szCs w:val="16"/>
              </w:rPr>
              <w:t>El proceso de aleatorización no aparece detallado en el protocolo de estudio.</w:t>
            </w:r>
          </w:p>
        </w:tc>
        <w:tc>
          <w:tcPr>
            <w:tcW w:w="1560" w:type="dxa"/>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Alto riesgo</w:t>
            </w:r>
          </w:p>
        </w:tc>
      </w:tr>
      <w:tr w:rsidR="00DD1521">
        <w:tc>
          <w:tcPr>
            <w:tcW w:w="9181" w:type="dxa"/>
            <w:gridSpan w:val="4"/>
            <w:shd w:val="clear" w:color="auto" w:fill="CCFFCC"/>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Sesgo de realización</w:t>
            </w:r>
          </w:p>
        </w:tc>
      </w:tr>
      <w:tr w:rsidR="00DD1521">
        <w:tc>
          <w:tcPr>
            <w:tcW w:w="1904" w:type="dxa"/>
            <w:shd w:val="clear" w:color="auto" w:fill="E6E6E6"/>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Cegamiento de los participantes y del personal </w:t>
            </w:r>
          </w:p>
        </w:tc>
        <w:tc>
          <w:tcPr>
            <w:tcW w:w="4016" w:type="dxa"/>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Estudio abierto</w:t>
            </w:r>
          </w:p>
        </w:tc>
        <w:tc>
          <w:tcPr>
            <w:tcW w:w="1701" w:type="dxa"/>
          </w:tcPr>
          <w:p w:rsidR="00DD1521" w:rsidRDefault="00DD1521">
            <w:pPr>
              <w:autoSpaceDE w:val="0"/>
              <w:autoSpaceDN w:val="0"/>
              <w:adjustRightInd w:val="0"/>
              <w:spacing w:after="0" w:line="240" w:lineRule="auto"/>
              <w:rPr>
                <w:rFonts w:ascii="Arial" w:hAnsi="Arial" w:cs="Arial"/>
                <w:b/>
                <w:bCs/>
                <w:sz w:val="16"/>
                <w:szCs w:val="16"/>
              </w:rPr>
            </w:pPr>
          </w:p>
        </w:tc>
        <w:tc>
          <w:tcPr>
            <w:tcW w:w="1560" w:type="dxa"/>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Alto riesgo</w:t>
            </w:r>
          </w:p>
        </w:tc>
      </w:tr>
      <w:tr w:rsidR="00DD1521">
        <w:tc>
          <w:tcPr>
            <w:tcW w:w="9181" w:type="dxa"/>
            <w:gridSpan w:val="4"/>
            <w:shd w:val="clear" w:color="auto" w:fill="CCFFCC"/>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Sesgo de detección</w:t>
            </w:r>
          </w:p>
        </w:tc>
      </w:tr>
      <w:tr w:rsidR="00DD1521">
        <w:tc>
          <w:tcPr>
            <w:tcW w:w="1904" w:type="dxa"/>
            <w:shd w:val="clear" w:color="auto" w:fill="E6E6E6"/>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Cegamiento de los evaluadores </w:t>
            </w:r>
          </w:p>
        </w:tc>
        <w:tc>
          <w:tcPr>
            <w:tcW w:w="4016" w:type="dxa"/>
            <w:vMerge w:val="restart"/>
          </w:tcPr>
          <w:p w:rsidR="00DD1521" w:rsidRDefault="00DD1521">
            <w:pPr>
              <w:spacing w:after="0" w:line="240" w:lineRule="auto"/>
              <w:jc w:val="both"/>
              <w:rPr>
                <w:rFonts w:ascii="Arial" w:hAnsi="Arial" w:cs="Arial"/>
                <w:sz w:val="16"/>
                <w:szCs w:val="16"/>
              </w:rPr>
            </w:pPr>
            <w:r>
              <w:rPr>
                <w:rFonts w:ascii="Arial" w:hAnsi="Arial" w:cs="Arial"/>
                <w:sz w:val="16"/>
                <w:szCs w:val="16"/>
              </w:rPr>
              <w:t>Estudio abierto</w:t>
            </w:r>
          </w:p>
          <w:p w:rsidR="00DD1521" w:rsidRDefault="00DD1521">
            <w:pPr>
              <w:autoSpaceDE w:val="0"/>
              <w:autoSpaceDN w:val="0"/>
              <w:adjustRightInd w:val="0"/>
              <w:spacing w:after="0" w:line="240" w:lineRule="auto"/>
              <w:rPr>
                <w:rFonts w:ascii="Arial" w:hAnsi="Arial" w:cs="Arial"/>
                <w:sz w:val="16"/>
                <w:szCs w:val="16"/>
              </w:rPr>
            </w:pPr>
          </w:p>
        </w:tc>
        <w:tc>
          <w:tcPr>
            <w:tcW w:w="1701" w:type="dxa"/>
            <w:vMerge w:val="restart"/>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sz w:val="16"/>
                <w:szCs w:val="16"/>
              </w:rPr>
              <w:t>La naturaleza abierta de los estudios no permite descartar una evaluación sesgada de los resultados a favor de osimertinib, si los evaluadores (investigadores y pacientes) creían en el potencial beneficio del fármaco. Este riesgo de sesgo intentó minimizarse mediante la evaluación de las variables de respuesta por parte de un CRI, en base a criterios estandarizados (RECIST 1.1).</w:t>
            </w:r>
          </w:p>
        </w:tc>
        <w:tc>
          <w:tcPr>
            <w:tcW w:w="1560" w:type="dxa"/>
            <w:vMerge w:val="restart"/>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Alto riesgo</w:t>
            </w:r>
          </w:p>
          <w:p w:rsidR="00DD1521" w:rsidRDefault="00DD1521">
            <w:pPr>
              <w:autoSpaceDE w:val="0"/>
              <w:autoSpaceDN w:val="0"/>
              <w:adjustRightInd w:val="0"/>
              <w:spacing w:after="0" w:line="240" w:lineRule="auto"/>
              <w:rPr>
                <w:rFonts w:ascii="Arial" w:hAnsi="Arial" w:cs="Arial"/>
                <w:sz w:val="16"/>
                <w:szCs w:val="16"/>
              </w:rPr>
            </w:pPr>
          </w:p>
        </w:tc>
      </w:tr>
      <w:tr w:rsidR="00DD1521">
        <w:tc>
          <w:tcPr>
            <w:tcW w:w="1904" w:type="dxa"/>
            <w:shd w:val="clear" w:color="auto" w:fill="E6E6E6"/>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Cegamiento de los evaluadores  del resultado </w:t>
            </w:r>
          </w:p>
        </w:tc>
        <w:tc>
          <w:tcPr>
            <w:tcW w:w="4016" w:type="dxa"/>
            <w:vMerge/>
          </w:tcPr>
          <w:p w:rsidR="00DD1521" w:rsidRDefault="00DD1521">
            <w:pPr>
              <w:autoSpaceDE w:val="0"/>
              <w:autoSpaceDN w:val="0"/>
              <w:adjustRightInd w:val="0"/>
              <w:spacing w:after="0" w:line="240" w:lineRule="auto"/>
              <w:rPr>
                <w:rFonts w:ascii="Arial" w:hAnsi="Arial" w:cs="Arial"/>
                <w:sz w:val="16"/>
                <w:szCs w:val="16"/>
              </w:rPr>
            </w:pPr>
          </w:p>
        </w:tc>
        <w:tc>
          <w:tcPr>
            <w:tcW w:w="1701" w:type="dxa"/>
            <w:vMerge/>
          </w:tcPr>
          <w:p w:rsidR="00DD1521" w:rsidRDefault="00DD1521">
            <w:pPr>
              <w:autoSpaceDE w:val="0"/>
              <w:autoSpaceDN w:val="0"/>
              <w:adjustRightInd w:val="0"/>
              <w:spacing w:after="0" w:line="240" w:lineRule="auto"/>
              <w:rPr>
                <w:rFonts w:ascii="Arial" w:hAnsi="Arial" w:cs="Arial"/>
                <w:b/>
                <w:bCs/>
                <w:sz w:val="16"/>
                <w:szCs w:val="16"/>
              </w:rPr>
            </w:pPr>
          </w:p>
        </w:tc>
        <w:tc>
          <w:tcPr>
            <w:tcW w:w="1560" w:type="dxa"/>
            <w:vMerge/>
          </w:tcPr>
          <w:p w:rsidR="00DD1521" w:rsidRDefault="00DD1521">
            <w:pPr>
              <w:autoSpaceDE w:val="0"/>
              <w:autoSpaceDN w:val="0"/>
              <w:adjustRightInd w:val="0"/>
              <w:spacing w:after="0" w:line="240" w:lineRule="auto"/>
              <w:rPr>
                <w:rFonts w:ascii="Arial" w:hAnsi="Arial" w:cs="Arial"/>
                <w:sz w:val="16"/>
                <w:szCs w:val="16"/>
              </w:rPr>
            </w:pPr>
          </w:p>
        </w:tc>
      </w:tr>
      <w:tr w:rsidR="00DD1521">
        <w:tc>
          <w:tcPr>
            <w:tcW w:w="9181" w:type="dxa"/>
            <w:gridSpan w:val="4"/>
            <w:shd w:val="clear" w:color="auto" w:fill="CCFFCC"/>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Sesgo de desgaste</w:t>
            </w:r>
          </w:p>
        </w:tc>
      </w:tr>
      <w:tr w:rsidR="00DD1521">
        <w:tc>
          <w:tcPr>
            <w:tcW w:w="1904" w:type="dxa"/>
            <w:shd w:val="clear" w:color="auto" w:fill="E6E6E6"/>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Manejo de los datos de resultado incompletos </w:t>
            </w:r>
          </w:p>
        </w:tc>
        <w:tc>
          <w:tcPr>
            <w:tcW w:w="4016" w:type="dxa"/>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El manejo de los datos fue adecuado</w:t>
            </w:r>
          </w:p>
        </w:tc>
        <w:tc>
          <w:tcPr>
            <w:tcW w:w="1701" w:type="dxa"/>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sz w:val="16"/>
                <w:szCs w:val="16"/>
              </w:rPr>
              <w:t>Se detalla todos los grupos de pacientes creados, así como las exclusiones y abandonos en cada grupo</w:t>
            </w:r>
          </w:p>
        </w:tc>
        <w:tc>
          <w:tcPr>
            <w:tcW w:w="1560" w:type="dxa"/>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Bajo riesgo</w:t>
            </w:r>
          </w:p>
        </w:tc>
      </w:tr>
      <w:tr w:rsidR="00DD1521">
        <w:tc>
          <w:tcPr>
            <w:tcW w:w="9181" w:type="dxa"/>
            <w:gridSpan w:val="4"/>
            <w:shd w:val="clear" w:color="auto" w:fill="CCFFCC"/>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Sesgo de notificación</w:t>
            </w:r>
          </w:p>
        </w:tc>
      </w:tr>
      <w:tr w:rsidR="00DD1521">
        <w:tc>
          <w:tcPr>
            <w:tcW w:w="1904" w:type="dxa"/>
            <w:shd w:val="clear" w:color="auto" w:fill="E6E6E6"/>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Notificación selectiva de resultados </w:t>
            </w:r>
          </w:p>
        </w:tc>
        <w:tc>
          <w:tcPr>
            <w:tcW w:w="4016" w:type="dxa"/>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El análisis de las variables de eficacia se hizo mediante un análisis por intención de tratar.</w:t>
            </w:r>
          </w:p>
        </w:tc>
        <w:tc>
          <w:tcPr>
            <w:tcW w:w="1701" w:type="dxa"/>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En la evaluación de la seguridad se incluyeron todos los pacientes que habían recibido al menos una dosis de fármaco en la población por intención de tratar.</w:t>
            </w:r>
          </w:p>
        </w:tc>
        <w:tc>
          <w:tcPr>
            <w:tcW w:w="1560" w:type="dxa"/>
          </w:tcPr>
          <w:p w:rsidR="00DD1521" w:rsidRDefault="00DD1521">
            <w:pPr>
              <w:autoSpaceDE w:val="0"/>
              <w:autoSpaceDN w:val="0"/>
              <w:adjustRightInd w:val="0"/>
              <w:spacing w:after="0" w:line="240" w:lineRule="auto"/>
              <w:rPr>
                <w:rFonts w:ascii="Arial" w:hAnsi="Arial" w:cs="Arial"/>
                <w:sz w:val="16"/>
                <w:szCs w:val="16"/>
              </w:rPr>
            </w:pPr>
            <w:r>
              <w:rPr>
                <w:rFonts w:ascii="Arial" w:hAnsi="Arial" w:cs="Arial"/>
                <w:sz w:val="16"/>
                <w:szCs w:val="16"/>
              </w:rPr>
              <w:t>Bajo riesgo</w:t>
            </w:r>
          </w:p>
        </w:tc>
      </w:tr>
      <w:tr w:rsidR="00DD1521">
        <w:tc>
          <w:tcPr>
            <w:tcW w:w="9181" w:type="dxa"/>
            <w:gridSpan w:val="4"/>
            <w:shd w:val="clear" w:color="auto" w:fill="CCFFCC"/>
          </w:tcPr>
          <w:p w:rsidR="00DD1521" w:rsidRDefault="00DD152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Otros sesgos</w:t>
            </w:r>
          </w:p>
        </w:tc>
      </w:tr>
      <w:tr w:rsidR="00DD1521">
        <w:tc>
          <w:tcPr>
            <w:tcW w:w="1904" w:type="dxa"/>
            <w:shd w:val="clear" w:color="auto" w:fill="E6E6E6"/>
          </w:tcPr>
          <w:p w:rsidR="00DD1521" w:rsidRDefault="00DD1521">
            <w:pPr>
              <w:autoSpaceDE w:val="0"/>
              <w:autoSpaceDN w:val="0"/>
              <w:adjustRightInd w:val="0"/>
              <w:spacing w:after="0" w:line="240" w:lineRule="auto"/>
              <w:rPr>
                <w:rFonts w:ascii="Arial" w:hAnsi="Arial" w:cs="Arial"/>
                <w:sz w:val="16"/>
                <w:szCs w:val="16"/>
              </w:rPr>
            </w:pPr>
          </w:p>
        </w:tc>
        <w:tc>
          <w:tcPr>
            <w:tcW w:w="4016" w:type="dxa"/>
          </w:tcPr>
          <w:p w:rsidR="00DD1521" w:rsidRDefault="00DD1521">
            <w:pPr>
              <w:autoSpaceDE w:val="0"/>
              <w:autoSpaceDN w:val="0"/>
              <w:adjustRightInd w:val="0"/>
              <w:spacing w:after="0" w:line="240" w:lineRule="auto"/>
              <w:rPr>
                <w:rFonts w:ascii="Arial" w:hAnsi="Arial" w:cs="Arial"/>
                <w:b/>
                <w:bCs/>
                <w:sz w:val="16"/>
                <w:szCs w:val="16"/>
              </w:rPr>
            </w:pPr>
          </w:p>
        </w:tc>
        <w:tc>
          <w:tcPr>
            <w:tcW w:w="1701" w:type="dxa"/>
          </w:tcPr>
          <w:p w:rsidR="00DD1521" w:rsidRDefault="00DD1521">
            <w:pPr>
              <w:autoSpaceDE w:val="0"/>
              <w:autoSpaceDN w:val="0"/>
              <w:adjustRightInd w:val="0"/>
              <w:spacing w:after="0" w:line="240" w:lineRule="auto"/>
              <w:rPr>
                <w:rFonts w:ascii="Arial" w:hAnsi="Arial" w:cs="Arial"/>
                <w:b/>
                <w:bCs/>
                <w:sz w:val="16"/>
                <w:szCs w:val="16"/>
              </w:rPr>
            </w:pPr>
          </w:p>
        </w:tc>
        <w:tc>
          <w:tcPr>
            <w:tcW w:w="1560" w:type="dxa"/>
          </w:tcPr>
          <w:p w:rsidR="00DD1521" w:rsidRDefault="00DD1521">
            <w:pPr>
              <w:autoSpaceDE w:val="0"/>
              <w:autoSpaceDN w:val="0"/>
              <w:adjustRightInd w:val="0"/>
              <w:spacing w:after="0" w:line="240" w:lineRule="auto"/>
              <w:rPr>
                <w:rFonts w:ascii="Arial" w:hAnsi="Arial" w:cs="Arial"/>
                <w:b/>
                <w:bCs/>
                <w:sz w:val="16"/>
                <w:szCs w:val="16"/>
              </w:rPr>
            </w:pPr>
          </w:p>
        </w:tc>
      </w:tr>
    </w:tbl>
    <w:p w:rsidR="00DD1521" w:rsidRDefault="00DD1521">
      <w:pPr>
        <w:tabs>
          <w:tab w:val="left" w:pos="1280"/>
        </w:tabs>
        <w:spacing w:after="0" w:line="240" w:lineRule="auto"/>
        <w:rPr>
          <w:rFonts w:ascii="Arial" w:hAnsi="Arial" w:cs="Arial"/>
          <w:b/>
          <w:bCs/>
          <w:sz w:val="20"/>
          <w:szCs w:val="20"/>
          <w:lang w:val="zh-CN" w:eastAsia="zh-CN"/>
        </w:rPr>
      </w:pPr>
    </w:p>
    <w:p w:rsidR="00DD1521" w:rsidRDefault="00DD1521">
      <w:pPr>
        <w:tabs>
          <w:tab w:val="left" w:pos="1280"/>
        </w:tabs>
        <w:spacing w:after="0" w:line="240" w:lineRule="auto"/>
        <w:rPr>
          <w:rFonts w:ascii="Arial" w:hAnsi="Arial" w:cs="Arial"/>
          <w:b/>
          <w:bCs/>
          <w:sz w:val="20"/>
          <w:szCs w:val="20"/>
          <w:lang w:val="zh-CN" w:eastAsia="zh-CN"/>
        </w:rPr>
      </w:pPr>
    </w:p>
    <w:p w:rsidR="00DD1521" w:rsidRDefault="00DD1521">
      <w:pPr>
        <w:tabs>
          <w:tab w:val="left" w:pos="1280"/>
        </w:tabs>
        <w:spacing w:after="0" w:line="240" w:lineRule="auto"/>
        <w:rPr>
          <w:rFonts w:ascii="Arial" w:hAnsi="Arial" w:cs="Arial"/>
          <w:b/>
          <w:bCs/>
          <w:sz w:val="20"/>
          <w:szCs w:val="20"/>
          <w:lang w:val="zh-CN" w:eastAsia="zh-CN"/>
        </w:rPr>
      </w:pPr>
    </w:p>
    <w:p w:rsidR="00DD1521" w:rsidRDefault="00DD1521">
      <w:pPr>
        <w:tabs>
          <w:tab w:val="left" w:pos="1280"/>
        </w:tabs>
        <w:spacing w:after="0" w:line="240" w:lineRule="auto"/>
        <w:rPr>
          <w:rFonts w:ascii="Arial" w:hAnsi="Arial" w:cs="Arial"/>
          <w:b/>
          <w:bCs/>
          <w:sz w:val="20"/>
          <w:szCs w:val="20"/>
          <w:lang w:val="zh-CN" w:eastAsia="zh-CN"/>
        </w:rPr>
      </w:pPr>
    </w:p>
    <w:p w:rsidR="00DD1521" w:rsidRDefault="00DD1521">
      <w:pPr>
        <w:tabs>
          <w:tab w:val="left" w:pos="1280"/>
        </w:tabs>
        <w:spacing w:after="0" w:line="240" w:lineRule="auto"/>
        <w:rPr>
          <w:rFonts w:ascii="Arial" w:hAnsi="Arial" w:cs="Arial"/>
          <w:b/>
          <w:bCs/>
          <w:sz w:val="20"/>
          <w:szCs w:val="20"/>
          <w:lang w:val="zh-CN" w:eastAsia="zh-CN"/>
        </w:rPr>
      </w:pPr>
    </w:p>
    <w:tbl>
      <w:tblPr>
        <w:tblW w:w="91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4"/>
        <w:gridCol w:w="4016"/>
        <w:gridCol w:w="1701"/>
        <w:gridCol w:w="1560"/>
      </w:tblGrid>
      <w:tr w:rsidR="00DD1521">
        <w:tc>
          <w:tcPr>
            <w:tcW w:w="9181" w:type="dxa"/>
            <w:gridSpan w:val="4"/>
            <w:shd w:val="clear" w:color="auto" w:fill="CCFFCC"/>
          </w:tcPr>
          <w:bookmarkEnd w:id="164"/>
          <w:p w:rsidR="00DD1521" w:rsidRDefault="00DD1521">
            <w:pPr>
              <w:pStyle w:val="Normal1"/>
              <w:spacing w:after="0" w:line="240" w:lineRule="auto"/>
              <w:rPr>
                <w:rFonts w:ascii="Arial" w:hAnsi="Arial" w:cs="Arial"/>
                <w:b/>
                <w:bCs/>
                <w:sz w:val="18"/>
                <w:szCs w:val="18"/>
              </w:rPr>
            </w:pPr>
            <w:r>
              <w:rPr>
                <w:rFonts w:ascii="Arial" w:hAnsi="Arial" w:cs="Arial"/>
                <w:b/>
                <w:bCs/>
                <w:sz w:val="18"/>
                <w:szCs w:val="18"/>
              </w:rPr>
              <w:t>Tabla unificada de sesgos (Colaboración Cochrane) ensayo clínico FLAURA</w:t>
            </w:r>
          </w:p>
          <w:p w:rsidR="00DD1521" w:rsidRDefault="00DD1521">
            <w:pPr>
              <w:pStyle w:val="Normal1"/>
              <w:spacing w:after="0" w:line="240" w:lineRule="auto"/>
              <w:rPr>
                <w:rFonts w:ascii="Arial" w:hAnsi="Arial" w:cs="Arial"/>
                <w:b/>
                <w:bCs/>
                <w:sz w:val="18"/>
                <w:szCs w:val="18"/>
              </w:rPr>
            </w:pPr>
            <w:r>
              <w:rPr>
                <w:rFonts w:ascii="Arial" w:hAnsi="Arial" w:cs="Arial"/>
                <w:b/>
                <w:bCs/>
                <w:sz w:val="18"/>
                <w:szCs w:val="18"/>
              </w:rPr>
              <w:t>Evaluaciones del riesgo de sesgo</w:t>
            </w:r>
          </w:p>
        </w:tc>
      </w:tr>
      <w:tr w:rsidR="00DD1521">
        <w:tc>
          <w:tcPr>
            <w:tcW w:w="1904" w:type="dxa"/>
            <w:shd w:val="clear" w:color="auto" w:fill="E6E6E6"/>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Item</w:t>
            </w:r>
          </w:p>
        </w:tc>
        <w:tc>
          <w:tcPr>
            <w:tcW w:w="4016" w:type="dxa"/>
            <w:shd w:val="clear" w:color="auto" w:fill="E6E6E6"/>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 xml:space="preserve">Descripción </w:t>
            </w:r>
          </w:p>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(cita)</w:t>
            </w:r>
          </w:p>
        </w:tc>
        <w:tc>
          <w:tcPr>
            <w:tcW w:w="1701" w:type="dxa"/>
            <w:shd w:val="clear" w:color="auto" w:fill="E6E6E6"/>
          </w:tcPr>
          <w:p w:rsidR="00DD1521" w:rsidRDefault="00DD1521">
            <w:pPr>
              <w:pStyle w:val="Normal1"/>
              <w:spacing w:after="0" w:line="240" w:lineRule="auto"/>
              <w:rPr>
                <w:rFonts w:ascii="Arial" w:hAnsi="Arial" w:cs="Arial"/>
                <w:sz w:val="16"/>
                <w:szCs w:val="16"/>
              </w:rPr>
            </w:pPr>
            <w:r>
              <w:rPr>
                <w:rFonts w:ascii="Arial" w:hAnsi="Arial" w:cs="Arial"/>
                <w:b/>
                <w:bCs/>
                <w:sz w:val="16"/>
                <w:szCs w:val="16"/>
              </w:rPr>
              <w:t>Apoyo para la valoración</w:t>
            </w:r>
            <w:r>
              <w:rPr>
                <w:rFonts w:ascii="Arial" w:hAnsi="Arial" w:cs="Arial"/>
                <w:sz w:val="16"/>
                <w:szCs w:val="16"/>
              </w:rPr>
              <w:t>, observaciones que fundamentan la evaluación.</w:t>
            </w:r>
          </w:p>
        </w:tc>
        <w:tc>
          <w:tcPr>
            <w:tcW w:w="1560" w:type="dxa"/>
            <w:shd w:val="clear" w:color="auto" w:fill="E6E6E6"/>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Evaluación del riesgo de sesgo</w:t>
            </w:r>
          </w:p>
          <w:p w:rsidR="00DD1521" w:rsidRDefault="00DD1521">
            <w:pPr>
              <w:pStyle w:val="Normal1"/>
              <w:spacing w:after="0" w:line="240" w:lineRule="auto"/>
              <w:ind w:right="-108"/>
              <w:rPr>
                <w:rFonts w:ascii="Arial" w:hAnsi="Arial" w:cs="Arial"/>
                <w:b/>
                <w:bCs/>
                <w:sz w:val="16"/>
                <w:szCs w:val="16"/>
              </w:rPr>
            </w:pPr>
            <w:r>
              <w:rPr>
                <w:rFonts w:ascii="Arial" w:hAnsi="Arial" w:cs="Arial"/>
                <w:sz w:val="16"/>
                <w:szCs w:val="16"/>
              </w:rPr>
              <w:t>(Alto riesgo, Bajo riesgo, Riesgo poco claro)</w:t>
            </w:r>
          </w:p>
        </w:tc>
      </w:tr>
      <w:tr w:rsidR="00DD1521">
        <w:tc>
          <w:tcPr>
            <w:tcW w:w="9181" w:type="dxa"/>
            <w:gridSpan w:val="4"/>
            <w:shd w:val="clear" w:color="auto" w:fill="CCFFCC"/>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Sesgo de selección</w:t>
            </w:r>
          </w:p>
        </w:tc>
      </w:tr>
      <w:tr w:rsidR="00DD1521">
        <w:tc>
          <w:tcPr>
            <w:tcW w:w="1904" w:type="dxa"/>
            <w:shd w:val="clear" w:color="auto" w:fill="E6E6E6"/>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Generación de la secuencia de aleatorización </w:t>
            </w:r>
          </w:p>
        </w:tc>
        <w:tc>
          <w:tcPr>
            <w:tcW w:w="4016" w:type="dxa"/>
          </w:tcPr>
          <w:p w:rsidR="00DD1521" w:rsidRDefault="00DD1521">
            <w:pPr>
              <w:pStyle w:val="Normal1"/>
              <w:spacing w:after="0" w:line="240" w:lineRule="auto"/>
              <w:rPr>
                <w:rFonts w:ascii="Arial" w:hAnsi="Arial" w:cs="Arial"/>
                <w:b/>
                <w:bCs/>
                <w:sz w:val="16"/>
                <w:szCs w:val="16"/>
              </w:rPr>
            </w:pPr>
            <w:r>
              <w:rPr>
                <w:rFonts w:ascii="Arial" w:hAnsi="Arial" w:cs="Arial"/>
                <w:sz w:val="16"/>
                <w:szCs w:val="16"/>
              </w:rPr>
              <w:t>El estudio pivotal fue un ensayo clínico aleatorizado.</w:t>
            </w:r>
          </w:p>
        </w:tc>
        <w:tc>
          <w:tcPr>
            <w:tcW w:w="1701" w:type="dxa"/>
          </w:tcPr>
          <w:p w:rsidR="00DD1521" w:rsidRDefault="00DD1521">
            <w:pPr>
              <w:pStyle w:val="Normal1"/>
              <w:spacing w:after="0" w:line="240" w:lineRule="auto"/>
              <w:rPr>
                <w:rFonts w:ascii="Arial" w:hAnsi="Arial" w:cs="Arial"/>
                <w:b/>
                <w:bCs/>
                <w:sz w:val="16"/>
                <w:szCs w:val="16"/>
              </w:rPr>
            </w:pPr>
          </w:p>
        </w:tc>
        <w:tc>
          <w:tcPr>
            <w:tcW w:w="1560"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Bajo riesgo</w:t>
            </w:r>
          </w:p>
        </w:tc>
      </w:tr>
      <w:tr w:rsidR="00DD1521">
        <w:tc>
          <w:tcPr>
            <w:tcW w:w="1904" w:type="dxa"/>
            <w:shd w:val="clear" w:color="auto" w:fill="E6E6E6"/>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Ocultación de la asignación </w:t>
            </w:r>
          </w:p>
        </w:tc>
        <w:tc>
          <w:tcPr>
            <w:tcW w:w="4016" w:type="dxa"/>
          </w:tcPr>
          <w:p w:rsidR="00DD1521" w:rsidRDefault="00DD1521">
            <w:pPr>
              <w:pStyle w:val="Normal1"/>
              <w:spacing w:after="0" w:line="240" w:lineRule="auto"/>
              <w:jc w:val="both"/>
              <w:rPr>
                <w:rFonts w:ascii="Arial" w:hAnsi="Arial" w:cs="Arial"/>
                <w:sz w:val="16"/>
                <w:szCs w:val="16"/>
              </w:rPr>
            </w:pPr>
            <w:r>
              <w:rPr>
                <w:rFonts w:ascii="Arial" w:hAnsi="Arial" w:cs="Arial"/>
                <w:sz w:val="16"/>
                <w:szCs w:val="16"/>
              </w:rPr>
              <w:t>El estudio pivotal fue un ensayo clínico aleatorizado.</w:t>
            </w:r>
          </w:p>
        </w:tc>
        <w:tc>
          <w:tcPr>
            <w:tcW w:w="1701" w:type="dxa"/>
          </w:tcPr>
          <w:p w:rsidR="00DD1521" w:rsidRDefault="00DD1521">
            <w:pPr>
              <w:pStyle w:val="Normal1"/>
              <w:spacing w:after="0" w:line="240" w:lineRule="auto"/>
              <w:jc w:val="both"/>
              <w:rPr>
                <w:rFonts w:ascii="Arial" w:hAnsi="Arial" w:cs="Arial"/>
                <w:sz w:val="16"/>
                <w:szCs w:val="16"/>
              </w:rPr>
            </w:pPr>
            <w:r>
              <w:rPr>
                <w:rFonts w:ascii="Arial" w:hAnsi="Arial" w:cs="Arial"/>
                <w:sz w:val="16"/>
                <w:szCs w:val="16"/>
              </w:rPr>
              <w:t>La aleatorización fue llevada a cabo mediante un sistema interactivo de respuesta por voz/web (IVRS/IWRS) centralizado</w:t>
            </w:r>
          </w:p>
        </w:tc>
        <w:tc>
          <w:tcPr>
            <w:tcW w:w="1560"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Bajo riesgo</w:t>
            </w:r>
          </w:p>
        </w:tc>
      </w:tr>
      <w:tr w:rsidR="00DD1521">
        <w:tc>
          <w:tcPr>
            <w:tcW w:w="9181" w:type="dxa"/>
            <w:gridSpan w:val="4"/>
            <w:shd w:val="clear" w:color="auto" w:fill="CCFFCC"/>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Sesgo de realización</w:t>
            </w:r>
          </w:p>
        </w:tc>
      </w:tr>
      <w:tr w:rsidR="00DD1521">
        <w:tc>
          <w:tcPr>
            <w:tcW w:w="1904" w:type="dxa"/>
            <w:shd w:val="clear" w:color="auto" w:fill="E6E6E6"/>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Cegamiento de los participantes y del personal </w:t>
            </w:r>
          </w:p>
        </w:tc>
        <w:tc>
          <w:tcPr>
            <w:tcW w:w="4016"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El diseño del estudio es doble ciego</w:t>
            </w:r>
          </w:p>
        </w:tc>
        <w:tc>
          <w:tcPr>
            <w:tcW w:w="1701" w:type="dxa"/>
          </w:tcPr>
          <w:p w:rsidR="00DD1521" w:rsidRDefault="00DD1521">
            <w:pPr>
              <w:pStyle w:val="Normal1"/>
              <w:spacing w:after="0" w:line="240" w:lineRule="auto"/>
              <w:rPr>
                <w:rFonts w:ascii="Arial" w:hAnsi="Arial" w:cs="Arial"/>
                <w:b/>
                <w:bCs/>
                <w:sz w:val="16"/>
                <w:szCs w:val="16"/>
              </w:rPr>
            </w:pPr>
          </w:p>
        </w:tc>
        <w:tc>
          <w:tcPr>
            <w:tcW w:w="1560"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Bajo riesgo</w:t>
            </w:r>
          </w:p>
        </w:tc>
      </w:tr>
      <w:tr w:rsidR="00DD1521">
        <w:tc>
          <w:tcPr>
            <w:tcW w:w="9181" w:type="dxa"/>
            <w:gridSpan w:val="4"/>
            <w:shd w:val="clear" w:color="auto" w:fill="CCFFCC"/>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Sesgo de detección</w:t>
            </w:r>
          </w:p>
        </w:tc>
      </w:tr>
      <w:tr w:rsidR="00DD1521">
        <w:tc>
          <w:tcPr>
            <w:tcW w:w="1904" w:type="dxa"/>
            <w:shd w:val="clear" w:color="auto" w:fill="E6E6E6"/>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Cegamiento de los evaluadores </w:t>
            </w:r>
          </w:p>
        </w:tc>
        <w:tc>
          <w:tcPr>
            <w:tcW w:w="4016" w:type="dxa"/>
            <w:vMerge w:val="restart"/>
          </w:tcPr>
          <w:p w:rsidR="00DD1521" w:rsidRDefault="00DD1521">
            <w:pPr>
              <w:pStyle w:val="Normal1"/>
              <w:spacing w:after="0" w:line="240" w:lineRule="auto"/>
              <w:jc w:val="both"/>
              <w:rPr>
                <w:rFonts w:ascii="Arial" w:hAnsi="Arial" w:cs="Arial"/>
                <w:sz w:val="16"/>
                <w:szCs w:val="16"/>
              </w:rPr>
            </w:pPr>
            <w:r>
              <w:rPr>
                <w:rFonts w:ascii="Arial" w:hAnsi="Arial" w:cs="Arial"/>
                <w:sz w:val="16"/>
                <w:szCs w:val="16"/>
              </w:rPr>
              <w:t>El estudio es doble ciego</w:t>
            </w:r>
          </w:p>
        </w:tc>
        <w:tc>
          <w:tcPr>
            <w:tcW w:w="1701" w:type="dxa"/>
            <w:vMerge w:val="restart"/>
          </w:tcPr>
          <w:p w:rsidR="00DD1521" w:rsidRDefault="00DD1521">
            <w:pPr>
              <w:pStyle w:val="Normal1"/>
              <w:spacing w:after="0" w:line="240" w:lineRule="auto"/>
              <w:rPr>
                <w:rFonts w:ascii="Arial" w:hAnsi="Arial" w:cs="Arial"/>
                <w:b/>
                <w:bCs/>
                <w:sz w:val="16"/>
                <w:szCs w:val="16"/>
              </w:rPr>
            </w:pPr>
            <w:r>
              <w:rPr>
                <w:rFonts w:ascii="Arial" w:hAnsi="Arial" w:cs="Arial"/>
                <w:sz w:val="16"/>
                <w:szCs w:val="16"/>
              </w:rPr>
              <w:t>Además del diseño doble ciego, se realizó un análisis de sensibilidad en el que un CRI independiente evaluó la variable principal  en base a criterios estandarizados (RECIST 1.1).</w:t>
            </w:r>
          </w:p>
        </w:tc>
        <w:tc>
          <w:tcPr>
            <w:tcW w:w="1560" w:type="dxa"/>
            <w:vMerge w:val="restart"/>
          </w:tcPr>
          <w:p w:rsidR="00DD1521" w:rsidRDefault="00DD1521">
            <w:pPr>
              <w:pStyle w:val="Normal1"/>
              <w:spacing w:after="0" w:line="240" w:lineRule="auto"/>
              <w:rPr>
                <w:rFonts w:ascii="Arial" w:hAnsi="Arial" w:cs="Arial"/>
                <w:sz w:val="16"/>
                <w:szCs w:val="16"/>
              </w:rPr>
            </w:pPr>
            <w:bookmarkStart w:id="165" w:name="_3l18frh" w:colFirst="0" w:colLast="0"/>
            <w:bookmarkEnd w:id="165"/>
            <w:r>
              <w:rPr>
                <w:rFonts w:ascii="Arial" w:hAnsi="Arial" w:cs="Arial"/>
                <w:sz w:val="16"/>
                <w:szCs w:val="16"/>
              </w:rPr>
              <w:t>Bajo riesgo</w:t>
            </w:r>
          </w:p>
          <w:p w:rsidR="00DD1521" w:rsidRDefault="00DD1521">
            <w:pPr>
              <w:pStyle w:val="Normal1"/>
              <w:spacing w:after="0" w:line="240" w:lineRule="auto"/>
              <w:rPr>
                <w:rFonts w:ascii="Arial" w:hAnsi="Arial" w:cs="Arial"/>
                <w:sz w:val="16"/>
                <w:szCs w:val="16"/>
              </w:rPr>
            </w:pPr>
          </w:p>
        </w:tc>
      </w:tr>
      <w:tr w:rsidR="00DD1521">
        <w:tc>
          <w:tcPr>
            <w:tcW w:w="1904" w:type="dxa"/>
            <w:shd w:val="clear" w:color="auto" w:fill="E6E6E6"/>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Cegamiento de los evaluadores  del resultado </w:t>
            </w:r>
          </w:p>
        </w:tc>
        <w:tc>
          <w:tcPr>
            <w:tcW w:w="4016" w:type="dxa"/>
            <w:vMerge/>
          </w:tcPr>
          <w:p w:rsidR="00DD1521" w:rsidRDefault="00DD1521">
            <w:pPr>
              <w:pStyle w:val="Normal1"/>
              <w:widowControl w:val="0"/>
              <w:spacing w:after="0" w:line="240" w:lineRule="auto"/>
              <w:rPr>
                <w:rFonts w:ascii="Arial" w:hAnsi="Arial" w:cs="Arial"/>
                <w:sz w:val="16"/>
                <w:szCs w:val="16"/>
              </w:rPr>
            </w:pPr>
          </w:p>
        </w:tc>
        <w:tc>
          <w:tcPr>
            <w:tcW w:w="1701" w:type="dxa"/>
            <w:vMerge/>
          </w:tcPr>
          <w:p w:rsidR="00DD1521" w:rsidRDefault="00DD1521">
            <w:pPr>
              <w:pStyle w:val="Normal1"/>
              <w:widowControl w:val="0"/>
              <w:spacing w:after="0" w:line="240" w:lineRule="auto"/>
              <w:rPr>
                <w:rFonts w:ascii="Arial" w:hAnsi="Arial" w:cs="Arial"/>
                <w:sz w:val="16"/>
                <w:szCs w:val="16"/>
              </w:rPr>
            </w:pPr>
          </w:p>
        </w:tc>
        <w:tc>
          <w:tcPr>
            <w:tcW w:w="1560" w:type="dxa"/>
            <w:vMerge/>
          </w:tcPr>
          <w:p w:rsidR="00DD1521" w:rsidRDefault="00DD1521">
            <w:pPr>
              <w:pStyle w:val="Normal1"/>
              <w:widowControl w:val="0"/>
              <w:spacing w:after="0" w:line="240" w:lineRule="auto"/>
              <w:rPr>
                <w:rFonts w:ascii="Arial" w:hAnsi="Arial" w:cs="Arial"/>
                <w:sz w:val="16"/>
                <w:szCs w:val="16"/>
              </w:rPr>
            </w:pPr>
          </w:p>
        </w:tc>
      </w:tr>
      <w:tr w:rsidR="00DD1521">
        <w:tc>
          <w:tcPr>
            <w:tcW w:w="9181" w:type="dxa"/>
            <w:gridSpan w:val="4"/>
            <w:shd w:val="clear" w:color="auto" w:fill="CCFFCC"/>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Sesgo de desgaste</w:t>
            </w:r>
          </w:p>
        </w:tc>
      </w:tr>
      <w:tr w:rsidR="00DD1521">
        <w:tc>
          <w:tcPr>
            <w:tcW w:w="1904" w:type="dxa"/>
            <w:shd w:val="clear" w:color="auto" w:fill="E6E6E6"/>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Manejo de los datos de resultado incompletos </w:t>
            </w:r>
          </w:p>
        </w:tc>
        <w:tc>
          <w:tcPr>
            <w:tcW w:w="4016"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El manejo de los datos se considera adecuado</w:t>
            </w:r>
          </w:p>
        </w:tc>
        <w:tc>
          <w:tcPr>
            <w:tcW w:w="1701"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Se detalla todos los grupos de pacientes creados, así como las exclusiones y abandonos en cada grupo.</w:t>
            </w:r>
          </w:p>
        </w:tc>
        <w:tc>
          <w:tcPr>
            <w:tcW w:w="1560"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Bajo riesgo</w:t>
            </w:r>
          </w:p>
        </w:tc>
      </w:tr>
      <w:tr w:rsidR="00DD1521">
        <w:tc>
          <w:tcPr>
            <w:tcW w:w="9181" w:type="dxa"/>
            <w:gridSpan w:val="4"/>
            <w:shd w:val="clear" w:color="auto" w:fill="CCFFCC"/>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Sesgo de notificación</w:t>
            </w:r>
          </w:p>
        </w:tc>
      </w:tr>
      <w:tr w:rsidR="00DD1521">
        <w:tc>
          <w:tcPr>
            <w:tcW w:w="1904" w:type="dxa"/>
            <w:shd w:val="clear" w:color="auto" w:fill="E6E6E6"/>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Notificación selectiva de resultados </w:t>
            </w:r>
          </w:p>
        </w:tc>
        <w:tc>
          <w:tcPr>
            <w:tcW w:w="4016"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El análisis de las variables de eficacia se hizo mediante un análisis por intención de tratar.</w:t>
            </w:r>
          </w:p>
        </w:tc>
        <w:tc>
          <w:tcPr>
            <w:tcW w:w="1701"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En la evaluación de la seguridad se incluyeron todos los pacientes que habían recibido al menos una dosis de fármaco en la población por intención de tratar.</w:t>
            </w:r>
          </w:p>
        </w:tc>
        <w:tc>
          <w:tcPr>
            <w:tcW w:w="1560"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Bajo riesgo</w:t>
            </w:r>
          </w:p>
        </w:tc>
      </w:tr>
      <w:tr w:rsidR="00DD1521">
        <w:tc>
          <w:tcPr>
            <w:tcW w:w="9181" w:type="dxa"/>
            <w:gridSpan w:val="4"/>
            <w:shd w:val="clear" w:color="auto" w:fill="CCFFCC"/>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Otros sesgos</w:t>
            </w:r>
          </w:p>
        </w:tc>
      </w:tr>
      <w:tr w:rsidR="00DD1521">
        <w:tc>
          <w:tcPr>
            <w:tcW w:w="1904" w:type="dxa"/>
            <w:shd w:val="clear" w:color="auto" w:fill="E6E6E6"/>
          </w:tcPr>
          <w:p w:rsidR="00DD1521" w:rsidRDefault="00DD1521">
            <w:pPr>
              <w:pStyle w:val="Normal1"/>
              <w:spacing w:after="0" w:line="240" w:lineRule="auto"/>
              <w:rPr>
                <w:rFonts w:ascii="Arial" w:hAnsi="Arial" w:cs="Arial"/>
                <w:sz w:val="16"/>
                <w:szCs w:val="16"/>
              </w:rPr>
            </w:pPr>
          </w:p>
        </w:tc>
        <w:tc>
          <w:tcPr>
            <w:tcW w:w="4016" w:type="dxa"/>
          </w:tcPr>
          <w:p w:rsidR="00DD1521" w:rsidRDefault="00DD1521">
            <w:pPr>
              <w:pStyle w:val="Normal1"/>
              <w:spacing w:after="0" w:line="240" w:lineRule="auto"/>
              <w:rPr>
                <w:rFonts w:ascii="Arial" w:hAnsi="Arial" w:cs="Arial"/>
                <w:b/>
                <w:bCs/>
                <w:sz w:val="16"/>
                <w:szCs w:val="16"/>
              </w:rPr>
            </w:pPr>
          </w:p>
        </w:tc>
        <w:tc>
          <w:tcPr>
            <w:tcW w:w="1701" w:type="dxa"/>
          </w:tcPr>
          <w:p w:rsidR="00DD1521" w:rsidRDefault="00DD1521">
            <w:pPr>
              <w:pStyle w:val="Normal1"/>
              <w:spacing w:after="0" w:line="240" w:lineRule="auto"/>
              <w:rPr>
                <w:rFonts w:ascii="Arial" w:hAnsi="Arial" w:cs="Arial"/>
                <w:b/>
                <w:bCs/>
                <w:sz w:val="16"/>
                <w:szCs w:val="16"/>
              </w:rPr>
            </w:pPr>
          </w:p>
        </w:tc>
        <w:tc>
          <w:tcPr>
            <w:tcW w:w="1560" w:type="dxa"/>
          </w:tcPr>
          <w:p w:rsidR="00DD1521" w:rsidRDefault="00DD1521">
            <w:pPr>
              <w:pStyle w:val="Normal1"/>
              <w:spacing w:after="0" w:line="240" w:lineRule="auto"/>
              <w:rPr>
                <w:rFonts w:ascii="Arial" w:hAnsi="Arial" w:cs="Arial"/>
                <w:b/>
                <w:bCs/>
                <w:sz w:val="16"/>
                <w:szCs w:val="16"/>
              </w:rPr>
            </w:pPr>
          </w:p>
        </w:tc>
      </w:tr>
    </w:tbl>
    <w:p w:rsidR="00DD1521" w:rsidRDefault="00DD1521">
      <w:pPr>
        <w:pStyle w:val="Descripcin"/>
      </w:pPr>
    </w:p>
    <w:p w:rsidR="00DD1521" w:rsidRDefault="00DD1521">
      <w:pPr>
        <w:pStyle w:val="Descripcin"/>
        <w:rPr>
          <w:rFonts w:ascii="Arial" w:hAnsi="Arial" w:cs="Arial"/>
        </w:rPr>
      </w:pPr>
    </w:p>
    <w:p w:rsidR="00DD1521" w:rsidRDefault="00DD1521">
      <w:pPr>
        <w:pStyle w:val="Descripcin"/>
        <w:rPr>
          <w:rFonts w:ascii="Arial" w:hAnsi="Arial" w:cs="Arial"/>
        </w:rPr>
      </w:pPr>
    </w:p>
    <w:p w:rsidR="00DD1521" w:rsidRDefault="00DD1521">
      <w:pPr>
        <w:pStyle w:val="Descripcin"/>
        <w:rPr>
          <w:rFonts w:ascii="Arial" w:hAnsi="Arial" w:cs="Arial"/>
        </w:rPr>
      </w:pPr>
    </w:p>
    <w:p w:rsidR="00DD1521" w:rsidRDefault="00DD1521">
      <w:pPr>
        <w:pStyle w:val="Descripcin"/>
        <w:rPr>
          <w:rFonts w:ascii="Arial" w:hAnsi="Arial" w:cs="Arial"/>
        </w:rPr>
      </w:pPr>
    </w:p>
    <w:p w:rsidR="00DD1521" w:rsidRDefault="00DD1521">
      <w:pPr>
        <w:pStyle w:val="Descripcin"/>
        <w:rPr>
          <w:rFonts w:ascii="Arial" w:hAnsi="Arial" w:cs="Arial"/>
        </w:rPr>
      </w:pPr>
      <w:r>
        <w:rPr>
          <w:rFonts w:ascii="Arial" w:hAnsi="Arial" w:cs="Arial"/>
        </w:rPr>
        <w:lastRenderedPageBreak/>
        <w:t>Anexo II. Evaluación de la validez externa de los ensayos clínicos para las dos indicaciones evaluadas en el informe.</w:t>
      </w:r>
    </w:p>
    <w:tbl>
      <w:tblPr>
        <w:tblW w:w="914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472"/>
        <w:gridCol w:w="851"/>
        <w:gridCol w:w="4819"/>
      </w:tblGrid>
      <w:tr w:rsidR="00DD1521">
        <w:trPr>
          <w:cantSplit/>
        </w:trPr>
        <w:tc>
          <w:tcPr>
            <w:tcW w:w="9142" w:type="dxa"/>
            <w:gridSpan w:val="3"/>
            <w:shd w:val="clear" w:color="auto" w:fill="CCFFCC"/>
          </w:tcPr>
          <w:p w:rsidR="00DD1521" w:rsidRDefault="00DD1521">
            <w:pPr>
              <w:spacing w:after="0" w:line="240" w:lineRule="auto"/>
              <w:rPr>
                <w:rFonts w:ascii="Arial" w:hAnsi="Arial" w:cs="Arial"/>
                <w:b/>
                <w:bCs/>
                <w:sz w:val="16"/>
                <w:szCs w:val="16"/>
              </w:rPr>
            </w:pPr>
            <w:r>
              <w:rPr>
                <w:rFonts w:ascii="Arial" w:hAnsi="Arial" w:cs="Arial"/>
                <w:b/>
                <w:bCs/>
                <w:sz w:val="16"/>
                <w:szCs w:val="16"/>
              </w:rPr>
              <w:t xml:space="preserve">Validez externa ensayo clínico AURA 3. CUESTIONARIO SOBRE LA APLICABILIDAD DE UN ENSAYO CLÍNICO </w:t>
            </w:r>
          </w:p>
        </w:tc>
      </w:tr>
      <w:tr w:rsidR="00DD1521">
        <w:trPr>
          <w:trHeight w:val="90"/>
        </w:trPr>
        <w:tc>
          <w:tcPr>
            <w:tcW w:w="3472" w:type="dxa"/>
          </w:tcPr>
          <w:p w:rsidR="00DD1521" w:rsidRDefault="00DD1521">
            <w:pPr>
              <w:spacing w:after="0" w:line="240" w:lineRule="auto"/>
              <w:rPr>
                <w:rFonts w:ascii="Arial" w:hAnsi="Arial" w:cs="Arial"/>
                <w:sz w:val="16"/>
                <w:szCs w:val="16"/>
              </w:rPr>
            </w:pPr>
          </w:p>
        </w:tc>
        <w:tc>
          <w:tcPr>
            <w:tcW w:w="851" w:type="dxa"/>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SI /NO</w:t>
            </w:r>
          </w:p>
        </w:tc>
        <w:tc>
          <w:tcPr>
            <w:tcW w:w="4819" w:type="dxa"/>
          </w:tcPr>
          <w:p w:rsidR="00DD1521" w:rsidRDefault="00DD1521">
            <w:pPr>
              <w:spacing w:after="0" w:line="240" w:lineRule="auto"/>
              <w:jc w:val="center"/>
              <w:rPr>
                <w:rFonts w:ascii="Arial" w:hAnsi="Arial" w:cs="Arial"/>
                <w:b/>
                <w:bCs/>
                <w:sz w:val="16"/>
                <w:szCs w:val="16"/>
              </w:rPr>
            </w:pPr>
            <w:r>
              <w:rPr>
                <w:rFonts w:ascii="Arial" w:hAnsi="Arial" w:cs="Arial"/>
                <w:b/>
                <w:bCs/>
                <w:sz w:val="16"/>
                <w:szCs w:val="16"/>
              </w:rPr>
              <w:t>JUSTIFICAR</w:t>
            </w:r>
          </w:p>
        </w:tc>
      </w:tr>
      <w:tr w:rsidR="00DD1521">
        <w:trPr>
          <w:trHeight w:val="604"/>
        </w:trPr>
        <w:tc>
          <w:tcPr>
            <w:tcW w:w="3472" w:type="dxa"/>
          </w:tcPr>
          <w:p w:rsidR="00DD1521" w:rsidRDefault="00DD1521">
            <w:pPr>
              <w:spacing w:after="0" w:line="240" w:lineRule="auto"/>
              <w:rPr>
                <w:rFonts w:ascii="Arial" w:hAnsi="Arial" w:cs="Arial"/>
                <w:b/>
                <w:bCs/>
                <w:sz w:val="16"/>
                <w:szCs w:val="16"/>
              </w:rPr>
            </w:pPr>
            <w:r>
              <w:rPr>
                <w:rFonts w:ascii="Arial" w:hAnsi="Arial" w:cs="Arial"/>
                <w:b/>
                <w:bCs/>
                <w:sz w:val="16"/>
                <w:szCs w:val="16"/>
              </w:rPr>
              <w:t xml:space="preserve">¿Considera adecuado el comparador? </w:t>
            </w:r>
            <w:r>
              <w:rPr>
                <w:rFonts w:ascii="Arial" w:hAnsi="Arial" w:cs="Arial"/>
                <w:sz w:val="16"/>
                <w:szCs w:val="16"/>
              </w:rPr>
              <w:t>¿Es el tratamiento control adecuado en nuestro medio?</w:t>
            </w:r>
          </w:p>
        </w:tc>
        <w:tc>
          <w:tcPr>
            <w:tcW w:w="851" w:type="dxa"/>
          </w:tcPr>
          <w:p w:rsidR="00DD1521" w:rsidRDefault="00DD1521">
            <w:pPr>
              <w:spacing w:after="0" w:line="240" w:lineRule="auto"/>
              <w:rPr>
                <w:rFonts w:ascii="Arial" w:hAnsi="Arial" w:cs="Arial"/>
                <w:sz w:val="16"/>
                <w:szCs w:val="16"/>
              </w:rPr>
            </w:pPr>
            <w:r>
              <w:rPr>
                <w:rFonts w:ascii="Arial" w:hAnsi="Arial" w:cs="Arial"/>
                <w:sz w:val="16"/>
                <w:szCs w:val="16"/>
              </w:rPr>
              <w:t>SI</w:t>
            </w:r>
          </w:p>
        </w:tc>
        <w:tc>
          <w:tcPr>
            <w:tcW w:w="4819" w:type="dxa"/>
          </w:tcPr>
          <w:p w:rsidR="00DD1521" w:rsidRDefault="00DD1521">
            <w:pPr>
              <w:spacing w:after="0" w:line="240" w:lineRule="auto"/>
              <w:rPr>
                <w:rFonts w:ascii="Arial" w:hAnsi="Arial" w:cs="Arial"/>
                <w:sz w:val="16"/>
                <w:szCs w:val="16"/>
              </w:rPr>
            </w:pPr>
            <w:r>
              <w:rPr>
                <w:rFonts w:ascii="Arial" w:hAnsi="Arial" w:cs="Arial"/>
                <w:sz w:val="16"/>
                <w:szCs w:val="16"/>
              </w:rPr>
              <w:t>Según la evidencia disponible, el tratamiento con ITK tras progresión a otro ITK no ofrece mejores resultados que placebo. En este contexto de segunda línea se suele utilizar quimioterapia estándar basada en platino.</w:t>
            </w:r>
          </w:p>
        </w:tc>
      </w:tr>
      <w:tr w:rsidR="00DD1521">
        <w:trPr>
          <w:trHeight w:val="445"/>
        </w:trPr>
        <w:tc>
          <w:tcPr>
            <w:tcW w:w="3472" w:type="dxa"/>
          </w:tcPr>
          <w:p w:rsidR="00DD1521" w:rsidRDefault="00DD1521">
            <w:pPr>
              <w:spacing w:after="0" w:line="240" w:lineRule="auto"/>
              <w:rPr>
                <w:rFonts w:ascii="Arial" w:hAnsi="Arial" w:cs="Arial"/>
                <w:b/>
                <w:bCs/>
                <w:sz w:val="16"/>
                <w:szCs w:val="16"/>
              </w:rPr>
            </w:pPr>
            <w:r>
              <w:rPr>
                <w:rFonts w:ascii="Arial" w:hAnsi="Arial" w:cs="Arial"/>
                <w:b/>
                <w:bCs/>
                <w:sz w:val="16"/>
                <w:szCs w:val="16"/>
              </w:rPr>
              <w:t>¿Son importantes clínicamente los resultados?</w:t>
            </w:r>
          </w:p>
        </w:tc>
        <w:tc>
          <w:tcPr>
            <w:tcW w:w="851" w:type="dxa"/>
          </w:tcPr>
          <w:p w:rsidR="00DD1521" w:rsidRDefault="00DD1521">
            <w:pPr>
              <w:spacing w:after="0" w:line="240" w:lineRule="auto"/>
              <w:rPr>
                <w:rFonts w:ascii="Arial" w:hAnsi="Arial" w:cs="Arial"/>
                <w:sz w:val="16"/>
                <w:szCs w:val="16"/>
              </w:rPr>
            </w:pPr>
            <w:r>
              <w:rPr>
                <w:rFonts w:ascii="Arial" w:hAnsi="Arial" w:cs="Arial"/>
                <w:sz w:val="16"/>
                <w:szCs w:val="16"/>
              </w:rPr>
              <w:t>SI</w:t>
            </w:r>
          </w:p>
        </w:tc>
        <w:tc>
          <w:tcPr>
            <w:tcW w:w="4819" w:type="dxa"/>
          </w:tcPr>
          <w:p w:rsidR="00DD1521" w:rsidRDefault="00DD1521">
            <w:pPr>
              <w:spacing w:after="0" w:line="240" w:lineRule="auto"/>
              <w:rPr>
                <w:rFonts w:ascii="Arial" w:hAnsi="Arial" w:cs="Arial"/>
                <w:color w:val="000080"/>
                <w:sz w:val="16"/>
                <w:szCs w:val="16"/>
              </w:rPr>
            </w:pPr>
            <w:r>
              <w:rPr>
                <w:rFonts w:ascii="Arial" w:hAnsi="Arial" w:cs="Arial"/>
                <w:sz w:val="16"/>
                <w:szCs w:val="16"/>
              </w:rPr>
              <w:t>Una mejora de 5,7 meses en la mediana de SLP, con un HR de 0,30 puede considerarse clínicamente relevante</w:t>
            </w:r>
          </w:p>
        </w:tc>
      </w:tr>
      <w:tr w:rsidR="00DD1521">
        <w:trPr>
          <w:trHeight w:val="556"/>
        </w:trPr>
        <w:tc>
          <w:tcPr>
            <w:tcW w:w="3472" w:type="dxa"/>
          </w:tcPr>
          <w:p w:rsidR="00DD1521" w:rsidRDefault="00DD1521">
            <w:pPr>
              <w:spacing w:after="0" w:line="240" w:lineRule="auto"/>
              <w:rPr>
                <w:rFonts w:ascii="Arial" w:hAnsi="Arial" w:cs="Arial"/>
                <w:b/>
                <w:bCs/>
                <w:sz w:val="16"/>
                <w:szCs w:val="16"/>
              </w:rPr>
            </w:pPr>
            <w:r>
              <w:rPr>
                <w:rFonts w:ascii="Arial" w:hAnsi="Arial" w:cs="Arial"/>
                <w:b/>
                <w:bCs/>
                <w:sz w:val="16"/>
                <w:szCs w:val="16"/>
              </w:rPr>
              <w:t xml:space="preserve">¿Considera adecuada la variable de medida utilizada? </w:t>
            </w:r>
          </w:p>
        </w:tc>
        <w:tc>
          <w:tcPr>
            <w:tcW w:w="851" w:type="dxa"/>
          </w:tcPr>
          <w:p w:rsidR="00DD1521" w:rsidRDefault="00DD1521">
            <w:pPr>
              <w:spacing w:after="0" w:line="240" w:lineRule="auto"/>
              <w:rPr>
                <w:rFonts w:ascii="Arial" w:hAnsi="Arial" w:cs="Arial"/>
                <w:sz w:val="16"/>
                <w:szCs w:val="16"/>
              </w:rPr>
            </w:pPr>
            <w:r>
              <w:rPr>
                <w:rFonts w:ascii="Arial" w:hAnsi="Arial" w:cs="Arial"/>
                <w:sz w:val="16"/>
                <w:szCs w:val="16"/>
              </w:rPr>
              <w:t>NO</w:t>
            </w:r>
          </w:p>
        </w:tc>
        <w:tc>
          <w:tcPr>
            <w:tcW w:w="4819" w:type="dxa"/>
          </w:tcPr>
          <w:p w:rsidR="00DD1521" w:rsidRDefault="00DD1521">
            <w:pPr>
              <w:spacing w:after="0" w:line="240" w:lineRule="auto"/>
              <w:rPr>
                <w:rFonts w:ascii="Arial" w:hAnsi="Arial" w:cs="Arial"/>
                <w:color w:val="000080"/>
                <w:sz w:val="16"/>
                <w:szCs w:val="16"/>
              </w:rPr>
            </w:pPr>
            <w:r>
              <w:rPr>
                <w:rFonts w:ascii="Arial" w:hAnsi="Arial" w:cs="Arial"/>
                <w:sz w:val="16"/>
                <w:szCs w:val="16"/>
              </w:rPr>
              <w:t>En el contexto de progresión a EGFR, la supervivencia de los pacientes es limitada, por lo que hubiese sido importante disponer de los resultados de supervivencia global. Estos se publicarán una vez se alcance la madurez de los datos.</w:t>
            </w:r>
          </w:p>
        </w:tc>
      </w:tr>
      <w:tr w:rsidR="00DD1521">
        <w:trPr>
          <w:trHeight w:val="634"/>
        </w:trPr>
        <w:tc>
          <w:tcPr>
            <w:tcW w:w="3472" w:type="dxa"/>
          </w:tcPr>
          <w:p w:rsidR="00DD1521" w:rsidRDefault="00DD1521">
            <w:pPr>
              <w:spacing w:after="0" w:line="240" w:lineRule="auto"/>
              <w:rPr>
                <w:rFonts w:ascii="Arial" w:hAnsi="Arial" w:cs="Arial"/>
                <w:b/>
                <w:bCs/>
                <w:sz w:val="16"/>
                <w:szCs w:val="16"/>
              </w:rPr>
            </w:pPr>
            <w:r>
              <w:rPr>
                <w:rFonts w:ascii="Arial" w:hAnsi="Arial" w:cs="Arial"/>
                <w:b/>
                <w:bCs/>
                <w:sz w:val="16"/>
                <w:szCs w:val="16"/>
              </w:rPr>
              <w:t xml:space="preserve">¿Considera adecuados los criterios de inclusión y/o exclusión de los pacientes? </w:t>
            </w:r>
          </w:p>
        </w:tc>
        <w:tc>
          <w:tcPr>
            <w:tcW w:w="851" w:type="dxa"/>
          </w:tcPr>
          <w:p w:rsidR="00DD1521" w:rsidRDefault="00DD1521">
            <w:pPr>
              <w:spacing w:after="0" w:line="240" w:lineRule="auto"/>
              <w:rPr>
                <w:rFonts w:ascii="Arial" w:hAnsi="Arial" w:cs="Arial"/>
                <w:sz w:val="16"/>
                <w:szCs w:val="16"/>
              </w:rPr>
            </w:pPr>
            <w:r>
              <w:rPr>
                <w:rFonts w:ascii="Arial" w:hAnsi="Arial" w:cs="Arial"/>
                <w:sz w:val="16"/>
                <w:szCs w:val="16"/>
              </w:rPr>
              <w:t>NO</w:t>
            </w:r>
          </w:p>
        </w:tc>
        <w:tc>
          <w:tcPr>
            <w:tcW w:w="4819" w:type="dxa"/>
          </w:tcPr>
          <w:p w:rsidR="00DD1521" w:rsidRDefault="00DD1521">
            <w:pPr>
              <w:spacing w:after="0" w:line="240" w:lineRule="auto"/>
              <w:rPr>
                <w:rFonts w:ascii="Arial" w:hAnsi="Arial" w:cs="Arial"/>
                <w:sz w:val="16"/>
                <w:szCs w:val="16"/>
              </w:rPr>
            </w:pPr>
            <w:r>
              <w:rPr>
                <w:rFonts w:ascii="Arial" w:hAnsi="Arial" w:cs="Arial"/>
                <w:sz w:val="16"/>
                <w:szCs w:val="16"/>
              </w:rPr>
              <w:t xml:space="preserve">Si bien es verdad que se incluyeron pacientes con metástasis cerebrales, estas debían ser estables y no sintomáticas. Sólo se incluyeron pacientes con ECOG 0-1. </w:t>
            </w:r>
          </w:p>
        </w:tc>
      </w:tr>
      <w:tr w:rsidR="00DD1521">
        <w:trPr>
          <w:trHeight w:val="699"/>
        </w:trPr>
        <w:tc>
          <w:tcPr>
            <w:tcW w:w="3472" w:type="dxa"/>
          </w:tcPr>
          <w:p w:rsidR="00DD1521" w:rsidRDefault="00DD1521">
            <w:pPr>
              <w:spacing w:after="0" w:line="240" w:lineRule="auto"/>
              <w:rPr>
                <w:rFonts w:ascii="Arial" w:hAnsi="Arial" w:cs="Arial"/>
                <w:b/>
                <w:bCs/>
                <w:sz w:val="16"/>
                <w:szCs w:val="16"/>
              </w:rPr>
            </w:pPr>
            <w:r>
              <w:rPr>
                <w:rFonts w:ascii="Arial" w:hAnsi="Arial" w:cs="Arial"/>
                <w:b/>
                <w:bCs/>
                <w:sz w:val="16"/>
                <w:szCs w:val="16"/>
              </w:rPr>
              <w:t>¿Cree que los resultados pueden ser aplicados directamente a la práctica clínica?</w:t>
            </w:r>
            <w:r>
              <w:rPr>
                <w:rFonts w:ascii="Arial" w:hAnsi="Arial" w:cs="Arial"/>
                <w:sz w:val="16"/>
                <w:szCs w:val="16"/>
              </w:rPr>
              <w:t xml:space="preserve"> </w:t>
            </w:r>
          </w:p>
        </w:tc>
        <w:tc>
          <w:tcPr>
            <w:tcW w:w="851" w:type="dxa"/>
          </w:tcPr>
          <w:p w:rsidR="00DD1521" w:rsidRDefault="00DD1521">
            <w:pPr>
              <w:spacing w:after="0" w:line="240" w:lineRule="auto"/>
              <w:rPr>
                <w:rFonts w:ascii="Arial" w:hAnsi="Arial" w:cs="Arial"/>
                <w:sz w:val="16"/>
                <w:szCs w:val="16"/>
              </w:rPr>
            </w:pPr>
            <w:r>
              <w:rPr>
                <w:rFonts w:ascii="Arial" w:hAnsi="Arial" w:cs="Arial"/>
                <w:sz w:val="16"/>
                <w:szCs w:val="16"/>
              </w:rPr>
              <w:t>SI</w:t>
            </w:r>
          </w:p>
        </w:tc>
        <w:tc>
          <w:tcPr>
            <w:tcW w:w="4819" w:type="dxa"/>
          </w:tcPr>
          <w:p w:rsidR="00DD1521" w:rsidRDefault="00DD1521">
            <w:pPr>
              <w:spacing w:after="0" w:line="240" w:lineRule="auto"/>
              <w:rPr>
                <w:rFonts w:ascii="Arial" w:hAnsi="Arial" w:cs="Arial"/>
                <w:color w:val="000080"/>
                <w:sz w:val="16"/>
                <w:szCs w:val="16"/>
              </w:rPr>
            </w:pPr>
            <w:r>
              <w:rPr>
                <w:rFonts w:ascii="Arial" w:hAnsi="Arial" w:cs="Arial"/>
                <w:color w:val="000080"/>
                <w:sz w:val="16"/>
                <w:szCs w:val="16"/>
              </w:rPr>
              <w:t xml:space="preserve"> </w:t>
            </w:r>
            <w:r>
              <w:rPr>
                <w:rFonts w:ascii="Arial" w:hAnsi="Arial" w:cs="Arial"/>
                <w:sz w:val="16"/>
                <w:szCs w:val="16"/>
              </w:rPr>
              <w:t>La intervención es aplicable siempre que se disponga del test de detección T790M.</w:t>
            </w:r>
          </w:p>
        </w:tc>
      </w:tr>
      <w:tr w:rsidR="00DD1521">
        <w:trPr>
          <w:trHeight w:val="681"/>
        </w:trPr>
        <w:tc>
          <w:tcPr>
            <w:tcW w:w="3472" w:type="dxa"/>
          </w:tcPr>
          <w:p w:rsidR="00DD1521" w:rsidRDefault="00DD1521">
            <w:pPr>
              <w:spacing w:after="0" w:line="240" w:lineRule="auto"/>
              <w:rPr>
                <w:rFonts w:ascii="Arial" w:hAnsi="Arial" w:cs="Arial"/>
                <w:b/>
                <w:bCs/>
                <w:sz w:val="16"/>
                <w:szCs w:val="16"/>
              </w:rPr>
            </w:pPr>
            <w:r>
              <w:rPr>
                <w:rFonts w:ascii="Arial" w:hAnsi="Arial" w:cs="Arial"/>
                <w:b/>
                <w:bCs/>
                <w:sz w:val="16"/>
                <w:szCs w:val="16"/>
              </w:rPr>
              <w:t>Otros sesgos o limitaciones encontradas en el estudio</w:t>
            </w:r>
          </w:p>
        </w:tc>
        <w:tc>
          <w:tcPr>
            <w:tcW w:w="851" w:type="dxa"/>
          </w:tcPr>
          <w:p w:rsidR="00DD1521" w:rsidRDefault="00DD1521">
            <w:pPr>
              <w:spacing w:after="0" w:line="240" w:lineRule="auto"/>
              <w:rPr>
                <w:rFonts w:ascii="Arial" w:hAnsi="Arial" w:cs="Arial"/>
                <w:sz w:val="16"/>
                <w:szCs w:val="16"/>
              </w:rPr>
            </w:pPr>
            <w:r>
              <w:rPr>
                <w:rFonts w:ascii="Arial" w:hAnsi="Arial" w:cs="Arial"/>
                <w:sz w:val="16"/>
                <w:szCs w:val="16"/>
              </w:rPr>
              <w:t>-</w:t>
            </w:r>
          </w:p>
        </w:tc>
        <w:tc>
          <w:tcPr>
            <w:tcW w:w="4819" w:type="dxa"/>
          </w:tcPr>
          <w:p w:rsidR="00DD1521" w:rsidRDefault="00DD1521">
            <w:pPr>
              <w:spacing w:after="0" w:line="240" w:lineRule="auto"/>
              <w:rPr>
                <w:rFonts w:ascii="Arial" w:hAnsi="Arial" w:cs="Arial"/>
                <w:color w:val="000080"/>
                <w:sz w:val="16"/>
                <w:szCs w:val="16"/>
              </w:rPr>
            </w:pPr>
            <w:r>
              <w:rPr>
                <w:rFonts w:ascii="Arial" w:hAnsi="Arial" w:cs="Arial"/>
                <w:color w:val="000080"/>
                <w:sz w:val="16"/>
                <w:szCs w:val="16"/>
              </w:rPr>
              <w:t>-</w:t>
            </w:r>
          </w:p>
        </w:tc>
      </w:tr>
      <w:tr w:rsidR="00DD15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9142" w:type="dxa"/>
            <w:gridSpan w:val="3"/>
            <w:shd w:val="clear" w:color="auto" w:fill="CCFFCC"/>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 xml:space="preserve">Validez externa ensayo clínico FLAURA. CUESTIONARIO SOBRE LA APLICABILIDAD DE UN ENSAYO CLÍNICO </w:t>
            </w:r>
          </w:p>
        </w:tc>
      </w:tr>
      <w:tr w:rsidR="00DD15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80"/>
        </w:trPr>
        <w:tc>
          <w:tcPr>
            <w:tcW w:w="3472" w:type="dxa"/>
          </w:tcPr>
          <w:p w:rsidR="00DD1521" w:rsidRDefault="00DD1521">
            <w:pPr>
              <w:pStyle w:val="Normal1"/>
              <w:spacing w:after="0" w:line="240" w:lineRule="auto"/>
              <w:rPr>
                <w:rFonts w:ascii="Arial" w:hAnsi="Arial" w:cs="Arial"/>
                <w:sz w:val="16"/>
                <w:szCs w:val="16"/>
              </w:rPr>
            </w:pPr>
          </w:p>
        </w:tc>
        <w:tc>
          <w:tcPr>
            <w:tcW w:w="851" w:type="dxa"/>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SI /NO</w:t>
            </w:r>
          </w:p>
        </w:tc>
        <w:tc>
          <w:tcPr>
            <w:tcW w:w="4819" w:type="dxa"/>
          </w:tcPr>
          <w:p w:rsidR="00DD1521" w:rsidRDefault="00DD1521">
            <w:pPr>
              <w:pStyle w:val="Normal1"/>
              <w:spacing w:after="0" w:line="240" w:lineRule="auto"/>
              <w:jc w:val="center"/>
              <w:rPr>
                <w:rFonts w:ascii="Arial" w:hAnsi="Arial" w:cs="Arial"/>
                <w:b/>
                <w:bCs/>
                <w:sz w:val="16"/>
                <w:szCs w:val="16"/>
              </w:rPr>
            </w:pPr>
            <w:r>
              <w:rPr>
                <w:rFonts w:ascii="Arial" w:hAnsi="Arial" w:cs="Arial"/>
                <w:b/>
                <w:bCs/>
                <w:sz w:val="16"/>
                <w:szCs w:val="16"/>
              </w:rPr>
              <w:t>JUSTIFICAR</w:t>
            </w:r>
          </w:p>
        </w:tc>
      </w:tr>
      <w:tr w:rsidR="00DD15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600"/>
        </w:trPr>
        <w:tc>
          <w:tcPr>
            <w:tcW w:w="3472" w:type="dxa"/>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 xml:space="preserve">¿Considera adecuado el comparador? </w:t>
            </w:r>
            <w:r>
              <w:rPr>
                <w:rFonts w:ascii="Arial" w:hAnsi="Arial" w:cs="Arial"/>
                <w:sz w:val="16"/>
                <w:szCs w:val="16"/>
              </w:rPr>
              <w:t>¿Es el tratamiento control adecuado en nuestro medio?</w:t>
            </w:r>
          </w:p>
        </w:tc>
        <w:tc>
          <w:tcPr>
            <w:tcW w:w="851"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SI</w:t>
            </w:r>
          </w:p>
        </w:tc>
        <w:tc>
          <w:tcPr>
            <w:tcW w:w="4819"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El tratamiento de primera línea empleado en pacientes con mutaciones activadoras del EGFR contempla los dos comparadores utilizados (tanto erlotinib como gefitinib), sin embargo no se incluye afatinib, otro de los </w:t>
            </w:r>
            <w:r w:rsidR="000766E9">
              <w:rPr>
                <w:rFonts w:ascii="Arial" w:hAnsi="Arial" w:cs="Arial"/>
                <w:sz w:val="16"/>
                <w:szCs w:val="16"/>
              </w:rPr>
              <w:t>fármacos también</w:t>
            </w:r>
            <w:r>
              <w:rPr>
                <w:rFonts w:ascii="Arial" w:hAnsi="Arial" w:cs="Arial"/>
                <w:sz w:val="16"/>
                <w:szCs w:val="16"/>
              </w:rPr>
              <w:t xml:space="preserve"> indicados en primera línea en este tipo de pacientes.</w:t>
            </w:r>
          </w:p>
        </w:tc>
      </w:tr>
      <w:tr w:rsidR="00DD15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40"/>
        </w:trPr>
        <w:tc>
          <w:tcPr>
            <w:tcW w:w="3472" w:type="dxa"/>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¿Son importantes clínicamente los resultados?</w:t>
            </w:r>
          </w:p>
        </w:tc>
        <w:tc>
          <w:tcPr>
            <w:tcW w:w="851"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SI</w:t>
            </w:r>
          </w:p>
        </w:tc>
        <w:tc>
          <w:tcPr>
            <w:tcW w:w="4819" w:type="dxa"/>
          </w:tcPr>
          <w:p w:rsidR="00DD1521" w:rsidRDefault="00DD1521">
            <w:pPr>
              <w:pStyle w:val="Normal1"/>
              <w:spacing w:after="0" w:line="240" w:lineRule="auto"/>
              <w:rPr>
                <w:rFonts w:ascii="Arial" w:hAnsi="Arial" w:cs="Arial"/>
                <w:color w:val="000080"/>
                <w:sz w:val="16"/>
                <w:szCs w:val="16"/>
              </w:rPr>
            </w:pPr>
            <w:r>
              <w:rPr>
                <w:rFonts w:ascii="Arial" w:hAnsi="Arial" w:cs="Arial"/>
                <w:sz w:val="16"/>
                <w:szCs w:val="16"/>
              </w:rPr>
              <w:t>Una mejora de 8,7 meses en la mediana de SLP, con un HR de 0,46 puede considerarse clínicamente relevante</w:t>
            </w:r>
          </w:p>
        </w:tc>
      </w:tr>
      <w:tr w:rsidR="00DD15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40"/>
        </w:trPr>
        <w:tc>
          <w:tcPr>
            <w:tcW w:w="3472" w:type="dxa"/>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 xml:space="preserve">¿Considera adecuada la variable de medida utilizada? </w:t>
            </w:r>
          </w:p>
        </w:tc>
        <w:tc>
          <w:tcPr>
            <w:tcW w:w="851"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NO</w:t>
            </w:r>
          </w:p>
        </w:tc>
        <w:tc>
          <w:tcPr>
            <w:tcW w:w="4819" w:type="dxa"/>
          </w:tcPr>
          <w:p w:rsidR="00DD1521" w:rsidRDefault="00DD1521">
            <w:pPr>
              <w:pStyle w:val="Normal1"/>
              <w:spacing w:after="0" w:line="240" w:lineRule="auto"/>
              <w:rPr>
                <w:rFonts w:ascii="Arial" w:hAnsi="Arial" w:cs="Arial"/>
                <w:color w:val="000080"/>
                <w:sz w:val="16"/>
                <w:szCs w:val="16"/>
              </w:rPr>
            </w:pPr>
            <w:r>
              <w:rPr>
                <w:rFonts w:ascii="Arial" w:hAnsi="Arial" w:cs="Arial"/>
                <w:sz w:val="16"/>
                <w:szCs w:val="16"/>
              </w:rPr>
              <w:t xml:space="preserve">Se emplea una variable intermedia (SLP) a la espera de obtener el análisis final de la SG una vez los datos alcancen la madurez necesaria establecida. </w:t>
            </w:r>
          </w:p>
        </w:tc>
      </w:tr>
      <w:tr w:rsidR="00DD15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620"/>
        </w:trPr>
        <w:tc>
          <w:tcPr>
            <w:tcW w:w="3472" w:type="dxa"/>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 xml:space="preserve">¿Considera adecuados los criterios de inclusión y/o exclusión de los pacientes? </w:t>
            </w:r>
          </w:p>
        </w:tc>
        <w:tc>
          <w:tcPr>
            <w:tcW w:w="851"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NO</w:t>
            </w:r>
          </w:p>
        </w:tc>
        <w:tc>
          <w:tcPr>
            <w:tcW w:w="4819"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 Solo se incluyeron pacientes con ECOG 0-1</w:t>
            </w:r>
          </w:p>
          <w:p w:rsidR="00DD1521" w:rsidRDefault="00DD1521">
            <w:pPr>
              <w:pStyle w:val="Normal1"/>
              <w:spacing w:after="0" w:line="240" w:lineRule="auto"/>
              <w:rPr>
                <w:rFonts w:ascii="Arial" w:hAnsi="Arial" w:cs="Arial"/>
                <w:sz w:val="16"/>
                <w:szCs w:val="16"/>
              </w:rPr>
            </w:pPr>
            <w:r>
              <w:rPr>
                <w:rFonts w:ascii="Arial" w:hAnsi="Arial" w:cs="Arial"/>
                <w:sz w:val="16"/>
                <w:szCs w:val="16"/>
              </w:rPr>
              <w:t xml:space="preserve">- La población incluida en el estudio se restringió a pacientes que presentaban deleción del exón 19 o del exón 21 (L858R) sola o combinadas con otras mutaciones, sin </w:t>
            </w:r>
            <w:r w:rsidR="000766E9">
              <w:rPr>
                <w:rFonts w:ascii="Arial" w:hAnsi="Arial" w:cs="Arial"/>
                <w:sz w:val="16"/>
                <w:szCs w:val="16"/>
              </w:rPr>
              <w:t>embargo,</w:t>
            </w:r>
            <w:r>
              <w:rPr>
                <w:rFonts w:ascii="Arial" w:hAnsi="Arial" w:cs="Arial"/>
                <w:sz w:val="16"/>
                <w:szCs w:val="16"/>
              </w:rPr>
              <w:t xml:space="preserve"> no todos los pacientes con mutaciones activadoras del EGFR presentan alguna de estas dos mutaciones.  </w:t>
            </w:r>
          </w:p>
        </w:tc>
      </w:tr>
      <w:tr w:rsidR="00DD15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680"/>
        </w:trPr>
        <w:tc>
          <w:tcPr>
            <w:tcW w:w="3472" w:type="dxa"/>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¿Cree que los resultados pueden ser aplicados directamente a la práctica clínica?</w:t>
            </w:r>
            <w:r>
              <w:rPr>
                <w:rFonts w:ascii="Arial" w:hAnsi="Arial" w:cs="Arial"/>
                <w:sz w:val="16"/>
                <w:szCs w:val="16"/>
              </w:rPr>
              <w:t xml:space="preserve"> </w:t>
            </w:r>
          </w:p>
        </w:tc>
        <w:tc>
          <w:tcPr>
            <w:tcW w:w="851"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SI</w:t>
            </w:r>
          </w:p>
        </w:tc>
        <w:tc>
          <w:tcPr>
            <w:tcW w:w="4819" w:type="dxa"/>
          </w:tcPr>
          <w:p w:rsidR="00DD1521" w:rsidRDefault="00DD1521">
            <w:pPr>
              <w:pStyle w:val="Normal1"/>
              <w:spacing w:after="0" w:line="240" w:lineRule="auto"/>
              <w:rPr>
                <w:rFonts w:ascii="Arial" w:hAnsi="Arial" w:cs="Arial"/>
                <w:color w:val="000080"/>
                <w:sz w:val="16"/>
                <w:szCs w:val="16"/>
              </w:rPr>
            </w:pPr>
            <w:r>
              <w:rPr>
                <w:rFonts w:ascii="Arial" w:hAnsi="Arial" w:cs="Arial"/>
                <w:sz w:val="16"/>
                <w:szCs w:val="16"/>
              </w:rPr>
              <w:t>Osimertinib podría utilizarse directamente para el mismo tipo de pacientes en los que actualmente se prescribe erlotinib o gefitinib.</w:t>
            </w:r>
          </w:p>
        </w:tc>
      </w:tr>
      <w:tr w:rsidR="00DD15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680"/>
        </w:trPr>
        <w:tc>
          <w:tcPr>
            <w:tcW w:w="3472" w:type="dxa"/>
          </w:tcPr>
          <w:p w:rsidR="00DD1521" w:rsidRDefault="00DD1521">
            <w:pPr>
              <w:pStyle w:val="Normal1"/>
              <w:spacing w:after="0" w:line="240" w:lineRule="auto"/>
              <w:rPr>
                <w:rFonts w:ascii="Arial" w:hAnsi="Arial" w:cs="Arial"/>
                <w:b/>
                <w:bCs/>
                <w:sz w:val="16"/>
                <w:szCs w:val="16"/>
              </w:rPr>
            </w:pPr>
            <w:r>
              <w:rPr>
                <w:rFonts w:ascii="Arial" w:hAnsi="Arial" w:cs="Arial"/>
                <w:b/>
                <w:bCs/>
                <w:sz w:val="16"/>
                <w:szCs w:val="16"/>
              </w:rPr>
              <w:t>Otros sesgos o limitaciones encontradas en el estudio</w:t>
            </w:r>
          </w:p>
        </w:tc>
        <w:tc>
          <w:tcPr>
            <w:tcW w:w="851" w:type="dxa"/>
          </w:tcPr>
          <w:p w:rsidR="00DD1521" w:rsidRDefault="00DD1521">
            <w:pPr>
              <w:pStyle w:val="Normal1"/>
              <w:spacing w:after="0" w:line="240" w:lineRule="auto"/>
              <w:rPr>
                <w:rFonts w:ascii="Arial" w:hAnsi="Arial" w:cs="Arial"/>
                <w:sz w:val="16"/>
                <w:szCs w:val="16"/>
              </w:rPr>
            </w:pPr>
            <w:r>
              <w:rPr>
                <w:rFonts w:ascii="Arial" w:hAnsi="Arial" w:cs="Arial"/>
                <w:sz w:val="16"/>
                <w:szCs w:val="16"/>
              </w:rPr>
              <w:t>-</w:t>
            </w:r>
          </w:p>
        </w:tc>
        <w:tc>
          <w:tcPr>
            <w:tcW w:w="4819" w:type="dxa"/>
          </w:tcPr>
          <w:p w:rsidR="00DD1521" w:rsidRDefault="00DD1521">
            <w:pPr>
              <w:pStyle w:val="Normal1"/>
              <w:spacing w:after="0" w:line="240" w:lineRule="auto"/>
              <w:rPr>
                <w:rFonts w:ascii="Arial" w:hAnsi="Arial" w:cs="Arial"/>
                <w:color w:val="000080"/>
                <w:sz w:val="16"/>
                <w:szCs w:val="16"/>
              </w:rPr>
            </w:pPr>
            <w:r>
              <w:rPr>
                <w:rFonts w:ascii="Arial" w:hAnsi="Arial" w:cs="Arial"/>
                <w:color w:val="000080"/>
                <w:sz w:val="16"/>
                <w:szCs w:val="16"/>
              </w:rPr>
              <w:t>-</w:t>
            </w:r>
          </w:p>
        </w:tc>
      </w:tr>
    </w:tbl>
    <w:p w:rsidR="00DD1521" w:rsidRDefault="00DD1521">
      <w:pPr>
        <w:spacing w:after="0" w:line="240" w:lineRule="auto"/>
        <w:rPr>
          <w:rFonts w:ascii="Arial" w:hAnsi="Arial" w:cs="Arial"/>
          <w:b/>
          <w:bCs/>
          <w:sz w:val="20"/>
          <w:szCs w:val="20"/>
          <w:lang w:val="zh-CN" w:eastAsia="zh-CN"/>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pStyle w:val="Normal1"/>
        <w:shd w:val="clear" w:color="auto" w:fill="DBE5F1"/>
        <w:spacing w:after="0" w:line="240" w:lineRule="auto"/>
        <w:rPr>
          <w:rFonts w:ascii="Arial" w:hAnsi="Arial" w:cs="Arial"/>
          <w:color w:val="000000"/>
          <w:sz w:val="20"/>
          <w:szCs w:val="20"/>
        </w:rPr>
      </w:pPr>
      <w:r>
        <w:rPr>
          <w:rFonts w:ascii="Arial" w:hAnsi="Arial" w:cs="Arial"/>
          <w:b/>
          <w:bCs/>
          <w:color w:val="000000"/>
          <w:sz w:val="20"/>
          <w:szCs w:val="20"/>
        </w:rPr>
        <w:lastRenderedPageBreak/>
        <w:t>Formulario de declaración de conflictos de intereses</w:t>
      </w:r>
    </w:p>
    <w:p w:rsidR="00DD1521" w:rsidRDefault="00DD1521">
      <w:pPr>
        <w:pStyle w:val="Normal1"/>
        <w:spacing w:after="0" w:line="240" w:lineRule="auto"/>
        <w:ind w:left="220" w:hanging="220"/>
        <w:rPr>
          <w:rFonts w:ascii="Arial" w:hAnsi="Arial" w:cs="Arial"/>
          <w:color w:val="000000"/>
          <w:sz w:val="20"/>
          <w:szCs w:val="20"/>
        </w:rPr>
      </w:pPr>
    </w:p>
    <w:p w:rsidR="00DD1521" w:rsidRDefault="00DD1521">
      <w:pPr>
        <w:pStyle w:val="Normal1"/>
        <w:spacing w:after="0" w:line="240" w:lineRule="auto"/>
        <w:jc w:val="both"/>
        <w:rPr>
          <w:rFonts w:ascii="Arial" w:hAnsi="Arial" w:cs="Arial"/>
          <w:color w:val="000000"/>
          <w:sz w:val="20"/>
          <w:szCs w:val="20"/>
        </w:rPr>
      </w:pPr>
      <w:r>
        <w:rPr>
          <w:rFonts w:ascii="Arial" w:hAnsi="Arial" w:cs="Arial"/>
          <w:color w:val="000000"/>
          <w:sz w:val="20"/>
          <w:szCs w:val="20"/>
        </w:rPr>
        <w:t xml:space="preserve">Los potenciales conflictos de intereses en la elaboración de informes de evaluación se consideran siempre que superen la cantidad de 2.000 euros anuales (últimos 3 años). </w:t>
      </w:r>
    </w:p>
    <w:p w:rsidR="00DD1521" w:rsidRDefault="00DD1521">
      <w:pPr>
        <w:pStyle w:val="Normal1"/>
        <w:spacing w:after="0" w:line="240" w:lineRule="auto"/>
        <w:rPr>
          <w:rFonts w:ascii="Arial" w:hAnsi="Arial" w:cs="Arial"/>
          <w:color w:val="000080"/>
          <w:sz w:val="20"/>
          <w:szCs w:val="20"/>
        </w:rPr>
      </w:pPr>
    </w:p>
    <w:p w:rsidR="00C571B4" w:rsidRPr="0028758A" w:rsidRDefault="00DD1521" w:rsidP="00C571B4">
      <w:pPr>
        <w:pStyle w:val="Normal1"/>
        <w:spacing w:after="0" w:line="240" w:lineRule="auto"/>
        <w:ind w:left="220" w:hanging="220"/>
        <w:rPr>
          <w:rFonts w:ascii="Arial" w:hAnsi="Arial" w:cs="Arial"/>
          <w:bCs/>
          <w:color w:val="000000"/>
          <w:sz w:val="20"/>
          <w:szCs w:val="20"/>
        </w:rPr>
      </w:pPr>
      <w:r>
        <w:rPr>
          <w:rFonts w:ascii="Arial" w:hAnsi="Arial" w:cs="Arial"/>
          <w:b/>
          <w:bCs/>
          <w:color w:val="000000"/>
          <w:sz w:val="20"/>
          <w:szCs w:val="20"/>
        </w:rPr>
        <w:t xml:space="preserve">– Nombre y apellidos: </w:t>
      </w:r>
      <w:r w:rsidR="00C571B4" w:rsidRPr="0028758A">
        <w:rPr>
          <w:rFonts w:ascii="Arial" w:hAnsi="Arial" w:cs="Arial"/>
          <w:bCs/>
          <w:color w:val="000000"/>
          <w:sz w:val="20"/>
          <w:szCs w:val="20"/>
        </w:rPr>
        <w:t>C</w:t>
      </w:r>
      <w:r w:rsidR="0028758A">
        <w:rPr>
          <w:rFonts w:ascii="Arial" w:hAnsi="Arial" w:cs="Arial"/>
          <w:bCs/>
          <w:color w:val="000000"/>
          <w:sz w:val="20"/>
          <w:szCs w:val="20"/>
        </w:rPr>
        <w:t>armen García Muñoz</w:t>
      </w:r>
      <w:r w:rsidR="00C571B4" w:rsidRPr="0028758A">
        <w:rPr>
          <w:rFonts w:ascii="Arial" w:hAnsi="Arial" w:cs="Arial"/>
          <w:bCs/>
          <w:color w:val="000000"/>
          <w:sz w:val="20"/>
          <w:szCs w:val="20"/>
          <w:vertAlign w:val="superscript"/>
        </w:rPr>
        <w:t>1</w:t>
      </w:r>
      <w:r w:rsidR="00C571B4" w:rsidRPr="0028758A">
        <w:rPr>
          <w:rFonts w:ascii="Arial" w:hAnsi="Arial" w:cs="Arial"/>
          <w:bCs/>
          <w:color w:val="000000"/>
          <w:sz w:val="20"/>
          <w:szCs w:val="20"/>
        </w:rPr>
        <w:t xml:space="preserve">, </w:t>
      </w:r>
      <w:r w:rsidR="0028758A">
        <w:rPr>
          <w:rFonts w:ascii="Arial" w:hAnsi="Arial" w:cs="Arial"/>
          <w:bCs/>
          <w:color w:val="000000"/>
          <w:sz w:val="20"/>
          <w:szCs w:val="20"/>
        </w:rPr>
        <w:t>Rocío Jiménez Galán</w:t>
      </w:r>
      <w:r w:rsidR="0028758A" w:rsidRPr="0028758A">
        <w:rPr>
          <w:rFonts w:ascii="Arial" w:hAnsi="Arial" w:cs="Arial"/>
          <w:bCs/>
          <w:color w:val="000000"/>
          <w:sz w:val="20"/>
          <w:szCs w:val="20"/>
          <w:vertAlign w:val="superscript"/>
        </w:rPr>
        <w:t>2</w:t>
      </w:r>
    </w:p>
    <w:p w:rsidR="00C571B4" w:rsidRDefault="00C571B4" w:rsidP="00C571B4">
      <w:pPr>
        <w:pStyle w:val="Normal1"/>
        <w:spacing w:after="0" w:line="240" w:lineRule="auto"/>
        <w:ind w:left="220" w:hanging="220"/>
        <w:rPr>
          <w:rFonts w:ascii="Arial" w:hAnsi="Arial" w:cs="Arial"/>
          <w:b/>
          <w:bCs/>
          <w:color w:val="000000"/>
          <w:sz w:val="20"/>
          <w:szCs w:val="20"/>
        </w:rPr>
      </w:pPr>
    </w:p>
    <w:p w:rsidR="00C571B4" w:rsidRPr="00C0709B" w:rsidRDefault="00C571B4" w:rsidP="00C571B4">
      <w:pPr>
        <w:pStyle w:val="Normal1"/>
        <w:spacing w:after="0" w:line="240" w:lineRule="auto"/>
        <w:ind w:left="220" w:hanging="220"/>
        <w:rPr>
          <w:rFonts w:ascii="Arial" w:hAnsi="Arial" w:cs="Arial"/>
          <w:bCs/>
          <w:color w:val="000000"/>
          <w:sz w:val="20"/>
          <w:szCs w:val="20"/>
        </w:rPr>
      </w:pPr>
      <w:r w:rsidRPr="00C0709B">
        <w:rPr>
          <w:rFonts w:ascii="Arial" w:hAnsi="Arial" w:cs="Arial"/>
          <w:bCs/>
          <w:color w:val="000000"/>
          <w:sz w:val="20"/>
          <w:szCs w:val="20"/>
        </w:rPr>
        <w:t xml:space="preserve">– </w:t>
      </w:r>
      <w:r w:rsidRPr="00C0709B">
        <w:rPr>
          <w:rFonts w:ascii="Arial" w:hAnsi="Arial" w:cs="Arial"/>
          <w:b/>
          <w:bCs/>
          <w:color w:val="000000"/>
          <w:sz w:val="20"/>
          <w:szCs w:val="20"/>
        </w:rPr>
        <w:t>Institución en la que trabaja:</w:t>
      </w:r>
      <w:r w:rsidRPr="00C0709B">
        <w:rPr>
          <w:rFonts w:ascii="Arial" w:hAnsi="Arial" w:cs="Arial"/>
          <w:bCs/>
          <w:color w:val="000000"/>
          <w:sz w:val="20"/>
          <w:szCs w:val="20"/>
        </w:rPr>
        <w:t xml:space="preserve"> </w:t>
      </w:r>
      <w:r w:rsidR="0028758A" w:rsidRPr="00C0709B">
        <w:rPr>
          <w:rFonts w:ascii="Arial" w:hAnsi="Arial" w:cs="Arial"/>
          <w:bCs/>
          <w:color w:val="000000"/>
          <w:sz w:val="20"/>
          <w:szCs w:val="20"/>
        </w:rPr>
        <w:t>Servicio de Farmacia</w:t>
      </w:r>
      <w:r w:rsidRPr="00C0709B">
        <w:rPr>
          <w:rFonts w:ascii="Arial" w:hAnsi="Arial" w:cs="Arial"/>
          <w:bCs/>
          <w:color w:val="000000"/>
          <w:sz w:val="20"/>
          <w:szCs w:val="20"/>
        </w:rPr>
        <w:t xml:space="preserve">. </w:t>
      </w:r>
      <w:r w:rsidR="0028758A" w:rsidRPr="00C0709B">
        <w:rPr>
          <w:rFonts w:ascii="Arial" w:hAnsi="Arial" w:cs="Arial"/>
          <w:bCs/>
          <w:color w:val="000000"/>
          <w:sz w:val="20"/>
          <w:szCs w:val="20"/>
        </w:rPr>
        <w:t>Hospital Universitario 12 de Octubre</w:t>
      </w:r>
      <w:r w:rsidRPr="00C0709B">
        <w:rPr>
          <w:rFonts w:ascii="Arial" w:hAnsi="Arial" w:cs="Arial"/>
          <w:bCs/>
          <w:color w:val="000000"/>
          <w:sz w:val="20"/>
          <w:szCs w:val="20"/>
          <w:vertAlign w:val="superscript"/>
        </w:rPr>
        <w:t>1</w:t>
      </w:r>
      <w:r w:rsidRPr="00C0709B">
        <w:rPr>
          <w:rFonts w:ascii="Arial" w:hAnsi="Arial" w:cs="Arial"/>
          <w:bCs/>
          <w:color w:val="000000"/>
          <w:sz w:val="20"/>
          <w:szCs w:val="20"/>
        </w:rPr>
        <w:t>, H</w:t>
      </w:r>
      <w:r w:rsidR="0028758A" w:rsidRPr="00C0709B">
        <w:rPr>
          <w:rFonts w:ascii="Arial" w:hAnsi="Arial" w:cs="Arial"/>
          <w:bCs/>
          <w:color w:val="000000"/>
          <w:sz w:val="20"/>
          <w:szCs w:val="20"/>
        </w:rPr>
        <w:t>ospital Universitario Virgen del Rocío</w:t>
      </w:r>
      <w:r w:rsidRPr="00C0709B">
        <w:rPr>
          <w:rFonts w:ascii="Arial" w:hAnsi="Arial" w:cs="Arial"/>
          <w:bCs/>
          <w:color w:val="000000"/>
          <w:sz w:val="20"/>
          <w:szCs w:val="20"/>
          <w:vertAlign w:val="superscript"/>
        </w:rPr>
        <w:t>2</w:t>
      </w:r>
      <w:r w:rsidRPr="00C0709B">
        <w:rPr>
          <w:rFonts w:ascii="Arial" w:hAnsi="Arial" w:cs="Arial"/>
          <w:bCs/>
          <w:color w:val="000000"/>
          <w:sz w:val="20"/>
          <w:szCs w:val="20"/>
        </w:rPr>
        <w:t xml:space="preserve">. </w:t>
      </w:r>
    </w:p>
    <w:p w:rsidR="00C571B4" w:rsidRDefault="00C571B4" w:rsidP="00C571B4">
      <w:pPr>
        <w:pStyle w:val="Normal1"/>
        <w:spacing w:after="0" w:line="240" w:lineRule="auto"/>
        <w:ind w:left="220" w:hanging="220"/>
        <w:rPr>
          <w:rFonts w:ascii="Arial" w:hAnsi="Arial" w:cs="Arial"/>
          <w:b/>
          <w:bCs/>
          <w:color w:val="000000"/>
          <w:sz w:val="20"/>
          <w:szCs w:val="20"/>
        </w:rPr>
      </w:pPr>
    </w:p>
    <w:p w:rsidR="00C571B4" w:rsidRDefault="00C571B4" w:rsidP="00C571B4">
      <w:pPr>
        <w:pStyle w:val="Normal1"/>
        <w:spacing w:after="0" w:line="240" w:lineRule="auto"/>
        <w:ind w:left="220" w:hanging="220"/>
        <w:rPr>
          <w:rFonts w:ascii="Arial" w:hAnsi="Arial" w:cs="Arial"/>
          <w:color w:val="000000"/>
          <w:sz w:val="20"/>
          <w:szCs w:val="20"/>
        </w:rPr>
      </w:pPr>
      <w:r>
        <w:rPr>
          <w:rFonts w:ascii="Arial" w:hAnsi="Arial" w:cs="Arial"/>
          <w:b/>
          <w:bCs/>
          <w:color w:val="000000"/>
          <w:sz w:val="20"/>
          <w:szCs w:val="20"/>
        </w:rPr>
        <w:t xml:space="preserve">– Institución que le vincula al informe. </w:t>
      </w:r>
      <w:r w:rsidR="00C0709B">
        <w:rPr>
          <w:rFonts w:ascii="Arial" w:hAnsi="Arial" w:cs="Arial"/>
          <w:color w:val="000000"/>
          <w:sz w:val="20"/>
          <w:szCs w:val="20"/>
        </w:rPr>
        <w:t>Grupo GENESIS-SEFH</w:t>
      </w:r>
    </w:p>
    <w:p w:rsidR="00C571B4" w:rsidRDefault="00C571B4" w:rsidP="00C571B4">
      <w:pPr>
        <w:pStyle w:val="Normal1"/>
        <w:tabs>
          <w:tab w:val="left" w:pos="7800"/>
        </w:tabs>
        <w:spacing w:after="0" w:line="240" w:lineRule="auto"/>
        <w:rPr>
          <w:rFonts w:ascii="Arial" w:hAnsi="Arial" w:cs="Arial"/>
          <w:color w:val="000000"/>
          <w:sz w:val="20"/>
          <w:szCs w:val="20"/>
        </w:rPr>
      </w:pPr>
      <w:r>
        <w:rPr>
          <w:rFonts w:ascii="Arial" w:hAnsi="Arial" w:cs="Arial"/>
          <w:color w:val="000000"/>
          <w:sz w:val="20"/>
          <w:szCs w:val="20"/>
        </w:rPr>
        <w:tab/>
      </w:r>
    </w:p>
    <w:p w:rsidR="00C571B4" w:rsidRDefault="00C571B4" w:rsidP="00C571B4">
      <w:pPr>
        <w:pStyle w:val="Normal1"/>
        <w:spacing w:after="0" w:line="240" w:lineRule="auto"/>
        <w:rPr>
          <w:rFonts w:ascii="Arial" w:hAnsi="Arial" w:cs="Arial"/>
          <w:color w:val="000000"/>
          <w:sz w:val="20"/>
          <w:szCs w:val="20"/>
        </w:rPr>
      </w:pPr>
      <w:r>
        <w:rPr>
          <w:rFonts w:ascii="Arial" w:hAnsi="Arial" w:cs="Arial"/>
          <w:color w:val="000000"/>
          <w:sz w:val="20"/>
          <w:szCs w:val="20"/>
        </w:rPr>
        <w:t>Participación en el informe de evaluación como:</w:t>
      </w:r>
    </w:p>
    <w:p w:rsidR="00C571B4" w:rsidRDefault="00C571B4" w:rsidP="00C571B4">
      <w:pPr>
        <w:pStyle w:val="Normal1"/>
        <w:spacing w:after="0" w:line="240" w:lineRule="auto"/>
        <w:ind w:left="560"/>
        <w:rPr>
          <w:rFonts w:ascii="Arial" w:hAnsi="Arial" w:cs="Arial"/>
          <w:b/>
          <w:bCs/>
          <w:color w:val="000000"/>
          <w:sz w:val="20"/>
          <w:szCs w:val="20"/>
        </w:rPr>
      </w:pPr>
      <w:r>
        <w:rPr>
          <w:rFonts w:ascii="Arial" w:hAnsi="Arial" w:cs="Arial"/>
          <w:b/>
          <w:bCs/>
          <w:color w:val="000000"/>
          <w:sz w:val="20"/>
          <w:szCs w:val="20"/>
        </w:rPr>
        <w:t>-Autora</w:t>
      </w:r>
      <w:r w:rsidR="00C0709B">
        <w:rPr>
          <w:rFonts w:ascii="Arial" w:hAnsi="Arial" w:cs="Arial"/>
          <w:b/>
          <w:bCs/>
          <w:color w:val="000000"/>
          <w:sz w:val="20"/>
          <w:szCs w:val="20"/>
        </w:rPr>
        <w:t>s</w:t>
      </w:r>
    </w:p>
    <w:p w:rsidR="00DD1521" w:rsidRDefault="00DD1521">
      <w:pPr>
        <w:pStyle w:val="Normal1"/>
        <w:spacing w:after="0" w:line="240" w:lineRule="auto"/>
        <w:jc w:val="both"/>
        <w:rPr>
          <w:rFonts w:ascii="Arial" w:hAnsi="Arial" w:cs="Arial"/>
          <w:color w:val="000000"/>
          <w:sz w:val="20"/>
          <w:szCs w:val="20"/>
        </w:rPr>
      </w:pPr>
    </w:p>
    <w:p w:rsidR="00DD1521" w:rsidRDefault="00DD1521">
      <w:pPr>
        <w:pStyle w:val="Normal1"/>
        <w:spacing w:after="0" w:line="240" w:lineRule="auto"/>
        <w:jc w:val="both"/>
        <w:rPr>
          <w:rFonts w:ascii="Arial" w:hAnsi="Arial" w:cs="Arial"/>
          <w:color w:val="000000"/>
          <w:sz w:val="20"/>
          <w:szCs w:val="20"/>
        </w:rPr>
      </w:pPr>
      <w:r>
        <w:rPr>
          <w:rFonts w:ascii="Arial" w:hAnsi="Arial" w:cs="Arial"/>
          <w:color w:val="000000"/>
          <w:sz w:val="20"/>
          <w:szCs w:val="20"/>
        </w:rPr>
        <w:t>Tras haber y leído y comprendido la información remitida sobre la declaración de conflictos para el presente informe, formulo la siguiente declaración:</w:t>
      </w:r>
    </w:p>
    <w:p w:rsidR="00DD1521" w:rsidRDefault="00DD1521">
      <w:pPr>
        <w:pStyle w:val="Normal1"/>
        <w:spacing w:after="0" w:line="240" w:lineRule="auto"/>
        <w:rPr>
          <w:rFonts w:ascii="Arial" w:hAnsi="Arial" w:cs="Arial"/>
          <w:color w:val="000000"/>
          <w:sz w:val="20"/>
          <w:szCs w:val="20"/>
        </w:rPr>
      </w:pPr>
    </w:p>
    <w:p w:rsidR="00DD1521" w:rsidRDefault="00DD1521">
      <w:pPr>
        <w:pStyle w:val="Normal1"/>
        <w:spacing w:after="0" w:line="240" w:lineRule="auto"/>
        <w:rPr>
          <w:rFonts w:ascii="Arial" w:hAnsi="Arial" w:cs="Arial"/>
          <w:b/>
          <w:bCs/>
          <w:color w:val="000000"/>
          <w:sz w:val="20"/>
          <w:szCs w:val="20"/>
        </w:rPr>
      </w:pPr>
      <w:r>
        <w:rPr>
          <w:rFonts w:ascii="Arial" w:hAnsi="Arial" w:cs="Arial"/>
          <w:b/>
          <w:bCs/>
          <w:color w:val="000000"/>
          <w:sz w:val="20"/>
          <w:szCs w:val="20"/>
        </w:rPr>
        <w:t>A- Intereses personales (</w:t>
      </w:r>
      <w:r>
        <w:rPr>
          <w:rFonts w:ascii="Arial" w:hAnsi="Arial" w:cs="Arial"/>
          <w:color w:val="000000"/>
          <w:sz w:val="20"/>
          <w:szCs w:val="20"/>
        </w:rPr>
        <w:t>En caso afirmativo especificar</w:t>
      </w:r>
      <w:r>
        <w:rPr>
          <w:rFonts w:ascii="Arial" w:hAnsi="Arial" w:cs="Arial"/>
          <w:b/>
          <w:bCs/>
          <w:color w:val="000000"/>
          <w:sz w:val="20"/>
          <w:szCs w:val="20"/>
        </w:rPr>
        <w:t xml:space="preserve">): </w:t>
      </w:r>
      <w:r>
        <w:rPr>
          <w:rFonts w:ascii="Arial" w:hAnsi="Arial" w:cs="Arial"/>
          <w:b/>
          <w:bCs/>
          <w:color w:val="000000"/>
          <w:sz w:val="20"/>
          <w:szCs w:val="20"/>
        </w:rPr>
        <w:tab/>
      </w:r>
      <w:r>
        <w:rPr>
          <w:rFonts w:ascii="Arial" w:hAnsi="Arial" w:cs="Arial"/>
          <w:b/>
          <w:bCs/>
          <w:color w:val="000000"/>
          <w:sz w:val="20"/>
          <w:szCs w:val="20"/>
        </w:rPr>
        <w:tab/>
      </w:r>
      <w:r>
        <w:rPr>
          <w:rFonts w:ascii="Wingdings" w:hAnsi="Wingdings" w:cs="Wingdings"/>
          <w:b/>
          <w:bCs/>
          <w:color w:val="000000"/>
          <w:sz w:val="20"/>
          <w:szCs w:val="20"/>
        </w:rPr>
        <w:t></w:t>
      </w:r>
      <w:r>
        <w:rPr>
          <w:rFonts w:ascii="Arial" w:hAnsi="Arial" w:cs="Arial"/>
          <w:b/>
          <w:bCs/>
          <w:color w:val="000000"/>
          <w:sz w:val="20"/>
          <w:szCs w:val="20"/>
        </w:rPr>
        <w:t>SI</w:t>
      </w:r>
      <w:r>
        <w:rPr>
          <w:rFonts w:ascii="Arial" w:hAnsi="Arial" w:cs="Arial"/>
          <w:b/>
          <w:bCs/>
          <w:color w:val="000000"/>
          <w:sz w:val="20"/>
          <w:szCs w:val="20"/>
        </w:rPr>
        <w:tab/>
      </w:r>
      <w:r>
        <w:rPr>
          <w:rFonts w:ascii="Arial" w:hAnsi="Arial" w:cs="Arial"/>
          <w:b/>
          <w:bCs/>
          <w:color w:val="000000"/>
          <w:sz w:val="20"/>
          <w:szCs w:val="20"/>
        </w:rPr>
        <w:tab/>
        <w:t xml:space="preserve">X NO </w:t>
      </w:r>
    </w:p>
    <w:p w:rsidR="00DD1521" w:rsidRDefault="00DD1521">
      <w:pPr>
        <w:pStyle w:val="Normal1"/>
        <w:spacing w:after="0" w:line="240" w:lineRule="auto"/>
        <w:rPr>
          <w:rFonts w:ascii="Arial" w:hAnsi="Arial" w:cs="Arial"/>
          <w:color w:val="000000"/>
          <w:sz w:val="20"/>
          <w:szCs w:val="20"/>
        </w:rPr>
      </w:pPr>
    </w:p>
    <w:tbl>
      <w:tblPr>
        <w:tblW w:w="88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276"/>
        <w:gridCol w:w="1275"/>
        <w:gridCol w:w="457"/>
        <w:gridCol w:w="376"/>
      </w:tblGrid>
      <w:tr w:rsidR="00DD1521">
        <w:tc>
          <w:tcPr>
            <w:tcW w:w="5495" w:type="dxa"/>
          </w:tcPr>
          <w:p w:rsidR="00DD1521" w:rsidRDefault="00DD1521">
            <w:pPr>
              <w:pStyle w:val="Normal1"/>
              <w:spacing w:after="0" w:line="240" w:lineRule="auto"/>
              <w:rPr>
                <w:rFonts w:ascii="Arial" w:hAnsi="Arial" w:cs="Arial"/>
                <w:color w:val="000000"/>
                <w:sz w:val="18"/>
                <w:szCs w:val="18"/>
              </w:rPr>
            </w:pPr>
          </w:p>
        </w:tc>
        <w:tc>
          <w:tcPr>
            <w:tcW w:w="1276"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Actividad</w:t>
            </w:r>
          </w:p>
        </w:tc>
        <w:tc>
          <w:tcPr>
            <w:tcW w:w="127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Institución</w:t>
            </w:r>
          </w:p>
        </w:tc>
        <w:tc>
          <w:tcPr>
            <w:tcW w:w="833" w:type="dxa"/>
            <w:gridSpan w:val="2"/>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Fecha</w:t>
            </w: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para reuniones y congresos, asistencia a cursos (inscripciones, bolsas de viajes, alojamiento…)</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Honorarios como ponente (conferencias, cursos…)</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de programas educativos o cursos (contratación de personal, alquiler de instalaciones…)</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por participar en una investigación</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Consultoría para una compañía farmacéutica/otras tecnologías</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Accionista o con intereses comerciales en una compañía</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Conflictos de intereses de índole no económico que pueden ser significativos en relación a la autoría en la guía</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rPr>
          <w:gridAfter w:val="1"/>
          <w:wAfter w:w="376" w:type="dxa"/>
          <w:trHeight w:val="220"/>
        </w:trPr>
        <w:tc>
          <w:tcPr>
            <w:tcW w:w="8503" w:type="dxa"/>
            <w:gridSpan w:val="4"/>
            <w:tcBorders>
              <w:top w:val="nil"/>
              <w:left w:val="nil"/>
              <w:bottom w:val="nil"/>
              <w:right w:val="nil"/>
            </w:tcBorders>
          </w:tcPr>
          <w:p w:rsidR="00DD1521" w:rsidRDefault="00DD1521">
            <w:pPr>
              <w:pStyle w:val="Normal1"/>
              <w:spacing w:after="0" w:line="240" w:lineRule="auto"/>
              <w:jc w:val="both"/>
              <w:rPr>
                <w:rFonts w:ascii="Arial" w:hAnsi="Arial" w:cs="Arial"/>
                <w:color w:val="FF0000"/>
                <w:sz w:val="18"/>
                <w:szCs w:val="18"/>
              </w:rPr>
            </w:pPr>
          </w:p>
        </w:tc>
      </w:tr>
    </w:tbl>
    <w:p w:rsidR="00DD1521" w:rsidRDefault="00DD1521">
      <w:pPr>
        <w:pStyle w:val="Normal1"/>
        <w:spacing w:after="0" w:line="240" w:lineRule="auto"/>
        <w:rPr>
          <w:rFonts w:ascii="Arial" w:hAnsi="Arial" w:cs="Arial"/>
          <w:b/>
          <w:bCs/>
          <w:color w:val="000000"/>
          <w:sz w:val="20"/>
          <w:szCs w:val="20"/>
        </w:rPr>
      </w:pPr>
      <w:r>
        <w:rPr>
          <w:rFonts w:ascii="Arial" w:hAnsi="Arial" w:cs="Arial"/>
          <w:b/>
          <w:bCs/>
          <w:color w:val="000000"/>
          <w:sz w:val="20"/>
          <w:szCs w:val="20"/>
        </w:rPr>
        <w:t>B- Intereses no personales (</w:t>
      </w:r>
      <w:r>
        <w:rPr>
          <w:rFonts w:ascii="Arial" w:hAnsi="Arial" w:cs="Arial"/>
          <w:color w:val="000000"/>
          <w:sz w:val="20"/>
          <w:szCs w:val="20"/>
        </w:rPr>
        <w:t>En caso afirmativo especificar</w:t>
      </w:r>
      <w:r>
        <w:rPr>
          <w:rFonts w:ascii="Arial" w:hAnsi="Arial" w:cs="Arial"/>
          <w:b/>
          <w:bCs/>
          <w:color w:val="000000"/>
          <w:sz w:val="20"/>
          <w:szCs w:val="20"/>
        </w:rPr>
        <w:t xml:space="preserve">): </w:t>
      </w:r>
      <w:r>
        <w:rPr>
          <w:rFonts w:ascii="Arial" w:hAnsi="Arial" w:cs="Arial"/>
          <w:b/>
          <w:bCs/>
          <w:color w:val="000000"/>
          <w:sz w:val="20"/>
          <w:szCs w:val="20"/>
        </w:rPr>
        <w:tab/>
      </w:r>
      <w:r>
        <w:rPr>
          <w:rFonts w:ascii="Arial" w:hAnsi="Arial" w:cs="Arial"/>
          <w:b/>
          <w:bCs/>
          <w:color w:val="000000"/>
          <w:sz w:val="20"/>
          <w:szCs w:val="20"/>
        </w:rPr>
        <w:tab/>
      </w:r>
      <w:r>
        <w:rPr>
          <w:rFonts w:ascii="Wingdings" w:hAnsi="Wingdings" w:cs="Wingdings"/>
          <w:b/>
          <w:bCs/>
          <w:color w:val="000000"/>
          <w:sz w:val="20"/>
          <w:szCs w:val="20"/>
        </w:rPr>
        <w:t></w:t>
      </w:r>
      <w:r>
        <w:rPr>
          <w:rFonts w:ascii="Arial" w:hAnsi="Arial" w:cs="Arial"/>
          <w:b/>
          <w:bCs/>
          <w:color w:val="000000"/>
          <w:sz w:val="20"/>
          <w:szCs w:val="20"/>
        </w:rPr>
        <w:t>SI</w:t>
      </w:r>
      <w:r>
        <w:rPr>
          <w:rFonts w:ascii="Arial" w:hAnsi="Arial" w:cs="Arial"/>
          <w:b/>
          <w:bCs/>
          <w:color w:val="000000"/>
          <w:sz w:val="20"/>
          <w:szCs w:val="20"/>
        </w:rPr>
        <w:tab/>
      </w:r>
      <w:r>
        <w:rPr>
          <w:rFonts w:ascii="Arial" w:hAnsi="Arial" w:cs="Arial"/>
          <w:b/>
          <w:bCs/>
          <w:color w:val="000000"/>
          <w:sz w:val="20"/>
          <w:szCs w:val="20"/>
        </w:rPr>
        <w:tab/>
        <w:t>X NO</w:t>
      </w:r>
    </w:p>
    <w:p w:rsidR="00DD1521" w:rsidRDefault="00DD1521">
      <w:pPr>
        <w:pStyle w:val="Normal1"/>
        <w:spacing w:after="0" w:line="240" w:lineRule="auto"/>
        <w:rPr>
          <w:rFonts w:ascii="Arial" w:hAnsi="Arial" w:cs="Arial"/>
          <w:b/>
          <w:bCs/>
          <w:color w:val="000000"/>
          <w:sz w:val="20"/>
          <w:szCs w:val="20"/>
        </w:rPr>
      </w:pPr>
      <w:r>
        <w:rPr>
          <w:rFonts w:ascii="Arial" w:hAnsi="Arial" w:cs="Arial"/>
          <w:b/>
          <w:bCs/>
          <w:color w:val="000000"/>
          <w:sz w:val="20"/>
          <w:szCs w:val="20"/>
        </w:rPr>
        <w:t xml:space="preserve"> </w:t>
      </w:r>
    </w:p>
    <w:tbl>
      <w:tblPr>
        <w:tblW w:w="9039" w:type="dxa"/>
        <w:tblInd w:w="-106" w:type="dxa"/>
        <w:tblLayout w:type="fixed"/>
        <w:tblLook w:val="00A0" w:firstRow="1" w:lastRow="0" w:firstColumn="1" w:lastColumn="0" w:noHBand="0" w:noVBand="0"/>
      </w:tblPr>
      <w:tblGrid>
        <w:gridCol w:w="9039"/>
      </w:tblGrid>
      <w:tr w:rsidR="00DD1521">
        <w:trPr>
          <w:trHeight w:val="220"/>
        </w:trPr>
        <w:tc>
          <w:tcPr>
            <w:tcW w:w="9039" w:type="dxa"/>
          </w:tcPr>
          <w:p w:rsidR="00DD1521" w:rsidRDefault="00DD1521">
            <w:pPr>
              <w:pStyle w:val="Normal1"/>
              <w:spacing w:after="0" w:line="240" w:lineRule="auto"/>
              <w:rPr>
                <w:rFonts w:ascii="Arial" w:hAnsi="Arial" w:cs="Arial"/>
                <w:color w:val="000000"/>
                <w:sz w:val="20"/>
                <w:szCs w:val="20"/>
              </w:rPr>
            </w:pPr>
          </w:p>
          <w:tbl>
            <w:tblPr>
              <w:tblW w:w="887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276"/>
              <w:gridCol w:w="1275"/>
              <w:gridCol w:w="833"/>
            </w:tblGrid>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Actividad</w:t>
                  </w: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Institución</w:t>
                  </w: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Fecha</w:t>
                  </w: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Dotación significativa de material a a unidad o servicio</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bl>
          <w:p w:rsidR="00DD1521" w:rsidRDefault="00DD1521">
            <w:pPr>
              <w:pStyle w:val="Normal1"/>
              <w:spacing w:after="0" w:line="240" w:lineRule="auto"/>
              <w:rPr>
                <w:rFonts w:ascii="Arial" w:hAnsi="Arial" w:cs="Arial"/>
                <w:color w:val="000000"/>
                <w:sz w:val="20"/>
                <w:szCs w:val="20"/>
              </w:rPr>
            </w:pPr>
          </w:p>
        </w:tc>
      </w:tr>
    </w:tbl>
    <w:p w:rsidR="00DD1521" w:rsidRDefault="00DD1521">
      <w:pPr>
        <w:pStyle w:val="Normal1"/>
        <w:spacing w:after="0" w:line="240" w:lineRule="auto"/>
        <w:rPr>
          <w:rFonts w:ascii="Arial" w:hAnsi="Arial" w:cs="Arial"/>
          <w:b/>
          <w:bCs/>
          <w:color w:val="000000"/>
          <w:sz w:val="20"/>
          <w:szCs w:val="20"/>
        </w:rPr>
      </w:pPr>
    </w:p>
    <w:p w:rsidR="00DD1521" w:rsidRDefault="00DD1521">
      <w:pPr>
        <w:pStyle w:val="Normal1"/>
        <w:spacing w:after="0" w:line="240" w:lineRule="auto"/>
        <w:rPr>
          <w:rFonts w:ascii="Arial" w:hAnsi="Arial" w:cs="Arial"/>
          <w:b/>
          <w:bCs/>
          <w:sz w:val="20"/>
          <w:szCs w:val="20"/>
        </w:rPr>
      </w:pPr>
      <w:r>
        <w:rPr>
          <w:rFonts w:ascii="Arial" w:hAnsi="Arial" w:cs="Arial"/>
          <w:b/>
          <w:bCs/>
          <w:color w:val="000000"/>
          <w:sz w:val="20"/>
          <w:szCs w:val="20"/>
        </w:rPr>
        <w:t>C-Otros posibles conflictos de intereses no señalados en apartados anteriores (especificar)</w:t>
      </w:r>
      <w:r>
        <w:rPr>
          <w:rFonts w:ascii="Arial" w:hAnsi="Arial" w:cs="Arial"/>
          <w:b/>
          <w:bCs/>
          <w:sz w:val="20"/>
          <w:szCs w:val="20"/>
        </w:rPr>
        <w:t xml:space="preserve"> </w:t>
      </w:r>
    </w:p>
    <w:p w:rsidR="00DD1521" w:rsidRDefault="00DD1521">
      <w:pPr>
        <w:pStyle w:val="Normal1"/>
        <w:spacing w:after="0" w:line="240" w:lineRule="auto"/>
        <w:rPr>
          <w:rFonts w:ascii="Arial" w:hAnsi="Arial" w:cs="Arial"/>
          <w:b/>
          <w:bCs/>
          <w:sz w:val="20"/>
          <w:szCs w:val="20"/>
        </w:rPr>
      </w:pPr>
    </w:p>
    <w:p w:rsidR="00DD1521" w:rsidRDefault="00DD1521">
      <w:pPr>
        <w:pStyle w:val="Normal1"/>
        <w:spacing w:after="0" w:line="240" w:lineRule="auto"/>
        <w:rPr>
          <w:rFonts w:ascii="Arial" w:hAnsi="Arial" w:cs="Arial"/>
          <w:b/>
          <w:bCs/>
          <w:sz w:val="20"/>
          <w:szCs w:val="20"/>
        </w:rPr>
      </w:pPr>
    </w:p>
    <w:p w:rsidR="00DD1521" w:rsidRDefault="00DD1521">
      <w:pPr>
        <w:pStyle w:val="Normal1"/>
        <w:spacing w:after="0" w:line="240" w:lineRule="auto"/>
        <w:rPr>
          <w:rFonts w:ascii="Arial" w:hAnsi="Arial" w:cs="Arial"/>
          <w:b/>
          <w:bCs/>
          <w:sz w:val="20"/>
          <w:szCs w:val="20"/>
        </w:rPr>
      </w:pPr>
    </w:p>
    <w:p w:rsidR="00DD1521" w:rsidRDefault="00DD1521">
      <w:pPr>
        <w:pStyle w:val="Normal1"/>
        <w:spacing w:after="0" w:line="240" w:lineRule="auto"/>
        <w:jc w:val="both"/>
        <w:rPr>
          <w:rFonts w:ascii="Arial" w:hAnsi="Arial" w:cs="Arial"/>
          <w:b/>
          <w:bCs/>
          <w:sz w:val="20"/>
          <w:szCs w:val="20"/>
        </w:rPr>
      </w:pPr>
    </w:p>
    <w:p w:rsidR="00DD1521" w:rsidRDefault="00DD1521">
      <w:pPr>
        <w:pStyle w:val="Normal1"/>
        <w:spacing w:after="0" w:line="240" w:lineRule="auto"/>
        <w:rPr>
          <w:rFonts w:ascii="Arial" w:hAnsi="Arial" w:cs="Arial"/>
          <w:b/>
          <w:bCs/>
          <w:sz w:val="20"/>
          <w:szCs w:val="20"/>
        </w:rPr>
      </w:pPr>
      <w:r>
        <w:rPr>
          <w:rFonts w:ascii="Arial" w:hAnsi="Arial" w:cs="Arial"/>
          <w:b/>
          <w:bCs/>
          <w:sz w:val="20"/>
          <w:szCs w:val="20"/>
        </w:rPr>
        <w:t xml:space="preserve">FECHA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FIRMA </w:t>
      </w:r>
    </w:p>
    <w:p w:rsidR="00DD1521" w:rsidRDefault="00DD1521">
      <w:pPr>
        <w:pStyle w:val="Normal1"/>
        <w:spacing w:after="0" w:line="240" w:lineRule="auto"/>
        <w:rPr>
          <w:rFonts w:ascii="Arial" w:hAnsi="Arial" w:cs="Arial"/>
          <w:color w:val="000080"/>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p>
    <w:p w:rsidR="0028758A" w:rsidRPr="0001434C" w:rsidRDefault="0028758A" w:rsidP="0028758A">
      <w:pPr>
        <w:pStyle w:val="Normal1"/>
        <w:spacing w:after="0" w:line="240" w:lineRule="auto"/>
        <w:rPr>
          <w:rFonts w:ascii="Arial" w:hAnsi="Arial" w:cs="Arial"/>
          <w:sz w:val="20"/>
          <w:szCs w:val="20"/>
        </w:rPr>
      </w:pPr>
      <w:r w:rsidRPr="0001434C">
        <w:rPr>
          <w:rFonts w:ascii="Arial" w:hAnsi="Arial" w:cs="Arial"/>
          <w:bCs/>
          <w:sz w:val="20"/>
          <w:szCs w:val="20"/>
        </w:rPr>
        <w:t>10 de abril de 2019</w:t>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t xml:space="preserve">  </w:t>
      </w: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pStyle w:val="Normal1"/>
        <w:shd w:val="clear" w:color="auto" w:fill="DBE5F1"/>
        <w:spacing w:after="0" w:line="240" w:lineRule="auto"/>
        <w:rPr>
          <w:rFonts w:ascii="Arial" w:hAnsi="Arial" w:cs="Arial"/>
          <w:color w:val="000000"/>
          <w:sz w:val="20"/>
          <w:szCs w:val="20"/>
        </w:rPr>
      </w:pPr>
      <w:r>
        <w:rPr>
          <w:rFonts w:ascii="Arial" w:hAnsi="Arial" w:cs="Arial"/>
          <w:b/>
          <w:bCs/>
          <w:color w:val="000000"/>
          <w:sz w:val="20"/>
          <w:szCs w:val="20"/>
        </w:rPr>
        <w:t>Formulario de declaración de conflictos de intereses</w:t>
      </w:r>
    </w:p>
    <w:p w:rsidR="00DD1521" w:rsidRDefault="00DD1521">
      <w:pPr>
        <w:pStyle w:val="Normal1"/>
        <w:spacing w:after="0" w:line="240" w:lineRule="auto"/>
        <w:ind w:left="220" w:hanging="220"/>
        <w:rPr>
          <w:rFonts w:ascii="Arial" w:hAnsi="Arial" w:cs="Arial"/>
          <w:color w:val="000000"/>
          <w:sz w:val="20"/>
          <w:szCs w:val="20"/>
        </w:rPr>
      </w:pPr>
    </w:p>
    <w:p w:rsidR="00DD1521" w:rsidRDefault="00DD1521">
      <w:pPr>
        <w:pStyle w:val="Normal1"/>
        <w:spacing w:after="0" w:line="240" w:lineRule="auto"/>
        <w:jc w:val="both"/>
        <w:rPr>
          <w:rFonts w:ascii="Arial" w:hAnsi="Arial" w:cs="Arial"/>
          <w:color w:val="000000"/>
          <w:sz w:val="20"/>
          <w:szCs w:val="20"/>
        </w:rPr>
      </w:pPr>
      <w:r>
        <w:rPr>
          <w:rFonts w:ascii="Arial" w:hAnsi="Arial" w:cs="Arial"/>
          <w:color w:val="000000"/>
          <w:sz w:val="20"/>
          <w:szCs w:val="20"/>
        </w:rPr>
        <w:t xml:space="preserve">Los potenciales conflictos de intereses en la elaboración de informes de evaluación se consideran siempre que superen la cantidad de 2.000 euros anuales (últimos 3 años). </w:t>
      </w:r>
    </w:p>
    <w:p w:rsidR="00DD1521" w:rsidRDefault="00DD1521">
      <w:pPr>
        <w:pStyle w:val="Normal1"/>
        <w:spacing w:after="0" w:line="240" w:lineRule="auto"/>
        <w:rPr>
          <w:rFonts w:ascii="Arial" w:hAnsi="Arial" w:cs="Arial"/>
          <w:color w:val="000080"/>
          <w:sz w:val="20"/>
          <w:szCs w:val="20"/>
        </w:rPr>
      </w:pPr>
    </w:p>
    <w:p w:rsidR="00DD1521" w:rsidRDefault="00DD1521">
      <w:pPr>
        <w:pStyle w:val="Normal1"/>
        <w:spacing w:after="0" w:line="240" w:lineRule="auto"/>
        <w:ind w:left="220" w:hanging="220"/>
        <w:rPr>
          <w:rFonts w:ascii="Arial" w:hAnsi="Arial" w:cs="Arial"/>
          <w:b/>
          <w:bCs/>
          <w:color w:val="000000"/>
          <w:sz w:val="20"/>
          <w:szCs w:val="20"/>
          <w:vertAlign w:val="superscript"/>
        </w:rPr>
      </w:pPr>
      <w:r>
        <w:rPr>
          <w:rFonts w:ascii="Arial" w:hAnsi="Arial" w:cs="Arial"/>
          <w:b/>
          <w:bCs/>
          <w:color w:val="000000"/>
          <w:sz w:val="20"/>
          <w:szCs w:val="20"/>
        </w:rPr>
        <w:t xml:space="preserve">– Nombre y apellidos: </w:t>
      </w:r>
      <w:r w:rsidRPr="0001434C">
        <w:rPr>
          <w:rFonts w:ascii="Arial" w:hAnsi="Arial" w:cs="Arial"/>
          <w:bCs/>
          <w:color w:val="000000"/>
          <w:sz w:val="20"/>
          <w:szCs w:val="20"/>
        </w:rPr>
        <w:t>Vicente Arocas Casañ</w:t>
      </w:r>
    </w:p>
    <w:p w:rsidR="00DD1521" w:rsidRDefault="00DD1521">
      <w:pPr>
        <w:pStyle w:val="Normal1"/>
        <w:spacing w:after="0" w:line="240" w:lineRule="auto"/>
        <w:ind w:left="220" w:hanging="220"/>
        <w:rPr>
          <w:rFonts w:ascii="Arial" w:hAnsi="Arial" w:cs="Arial"/>
          <w:b/>
          <w:bCs/>
          <w:color w:val="000000"/>
          <w:sz w:val="20"/>
          <w:szCs w:val="20"/>
        </w:rPr>
      </w:pPr>
    </w:p>
    <w:p w:rsidR="00DD1521" w:rsidRPr="0001434C" w:rsidRDefault="00DD1521">
      <w:pPr>
        <w:pStyle w:val="Normal1"/>
        <w:spacing w:after="0" w:line="240" w:lineRule="auto"/>
        <w:ind w:left="220" w:hanging="220"/>
        <w:jc w:val="both"/>
        <w:rPr>
          <w:rFonts w:ascii="Arial" w:hAnsi="Arial" w:cs="Arial"/>
          <w:bCs/>
          <w:color w:val="000000"/>
          <w:sz w:val="20"/>
          <w:szCs w:val="20"/>
        </w:rPr>
      </w:pPr>
      <w:r>
        <w:rPr>
          <w:rFonts w:ascii="Arial" w:hAnsi="Arial" w:cs="Arial"/>
          <w:b/>
          <w:bCs/>
          <w:color w:val="000000"/>
          <w:sz w:val="20"/>
          <w:szCs w:val="20"/>
        </w:rPr>
        <w:t xml:space="preserve">– Institución en la que trabaja: </w:t>
      </w:r>
      <w:r w:rsidRPr="0001434C">
        <w:rPr>
          <w:rFonts w:ascii="Arial" w:hAnsi="Arial" w:cs="Arial"/>
          <w:bCs/>
          <w:color w:val="000000"/>
          <w:sz w:val="20"/>
          <w:szCs w:val="20"/>
        </w:rPr>
        <w:t>Hospital Clínico Universitario Virgen de la Arrixaca</w:t>
      </w:r>
    </w:p>
    <w:p w:rsidR="00DD1521" w:rsidRDefault="00DD1521">
      <w:pPr>
        <w:pStyle w:val="Normal1"/>
        <w:spacing w:after="0" w:line="240" w:lineRule="auto"/>
        <w:ind w:left="220" w:hanging="220"/>
        <w:rPr>
          <w:rFonts w:ascii="Arial" w:hAnsi="Arial" w:cs="Arial"/>
          <w:b/>
          <w:bCs/>
          <w:color w:val="000000"/>
          <w:sz w:val="20"/>
          <w:szCs w:val="20"/>
        </w:rPr>
      </w:pPr>
    </w:p>
    <w:p w:rsidR="00DD1521" w:rsidRDefault="00DD1521">
      <w:pPr>
        <w:pStyle w:val="Normal1"/>
        <w:spacing w:after="0" w:line="240" w:lineRule="auto"/>
        <w:ind w:left="220" w:hanging="220"/>
        <w:jc w:val="both"/>
        <w:rPr>
          <w:rFonts w:ascii="Arial" w:hAnsi="Arial" w:cs="Arial"/>
          <w:color w:val="000000"/>
          <w:sz w:val="20"/>
          <w:szCs w:val="20"/>
        </w:rPr>
      </w:pPr>
      <w:r>
        <w:rPr>
          <w:rFonts w:ascii="Arial" w:hAnsi="Arial" w:cs="Arial"/>
          <w:b/>
          <w:bCs/>
          <w:color w:val="000000"/>
          <w:sz w:val="20"/>
          <w:szCs w:val="20"/>
        </w:rPr>
        <w:t xml:space="preserve">– Institución que le vincula al informe. </w:t>
      </w:r>
      <w:r w:rsidRPr="0001434C">
        <w:rPr>
          <w:rFonts w:ascii="Arial" w:hAnsi="Arial" w:cs="Arial"/>
          <w:bCs/>
          <w:color w:val="000000"/>
          <w:sz w:val="20"/>
          <w:szCs w:val="20"/>
        </w:rPr>
        <w:t>Grupo GENESIS-SEFH</w:t>
      </w:r>
    </w:p>
    <w:p w:rsidR="00DD1521" w:rsidRDefault="00DD1521">
      <w:pPr>
        <w:pStyle w:val="Normal1"/>
        <w:spacing w:after="0" w:line="240" w:lineRule="auto"/>
        <w:rPr>
          <w:rFonts w:ascii="Arial" w:hAnsi="Arial" w:cs="Arial"/>
          <w:color w:val="000000"/>
          <w:sz w:val="20"/>
          <w:szCs w:val="20"/>
        </w:rPr>
      </w:pPr>
    </w:p>
    <w:p w:rsidR="00C0709B" w:rsidRDefault="00C0709B" w:rsidP="00C0709B">
      <w:pPr>
        <w:pStyle w:val="Normal1"/>
        <w:spacing w:after="0" w:line="240" w:lineRule="auto"/>
        <w:rPr>
          <w:rFonts w:ascii="Arial" w:hAnsi="Arial" w:cs="Arial"/>
          <w:color w:val="000000"/>
          <w:sz w:val="20"/>
          <w:szCs w:val="20"/>
        </w:rPr>
      </w:pPr>
      <w:r>
        <w:rPr>
          <w:rFonts w:ascii="Arial" w:hAnsi="Arial" w:cs="Arial"/>
          <w:color w:val="000000"/>
          <w:sz w:val="20"/>
          <w:szCs w:val="20"/>
        </w:rPr>
        <w:t>Participación en el informe de evaluación como:</w:t>
      </w:r>
    </w:p>
    <w:p w:rsidR="00C0709B" w:rsidRDefault="00C0709B" w:rsidP="00C0709B">
      <w:pPr>
        <w:pStyle w:val="Normal1"/>
        <w:spacing w:after="0" w:line="240" w:lineRule="auto"/>
        <w:ind w:left="560"/>
        <w:rPr>
          <w:rFonts w:ascii="Arial" w:hAnsi="Arial" w:cs="Arial"/>
          <w:b/>
          <w:bCs/>
          <w:color w:val="000000"/>
          <w:sz w:val="20"/>
          <w:szCs w:val="20"/>
        </w:rPr>
      </w:pPr>
      <w:r>
        <w:rPr>
          <w:rFonts w:ascii="Arial" w:hAnsi="Arial" w:cs="Arial"/>
          <w:b/>
          <w:bCs/>
          <w:color w:val="000000"/>
          <w:sz w:val="20"/>
          <w:szCs w:val="20"/>
        </w:rPr>
        <w:t>-Tutor</w:t>
      </w:r>
    </w:p>
    <w:p w:rsidR="00DD1521" w:rsidRDefault="00DD1521">
      <w:pPr>
        <w:pStyle w:val="Normal1"/>
        <w:spacing w:after="0" w:line="240" w:lineRule="auto"/>
        <w:rPr>
          <w:rFonts w:ascii="Arial" w:hAnsi="Arial" w:cs="Arial"/>
          <w:color w:val="000000"/>
          <w:sz w:val="20"/>
          <w:szCs w:val="20"/>
        </w:rPr>
      </w:pPr>
    </w:p>
    <w:p w:rsidR="00DD1521" w:rsidRDefault="00DD1521">
      <w:pPr>
        <w:pStyle w:val="Normal1"/>
        <w:spacing w:after="0" w:line="240" w:lineRule="auto"/>
        <w:jc w:val="both"/>
        <w:rPr>
          <w:rFonts w:ascii="Arial" w:hAnsi="Arial" w:cs="Arial"/>
          <w:color w:val="000000"/>
          <w:sz w:val="20"/>
          <w:szCs w:val="20"/>
        </w:rPr>
      </w:pPr>
      <w:r>
        <w:rPr>
          <w:rFonts w:ascii="Arial" w:hAnsi="Arial" w:cs="Arial"/>
          <w:color w:val="000000"/>
          <w:sz w:val="20"/>
          <w:szCs w:val="20"/>
        </w:rPr>
        <w:t>Tras haber y leído y comprendido la información remitida sobre la declaración de conflictos para el presente informe, formulo la siguiente declaración:</w:t>
      </w:r>
    </w:p>
    <w:p w:rsidR="00DD1521" w:rsidRDefault="00DD1521">
      <w:pPr>
        <w:pStyle w:val="Normal1"/>
        <w:spacing w:after="0" w:line="240" w:lineRule="auto"/>
        <w:rPr>
          <w:rFonts w:ascii="Arial" w:hAnsi="Arial" w:cs="Arial"/>
          <w:color w:val="000000"/>
          <w:sz w:val="20"/>
          <w:szCs w:val="20"/>
        </w:rPr>
      </w:pPr>
    </w:p>
    <w:p w:rsidR="00DD1521" w:rsidRDefault="00DD1521">
      <w:pPr>
        <w:pStyle w:val="Normal1"/>
        <w:spacing w:after="0" w:line="240" w:lineRule="auto"/>
        <w:rPr>
          <w:rFonts w:ascii="Arial" w:hAnsi="Arial" w:cs="Arial"/>
          <w:b/>
          <w:bCs/>
          <w:color w:val="000000"/>
          <w:sz w:val="20"/>
          <w:szCs w:val="20"/>
        </w:rPr>
      </w:pPr>
      <w:r>
        <w:rPr>
          <w:rFonts w:ascii="Arial" w:hAnsi="Arial" w:cs="Arial"/>
          <w:b/>
          <w:bCs/>
          <w:color w:val="000000"/>
          <w:sz w:val="20"/>
          <w:szCs w:val="20"/>
        </w:rPr>
        <w:t>A- Intereses personales (</w:t>
      </w:r>
      <w:r>
        <w:rPr>
          <w:rFonts w:ascii="Arial" w:hAnsi="Arial" w:cs="Arial"/>
          <w:color w:val="000000"/>
          <w:sz w:val="20"/>
          <w:szCs w:val="20"/>
        </w:rPr>
        <w:t>En caso afirmativo especificar</w:t>
      </w:r>
      <w:r>
        <w:rPr>
          <w:rFonts w:ascii="Arial" w:hAnsi="Arial" w:cs="Arial"/>
          <w:b/>
          <w:bCs/>
          <w:color w:val="000000"/>
          <w:sz w:val="20"/>
          <w:szCs w:val="20"/>
        </w:rPr>
        <w:t xml:space="preserve">): </w:t>
      </w:r>
      <w:r>
        <w:rPr>
          <w:rFonts w:ascii="Arial" w:hAnsi="Arial" w:cs="Arial"/>
          <w:b/>
          <w:bCs/>
          <w:color w:val="000000"/>
          <w:sz w:val="20"/>
          <w:szCs w:val="20"/>
        </w:rPr>
        <w:tab/>
      </w:r>
      <w:r>
        <w:rPr>
          <w:rFonts w:ascii="Arial" w:hAnsi="Arial" w:cs="Arial"/>
          <w:b/>
          <w:bCs/>
          <w:color w:val="000000"/>
          <w:sz w:val="20"/>
          <w:szCs w:val="20"/>
        </w:rPr>
        <w:tab/>
      </w:r>
      <w:r>
        <w:rPr>
          <w:rFonts w:ascii="Wingdings" w:hAnsi="Wingdings" w:cs="Wingdings"/>
          <w:b/>
          <w:bCs/>
          <w:color w:val="000000"/>
          <w:sz w:val="20"/>
          <w:szCs w:val="20"/>
        </w:rPr>
        <w:t></w:t>
      </w:r>
      <w:r>
        <w:rPr>
          <w:rFonts w:ascii="Arial" w:hAnsi="Arial" w:cs="Arial"/>
          <w:b/>
          <w:bCs/>
          <w:color w:val="000000"/>
          <w:sz w:val="20"/>
          <w:szCs w:val="20"/>
        </w:rPr>
        <w:t>SI</w:t>
      </w:r>
      <w:r>
        <w:rPr>
          <w:rFonts w:ascii="Arial" w:hAnsi="Arial" w:cs="Arial"/>
          <w:b/>
          <w:bCs/>
          <w:color w:val="000000"/>
          <w:sz w:val="20"/>
          <w:szCs w:val="20"/>
        </w:rPr>
        <w:tab/>
      </w:r>
      <w:r>
        <w:rPr>
          <w:rFonts w:ascii="Arial" w:hAnsi="Arial" w:cs="Arial"/>
          <w:b/>
          <w:bCs/>
          <w:color w:val="000000"/>
          <w:sz w:val="20"/>
          <w:szCs w:val="20"/>
        </w:rPr>
        <w:tab/>
        <w:t xml:space="preserve">X NO </w:t>
      </w:r>
    </w:p>
    <w:p w:rsidR="00DD1521" w:rsidRDefault="00DD1521">
      <w:pPr>
        <w:pStyle w:val="Normal1"/>
        <w:spacing w:after="0" w:line="240" w:lineRule="auto"/>
        <w:rPr>
          <w:rFonts w:ascii="Arial" w:hAnsi="Arial" w:cs="Arial"/>
          <w:color w:val="000000"/>
          <w:sz w:val="20"/>
          <w:szCs w:val="20"/>
        </w:rPr>
      </w:pPr>
    </w:p>
    <w:tbl>
      <w:tblPr>
        <w:tblW w:w="88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276"/>
        <w:gridCol w:w="1275"/>
        <w:gridCol w:w="457"/>
        <w:gridCol w:w="376"/>
      </w:tblGrid>
      <w:tr w:rsidR="00DD1521">
        <w:tc>
          <w:tcPr>
            <w:tcW w:w="5495" w:type="dxa"/>
          </w:tcPr>
          <w:p w:rsidR="00DD1521" w:rsidRDefault="00DD1521">
            <w:pPr>
              <w:pStyle w:val="Normal1"/>
              <w:spacing w:after="0" w:line="240" w:lineRule="auto"/>
              <w:rPr>
                <w:rFonts w:ascii="Arial" w:hAnsi="Arial" w:cs="Arial"/>
                <w:color w:val="000000"/>
                <w:sz w:val="18"/>
                <w:szCs w:val="18"/>
              </w:rPr>
            </w:pPr>
          </w:p>
        </w:tc>
        <w:tc>
          <w:tcPr>
            <w:tcW w:w="1276"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Actividad</w:t>
            </w:r>
          </w:p>
        </w:tc>
        <w:tc>
          <w:tcPr>
            <w:tcW w:w="127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Institución</w:t>
            </w:r>
          </w:p>
        </w:tc>
        <w:tc>
          <w:tcPr>
            <w:tcW w:w="833" w:type="dxa"/>
            <w:gridSpan w:val="2"/>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Fecha</w:t>
            </w: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para reuniones y congresos, asistencia a cursos (inscripciones, bolsas de viajes, alojamiento…)</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Honorarios como ponente (conferencias, cursos…)</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de programas educativos o cursos (contratación de personal, alquiler de instalaciones…)</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por participar en una investigación</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Consultoría para una compañía farmacéutica/otras tecnologías</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Accionista o con intereses comerciales en una compañía</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c>
          <w:tcPr>
            <w:tcW w:w="5495" w:type="dxa"/>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Conflictos de intereses de índole no económico que pueden ser significativos en relación a la autoría en la guía</w:t>
            </w:r>
          </w:p>
        </w:tc>
        <w:tc>
          <w:tcPr>
            <w:tcW w:w="1276" w:type="dxa"/>
          </w:tcPr>
          <w:p w:rsidR="00DD1521" w:rsidRDefault="00DD1521">
            <w:pPr>
              <w:pStyle w:val="Normal1"/>
              <w:spacing w:after="0" w:line="240" w:lineRule="auto"/>
              <w:rPr>
                <w:rFonts w:ascii="Arial" w:hAnsi="Arial" w:cs="Arial"/>
                <w:color w:val="000000"/>
                <w:sz w:val="18"/>
                <w:szCs w:val="18"/>
              </w:rPr>
            </w:pPr>
          </w:p>
        </w:tc>
        <w:tc>
          <w:tcPr>
            <w:tcW w:w="1275" w:type="dxa"/>
          </w:tcPr>
          <w:p w:rsidR="00DD1521" w:rsidRDefault="00DD1521">
            <w:pPr>
              <w:pStyle w:val="Normal1"/>
              <w:spacing w:after="0" w:line="240" w:lineRule="auto"/>
              <w:rPr>
                <w:rFonts w:ascii="Arial" w:hAnsi="Arial" w:cs="Arial"/>
                <w:color w:val="000000"/>
                <w:sz w:val="18"/>
                <w:szCs w:val="18"/>
              </w:rPr>
            </w:pPr>
          </w:p>
        </w:tc>
        <w:tc>
          <w:tcPr>
            <w:tcW w:w="833" w:type="dxa"/>
            <w:gridSpan w:val="2"/>
          </w:tcPr>
          <w:p w:rsidR="00DD1521" w:rsidRDefault="00DD1521">
            <w:pPr>
              <w:pStyle w:val="Normal1"/>
              <w:spacing w:after="0" w:line="240" w:lineRule="auto"/>
              <w:rPr>
                <w:rFonts w:ascii="Arial" w:hAnsi="Arial" w:cs="Arial"/>
                <w:color w:val="000000"/>
                <w:sz w:val="18"/>
                <w:szCs w:val="18"/>
              </w:rPr>
            </w:pPr>
          </w:p>
        </w:tc>
      </w:tr>
      <w:tr w:rsidR="00DD1521">
        <w:trPr>
          <w:gridAfter w:val="1"/>
          <w:wAfter w:w="376" w:type="dxa"/>
          <w:trHeight w:val="220"/>
        </w:trPr>
        <w:tc>
          <w:tcPr>
            <w:tcW w:w="8503" w:type="dxa"/>
            <w:gridSpan w:val="4"/>
            <w:tcBorders>
              <w:top w:val="nil"/>
              <w:left w:val="nil"/>
              <w:bottom w:val="nil"/>
              <w:right w:val="nil"/>
            </w:tcBorders>
          </w:tcPr>
          <w:p w:rsidR="00DD1521" w:rsidRDefault="00DD1521">
            <w:pPr>
              <w:pStyle w:val="Normal1"/>
              <w:spacing w:after="0" w:line="240" w:lineRule="auto"/>
              <w:jc w:val="both"/>
              <w:rPr>
                <w:rFonts w:ascii="Arial" w:hAnsi="Arial" w:cs="Arial"/>
                <w:color w:val="FF0000"/>
                <w:sz w:val="18"/>
                <w:szCs w:val="18"/>
              </w:rPr>
            </w:pPr>
          </w:p>
        </w:tc>
      </w:tr>
    </w:tbl>
    <w:p w:rsidR="00DD1521" w:rsidRDefault="00DD1521">
      <w:pPr>
        <w:pStyle w:val="Normal1"/>
        <w:spacing w:after="0" w:line="240" w:lineRule="auto"/>
        <w:rPr>
          <w:rFonts w:ascii="Arial" w:hAnsi="Arial" w:cs="Arial"/>
          <w:b/>
          <w:bCs/>
          <w:color w:val="000000"/>
          <w:sz w:val="20"/>
          <w:szCs w:val="20"/>
        </w:rPr>
      </w:pPr>
      <w:r>
        <w:rPr>
          <w:rFonts w:ascii="Arial" w:hAnsi="Arial" w:cs="Arial"/>
          <w:b/>
          <w:bCs/>
          <w:color w:val="000000"/>
          <w:sz w:val="20"/>
          <w:szCs w:val="20"/>
        </w:rPr>
        <w:t>B- Intereses no personales (</w:t>
      </w:r>
      <w:r>
        <w:rPr>
          <w:rFonts w:ascii="Arial" w:hAnsi="Arial" w:cs="Arial"/>
          <w:color w:val="000000"/>
          <w:sz w:val="20"/>
          <w:szCs w:val="20"/>
        </w:rPr>
        <w:t>En caso afirmativo especificar</w:t>
      </w:r>
      <w:r>
        <w:rPr>
          <w:rFonts w:ascii="Arial" w:hAnsi="Arial" w:cs="Arial"/>
          <w:b/>
          <w:bCs/>
          <w:color w:val="000000"/>
          <w:sz w:val="20"/>
          <w:szCs w:val="20"/>
        </w:rPr>
        <w:t xml:space="preserve">): </w:t>
      </w:r>
      <w:r>
        <w:rPr>
          <w:rFonts w:ascii="Arial" w:hAnsi="Arial" w:cs="Arial"/>
          <w:b/>
          <w:bCs/>
          <w:color w:val="000000"/>
          <w:sz w:val="20"/>
          <w:szCs w:val="20"/>
        </w:rPr>
        <w:tab/>
      </w:r>
      <w:r>
        <w:rPr>
          <w:rFonts w:ascii="Arial" w:hAnsi="Arial" w:cs="Arial"/>
          <w:b/>
          <w:bCs/>
          <w:color w:val="000000"/>
          <w:sz w:val="20"/>
          <w:szCs w:val="20"/>
        </w:rPr>
        <w:tab/>
      </w:r>
      <w:r>
        <w:rPr>
          <w:rFonts w:ascii="Wingdings" w:hAnsi="Wingdings" w:cs="Wingdings"/>
          <w:b/>
          <w:bCs/>
          <w:color w:val="000000"/>
          <w:sz w:val="20"/>
          <w:szCs w:val="20"/>
        </w:rPr>
        <w:t></w:t>
      </w:r>
      <w:r>
        <w:rPr>
          <w:rFonts w:ascii="Arial" w:hAnsi="Arial" w:cs="Arial"/>
          <w:b/>
          <w:bCs/>
          <w:color w:val="000000"/>
          <w:sz w:val="20"/>
          <w:szCs w:val="20"/>
        </w:rPr>
        <w:t>SI</w:t>
      </w:r>
      <w:r>
        <w:rPr>
          <w:rFonts w:ascii="Arial" w:hAnsi="Arial" w:cs="Arial"/>
          <w:b/>
          <w:bCs/>
          <w:color w:val="000000"/>
          <w:sz w:val="20"/>
          <w:szCs w:val="20"/>
        </w:rPr>
        <w:tab/>
      </w:r>
      <w:r>
        <w:rPr>
          <w:rFonts w:ascii="Arial" w:hAnsi="Arial" w:cs="Arial"/>
          <w:b/>
          <w:bCs/>
          <w:color w:val="000000"/>
          <w:sz w:val="20"/>
          <w:szCs w:val="20"/>
        </w:rPr>
        <w:tab/>
        <w:t>X NO</w:t>
      </w:r>
    </w:p>
    <w:p w:rsidR="00DD1521" w:rsidRDefault="00DD1521">
      <w:pPr>
        <w:pStyle w:val="Normal1"/>
        <w:spacing w:after="0" w:line="240" w:lineRule="auto"/>
        <w:rPr>
          <w:rFonts w:ascii="Arial" w:hAnsi="Arial" w:cs="Arial"/>
          <w:b/>
          <w:bCs/>
          <w:color w:val="000000"/>
          <w:sz w:val="20"/>
          <w:szCs w:val="20"/>
        </w:rPr>
      </w:pPr>
      <w:r>
        <w:rPr>
          <w:rFonts w:ascii="Arial" w:hAnsi="Arial" w:cs="Arial"/>
          <w:b/>
          <w:bCs/>
          <w:color w:val="000000"/>
          <w:sz w:val="20"/>
          <w:szCs w:val="20"/>
        </w:rPr>
        <w:t xml:space="preserve"> </w:t>
      </w:r>
    </w:p>
    <w:tbl>
      <w:tblPr>
        <w:tblW w:w="9039" w:type="dxa"/>
        <w:tblInd w:w="-106" w:type="dxa"/>
        <w:tblLayout w:type="fixed"/>
        <w:tblLook w:val="00A0" w:firstRow="1" w:lastRow="0" w:firstColumn="1" w:lastColumn="0" w:noHBand="0" w:noVBand="0"/>
      </w:tblPr>
      <w:tblGrid>
        <w:gridCol w:w="9039"/>
      </w:tblGrid>
      <w:tr w:rsidR="00DD1521">
        <w:trPr>
          <w:trHeight w:val="220"/>
        </w:trPr>
        <w:tc>
          <w:tcPr>
            <w:tcW w:w="9039" w:type="dxa"/>
          </w:tcPr>
          <w:p w:rsidR="00DD1521" w:rsidRDefault="00DD1521">
            <w:pPr>
              <w:pStyle w:val="Normal1"/>
              <w:spacing w:after="0" w:line="240" w:lineRule="auto"/>
              <w:rPr>
                <w:rFonts w:ascii="Arial" w:hAnsi="Arial" w:cs="Arial"/>
                <w:color w:val="000000"/>
                <w:sz w:val="20"/>
                <w:szCs w:val="20"/>
              </w:rPr>
            </w:pPr>
          </w:p>
          <w:tbl>
            <w:tblPr>
              <w:tblW w:w="887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276"/>
              <w:gridCol w:w="1275"/>
              <w:gridCol w:w="833"/>
            </w:tblGrid>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Actividad</w:t>
                  </w: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Institución</w:t>
                  </w: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Fecha</w:t>
                  </w: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Dotación significativa de material a a unidad o servicio</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r w:rsidR="00DD1521">
              <w:tc>
                <w:tcPr>
                  <w:tcW w:w="549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r>
                    <w:rPr>
                      <w:rFonts w:ascii="Arial" w:hAnsi="Arial" w:cs="Arial"/>
                      <w:color w:val="000000"/>
                      <w:sz w:val="18"/>
                      <w:szCs w:val="18"/>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DD1521" w:rsidRDefault="00DD1521">
                  <w:pPr>
                    <w:pStyle w:val="Normal1"/>
                    <w:spacing w:after="0" w:line="240" w:lineRule="auto"/>
                    <w:rPr>
                      <w:rFonts w:ascii="Arial" w:hAnsi="Arial" w:cs="Arial"/>
                      <w:color w:val="000000"/>
                      <w:sz w:val="18"/>
                      <w:szCs w:val="18"/>
                    </w:rPr>
                  </w:pPr>
                </w:p>
              </w:tc>
            </w:tr>
          </w:tbl>
          <w:p w:rsidR="00DD1521" w:rsidRDefault="00DD1521">
            <w:pPr>
              <w:pStyle w:val="Normal1"/>
              <w:spacing w:after="0" w:line="240" w:lineRule="auto"/>
              <w:rPr>
                <w:rFonts w:ascii="Arial" w:hAnsi="Arial" w:cs="Arial"/>
                <w:color w:val="000000"/>
                <w:sz w:val="20"/>
                <w:szCs w:val="20"/>
              </w:rPr>
            </w:pPr>
          </w:p>
        </w:tc>
      </w:tr>
    </w:tbl>
    <w:p w:rsidR="00DD1521" w:rsidRDefault="00DD1521">
      <w:pPr>
        <w:pStyle w:val="Normal1"/>
        <w:spacing w:after="0" w:line="240" w:lineRule="auto"/>
        <w:rPr>
          <w:rFonts w:ascii="Arial" w:hAnsi="Arial" w:cs="Arial"/>
          <w:b/>
          <w:bCs/>
          <w:color w:val="000000"/>
          <w:sz w:val="20"/>
          <w:szCs w:val="20"/>
        </w:rPr>
      </w:pPr>
    </w:p>
    <w:p w:rsidR="00DD1521" w:rsidRDefault="00DD1521">
      <w:pPr>
        <w:pStyle w:val="Normal1"/>
        <w:spacing w:after="0" w:line="240" w:lineRule="auto"/>
        <w:rPr>
          <w:rFonts w:ascii="Arial" w:hAnsi="Arial" w:cs="Arial"/>
          <w:b/>
          <w:bCs/>
          <w:sz w:val="20"/>
          <w:szCs w:val="20"/>
        </w:rPr>
      </w:pPr>
      <w:r>
        <w:rPr>
          <w:rFonts w:ascii="Arial" w:hAnsi="Arial" w:cs="Arial"/>
          <w:b/>
          <w:bCs/>
          <w:color w:val="000000"/>
          <w:sz w:val="20"/>
          <w:szCs w:val="20"/>
        </w:rPr>
        <w:t>C-Otros posibles conflictos de intereses no señalados en apartados anteriores (especificar)</w:t>
      </w:r>
      <w:r>
        <w:rPr>
          <w:rFonts w:ascii="Arial" w:hAnsi="Arial" w:cs="Arial"/>
          <w:b/>
          <w:bCs/>
          <w:sz w:val="20"/>
          <w:szCs w:val="20"/>
        </w:rPr>
        <w:t xml:space="preserve"> </w:t>
      </w:r>
    </w:p>
    <w:p w:rsidR="00DD1521" w:rsidRDefault="00DD1521">
      <w:pPr>
        <w:pStyle w:val="Normal1"/>
        <w:spacing w:after="0" w:line="240" w:lineRule="auto"/>
        <w:rPr>
          <w:rFonts w:ascii="Arial" w:hAnsi="Arial" w:cs="Arial"/>
          <w:b/>
          <w:bCs/>
          <w:sz w:val="20"/>
          <w:szCs w:val="20"/>
        </w:rPr>
      </w:pPr>
    </w:p>
    <w:p w:rsidR="00DD1521" w:rsidRDefault="00DD1521">
      <w:pPr>
        <w:pStyle w:val="Normal1"/>
        <w:spacing w:after="0" w:line="240" w:lineRule="auto"/>
        <w:rPr>
          <w:rFonts w:ascii="Arial" w:hAnsi="Arial" w:cs="Arial"/>
          <w:b/>
          <w:bCs/>
          <w:sz w:val="20"/>
          <w:szCs w:val="20"/>
        </w:rPr>
      </w:pPr>
    </w:p>
    <w:p w:rsidR="00DD1521" w:rsidRDefault="00DD1521">
      <w:pPr>
        <w:pStyle w:val="Normal1"/>
        <w:spacing w:after="0" w:line="240" w:lineRule="auto"/>
        <w:rPr>
          <w:rFonts w:ascii="Arial" w:hAnsi="Arial" w:cs="Arial"/>
          <w:b/>
          <w:bCs/>
          <w:sz w:val="20"/>
          <w:szCs w:val="20"/>
        </w:rPr>
      </w:pPr>
    </w:p>
    <w:p w:rsidR="00DD1521" w:rsidRDefault="00DD1521">
      <w:pPr>
        <w:pStyle w:val="Normal1"/>
        <w:spacing w:after="0" w:line="240" w:lineRule="auto"/>
        <w:rPr>
          <w:rFonts w:ascii="Arial" w:hAnsi="Arial" w:cs="Arial"/>
          <w:b/>
          <w:bCs/>
          <w:sz w:val="20"/>
          <w:szCs w:val="20"/>
        </w:rPr>
      </w:pPr>
    </w:p>
    <w:p w:rsidR="00DD1521" w:rsidRDefault="00DD1521">
      <w:pPr>
        <w:pStyle w:val="Normal1"/>
        <w:spacing w:after="0" w:line="240" w:lineRule="auto"/>
        <w:rPr>
          <w:rFonts w:ascii="Arial" w:hAnsi="Arial" w:cs="Arial"/>
          <w:b/>
          <w:bCs/>
          <w:sz w:val="20"/>
          <w:szCs w:val="20"/>
        </w:rPr>
      </w:pPr>
      <w:r>
        <w:rPr>
          <w:rFonts w:ascii="Arial" w:hAnsi="Arial" w:cs="Arial"/>
          <w:b/>
          <w:bCs/>
          <w:sz w:val="20"/>
          <w:szCs w:val="20"/>
        </w:rPr>
        <w:t xml:space="preserve">FECHA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FIRMA </w:t>
      </w:r>
    </w:p>
    <w:p w:rsidR="00DD1521" w:rsidRPr="0001434C" w:rsidRDefault="00DD1521">
      <w:pPr>
        <w:pStyle w:val="Normal1"/>
        <w:spacing w:after="0" w:line="240" w:lineRule="auto"/>
        <w:rPr>
          <w:rFonts w:ascii="Arial" w:hAnsi="Arial" w:cs="Arial"/>
          <w:sz w:val="20"/>
          <w:szCs w:val="20"/>
        </w:rPr>
      </w:pPr>
      <w:r w:rsidRPr="0001434C">
        <w:rPr>
          <w:rFonts w:ascii="Arial" w:hAnsi="Arial" w:cs="Arial"/>
          <w:bCs/>
          <w:sz w:val="20"/>
          <w:szCs w:val="20"/>
        </w:rPr>
        <w:t>10 de abril de 2019</w:t>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t xml:space="preserve">  </w:t>
      </w:r>
    </w:p>
    <w:p w:rsidR="00DD1521" w:rsidRDefault="00DD1521">
      <w:pPr>
        <w:tabs>
          <w:tab w:val="left" w:pos="1880"/>
        </w:tabs>
        <w:spacing w:after="0" w:line="240" w:lineRule="auto"/>
        <w:rPr>
          <w:rFonts w:ascii="Arial" w:hAnsi="Arial" w:cs="Arial"/>
          <w:sz w:val="20"/>
          <w:szCs w:val="20"/>
        </w:rPr>
      </w:pPr>
    </w:p>
    <w:p w:rsidR="00C0709B" w:rsidRDefault="00C0709B">
      <w:pPr>
        <w:spacing w:after="0" w:line="240" w:lineRule="auto"/>
        <w:rPr>
          <w:rFonts w:ascii="Arial" w:hAnsi="Arial" w:cs="Arial"/>
          <w:sz w:val="20"/>
          <w:szCs w:val="20"/>
        </w:rPr>
      </w:pPr>
      <w:r>
        <w:rPr>
          <w:rFonts w:ascii="Arial" w:hAnsi="Arial" w:cs="Arial"/>
          <w:sz w:val="20"/>
          <w:szCs w:val="20"/>
        </w:rPr>
        <w:br w:type="page"/>
      </w:r>
    </w:p>
    <w:p w:rsidR="00C0709B" w:rsidRDefault="00C0709B" w:rsidP="00C0709B">
      <w:pPr>
        <w:tabs>
          <w:tab w:val="left" w:pos="1880"/>
        </w:tabs>
        <w:spacing w:after="0" w:line="240" w:lineRule="auto"/>
        <w:rPr>
          <w:rFonts w:ascii="Arial" w:hAnsi="Arial" w:cs="Arial"/>
          <w:sz w:val="20"/>
          <w:szCs w:val="20"/>
        </w:rPr>
      </w:pPr>
    </w:p>
    <w:p w:rsidR="00C0709B" w:rsidRDefault="00C0709B" w:rsidP="00C0709B">
      <w:pPr>
        <w:tabs>
          <w:tab w:val="left" w:pos="1880"/>
        </w:tabs>
        <w:spacing w:after="0" w:line="240" w:lineRule="auto"/>
        <w:rPr>
          <w:rFonts w:ascii="Arial" w:hAnsi="Arial" w:cs="Arial"/>
          <w:sz w:val="20"/>
          <w:szCs w:val="20"/>
        </w:rPr>
      </w:pPr>
    </w:p>
    <w:p w:rsidR="00C0709B" w:rsidRDefault="00C0709B" w:rsidP="00C0709B">
      <w:pPr>
        <w:tabs>
          <w:tab w:val="left" w:pos="1880"/>
        </w:tabs>
        <w:spacing w:after="0" w:line="240" w:lineRule="auto"/>
        <w:rPr>
          <w:rFonts w:ascii="Arial" w:hAnsi="Arial" w:cs="Arial"/>
          <w:sz w:val="20"/>
          <w:szCs w:val="20"/>
        </w:rPr>
      </w:pPr>
    </w:p>
    <w:p w:rsidR="00C0709B" w:rsidRDefault="00C0709B" w:rsidP="00C0709B">
      <w:pPr>
        <w:pStyle w:val="Normal1"/>
        <w:shd w:val="clear" w:color="auto" w:fill="DBE5F1"/>
        <w:spacing w:after="0" w:line="240" w:lineRule="auto"/>
        <w:rPr>
          <w:rFonts w:ascii="Arial" w:hAnsi="Arial" w:cs="Arial"/>
          <w:color w:val="000000"/>
          <w:sz w:val="20"/>
          <w:szCs w:val="20"/>
        </w:rPr>
      </w:pPr>
      <w:r>
        <w:rPr>
          <w:rFonts w:ascii="Arial" w:hAnsi="Arial" w:cs="Arial"/>
          <w:b/>
          <w:bCs/>
          <w:color w:val="000000"/>
          <w:sz w:val="20"/>
          <w:szCs w:val="20"/>
        </w:rPr>
        <w:t>Formulario de declaración de conflictos de intereses</w:t>
      </w:r>
    </w:p>
    <w:p w:rsidR="00C0709B" w:rsidRDefault="00C0709B" w:rsidP="00C0709B">
      <w:pPr>
        <w:pStyle w:val="Normal1"/>
        <w:spacing w:after="0" w:line="240" w:lineRule="auto"/>
        <w:ind w:left="220" w:hanging="220"/>
        <w:rPr>
          <w:rFonts w:ascii="Arial" w:hAnsi="Arial" w:cs="Arial"/>
          <w:color w:val="000000"/>
          <w:sz w:val="20"/>
          <w:szCs w:val="20"/>
        </w:rPr>
      </w:pPr>
    </w:p>
    <w:p w:rsidR="00C0709B" w:rsidRDefault="00C0709B" w:rsidP="00C0709B">
      <w:pPr>
        <w:pStyle w:val="Normal1"/>
        <w:spacing w:after="0" w:line="240" w:lineRule="auto"/>
        <w:jc w:val="both"/>
        <w:rPr>
          <w:rFonts w:ascii="Arial" w:hAnsi="Arial" w:cs="Arial"/>
          <w:color w:val="000000"/>
          <w:sz w:val="20"/>
          <w:szCs w:val="20"/>
        </w:rPr>
      </w:pPr>
      <w:r>
        <w:rPr>
          <w:rFonts w:ascii="Arial" w:hAnsi="Arial" w:cs="Arial"/>
          <w:color w:val="000000"/>
          <w:sz w:val="20"/>
          <w:szCs w:val="20"/>
        </w:rPr>
        <w:t xml:space="preserve">Los potenciales conflictos de intereses en la elaboración de informes de evaluación se consideran siempre que superen la cantidad de 2.000 euros anuales (últimos 3 años). </w:t>
      </w:r>
    </w:p>
    <w:p w:rsidR="00C0709B" w:rsidRDefault="00C0709B" w:rsidP="00C0709B">
      <w:pPr>
        <w:pStyle w:val="Normal1"/>
        <w:spacing w:after="0" w:line="240" w:lineRule="auto"/>
        <w:rPr>
          <w:rFonts w:ascii="Arial" w:hAnsi="Arial" w:cs="Arial"/>
          <w:color w:val="000080"/>
          <w:sz w:val="20"/>
          <w:szCs w:val="20"/>
        </w:rPr>
      </w:pPr>
    </w:p>
    <w:p w:rsidR="00C0709B" w:rsidRDefault="00C0709B" w:rsidP="00C0709B">
      <w:pPr>
        <w:pStyle w:val="Normal1"/>
        <w:spacing w:after="0" w:line="240" w:lineRule="auto"/>
        <w:ind w:left="220" w:hanging="220"/>
        <w:rPr>
          <w:rFonts w:ascii="Arial" w:hAnsi="Arial" w:cs="Arial"/>
          <w:b/>
          <w:bCs/>
          <w:color w:val="000000"/>
          <w:sz w:val="20"/>
          <w:szCs w:val="20"/>
          <w:vertAlign w:val="superscript"/>
        </w:rPr>
      </w:pPr>
      <w:r>
        <w:rPr>
          <w:rFonts w:ascii="Arial" w:hAnsi="Arial" w:cs="Arial"/>
          <w:b/>
          <w:bCs/>
          <w:color w:val="000000"/>
          <w:sz w:val="20"/>
          <w:szCs w:val="20"/>
        </w:rPr>
        <w:t xml:space="preserve">– Nombre y apellidos: </w:t>
      </w:r>
      <w:r>
        <w:rPr>
          <w:rFonts w:ascii="Arial" w:hAnsi="Arial" w:cs="Arial"/>
          <w:bCs/>
          <w:color w:val="000000"/>
          <w:sz w:val="20"/>
          <w:szCs w:val="20"/>
        </w:rPr>
        <w:t>Ana Clopés Estella</w:t>
      </w:r>
    </w:p>
    <w:p w:rsidR="00C0709B" w:rsidRDefault="00C0709B" w:rsidP="00C0709B">
      <w:pPr>
        <w:pStyle w:val="Normal1"/>
        <w:spacing w:after="0" w:line="240" w:lineRule="auto"/>
        <w:ind w:left="220" w:hanging="220"/>
        <w:rPr>
          <w:rFonts w:ascii="Arial" w:hAnsi="Arial" w:cs="Arial"/>
          <w:b/>
          <w:bCs/>
          <w:color w:val="000000"/>
          <w:sz w:val="20"/>
          <w:szCs w:val="20"/>
        </w:rPr>
      </w:pPr>
    </w:p>
    <w:p w:rsidR="00C0709B" w:rsidRPr="0001434C" w:rsidRDefault="00C0709B" w:rsidP="00C0709B">
      <w:pPr>
        <w:pStyle w:val="Normal1"/>
        <w:spacing w:after="0" w:line="240" w:lineRule="auto"/>
        <w:ind w:left="220" w:hanging="220"/>
        <w:jc w:val="both"/>
        <w:rPr>
          <w:rFonts w:ascii="Arial" w:hAnsi="Arial" w:cs="Arial"/>
          <w:bCs/>
          <w:color w:val="000000"/>
          <w:sz w:val="20"/>
          <w:szCs w:val="20"/>
        </w:rPr>
      </w:pPr>
      <w:r>
        <w:rPr>
          <w:rFonts w:ascii="Arial" w:hAnsi="Arial" w:cs="Arial"/>
          <w:b/>
          <w:bCs/>
          <w:color w:val="000000"/>
          <w:sz w:val="20"/>
          <w:szCs w:val="20"/>
        </w:rPr>
        <w:t xml:space="preserve">– Institución en la que trabaja: </w:t>
      </w:r>
      <w:r w:rsidRPr="00382A6C">
        <w:rPr>
          <w:rFonts w:ascii="Arial" w:hAnsi="Arial" w:cs="Arial"/>
          <w:sz w:val="20"/>
          <w:szCs w:val="20"/>
        </w:rPr>
        <w:t>Institut Català d'Oncologia</w:t>
      </w:r>
      <w:r w:rsidRPr="00DF0A71">
        <w:rPr>
          <w:rFonts w:ascii="Arial" w:hAnsi="Arial" w:cs="Arial"/>
          <w:sz w:val="20"/>
          <w:szCs w:val="20"/>
        </w:rPr>
        <w:t>. Barcelona</w:t>
      </w:r>
      <w:r>
        <w:rPr>
          <w:rFonts w:ascii="Arial" w:hAnsi="Arial" w:cs="Arial"/>
          <w:sz w:val="20"/>
          <w:szCs w:val="20"/>
        </w:rPr>
        <w:t>.</w:t>
      </w:r>
    </w:p>
    <w:p w:rsidR="00C0709B" w:rsidRDefault="00C0709B" w:rsidP="00C0709B">
      <w:pPr>
        <w:pStyle w:val="Normal1"/>
        <w:spacing w:after="0" w:line="240" w:lineRule="auto"/>
        <w:ind w:left="220" w:hanging="220"/>
        <w:rPr>
          <w:rFonts w:ascii="Arial" w:hAnsi="Arial" w:cs="Arial"/>
          <w:b/>
          <w:bCs/>
          <w:color w:val="000000"/>
          <w:sz w:val="20"/>
          <w:szCs w:val="20"/>
        </w:rPr>
      </w:pPr>
    </w:p>
    <w:p w:rsidR="00C0709B" w:rsidRDefault="00C0709B" w:rsidP="00C0709B">
      <w:pPr>
        <w:pStyle w:val="Normal1"/>
        <w:spacing w:after="0" w:line="240" w:lineRule="auto"/>
        <w:ind w:left="220" w:hanging="220"/>
        <w:jc w:val="both"/>
        <w:rPr>
          <w:rFonts w:ascii="Arial" w:hAnsi="Arial" w:cs="Arial"/>
          <w:color w:val="000000"/>
          <w:sz w:val="20"/>
          <w:szCs w:val="20"/>
        </w:rPr>
      </w:pPr>
      <w:r>
        <w:rPr>
          <w:rFonts w:ascii="Arial" w:hAnsi="Arial" w:cs="Arial"/>
          <w:b/>
          <w:bCs/>
          <w:color w:val="000000"/>
          <w:sz w:val="20"/>
          <w:szCs w:val="20"/>
        </w:rPr>
        <w:t xml:space="preserve">– Institución que le vincula al informe. </w:t>
      </w:r>
      <w:r w:rsidRPr="0001434C">
        <w:rPr>
          <w:rFonts w:ascii="Arial" w:hAnsi="Arial" w:cs="Arial"/>
          <w:bCs/>
          <w:color w:val="000000"/>
          <w:sz w:val="20"/>
          <w:szCs w:val="20"/>
        </w:rPr>
        <w:t>Grupo GENESIS-SEFH</w:t>
      </w:r>
    </w:p>
    <w:p w:rsidR="00C0709B" w:rsidRDefault="00C0709B" w:rsidP="00C0709B">
      <w:pPr>
        <w:pStyle w:val="Normal1"/>
        <w:spacing w:after="0" w:line="240" w:lineRule="auto"/>
        <w:rPr>
          <w:rFonts w:ascii="Arial" w:hAnsi="Arial" w:cs="Arial"/>
          <w:color w:val="000000"/>
          <w:sz w:val="20"/>
          <w:szCs w:val="20"/>
        </w:rPr>
      </w:pPr>
    </w:p>
    <w:p w:rsidR="00C0709B" w:rsidRDefault="00C0709B" w:rsidP="00C0709B">
      <w:pPr>
        <w:pStyle w:val="Normal1"/>
        <w:spacing w:after="0" w:line="240" w:lineRule="auto"/>
        <w:rPr>
          <w:rFonts w:ascii="Arial" w:hAnsi="Arial" w:cs="Arial"/>
          <w:color w:val="000000"/>
          <w:sz w:val="20"/>
          <w:szCs w:val="20"/>
        </w:rPr>
      </w:pPr>
      <w:r>
        <w:rPr>
          <w:rFonts w:ascii="Arial" w:hAnsi="Arial" w:cs="Arial"/>
          <w:color w:val="000000"/>
          <w:sz w:val="20"/>
          <w:szCs w:val="20"/>
        </w:rPr>
        <w:t>Participación en el informe de evaluación como:</w:t>
      </w:r>
    </w:p>
    <w:p w:rsidR="00C0709B" w:rsidRDefault="00C0709B" w:rsidP="00C0709B">
      <w:pPr>
        <w:pStyle w:val="Normal1"/>
        <w:spacing w:after="0" w:line="240" w:lineRule="auto"/>
        <w:ind w:left="560"/>
        <w:rPr>
          <w:rFonts w:ascii="Arial" w:hAnsi="Arial" w:cs="Arial"/>
          <w:b/>
          <w:bCs/>
          <w:color w:val="000000"/>
          <w:sz w:val="20"/>
          <w:szCs w:val="20"/>
        </w:rPr>
      </w:pPr>
      <w:r>
        <w:rPr>
          <w:rFonts w:ascii="Arial" w:hAnsi="Arial" w:cs="Arial"/>
          <w:b/>
          <w:bCs/>
          <w:color w:val="000000"/>
          <w:sz w:val="20"/>
          <w:szCs w:val="20"/>
        </w:rPr>
        <w:t>-Revisora</w:t>
      </w:r>
    </w:p>
    <w:p w:rsidR="00C0709B" w:rsidRDefault="00C0709B" w:rsidP="00C0709B">
      <w:pPr>
        <w:pStyle w:val="Normal1"/>
        <w:spacing w:after="0" w:line="240" w:lineRule="auto"/>
        <w:rPr>
          <w:rFonts w:ascii="Arial" w:hAnsi="Arial" w:cs="Arial"/>
          <w:color w:val="000000"/>
          <w:sz w:val="20"/>
          <w:szCs w:val="20"/>
        </w:rPr>
      </w:pPr>
    </w:p>
    <w:p w:rsidR="00C0709B" w:rsidRDefault="00C0709B" w:rsidP="00C0709B">
      <w:pPr>
        <w:pStyle w:val="Normal1"/>
        <w:spacing w:after="0" w:line="240" w:lineRule="auto"/>
        <w:jc w:val="both"/>
        <w:rPr>
          <w:rFonts w:ascii="Arial" w:hAnsi="Arial" w:cs="Arial"/>
          <w:color w:val="000000"/>
          <w:sz w:val="20"/>
          <w:szCs w:val="20"/>
        </w:rPr>
      </w:pPr>
      <w:r>
        <w:rPr>
          <w:rFonts w:ascii="Arial" w:hAnsi="Arial" w:cs="Arial"/>
          <w:color w:val="000000"/>
          <w:sz w:val="20"/>
          <w:szCs w:val="20"/>
        </w:rPr>
        <w:t>Tras haber y leído y comprendido la información remitida sobre la declaración de conflictos para el presente informe, formulo la siguiente declaración:</w:t>
      </w:r>
    </w:p>
    <w:p w:rsidR="00C0709B" w:rsidRDefault="00C0709B" w:rsidP="00C0709B">
      <w:pPr>
        <w:pStyle w:val="Normal1"/>
        <w:spacing w:after="0" w:line="240" w:lineRule="auto"/>
        <w:rPr>
          <w:rFonts w:ascii="Arial" w:hAnsi="Arial" w:cs="Arial"/>
          <w:color w:val="000000"/>
          <w:sz w:val="20"/>
          <w:szCs w:val="20"/>
        </w:rPr>
      </w:pPr>
    </w:p>
    <w:p w:rsidR="00C0709B" w:rsidRDefault="00C0709B" w:rsidP="00C0709B">
      <w:pPr>
        <w:pStyle w:val="Normal1"/>
        <w:spacing w:after="0" w:line="240" w:lineRule="auto"/>
        <w:rPr>
          <w:rFonts w:ascii="Arial" w:hAnsi="Arial" w:cs="Arial"/>
          <w:b/>
          <w:bCs/>
          <w:color w:val="000000"/>
          <w:sz w:val="20"/>
          <w:szCs w:val="20"/>
        </w:rPr>
      </w:pPr>
      <w:r>
        <w:rPr>
          <w:rFonts w:ascii="Arial" w:hAnsi="Arial" w:cs="Arial"/>
          <w:b/>
          <w:bCs/>
          <w:color w:val="000000"/>
          <w:sz w:val="20"/>
          <w:szCs w:val="20"/>
        </w:rPr>
        <w:t>A- Intereses personales (</w:t>
      </w:r>
      <w:r>
        <w:rPr>
          <w:rFonts w:ascii="Arial" w:hAnsi="Arial" w:cs="Arial"/>
          <w:color w:val="000000"/>
          <w:sz w:val="20"/>
          <w:szCs w:val="20"/>
        </w:rPr>
        <w:t>En caso afirmativo especificar</w:t>
      </w:r>
      <w:r>
        <w:rPr>
          <w:rFonts w:ascii="Arial" w:hAnsi="Arial" w:cs="Arial"/>
          <w:b/>
          <w:bCs/>
          <w:color w:val="000000"/>
          <w:sz w:val="20"/>
          <w:szCs w:val="20"/>
        </w:rPr>
        <w:t xml:space="preserve">): </w:t>
      </w:r>
      <w:r>
        <w:rPr>
          <w:rFonts w:ascii="Arial" w:hAnsi="Arial" w:cs="Arial"/>
          <w:b/>
          <w:bCs/>
          <w:color w:val="000000"/>
          <w:sz w:val="20"/>
          <w:szCs w:val="20"/>
        </w:rPr>
        <w:tab/>
      </w:r>
      <w:r>
        <w:rPr>
          <w:rFonts w:ascii="Arial" w:hAnsi="Arial" w:cs="Arial"/>
          <w:b/>
          <w:bCs/>
          <w:color w:val="000000"/>
          <w:sz w:val="20"/>
          <w:szCs w:val="20"/>
        </w:rPr>
        <w:tab/>
      </w:r>
      <w:r>
        <w:rPr>
          <w:rFonts w:ascii="Wingdings" w:hAnsi="Wingdings" w:cs="Wingdings"/>
          <w:b/>
          <w:bCs/>
          <w:color w:val="000000"/>
          <w:sz w:val="20"/>
          <w:szCs w:val="20"/>
        </w:rPr>
        <w:t></w:t>
      </w:r>
      <w:r>
        <w:rPr>
          <w:rFonts w:ascii="Arial" w:hAnsi="Arial" w:cs="Arial"/>
          <w:b/>
          <w:bCs/>
          <w:color w:val="000000"/>
          <w:sz w:val="20"/>
          <w:szCs w:val="20"/>
        </w:rPr>
        <w:t>SI</w:t>
      </w:r>
      <w:r>
        <w:rPr>
          <w:rFonts w:ascii="Arial" w:hAnsi="Arial" w:cs="Arial"/>
          <w:b/>
          <w:bCs/>
          <w:color w:val="000000"/>
          <w:sz w:val="20"/>
          <w:szCs w:val="20"/>
        </w:rPr>
        <w:tab/>
      </w:r>
      <w:r>
        <w:rPr>
          <w:rFonts w:ascii="Arial" w:hAnsi="Arial" w:cs="Arial"/>
          <w:b/>
          <w:bCs/>
          <w:color w:val="000000"/>
          <w:sz w:val="20"/>
          <w:szCs w:val="20"/>
        </w:rPr>
        <w:tab/>
        <w:t xml:space="preserve">X NO </w:t>
      </w:r>
    </w:p>
    <w:p w:rsidR="00C0709B" w:rsidRDefault="00C0709B" w:rsidP="00C0709B">
      <w:pPr>
        <w:pStyle w:val="Normal1"/>
        <w:spacing w:after="0" w:line="240" w:lineRule="auto"/>
        <w:rPr>
          <w:rFonts w:ascii="Arial" w:hAnsi="Arial" w:cs="Arial"/>
          <w:color w:val="000000"/>
          <w:sz w:val="20"/>
          <w:szCs w:val="20"/>
        </w:rPr>
      </w:pPr>
    </w:p>
    <w:tbl>
      <w:tblPr>
        <w:tblW w:w="88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276"/>
        <w:gridCol w:w="1275"/>
        <w:gridCol w:w="457"/>
        <w:gridCol w:w="376"/>
      </w:tblGrid>
      <w:tr w:rsidR="00C0709B" w:rsidTr="00C94531">
        <w:tc>
          <w:tcPr>
            <w:tcW w:w="5495" w:type="dxa"/>
          </w:tcPr>
          <w:p w:rsidR="00C0709B" w:rsidRDefault="00C0709B" w:rsidP="00C94531">
            <w:pPr>
              <w:pStyle w:val="Normal1"/>
              <w:spacing w:after="0" w:line="240" w:lineRule="auto"/>
              <w:rPr>
                <w:rFonts w:ascii="Arial" w:hAnsi="Arial" w:cs="Arial"/>
                <w:color w:val="000000"/>
                <w:sz w:val="18"/>
                <w:szCs w:val="18"/>
              </w:rPr>
            </w:pPr>
          </w:p>
        </w:tc>
        <w:tc>
          <w:tcPr>
            <w:tcW w:w="1276"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Actividad</w:t>
            </w:r>
          </w:p>
        </w:tc>
        <w:tc>
          <w:tcPr>
            <w:tcW w:w="1275"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Institución</w:t>
            </w:r>
          </w:p>
        </w:tc>
        <w:tc>
          <w:tcPr>
            <w:tcW w:w="833" w:type="dxa"/>
            <w:gridSpan w:val="2"/>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Fecha</w:t>
            </w:r>
          </w:p>
        </w:tc>
      </w:tr>
      <w:tr w:rsidR="00C0709B" w:rsidTr="00C94531">
        <w:tc>
          <w:tcPr>
            <w:tcW w:w="5495"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Financiación para reuniones y congresos, asistencia a cursos (inscripciones, bolsas de viajes, alojamiento…)</w:t>
            </w:r>
          </w:p>
        </w:tc>
        <w:tc>
          <w:tcPr>
            <w:tcW w:w="1276" w:type="dxa"/>
          </w:tcPr>
          <w:p w:rsidR="00C0709B" w:rsidRDefault="00C0709B" w:rsidP="00C94531">
            <w:pPr>
              <w:pStyle w:val="Normal1"/>
              <w:spacing w:after="0" w:line="240" w:lineRule="auto"/>
              <w:rPr>
                <w:rFonts w:ascii="Arial" w:hAnsi="Arial" w:cs="Arial"/>
                <w:color w:val="000000"/>
                <w:sz w:val="18"/>
                <w:szCs w:val="18"/>
              </w:rPr>
            </w:pPr>
          </w:p>
        </w:tc>
        <w:tc>
          <w:tcPr>
            <w:tcW w:w="1275" w:type="dxa"/>
          </w:tcPr>
          <w:p w:rsidR="00C0709B" w:rsidRDefault="00C0709B" w:rsidP="00C94531">
            <w:pPr>
              <w:pStyle w:val="Normal1"/>
              <w:spacing w:after="0" w:line="240" w:lineRule="auto"/>
              <w:rPr>
                <w:rFonts w:ascii="Arial" w:hAnsi="Arial" w:cs="Arial"/>
                <w:color w:val="000000"/>
                <w:sz w:val="18"/>
                <w:szCs w:val="18"/>
              </w:rPr>
            </w:pPr>
          </w:p>
        </w:tc>
        <w:tc>
          <w:tcPr>
            <w:tcW w:w="833" w:type="dxa"/>
            <w:gridSpan w:val="2"/>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Honorarios como ponente (conferencias, cursos…)</w:t>
            </w:r>
          </w:p>
        </w:tc>
        <w:tc>
          <w:tcPr>
            <w:tcW w:w="1276" w:type="dxa"/>
          </w:tcPr>
          <w:p w:rsidR="00C0709B" w:rsidRDefault="00C0709B" w:rsidP="00C94531">
            <w:pPr>
              <w:pStyle w:val="Normal1"/>
              <w:spacing w:after="0" w:line="240" w:lineRule="auto"/>
              <w:rPr>
                <w:rFonts w:ascii="Arial" w:hAnsi="Arial" w:cs="Arial"/>
                <w:color w:val="000000"/>
                <w:sz w:val="18"/>
                <w:szCs w:val="18"/>
              </w:rPr>
            </w:pPr>
          </w:p>
        </w:tc>
        <w:tc>
          <w:tcPr>
            <w:tcW w:w="1275" w:type="dxa"/>
          </w:tcPr>
          <w:p w:rsidR="00C0709B" w:rsidRDefault="00C0709B" w:rsidP="00C94531">
            <w:pPr>
              <w:pStyle w:val="Normal1"/>
              <w:spacing w:after="0" w:line="240" w:lineRule="auto"/>
              <w:rPr>
                <w:rFonts w:ascii="Arial" w:hAnsi="Arial" w:cs="Arial"/>
                <w:color w:val="000000"/>
                <w:sz w:val="18"/>
                <w:szCs w:val="18"/>
              </w:rPr>
            </w:pPr>
          </w:p>
        </w:tc>
        <w:tc>
          <w:tcPr>
            <w:tcW w:w="833" w:type="dxa"/>
            <w:gridSpan w:val="2"/>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Financiación de programas educativos o cursos (contratación de personal, alquiler de instalaciones…)</w:t>
            </w:r>
          </w:p>
        </w:tc>
        <w:tc>
          <w:tcPr>
            <w:tcW w:w="1276" w:type="dxa"/>
          </w:tcPr>
          <w:p w:rsidR="00C0709B" w:rsidRDefault="00C0709B" w:rsidP="00C94531">
            <w:pPr>
              <w:pStyle w:val="Normal1"/>
              <w:spacing w:after="0" w:line="240" w:lineRule="auto"/>
              <w:rPr>
                <w:rFonts w:ascii="Arial" w:hAnsi="Arial" w:cs="Arial"/>
                <w:color w:val="000000"/>
                <w:sz w:val="18"/>
                <w:szCs w:val="18"/>
              </w:rPr>
            </w:pPr>
          </w:p>
        </w:tc>
        <w:tc>
          <w:tcPr>
            <w:tcW w:w="1275" w:type="dxa"/>
          </w:tcPr>
          <w:p w:rsidR="00C0709B" w:rsidRDefault="00C0709B" w:rsidP="00C94531">
            <w:pPr>
              <w:pStyle w:val="Normal1"/>
              <w:spacing w:after="0" w:line="240" w:lineRule="auto"/>
              <w:rPr>
                <w:rFonts w:ascii="Arial" w:hAnsi="Arial" w:cs="Arial"/>
                <w:color w:val="000000"/>
                <w:sz w:val="18"/>
                <w:szCs w:val="18"/>
              </w:rPr>
            </w:pPr>
          </w:p>
        </w:tc>
        <w:tc>
          <w:tcPr>
            <w:tcW w:w="833" w:type="dxa"/>
            <w:gridSpan w:val="2"/>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Financiación por participar en una investigación</w:t>
            </w:r>
          </w:p>
        </w:tc>
        <w:tc>
          <w:tcPr>
            <w:tcW w:w="1276" w:type="dxa"/>
          </w:tcPr>
          <w:p w:rsidR="00C0709B" w:rsidRDefault="00C0709B" w:rsidP="00C94531">
            <w:pPr>
              <w:pStyle w:val="Normal1"/>
              <w:spacing w:after="0" w:line="240" w:lineRule="auto"/>
              <w:rPr>
                <w:rFonts w:ascii="Arial" w:hAnsi="Arial" w:cs="Arial"/>
                <w:color w:val="000000"/>
                <w:sz w:val="18"/>
                <w:szCs w:val="18"/>
              </w:rPr>
            </w:pPr>
          </w:p>
        </w:tc>
        <w:tc>
          <w:tcPr>
            <w:tcW w:w="1275" w:type="dxa"/>
          </w:tcPr>
          <w:p w:rsidR="00C0709B" w:rsidRDefault="00C0709B" w:rsidP="00C94531">
            <w:pPr>
              <w:pStyle w:val="Normal1"/>
              <w:spacing w:after="0" w:line="240" w:lineRule="auto"/>
              <w:rPr>
                <w:rFonts w:ascii="Arial" w:hAnsi="Arial" w:cs="Arial"/>
                <w:color w:val="000000"/>
                <w:sz w:val="18"/>
                <w:szCs w:val="18"/>
              </w:rPr>
            </w:pPr>
          </w:p>
        </w:tc>
        <w:tc>
          <w:tcPr>
            <w:tcW w:w="833" w:type="dxa"/>
            <w:gridSpan w:val="2"/>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Consultoría para una compañía farmacéutica/otras tecnologías</w:t>
            </w:r>
          </w:p>
        </w:tc>
        <w:tc>
          <w:tcPr>
            <w:tcW w:w="1276" w:type="dxa"/>
          </w:tcPr>
          <w:p w:rsidR="00C0709B" w:rsidRDefault="00C0709B" w:rsidP="00C94531">
            <w:pPr>
              <w:pStyle w:val="Normal1"/>
              <w:spacing w:after="0" w:line="240" w:lineRule="auto"/>
              <w:rPr>
                <w:rFonts w:ascii="Arial" w:hAnsi="Arial" w:cs="Arial"/>
                <w:color w:val="000000"/>
                <w:sz w:val="18"/>
                <w:szCs w:val="18"/>
              </w:rPr>
            </w:pPr>
          </w:p>
        </w:tc>
        <w:tc>
          <w:tcPr>
            <w:tcW w:w="1275" w:type="dxa"/>
          </w:tcPr>
          <w:p w:rsidR="00C0709B" w:rsidRDefault="00C0709B" w:rsidP="00C94531">
            <w:pPr>
              <w:pStyle w:val="Normal1"/>
              <w:spacing w:after="0" w:line="240" w:lineRule="auto"/>
              <w:rPr>
                <w:rFonts w:ascii="Arial" w:hAnsi="Arial" w:cs="Arial"/>
                <w:color w:val="000000"/>
                <w:sz w:val="18"/>
                <w:szCs w:val="18"/>
              </w:rPr>
            </w:pPr>
          </w:p>
        </w:tc>
        <w:tc>
          <w:tcPr>
            <w:tcW w:w="833" w:type="dxa"/>
            <w:gridSpan w:val="2"/>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Accionista o con intereses comerciales en una compañía</w:t>
            </w:r>
          </w:p>
        </w:tc>
        <w:tc>
          <w:tcPr>
            <w:tcW w:w="1276" w:type="dxa"/>
          </w:tcPr>
          <w:p w:rsidR="00C0709B" w:rsidRDefault="00C0709B" w:rsidP="00C94531">
            <w:pPr>
              <w:pStyle w:val="Normal1"/>
              <w:spacing w:after="0" w:line="240" w:lineRule="auto"/>
              <w:rPr>
                <w:rFonts w:ascii="Arial" w:hAnsi="Arial" w:cs="Arial"/>
                <w:color w:val="000000"/>
                <w:sz w:val="18"/>
                <w:szCs w:val="18"/>
              </w:rPr>
            </w:pPr>
          </w:p>
        </w:tc>
        <w:tc>
          <w:tcPr>
            <w:tcW w:w="1275" w:type="dxa"/>
          </w:tcPr>
          <w:p w:rsidR="00C0709B" w:rsidRDefault="00C0709B" w:rsidP="00C94531">
            <w:pPr>
              <w:pStyle w:val="Normal1"/>
              <w:spacing w:after="0" w:line="240" w:lineRule="auto"/>
              <w:rPr>
                <w:rFonts w:ascii="Arial" w:hAnsi="Arial" w:cs="Arial"/>
                <w:color w:val="000000"/>
                <w:sz w:val="18"/>
                <w:szCs w:val="18"/>
              </w:rPr>
            </w:pPr>
          </w:p>
        </w:tc>
        <w:tc>
          <w:tcPr>
            <w:tcW w:w="833" w:type="dxa"/>
            <w:gridSpan w:val="2"/>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C0709B" w:rsidRDefault="00C0709B" w:rsidP="00C94531">
            <w:pPr>
              <w:pStyle w:val="Normal1"/>
              <w:spacing w:after="0" w:line="240" w:lineRule="auto"/>
              <w:rPr>
                <w:rFonts w:ascii="Arial" w:hAnsi="Arial" w:cs="Arial"/>
                <w:color w:val="000000"/>
                <w:sz w:val="18"/>
                <w:szCs w:val="18"/>
              </w:rPr>
            </w:pPr>
          </w:p>
        </w:tc>
        <w:tc>
          <w:tcPr>
            <w:tcW w:w="1275" w:type="dxa"/>
          </w:tcPr>
          <w:p w:rsidR="00C0709B" w:rsidRDefault="00C0709B" w:rsidP="00C94531">
            <w:pPr>
              <w:pStyle w:val="Normal1"/>
              <w:spacing w:after="0" w:line="240" w:lineRule="auto"/>
              <w:rPr>
                <w:rFonts w:ascii="Arial" w:hAnsi="Arial" w:cs="Arial"/>
                <w:color w:val="000000"/>
                <w:sz w:val="18"/>
                <w:szCs w:val="18"/>
              </w:rPr>
            </w:pPr>
          </w:p>
        </w:tc>
        <w:tc>
          <w:tcPr>
            <w:tcW w:w="833" w:type="dxa"/>
            <w:gridSpan w:val="2"/>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Conflictos de intereses de índole no económico que pueden ser significativos en relación a la autoría en la guía</w:t>
            </w:r>
          </w:p>
        </w:tc>
        <w:tc>
          <w:tcPr>
            <w:tcW w:w="1276" w:type="dxa"/>
          </w:tcPr>
          <w:p w:rsidR="00C0709B" w:rsidRDefault="00C0709B" w:rsidP="00C94531">
            <w:pPr>
              <w:pStyle w:val="Normal1"/>
              <w:spacing w:after="0" w:line="240" w:lineRule="auto"/>
              <w:rPr>
                <w:rFonts w:ascii="Arial" w:hAnsi="Arial" w:cs="Arial"/>
                <w:color w:val="000000"/>
                <w:sz w:val="18"/>
                <w:szCs w:val="18"/>
              </w:rPr>
            </w:pPr>
          </w:p>
        </w:tc>
        <w:tc>
          <w:tcPr>
            <w:tcW w:w="1275" w:type="dxa"/>
          </w:tcPr>
          <w:p w:rsidR="00C0709B" w:rsidRDefault="00C0709B" w:rsidP="00C94531">
            <w:pPr>
              <w:pStyle w:val="Normal1"/>
              <w:spacing w:after="0" w:line="240" w:lineRule="auto"/>
              <w:rPr>
                <w:rFonts w:ascii="Arial" w:hAnsi="Arial" w:cs="Arial"/>
                <w:color w:val="000000"/>
                <w:sz w:val="18"/>
                <w:szCs w:val="18"/>
              </w:rPr>
            </w:pPr>
          </w:p>
        </w:tc>
        <w:tc>
          <w:tcPr>
            <w:tcW w:w="833" w:type="dxa"/>
            <w:gridSpan w:val="2"/>
          </w:tcPr>
          <w:p w:rsidR="00C0709B" w:rsidRDefault="00C0709B" w:rsidP="00C94531">
            <w:pPr>
              <w:pStyle w:val="Normal1"/>
              <w:spacing w:after="0" w:line="240" w:lineRule="auto"/>
              <w:rPr>
                <w:rFonts w:ascii="Arial" w:hAnsi="Arial" w:cs="Arial"/>
                <w:color w:val="000000"/>
                <w:sz w:val="18"/>
                <w:szCs w:val="18"/>
              </w:rPr>
            </w:pPr>
          </w:p>
        </w:tc>
      </w:tr>
      <w:tr w:rsidR="00C0709B" w:rsidTr="00C94531">
        <w:trPr>
          <w:gridAfter w:val="1"/>
          <w:wAfter w:w="376" w:type="dxa"/>
          <w:trHeight w:val="220"/>
        </w:trPr>
        <w:tc>
          <w:tcPr>
            <w:tcW w:w="8503" w:type="dxa"/>
            <w:gridSpan w:val="4"/>
            <w:tcBorders>
              <w:top w:val="nil"/>
              <w:left w:val="nil"/>
              <w:bottom w:val="nil"/>
              <w:right w:val="nil"/>
            </w:tcBorders>
          </w:tcPr>
          <w:p w:rsidR="00C0709B" w:rsidRDefault="00C0709B" w:rsidP="00C94531">
            <w:pPr>
              <w:pStyle w:val="Normal1"/>
              <w:spacing w:after="0" w:line="240" w:lineRule="auto"/>
              <w:jc w:val="both"/>
              <w:rPr>
                <w:rFonts w:ascii="Arial" w:hAnsi="Arial" w:cs="Arial"/>
                <w:color w:val="FF0000"/>
                <w:sz w:val="18"/>
                <w:szCs w:val="18"/>
              </w:rPr>
            </w:pPr>
          </w:p>
        </w:tc>
      </w:tr>
    </w:tbl>
    <w:p w:rsidR="00C0709B" w:rsidRDefault="00C0709B" w:rsidP="00C0709B">
      <w:pPr>
        <w:pStyle w:val="Normal1"/>
        <w:spacing w:after="0" w:line="240" w:lineRule="auto"/>
        <w:rPr>
          <w:rFonts w:ascii="Arial" w:hAnsi="Arial" w:cs="Arial"/>
          <w:b/>
          <w:bCs/>
          <w:color w:val="000000"/>
          <w:sz w:val="20"/>
          <w:szCs w:val="20"/>
        </w:rPr>
      </w:pPr>
      <w:r>
        <w:rPr>
          <w:rFonts w:ascii="Arial" w:hAnsi="Arial" w:cs="Arial"/>
          <w:b/>
          <w:bCs/>
          <w:color w:val="000000"/>
          <w:sz w:val="20"/>
          <w:szCs w:val="20"/>
        </w:rPr>
        <w:t>B- Intereses no personales (</w:t>
      </w:r>
      <w:r>
        <w:rPr>
          <w:rFonts w:ascii="Arial" w:hAnsi="Arial" w:cs="Arial"/>
          <w:color w:val="000000"/>
          <w:sz w:val="20"/>
          <w:szCs w:val="20"/>
        </w:rPr>
        <w:t>En caso afirmativo especificar</w:t>
      </w:r>
      <w:r>
        <w:rPr>
          <w:rFonts w:ascii="Arial" w:hAnsi="Arial" w:cs="Arial"/>
          <w:b/>
          <w:bCs/>
          <w:color w:val="000000"/>
          <w:sz w:val="20"/>
          <w:szCs w:val="20"/>
        </w:rPr>
        <w:t xml:space="preserve">): </w:t>
      </w:r>
      <w:r>
        <w:rPr>
          <w:rFonts w:ascii="Arial" w:hAnsi="Arial" w:cs="Arial"/>
          <w:b/>
          <w:bCs/>
          <w:color w:val="000000"/>
          <w:sz w:val="20"/>
          <w:szCs w:val="20"/>
        </w:rPr>
        <w:tab/>
      </w:r>
      <w:r>
        <w:rPr>
          <w:rFonts w:ascii="Arial" w:hAnsi="Arial" w:cs="Arial"/>
          <w:b/>
          <w:bCs/>
          <w:color w:val="000000"/>
          <w:sz w:val="20"/>
          <w:szCs w:val="20"/>
        </w:rPr>
        <w:tab/>
      </w:r>
      <w:r>
        <w:rPr>
          <w:rFonts w:ascii="Wingdings" w:hAnsi="Wingdings" w:cs="Wingdings"/>
          <w:b/>
          <w:bCs/>
          <w:color w:val="000000"/>
          <w:sz w:val="20"/>
          <w:szCs w:val="20"/>
        </w:rPr>
        <w:t></w:t>
      </w:r>
      <w:r>
        <w:rPr>
          <w:rFonts w:ascii="Arial" w:hAnsi="Arial" w:cs="Arial"/>
          <w:b/>
          <w:bCs/>
          <w:color w:val="000000"/>
          <w:sz w:val="20"/>
          <w:szCs w:val="20"/>
        </w:rPr>
        <w:t>SI</w:t>
      </w:r>
      <w:r>
        <w:rPr>
          <w:rFonts w:ascii="Arial" w:hAnsi="Arial" w:cs="Arial"/>
          <w:b/>
          <w:bCs/>
          <w:color w:val="000000"/>
          <w:sz w:val="20"/>
          <w:szCs w:val="20"/>
        </w:rPr>
        <w:tab/>
      </w:r>
      <w:r>
        <w:rPr>
          <w:rFonts w:ascii="Arial" w:hAnsi="Arial" w:cs="Arial"/>
          <w:b/>
          <w:bCs/>
          <w:color w:val="000000"/>
          <w:sz w:val="20"/>
          <w:szCs w:val="20"/>
        </w:rPr>
        <w:tab/>
        <w:t>X NO</w:t>
      </w:r>
    </w:p>
    <w:p w:rsidR="00C0709B" w:rsidRDefault="00C0709B" w:rsidP="00C0709B">
      <w:pPr>
        <w:pStyle w:val="Normal1"/>
        <w:spacing w:after="0" w:line="240" w:lineRule="auto"/>
        <w:rPr>
          <w:rFonts w:ascii="Arial" w:hAnsi="Arial" w:cs="Arial"/>
          <w:b/>
          <w:bCs/>
          <w:color w:val="000000"/>
          <w:sz w:val="20"/>
          <w:szCs w:val="20"/>
        </w:rPr>
      </w:pPr>
      <w:r>
        <w:rPr>
          <w:rFonts w:ascii="Arial" w:hAnsi="Arial" w:cs="Arial"/>
          <w:b/>
          <w:bCs/>
          <w:color w:val="000000"/>
          <w:sz w:val="20"/>
          <w:szCs w:val="20"/>
        </w:rPr>
        <w:t xml:space="preserve"> </w:t>
      </w:r>
    </w:p>
    <w:tbl>
      <w:tblPr>
        <w:tblW w:w="9039" w:type="dxa"/>
        <w:tblInd w:w="-106" w:type="dxa"/>
        <w:tblLayout w:type="fixed"/>
        <w:tblLook w:val="00A0" w:firstRow="1" w:lastRow="0" w:firstColumn="1" w:lastColumn="0" w:noHBand="0" w:noVBand="0"/>
      </w:tblPr>
      <w:tblGrid>
        <w:gridCol w:w="9039"/>
      </w:tblGrid>
      <w:tr w:rsidR="00C0709B" w:rsidTr="00C94531">
        <w:trPr>
          <w:trHeight w:val="220"/>
        </w:trPr>
        <w:tc>
          <w:tcPr>
            <w:tcW w:w="9039" w:type="dxa"/>
          </w:tcPr>
          <w:p w:rsidR="00C0709B" w:rsidRDefault="00C0709B" w:rsidP="00C94531">
            <w:pPr>
              <w:pStyle w:val="Normal1"/>
              <w:spacing w:after="0" w:line="240" w:lineRule="auto"/>
              <w:rPr>
                <w:rFonts w:ascii="Arial" w:hAnsi="Arial" w:cs="Arial"/>
                <w:color w:val="000000"/>
                <w:sz w:val="20"/>
                <w:szCs w:val="20"/>
              </w:rPr>
            </w:pPr>
          </w:p>
          <w:tbl>
            <w:tblPr>
              <w:tblW w:w="887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276"/>
              <w:gridCol w:w="1275"/>
              <w:gridCol w:w="833"/>
            </w:tblGrid>
            <w:tr w:rsidR="00C0709B" w:rsidTr="00C94531">
              <w:tc>
                <w:tcPr>
                  <w:tcW w:w="549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Actividad</w:t>
                  </w:r>
                </w:p>
              </w:tc>
              <w:tc>
                <w:tcPr>
                  <w:tcW w:w="127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Institución</w:t>
                  </w:r>
                </w:p>
              </w:tc>
              <w:tc>
                <w:tcPr>
                  <w:tcW w:w="833"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Fecha</w:t>
                  </w:r>
                </w:p>
              </w:tc>
            </w:tr>
            <w:tr w:rsidR="00C0709B" w:rsidTr="00C94531">
              <w:tc>
                <w:tcPr>
                  <w:tcW w:w="549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Dotación significativa de material a a unidad o servicio</w:t>
                  </w:r>
                </w:p>
              </w:tc>
              <w:tc>
                <w:tcPr>
                  <w:tcW w:w="1276"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r>
            <w:tr w:rsidR="00C0709B" w:rsidTr="00C94531">
              <w:tc>
                <w:tcPr>
                  <w:tcW w:w="549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r>
                    <w:rPr>
                      <w:rFonts w:ascii="Arial" w:hAnsi="Arial" w:cs="Arial"/>
                      <w:color w:val="000000"/>
                      <w:sz w:val="18"/>
                      <w:szCs w:val="18"/>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C0709B" w:rsidRDefault="00C0709B" w:rsidP="00C94531">
                  <w:pPr>
                    <w:pStyle w:val="Normal1"/>
                    <w:spacing w:after="0" w:line="240" w:lineRule="auto"/>
                    <w:rPr>
                      <w:rFonts w:ascii="Arial" w:hAnsi="Arial" w:cs="Arial"/>
                      <w:color w:val="000000"/>
                      <w:sz w:val="18"/>
                      <w:szCs w:val="18"/>
                    </w:rPr>
                  </w:pPr>
                </w:p>
              </w:tc>
            </w:tr>
          </w:tbl>
          <w:p w:rsidR="00C0709B" w:rsidRDefault="00C0709B" w:rsidP="00C94531">
            <w:pPr>
              <w:pStyle w:val="Normal1"/>
              <w:spacing w:after="0" w:line="240" w:lineRule="auto"/>
              <w:rPr>
                <w:rFonts w:ascii="Arial" w:hAnsi="Arial" w:cs="Arial"/>
                <w:color w:val="000000"/>
                <w:sz w:val="20"/>
                <w:szCs w:val="20"/>
              </w:rPr>
            </w:pPr>
          </w:p>
        </w:tc>
      </w:tr>
    </w:tbl>
    <w:p w:rsidR="00C0709B" w:rsidRDefault="00C0709B" w:rsidP="00C0709B">
      <w:pPr>
        <w:pStyle w:val="Normal1"/>
        <w:spacing w:after="0" w:line="240" w:lineRule="auto"/>
        <w:rPr>
          <w:rFonts w:ascii="Arial" w:hAnsi="Arial" w:cs="Arial"/>
          <w:b/>
          <w:bCs/>
          <w:color w:val="000000"/>
          <w:sz w:val="20"/>
          <w:szCs w:val="20"/>
        </w:rPr>
      </w:pPr>
    </w:p>
    <w:p w:rsidR="00C0709B" w:rsidRDefault="00C0709B" w:rsidP="00C0709B">
      <w:pPr>
        <w:pStyle w:val="Normal1"/>
        <w:spacing w:after="0" w:line="240" w:lineRule="auto"/>
        <w:rPr>
          <w:rFonts w:ascii="Arial" w:hAnsi="Arial" w:cs="Arial"/>
          <w:b/>
          <w:bCs/>
          <w:sz w:val="20"/>
          <w:szCs w:val="20"/>
        </w:rPr>
      </w:pPr>
      <w:r>
        <w:rPr>
          <w:rFonts w:ascii="Arial" w:hAnsi="Arial" w:cs="Arial"/>
          <w:b/>
          <w:bCs/>
          <w:color w:val="000000"/>
          <w:sz w:val="20"/>
          <w:szCs w:val="20"/>
        </w:rPr>
        <w:t>C-Otros posibles conflictos de intereses no señalados en apartados anteriores (especificar)</w:t>
      </w:r>
      <w:r>
        <w:rPr>
          <w:rFonts w:ascii="Arial" w:hAnsi="Arial" w:cs="Arial"/>
          <w:b/>
          <w:bCs/>
          <w:sz w:val="20"/>
          <w:szCs w:val="20"/>
        </w:rPr>
        <w:t xml:space="preserve"> </w:t>
      </w:r>
    </w:p>
    <w:p w:rsidR="00C0709B" w:rsidRDefault="00C0709B" w:rsidP="00C0709B">
      <w:pPr>
        <w:pStyle w:val="Normal1"/>
        <w:spacing w:after="0" w:line="240" w:lineRule="auto"/>
        <w:rPr>
          <w:rFonts w:ascii="Arial" w:hAnsi="Arial" w:cs="Arial"/>
          <w:b/>
          <w:bCs/>
          <w:sz w:val="20"/>
          <w:szCs w:val="20"/>
        </w:rPr>
      </w:pPr>
    </w:p>
    <w:p w:rsidR="00C0709B" w:rsidRDefault="00C0709B" w:rsidP="00C0709B">
      <w:pPr>
        <w:pStyle w:val="Normal1"/>
        <w:spacing w:after="0" w:line="240" w:lineRule="auto"/>
        <w:rPr>
          <w:rFonts w:ascii="Arial" w:hAnsi="Arial" w:cs="Arial"/>
          <w:b/>
          <w:bCs/>
          <w:sz w:val="20"/>
          <w:szCs w:val="20"/>
        </w:rPr>
      </w:pPr>
    </w:p>
    <w:p w:rsidR="00C0709B" w:rsidRDefault="00C0709B" w:rsidP="00C0709B">
      <w:pPr>
        <w:pStyle w:val="Normal1"/>
        <w:spacing w:after="0" w:line="240" w:lineRule="auto"/>
        <w:rPr>
          <w:rFonts w:ascii="Arial" w:hAnsi="Arial" w:cs="Arial"/>
          <w:b/>
          <w:bCs/>
          <w:sz w:val="20"/>
          <w:szCs w:val="20"/>
        </w:rPr>
      </w:pPr>
    </w:p>
    <w:p w:rsidR="00C0709B" w:rsidRDefault="00C0709B" w:rsidP="00C0709B">
      <w:pPr>
        <w:pStyle w:val="Normal1"/>
        <w:spacing w:after="0" w:line="240" w:lineRule="auto"/>
        <w:rPr>
          <w:rFonts w:ascii="Arial" w:hAnsi="Arial" w:cs="Arial"/>
          <w:b/>
          <w:bCs/>
          <w:sz w:val="20"/>
          <w:szCs w:val="20"/>
        </w:rPr>
      </w:pPr>
    </w:p>
    <w:p w:rsidR="00C0709B" w:rsidRDefault="00C0709B" w:rsidP="00C0709B">
      <w:pPr>
        <w:pStyle w:val="Normal1"/>
        <w:spacing w:after="0" w:line="240" w:lineRule="auto"/>
        <w:rPr>
          <w:rFonts w:ascii="Arial" w:hAnsi="Arial" w:cs="Arial"/>
          <w:b/>
          <w:bCs/>
          <w:sz w:val="20"/>
          <w:szCs w:val="20"/>
        </w:rPr>
      </w:pPr>
      <w:r>
        <w:rPr>
          <w:rFonts w:ascii="Arial" w:hAnsi="Arial" w:cs="Arial"/>
          <w:b/>
          <w:bCs/>
          <w:sz w:val="20"/>
          <w:szCs w:val="20"/>
        </w:rPr>
        <w:t xml:space="preserve">FECHA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00F41D13">
        <w:rPr>
          <w:rFonts w:ascii="Arial" w:hAnsi="Arial" w:cs="Arial"/>
          <w:b/>
          <w:bCs/>
          <w:sz w:val="20"/>
          <w:szCs w:val="20"/>
        </w:rPr>
        <w:tab/>
      </w:r>
      <w:r>
        <w:rPr>
          <w:rFonts w:ascii="Arial" w:hAnsi="Arial" w:cs="Arial"/>
          <w:b/>
          <w:bCs/>
          <w:sz w:val="20"/>
          <w:szCs w:val="20"/>
        </w:rPr>
        <w:t xml:space="preserve">FIRMA </w:t>
      </w:r>
    </w:p>
    <w:p w:rsidR="00C0709B" w:rsidRPr="0001434C" w:rsidRDefault="00C0709B" w:rsidP="00C0709B">
      <w:pPr>
        <w:pStyle w:val="Normal1"/>
        <w:spacing w:after="0" w:line="240" w:lineRule="auto"/>
        <w:rPr>
          <w:rFonts w:ascii="Arial" w:hAnsi="Arial" w:cs="Arial"/>
          <w:sz w:val="20"/>
          <w:szCs w:val="20"/>
        </w:rPr>
      </w:pPr>
      <w:r w:rsidRPr="0001434C">
        <w:rPr>
          <w:rFonts w:ascii="Arial" w:hAnsi="Arial" w:cs="Arial"/>
          <w:bCs/>
          <w:sz w:val="20"/>
          <w:szCs w:val="20"/>
        </w:rPr>
        <w:t>10 de abril de 2019</w:t>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r>
      <w:r w:rsidRPr="0001434C">
        <w:rPr>
          <w:rFonts w:ascii="Arial" w:hAnsi="Arial" w:cs="Arial"/>
          <w:bCs/>
          <w:sz w:val="20"/>
          <w:szCs w:val="20"/>
        </w:rPr>
        <w:tab/>
        <w:t xml:space="preserve">  </w:t>
      </w: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rsidP="00B85537">
      <w:pPr>
        <w:jc w:val="both"/>
        <w:rPr>
          <w:rFonts w:ascii="Arial" w:hAnsi="Arial" w:cs="Arial"/>
          <w:b/>
          <w:color w:val="000080"/>
          <w:sz w:val="20"/>
        </w:rPr>
      </w:pPr>
      <w:r w:rsidRPr="00AF2224">
        <w:rPr>
          <w:rFonts w:ascii="Arial" w:hAnsi="Arial" w:cs="Arial"/>
          <w:b/>
          <w:color w:val="000080"/>
          <w:sz w:val="20"/>
          <w:szCs w:val="20"/>
        </w:rPr>
        <w:t>A</w:t>
      </w:r>
      <w:r w:rsidR="00503CD5">
        <w:rPr>
          <w:rFonts w:ascii="Arial" w:hAnsi="Arial" w:cs="Arial"/>
          <w:b/>
          <w:color w:val="000080"/>
          <w:sz w:val="20"/>
          <w:szCs w:val="20"/>
        </w:rPr>
        <w:t>nexo III</w:t>
      </w:r>
      <w:r w:rsidR="00F41D13">
        <w:rPr>
          <w:rFonts w:ascii="Arial" w:hAnsi="Arial" w:cs="Arial"/>
          <w:b/>
          <w:color w:val="000080"/>
          <w:sz w:val="20"/>
          <w:szCs w:val="20"/>
        </w:rPr>
        <w:t xml:space="preserve"> </w:t>
      </w:r>
      <w:r>
        <w:rPr>
          <w:rFonts w:ascii="Arial" w:hAnsi="Arial" w:cs="Arial"/>
          <w:color w:val="000080"/>
          <w:sz w:val="20"/>
          <w:szCs w:val="20"/>
        </w:rPr>
        <w:t xml:space="preserve"> </w:t>
      </w:r>
      <w:r w:rsidRPr="00F06E7B">
        <w:rPr>
          <w:rFonts w:ascii="Arial" w:hAnsi="Arial" w:cs="Arial"/>
          <w:b/>
          <w:color w:val="000080"/>
          <w:sz w:val="20"/>
        </w:rPr>
        <w:t>ALEGACIONES AL</w:t>
      </w:r>
      <w:r>
        <w:rPr>
          <w:rFonts w:ascii="Arial" w:hAnsi="Arial" w:cs="Arial"/>
          <w:b/>
          <w:color w:val="000080"/>
          <w:sz w:val="20"/>
        </w:rPr>
        <w:t xml:space="preserve"> BORRADOR PÚBLICO. </w:t>
      </w:r>
    </w:p>
    <w:p w:rsidR="00DD1521" w:rsidRPr="00AF2224" w:rsidRDefault="00DD1521" w:rsidP="00B85537">
      <w:pPr>
        <w:spacing w:after="0"/>
        <w:jc w:val="both"/>
        <w:outlineLvl w:val="0"/>
        <w:rPr>
          <w:rFonts w:ascii="Arial" w:hAnsi="Arial" w:cs="Arial"/>
          <w:color w:val="000080"/>
          <w:sz w:val="20"/>
          <w:szCs w:val="20"/>
        </w:rPr>
      </w:pPr>
      <w:bookmarkStart w:id="166" w:name="_Toc5624926"/>
      <w:bookmarkStart w:id="167" w:name="_Toc5793784"/>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JUAN FRANCISCO MARIN POZO</w:t>
      </w:r>
      <w:bookmarkEnd w:id="166"/>
      <w:bookmarkEnd w:id="167"/>
    </w:p>
    <w:p w:rsidR="00DD1521" w:rsidRPr="00AF2224" w:rsidRDefault="00DD1521" w:rsidP="00B85537">
      <w:pPr>
        <w:spacing w:after="0"/>
        <w:jc w:val="both"/>
        <w:outlineLvl w:val="0"/>
        <w:rPr>
          <w:rFonts w:ascii="Arial" w:hAnsi="Arial" w:cs="Arial"/>
          <w:color w:val="000080"/>
          <w:sz w:val="20"/>
          <w:szCs w:val="20"/>
        </w:rPr>
      </w:pPr>
      <w:bookmarkStart w:id="168" w:name="_Toc5624927"/>
      <w:bookmarkStart w:id="169" w:name="_Toc5793785"/>
      <w:r w:rsidRPr="00AF2224">
        <w:rPr>
          <w:rFonts w:ascii="Arial" w:hAnsi="Arial" w:cs="Arial"/>
          <w:color w:val="000080"/>
          <w:sz w:val="20"/>
          <w:szCs w:val="20"/>
        </w:rPr>
        <w:t>Cargo que ocupa:</w:t>
      </w:r>
      <w:bookmarkEnd w:id="168"/>
      <w:bookmarkEnd w:id="169"/>
    </w:p>
    <w:p w:rsidR="00DD1521" w:rsidRPr="00550EA8" w:rsidRDefault="00DD1521" w:rsidP="00B85537">
      <w:pPr>
        <w:spacing w:after="0"/>
        <w:jc w:val="both"/>
        <w:outlineLvl w:val="0"/>
        <w:rPr>
          <w:rFonts w:ascii="Arial" w:hAnsi="Arial" w:cs="Arial"/>
          <w:b/>
          <w:color w:val="000080"/>
          <w:sz w:val="20"/>
          <w:szCs w:val="20"/>
        </w:rPr>
      </w:pPr>
      <w:bookmarkStart w:id="170" w:name="_Toc5624928"/>
      <w:bookmarkStart w:id="171" w:name="_Toc5793786"/>
      <w:r w:rsidRPr="00AF2224">
        <w:rPr>
          <w:rFonts w:ascii="Arial" w:hAnsi="Arial" w:cs="Arial"/>
          <w:color w:val="000080"/>
          <w:sz w:val="20"/>
          <w:szCs w:val="20"/>
        </w:rPr>
        <w:t xml:space="preserve">Centro, sociedad o empresa: </w:t>
      </w:r>
      <w:r w:rsidRPr="00550EA8">
        <w:rPr>
          <w:rFonts w:ascii="Arial" w:hAnsi="Arial" w:cs="Arial"/>
          <w:b/>
          <w:color w:val="000080"/>
          <w:sz w:val="20"/>
          <w:szCs w:val="20"/>
        </w:rPr>
        <w:t>GEDEFO (SEFH)</w:t>
      </w:r>
      <w:bookmarkEnd w:id="170"/>
      <w:bookmarkEnd w:id="171"/>
    </w:p>
    <w:p w:rsidR="00DD1521" w:rsidRDefault="00DD1521" w:rsidP="00B85537">
      <w:pPr>
        <w:spacing w:after="0"/>
        <w:jc w:val="both"/>
        <w:outlineLvl w:val="0"/>
        <w:rPr>
          <w:rFonts w:ascii="Arial" w:hAnsi="Arial" w:cs="Arial"/>
          <w:color w:val="000080"/>
          <w:sz w:val="20"/>
          <w:szCs w:val="20"/>
        </w:rPr>
      </w:pPr>
      <w:bookmarkStart w:id="172" w:name="_Toc5624929"/>
      <w:bookmarkStart w:id="173" w:name="_Toc5793787"/>
      <w:r w:rsidRPr="00AF2224">
        <w:rPr>
          <w:rFonts w:ascii="Arial" w:hAnsi="Arial" w:cs="Arial"/>
          <w:color w:val="000080"/>
          <w:sz w:val="20"/>
          <w:szCs w:val="20"/>
        </w:rPr>
        <w:t>Teléfono de contacto:</w:t>
      </w:r>
      <w:bookmarkEnd w:id="172"/>
      <w:bookmarkEnd w:id="173"/>
    </w:p>
    <w:p w:rsidR="00DD1521" w:rsidRDefault="00DD1521" w:rsidP="00B85537">
      <w:pPr>
        <w:spacing w:after="0"/>
        <w:jc w:val="both"/>
        <w:outlineLvl w:val="0"/>
        <w:rPr>
          <w:rFonts w:ascii="Arial" w:hAnsi="Arial" w:cs="Arial"/>
          <w:color w:val="000080"/>
          <w:sz w:val="20"/>
          <w:szCs w:val="20"/>
        </w:rPr>
      </w:pPr>
    </w:p>
    <w:p w:rsidR="00DD1521" w:rsidRDefault="00DD1521" w:rsidP="00D72D61">
      <w:pPr>
        <w:spacing w:after="0"/>
        <w:jc w:val="both"/>
        <w:rPr>
          <w:rFonts w:ascii="Arial" w:hAnsi="Arial" w:cs="Arial"/>
          <w:color w:val="000080"/>
          <w:sz w:val="20"/>
        </w:rPr>
      </w:pPr>
      <w:r w:rsidRPr="00B85537">
        <w:rPr>
          <w:rFonts w:ascii="Arial" w:hAnsi="Arial" w:cs="Arial"/>
          <w:color w:val="000080"/>
          <w:sz w:val="20"/>
        </w:rPr>
        <w:t>Tutor: Vicente Arocas Casañ</w:t>
      </w:r>
    </w:p>
    <w:p w:rsidR="00DD1521" w:rsidRPr="00B85537" w:rsidRDefault="00DD1521" w:rsidP="00D72D61">
      <w:pPr>
        <w:spacing w:after="0"/>
        <w:jc w:val="both"/>
        <w:rPr>
          <w:rFonts w:ascii="Arial" w:hAnsi="Arial" w:cs="Arial"/>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0"/>
        <w:gridCol w:w="1676"/>
      </w:tblGrid>
      <w:tr w:rsidR="00DD1521" w:rsidRPr="006D5C82" w:rsidTr="00897B8F">
        <w:tc>
          <w:tcPr>
            <w:tcW w:w="9000" w:type="dxa"/>
            <w:gridSpan w:val="2"/>
          </w:tcPr>
          <w:p w:rsidR="00DD1521" w:rsidRPr="00C57D97" w:rsidRDefault="00DD1521" w:rsidP="00B85537">
            <w:pPr>
              <w:spacing w:after="0" w:line="240" w:lineRule="auto"/>
              <w:jc w:val="both"/>
              <w:rPr>
                <w:rFonts w:ascii="Arial" w:hAnsi="Arial" w:cs="Arial"/>
                <w:b/>
                <w:color w:val="000080"/>
                <w:sz w:val="18"/>
                <w:szCs w:val="18"/>
              </w:rPr>
            </w:pPr>
            <w:r w:rsidRPr="00C57D97">
              <w:rPr>
                <w:rFonts w:ascii="Arial" w:hAnsi="Arial" w:cs="Arial"/>
                <w:b/>
                <w:color w:val="000080"/>
                <w:sz w:val="18"/>
                <w:szCs w:val="18"/>
              </w:rPr>
              <w:t xml:space="preserve">Alegaciones al borrador público </w:t>
            </w:r>
          </w:p>
        </w:tc>
        <w:tc>
          <w:tcPr>
            <w:tcW w:w="1676" w:type="dxa"/>
          </w:tcPr>
          <w:p w:rsidR="00DD1521" w:rsidRPr="00897B8F" w:rsidRDefault="00DD1521" w:rsidP="00897B8F">
            <w:pPr>
              <w:spacing w:after="0" w:line="240" w:lineRule="auto"/>
              <w:rPr>
                <w:rFonts w:ascii="Arial" w:hAnsi="Arial" w:cs="Arial"/>
                <w:b/>
                <w:color w:val="000080"/>
                <w:sz w:val="18"/>
                <w:szCs w:val="18"/>
              </w:rPr>
            </w:pPr>
            <w:r w:rsidRPr="00897B8F">
              <w:rPr>
                <w:rFonts w:ascii="Arial" w:hAnsi="Arial" w:cs="Arial"/>
                <w:b/>
                <w:color w:val="000080"/>
                <w:sz w:val="18"/>
                <w:szCs w:val="18"/>
              </w:rPr>
              <w:t>Respuesta del tutor</w:t>
            </w:r>
          </w:p>
        </w:tc>
      </w:tr>
      <w:tr w:rsidR="00DD1521" w:rsidRPr="006D5C82" w:rsidTr="00B85537">
        <w:tc>
          <w:tcPr>
            <w:tcW w:w="1080" w:type="dxa"/>
          </w:tcPr>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J.F. Marín GEDEFO</w:t>
            </w:r>
          </w:p>
        </w:tc>
        <w:tc>
          <w:tcPr>
            <w:tcW w:w="7920" w:type="dxa"/>
          </w:tcPr>
          <w:p w:rsidR="00DD1521" w:rsidRPr="006D5C82" w:rsidRDefault="00DD1521" w:rsidP="00B85537">
            <w:pPr>
              <w:spacing w:after="0" w:line="240" w:lineRule="auto"/>
              <w:jc w:val="both"/>
              <w:rPr>
                <w:rFonts w:ascii="Arial" w:hAnsi="Arial" w:cs="Arial"/>
                <w:color w:val="000080"/>
                <w:sz w:val="18"/>
                <w:szCs w:val="18"/>
              </w:rPr>
            </w:pPr>
            <w:r>
              <w:rPr>
                <w:rFonts w:ascii="Arial" w:hAnsi="Arial" w:cs="Arial"/>
                <w:color w:val="000080"/>
                <w:sz w:val="18"/>
                <w:szCs w:val="18"/>
              </w:rPr>
              <w:t xml:space="preserve">Texto de la alegación. </w:t>
            </w:r>
            <w:r w:rsidRPr="006D5C82">
              <w:rPr>
                <w:rFonts w:ascii="Arial" w:hAnsi="Arial" w:cs="Arial"/>
                <w:color w:val="000080"/>
                <w:sz w:val="18"/>
                <w:szCs w:val="18"/>
              </w:rPr>
              <w:t>Referencia 1.</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sz w:val="18"/>
                <w:szCs w:val="18"/>
              </w:rPr>
              <w:t>En el enlace web de la referencia debería incluirse uno que no fuera a través de una plataforma proxy.</w:t>
            </w:r>
          </w:p>
          <w:p w:rsidR="00DD1521" w:rsidRDefault="00CB346C" w:rsidP="00B85537">
            <w:pPr>
              <w:spacing w:after="0" w:line="240" w:lineRule="auto"/>
              <w:jc w:val="both"/>
              <w:rPr>
                <w:rFonts w:ascii="Arial" w:hAnsi="Arial" w:cs="Arial"/>
                <w:color w:val="000080"/>
                <w:sz w:val="18"/>
                <w:szCs w:val="18"/>
              </w:rPr>
            </w:pPr>
            <w:hyperlink r:id="rId20" w:history="1">
              <w:r w:rsidR="00DD1521" w:rsidRPr="00077C48">
                <w:rPr>
                  <w:rStyle w:val="Hipervnculo"/>
                  <w:rFonts w:ascii="Arial" w:hAnsi="Arial" w:cs="Arial"/>
                  <w:sz w:val="18"/>
                  <w:szCs w:val="18"/>
                </w:rPr>
                <w:t>https://www.uptodate.com/contents/overview-of-the-initial-treatment-and-prognosis-of-lung-cancer?search=lung%20cancer&amp;source=search_result&amp;selectedTitle=3~150&amp;usage_type=default&amp;display_rank=3</w:t>
              </w:r>
            </w:hyperlink>
          </w:p>
          <w:p w:rsidR="00DD1521" w:rsidRPr="006D5C82" w:rsidRDefault="00DD1521" w:rsidP="00B85537">
            <w:pPr>
              <w:spacing w:after="0" w:line="240" w:lineRule="auto"/>
              <w:jc w:val="both"/>
              <w:rPr>
                <w:rFonts w:ascii="Arial" w:hAnsi="Arial" w:cs="Arial"/>
                <w:color w:val="000080"/>
                <w:sz w:val="18"/>
                <w:szCs w:val="18"/>
              </w:rPr>
            </w:pPr>
          </w:p>
        </w:tc>
        <w:tc>
          <w:tcPr>
            <w:tcW w:w="1676" w:type="dxa"/>
          </w:tcPr>
          <w:p w:rsidR="00DD1521" w:rsidRPr="006D5C82" w:rsidRDefault="00DD1521" w:rsidP="006D5C82">
            <w:pPr>
              <w:spacing w:after="0" w:line="240" w:lineRule="auto"/>
              <w:rPr>
                <w:rFonts w:ascii="Arial" w:hAnsi="Arial" w:cs="Arial"/>
                <w:color w:val="000080"/>
                <w:sz w:val="18"/>
                <w:szCs w:val="18"/>
              </w:rPr>
            </w:pPr>
            <w:r w:rsidRPr="006D5C82">
              <w:rPr>
                <w:rFonts w:ascii="Arial" w:hAnsi="Arial" w:cs="Arial"/>
                <w:color w:val="000080"/>
                <w:sz w:val="18"/>
                <w:szCs w:val="18"/>
              </w:rPr>
              <w:t xml:space="preserve">Aceptada. Se cambia la referencia </w:t>
            </w:r>
          </w:p>
        </w:tc>
      </w:tr>
      <w:tr w:rsidR="00DD1521" w:rsidRPr="006D5C82" w:rsidTr="00B85537">
        <w:tc>
          <w:tcPr>
            <w:tcW w:w="1080" w:type="dxa"/>
          </w:tcPr>
          <w:p w:rsidR="00DD1521" w:rsidRDefault="00DD1521">
            <w:r w:rsidRPr="00E87B23">
              <w:rPr>
                <w:rFonts w:ascii="Arial" w:hAnsi="Arial" w:cs="Arial"/>
                <w:color w:val="000080"/>
                <w:sz w:val="18"/>
                <w:szCs w:val="18"/>
              </w:rPr>
              <w:t>J.F. Marín GEDEFO</w:t>
            </w:r>
          </w:p>
        </w:tc>
        <w:tc>
          <w:tcPr>
            <w:tcW w:w="7920" w:type="dxa"/>
          </w:tcPr>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Texto de la alegación (Apartado 3.2.b)</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color w:val="000080"/>
                <w:sz w:val="18"/>
                <w:szCs w:val="18"/>
              </w:rPr>
              <w:t>Dice: “</w:t>
            </w:r>
            <w:r w:rsidRPr="006D5C82">
              <w:rPr>
                <w:rFonts w:ascii="Arial" w:hAnsi="Arial" w:cs="Arial"/>
                <w:sz w:val="18"/>
                <w:szCs w:val="18"/>
              </w:rPr>
              <w:t xml:space="preserve">El tratamiento de </w:t>
            </w:r>
            <w:r w:rsidRPr="006D5C82">
              <w:rPr>
                <w:rFonts w:ascii="Arial" w:hAnsi="Arial" w:cs="Arial"/>
                <w:b/>
                <w:bCs/>
                <w:sz w:val="18"/>
                <w:szCs w:val="18"/>
              </w:rPr>
              <w:t>primera línea</w:t>
            </w:r>
            <w:r w:rsidRPr="006D5C82">
              <w:rPr>
                <w:rFonts w:ascii="Arial" w:hAnsi="Arial" w:cs="Arial"/>
                <w:sz w:val="18"/>
                <w:szCs w:val="18"/>
              </w:rPr>
              <w:t xml:space="preserve"> universalmente aceptado en pacientes con CPNM avanzado o metastásico consiste en la administración de dobletes de quimioterapia basados en el platino (cisplatino o carboplatino en combinación con otros quimioterápicos), salvo que existan determinadas mutaciones que los hagan candidatos a recibir terapias dirigidas </w:t>
            </w:r>
            <w:r w:rsidRPr="006D5C82">
              <w:rPr>
                <w:rFonts w:ascii="Arial" w:hAnsi="Arial" w:cs="Arial"/>
                <w:sz w:val="18"/>
                <w:szCs w:val="18"/>
              </w:rPr>
              <w:fldChar w:fldCharType="begin"/>
            </w:r>
            <w:r w:rsidRPr="006D5C82">
              <w:rPr>
                <w:rFonts w:ascii="Arial" w:hAnsi="Arial" w:cs="Arial"/>
                <w:sz w:val="18"/>
                <w:szCs w:val="18"/>
              </w:rPr>
              <w:instrText xml:space="preserve"> ADDIN ZOTERO_ITEM CSL_CITATION {"citationID":"8Z86J7TC","properties":{"formattedCitation":"(1)","plainCitation":"(1)"},"citationItems":[{"id":951,"uris":["http://zotero.org/users/local/zrSbuHrK/items/RKRQZEJB"],"uri":["http://zotero.org/users/local/zrSbuHrK/items/RKRQZEJB"],"itemData":{"id":951,"type":"webpage","title":"Overview of the initial treatment of advanced non-small cell lung cancer - UpToDate","URL":"https://ws003.juntadeandalucia.es:2060/contents/overview-of-the-initial-treatment-of-advanced-non-small-cell-lung-cancer?search=Overview%20of%20the%20initial%20treatment%20of%20advanced%20non-small%20cell%20lung%20cancer.&amp;source=search_result&amp;selectedTitle=1~150&amp;usage_type=default&amp;display_rank=1","accessed":{"date-parts":[["2018",12,5]]}}}],"schema":"https://github.com/citation-style-language/schema/raw/master/csl-citation.json"} </w:instrText>
            </w:r>
            <w:r w:rsidRPr="006D5C82">
              <w:rPr>
                <w:rFonts w:ascii="Arial" w:hAnsi="Arial" w:cs="Arial"/>
                <w:sz w:val="18"/>
                <w:szCs w:val="18"/>
              </w:rPr>
              <w:fldChar w:fldCharType="separate"/>
            </w:r>
            <w:r w:rsidRPr="006D5C82">
              <w:rPr>
                <w:rFonts w:ascii="Arial" w:hAnsi="Arial" w:cs="Arial"/>
                <w:sz w:val="18"/>
                <w:szCs w:val="18"/>
              </w:rPr>
              <w:t>(1)</w:t>
            </w:r>
            <w:r w:rsidRPr="006D5C82">
              <w:rPr>
                <w:rFonts w:ascii="Arial" w:hAnsi="Arial" w:cs="Arial"/>
                <w:sz w:val="18"/>
                <w:szCs w:val="18"/>
              </w:rPr>
              <w:fldChar w:fldCharType="end"/>
            </w:r>
            <w:r w:rsidRPr="006D5C82">
              <w:rPr>
                <w:rFonts w:ascii="Arial" w:hAnsi="Arial" w:cs="Arial"/>
                <w:sz w:val="18"/>
                <w:szCs w:val="18"/>
              </w:rPr>
              <w:t xml:space="preserve"> </w:t>
            </w:r>
            <w:r w:rsidRPr="006D5C82">
              <w:rPr>
                <w:rFonts w:ascii="Arial" w:hAnsi="Arial" w:cs="Arial"/>
                <w:sz w:val="18"/>
                <w:szCs w:val="18"/>
              </w:rPr>
              <w:fldChar w:fldCharType="begin"/>
            </w:r>
            <w:r w:rsidRPr="006D5C82">
              <w:rPr>
                <w:rFonts w:ascii="Arial" w:hAnsi="Arial" w:cs="Arial"/>
                <w:sz w:val="18"/>
                <w:szCs w:val="18"/>
              </w:rPr>
              <w:instrText xml:space="preserve"> ADDIN ZOTERO_ITEM CSL_CITATION {"citationID":"bWQVlfp9","properties":{"formattedCitation":"(6)","plainCitation":"(6)"},"citationItems":[{"id":989,"uris":["http://zotero.org/users/local/zrSbuHrK/items/CBZXZJH8"],"uri":["http://zotero.org/users/local/zrSbuHrK/items/CBZXZJH8"],"itemData":{"id":989,"type":"webpage","title":"Informe de Posicionamiento Terapéutico de osimertinib (Tagrisso®) en el cáncer de pulmón no microcítico con presencia de la mutación T790M - IPT-osimertinib-Tagrisso-cancer-pulmon-NM-MT790.pdf","URL":"https://www.aemps.gob.es/medicamentosUsoHumano/informesPublicos/docs/IPT-osimertinib-Tagrisso-cancer-pulmon-NM-MT790.pdf","accessed":{"date-parts":[["2018",12,5]]}}}],"schema":"https://github.com/citation-style-language/schema/raw/master/csl-citation.json"} </w:instrText>
            </w:r>
            <w:r w:rsidRPr="006D5C82">
              <w:rPr>
                <w:rFonts w:ascii="Arial" w:hAnsi="Arial" w:cs="Arial"/>
                <w:sz w:val="18"/>
                <w:szCs w:val="18"/>
              </w:rPr>
              <w:fldChar w:fldCharType="separate"/>
            </w:r>
            <w:r w:rsidRPr="006D5C82">
              <w:rPr>
                <w:rFonts w:ascii="Arial" w:hAnsi="Arial" w:cs="Arial"/>
                <w:sz w:val="18"/>
                <w:szCs w:val="18"/>
              </w:rPr>
              <w:t>(4)</w:t>
            </w:r>
            <w:r w:rsidRPr="006D5C82">
              <w:rPr>
                <w:rFonts w:ascii="Arial" w:hAnsi="Arial" w:cs="Arial"/>
                <w:sz w:val="18"/>
                <w:szCs w:val="18"/>
              </w:rPr>
              <w:fldChar w:fldCharType="end"/>
            </w:r>
            <w:r w:rsidRPr="006D5C82">
              <w:rPr>
                <w:rFonts w:ascii="Arial" w:hAnsi="Arial" w:cs="Arial"/>
                <w:sz w:val="18"/>
                <w:szCs w:val="18"/>
              </w:rPr>
              <w:t>.”</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sz w:val="18"/>
                <w:szCs w:val="18"/>
              </w:rPr>
              <w:t>Al referirse a determinadas mutaciones la expresión es general por lo que en ese caso debería recoger las mutaciones EGFR y ALK/ROS, que también disponen de tratamiento dirigido. Como indica en la referencia (1). Tambien hay guias que recogen tratamiento dirigido para mutaciones BRAF y NTRK si bien no se encuentran aprobadas en España.</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sz w:val="18"/>
                <w:szCs w:val="18"/>
              </w:rPr>
              <w:t>Para a continuación poder centrarse en la mutación EGFR.</w:t>
            </w:r>
          </w:p>
          <w:p w:rsidR="00DD1521" w:rsidRPr="006D5C82" w:rsidRDefault="00DD1521" w:rsidP="00B85537">
            <w:pPr>
              <w:spacing w:after="0" w:line="240" w:lineRule="auto"/>
              <w:jc w:val="both"/>
              <w:rPr>
                <w:rFonts w:ascii="Arial" w:hAnsi="Arial" w:cs="Arial"/>
                <w:color w:val="000080"/>
                <w:sz w:val="18"/>
                <w:szCs w:val="18"/>
              </w:rPr>
            </w:pPr>
          </w:p>
        </w:tc>
        <w:tc>
          <w:tcPr>
            <w:tcW w:w="1676" w:type="dxa"/>
          </w:tcPr>
          <w:p w:rsidR="00DD1521" w:rsidRPr="006D5C82" w:rsidRDefault="00DD1521" w:rsidP="006D5C82">
            <w:pPr>
              <w:spacing w:after="0" w:line="240" w:lineRule="auto"/>
              <w:rPr>
                <w:rFonts w:ascii="Arial" w:hAnsi="Arial" w:cs="Arial"/>
                <w:color w:val="000080"/>
                <w:sz w:val="18"/>
                <w:szCs w:val="18"/>
              </w:rPr>
            </w:pPr>
            <w:r w:rsidRPr="006D5C82">
              <w:rPr>
                <w:rFonts w:ascii="Arial" w:hAnsi="Arial" w:cs="Arial"/>
                <w:color w:val="000080"/>
                <w:sz w:val="18"/>
                <w:szCs w:val="18"/>
              </w:rPr>
              <w:t>Aceptada. Se indican las mutaciones que disponen de tratamiento dirigido (EGFR, ALK/ROS, BRAF y NTRK)</w:t>
            </w:r>
          </w:p>
          <w:p w:rsidR="00DD1521" w:rsidRPr="006D5C82" w:rsidRDefault="00DD1521" w:rsidP="006D5C82">
            <w:pPr>
              <w:spacing w:after="0" w:line="240" w:lineRule="auto"/>
              <w:rPr>
                <w:rFonts w:ascii="Arial" w:hAnsi="Arial" w:cs="Arial"/>
                <w:color w:val="000080"/>
                <w:sz w:val="18"/>
                <w:szCs w:val="18"/>
              </w:rPr>
            </w:pPr>
          </w:p>
        </w:tc>
      </w:tr>
      <w:tr w:rsidR="00DD1521" w:rsidRPr="006D5C82" w:rsidTr="00B85537">
        <w:tc>
          <w:tcPr>
            <w:tcW w:w="1080" w:type="dxa"/>
          </w:tcPr>
          <w:p w:rsidR="00DD1521" w:rsidRDefault="00DD1521">
            <w:r w:rsidRPr="00E87B23">
              <w:rPr>
                <w:rFonts w:ascii="Arial" w:hAnsi="Arial" w:cs="Arial"/>
                <w:color w:val="000080"/>
                <w:sz w:val="18"/>
                <w:szCs w:val="18"/>
              </w:rPr>
              <w:t>J.F. Marín GEDEFO</w:t>
            </w:r>
          </w:p>
        </w:tc>
        <w:tc>
          <w:tcPr>
            <w:tcW w:w="7920" w:type="dxa"/>
          </w:tcPr>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Texto de la alegación (Apartado 3.2.b)</w:t>
            </w:r>
          </w:p>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Dice el texto:</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sz w:val="18"/>
                <w:szCs w:val="18"/>
              </w:rPr>
              <w:t>“nuevas mutaciones en el gen que codifica el receptor de EGF”</w:t>
            </w:r>
          </w:p>
          <w:p w:rsidR="00DD1521" w:rsidRDefault="00DD1521" w:rsidP="00B85537">
            <w:pPr>
              <w:spacing w:after="0" w:line="240" w:lineRule="auto"/>
              <w:jc w:val="both"/>
              <w:rPr>
                <w:rFonts w:ascii="Arial" w:hAnsi="Arial" w:cs="Arial"/>
                <w:sz w:val="18"/>
                <w:szCs w:val="18"/>
              </w:rPr>
            </w:pPr>
            <w:r w:rsidRPr="006D5C82">
              <w:rPr>
                <w:rFonts w:ascii="Arial" w:hAnsi="Arial" w:cs="Arial"/>
                <w:sz w:val="18"/>
                <w:szCs w:val="18"/>
              </w:rPr>
              <w:t>Se propone: unificar la denominación a “EGFR” en todo el texto, en el apartado de mecanismo de acción (4.1) aparece “los Receptores del Factor de Crecimiento Epidérmico (EGFR)”. Debería usarse la abreviatura desde la primera vez que aparece en el texto.</w:t>
            </w:r>
          </w:p>
          <w:p w:rsidR="00DD1521" w:rsidRPr="006D5C82" w:rsidRDefault="00DD1521" w:rsidP="00B85537">
            <w:pPr>
              <w:spacing w:after="0" w:line="240" w:lineRule="auto"/>
              <w:jc w:val="both"/>
              <w:rPr>
                <w:rFonts w:ascii="Arial" w:hAnsi="Arial" w:cs="Arial"/>
                <w:color w:val="000080"/>
                <w:sz w:val="18"/>
                <w:szCs w:val="18"/>
              </w:rPr>
            </w:pPr>
          </w:p>
        </w:tc>
        <w:tc>
          <w:tcPr>
            <w:tcW w:w="1676" w:type="dxa"/>
          </w:tcPr>
          <w:p w:rsidR="00DD1521" w:rsidRPr="006D5C82" w:rsidRDefault="00DD1521" w:rsidP="006D5C82">
            <w:pPr>
              <w:shd w:val="clear" w:color="auto" w:fill="FFFFFF"/>
              <w:spacing w:after="0" w:line="240" w:lineRule="auto"/>
              <w:rPr>
                <w:rFonts w:ascii="Arial" w:hAnsi="Arial" w:cs="Arial"/>
                <w:color w:val="000080"/>
                <w:sz w:val="18"/>
                <w:szCs w:val="18"/>
              </w:rPr>
            </w:pPr>
            <w:r w:rsidRPr="006D5C82">
              <w:rPr>
                <w:rFonts w:ascii="Arial" w:hAnsi="Arial" w:cs="Arial"/>
                <w:color w:val="000080"/>
                <w:sz w:val="18"/>
                <w:szCs w:val="18"/>
              </w:rPr>
              <w:t xml:space="preserve">Aceptada. Se sustituye receptor de EGF por EGFR. </w:t>
            </w:r>
          </w:p>
        </w:tc>
      </w:tr>
      <w:tr w:rsidR="00DD1521" w:rsidRPr="006D5C82" w:rsidTr="00B85537">
        <w:tc>
          <w:tcPr>
            <w:tcW w:w="1080" w:type="dxa"/>
          </w:tcPr>
          <w:p w:rsidR="00DD1521" w:rsidRDefault="00DD1521">
            <w:r w:rsidRPr="00E87B23">
              <w:rPr>
                <w:rFonts w:ascii="Arial" w:hAnsi="Arial" w:cs="Arial"/>
                <w:color w:val="000080"/>
                <w:sz w:val="18"/>
                <w:szCs w:val="18"/>
              </w:rPr>
              <w:t>J.F. Marín GEDEFO</w:t>
            </w:r>
          </w:p>
        </w:tc>
        <w:tc>
          <w:tcPr>
            <w:tcW w:w="7920" w:type="dxa"/>
          </w:tcPr>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Texto de la alegación (página 12) Se propone el siguiente texto:</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color w:val="000080"/>
                <w:sz w:val="18"/>
                <w:szCs w:val="18"/>
              </w:rPr>
              <w:t>Dice: “</w:t>
            </w:r>
            <w:r w:rsidRPr="006D5C82">
              <w:rPr>
                <w:rFonts w:ascii="Arial" w:hAnsi="Arial" w:cs="Arial"/>
                <w:sz w:val="18"/>
                <w:szCs w:val="18"/>
              </w:rPr>
              <w:t>Aproximadamente dos tercios de los pacientes (253 [60,4%]) habían recibido tratamiento previo con gefitinib (166 [59.5%] en el grupo de osimertinib y 87 en el grupo de quimioterapia [62,1%]). El segundo ITK anti-EGFR administrado con mayor frecuencia fue el erlotinib (145 [34,6%] pacientes; 96 [34,4%] en el grupo de osimertinib y 49 [35,0%] en el de quimioterapia). Veinticuatro (5,7%) pacientes habían recibido afatinib previamente, la mayoría de los cuales estaban en el grupo de osimertinib (20 [7,2%] en comparación con 4 [2,9%] pacientes en el grupo de QT).”</w:t>
            </w:r>
          </w:p>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Se propone:</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sz w:val="18"/>
                <w:szCs w:val="18"/>
              </w:rPr>
              <w:t>Como fármaco ITK anti-EGFR previo, 253 pacientes (60,4%) recibieron gefitinib, 145 (34,6%), erlotinib y 24 (5,7%) afatinib. La distribución de estos tratamientos entre los grupos de osimertinib y de quimioterapia fue similar.</w:t>
            </w:r>
          </w:p>
          <w:p w:rsidR="00DD1521" w:rsidRPr="006D5C82" w:rsidRDefault="00DD1521" w:rsidP="00B85537">
            <w:pPr>
              <w:spacing w:after="0" w:line="240" w:lineRule="auto"/>
              <w:jc w:val="both"/>
              <w:rPr>
                <w:rFonts w:ascii="Arial" w:hAnsi="Arial" w:cs="Arial"/>
                <w:color w:val="000080"/>
                <w:sz w:val="18"/>
                <w:szCs w:val="18"/>
              </w:rPr>
            </w:pPr>
          </w:p>
        </w:tc>
        <w:tc>
          <w:tcPr>
            <w:tcW w:w="1676" w:type="dxa"/>
          </w:tcPr>
          <w:p w:rsidR="00DD1521" w:rsidRPr="006D5C82" w:rsidRDefault="00DD1521" w:rsidP="00B85537">
            <w:pPr>
              <w:spacing w:after="0" w:line="240" w:lineRule="auto"/>
              <w:jc w:val="both"/>
              <w:rPr>
                <w:rFonts w:ascii="Arial" w:hAnsi="Arial" w:cs="Arial"/>
                <w:color w:val="000080"/>
                <w:sz w:val="18"/>
                <w:szCs w:val="18"/>
                <w:lang w:val="es-ES_tradnl"/>
              </w:rPr>
            </w:pPr>
            <w:r>
              <w:rPr>
                <w:rFonts w:ascii="Arial" w:hAnsi="Arial" w:cs="Arial"/>
                <w:color w:val="000080"/>
                <w:sz w:val="18"/>
                <w:szCs w:val="18"/>
                <w:lang w:val="es-ES_tradnl"/>
              </w:rPr>
              <w:t>Aceptada. Se sustituye el párrafo por la redacción propuesta</w:t>
            </w:r>
          </w:p>
        </w:tc>
      </w:tr>
      <w:tr w:rsidR="00DD1521" w:rsidRPr="006D5C82" w:rsidTr="00B85537">
        <w:tc>
          <w:tcPr>
            <w:tcW w:w="1080" w:type="dxa"/>
          </w:tcPr>
          <w:p w:rsidR="00DD1521" w:rsidRDefault="00DD1521">
            <w:r w:rsidRPr="00E87B23">
              <w:rPr>
                <w:rFonts w:ascii="Arial" w:hAnsi="Arial" w:cs="Arial"/>
                <w:color w:val="000080"/>
                <w:sz w:val="18"/>
                <w:szCs w:val="18"/>
              </w:rPr>
              <w:t>J.F. Marín GEDEFO</w:t>
            </w:r>
          </w:p>
        </w:tc>
        <w:tc>
          <w:tcPr>
            <w:tcW w:w="7920" w:type="dxa"/>
          </w:tcPr>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Texto de la alegación (Apartado 5.1.b)</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color w:val="000080"/>
                <w:sz w:val="18"/>
                <w:szCs w:val="18"/>
              </w:rPr>
              <w:t>Dice: “</w:t>
            </w:r>
            <w:r w:rsidRPr="006D5C82">
              <w:rPr>
                <w:rFonts w:ascii="Arial" w:hAnsi="Arial" w:cs="Arial"/>
                <w:sz w:val="18"/>
                <w:szCs w:val="18"/>
              </w:rPr>
              <w:t>Los estudios considerados en el análisis de eficacia se limitan al ensayos pivotal fase III.”</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sz w:val="18"/>
                <w:szCs w:val="18"/>
              </w:rPr>
              <w:t>Si no se va a utilizar los datos de los estudios reseñados en la búsqueda bibliográfica se debería indicar el porqué. En caso contrario tampoco tiene mucho sentido mencionar los estudios.</w:t>
            </w:r>
          </w:p>
          <w:p w:rsidR="00DD1521" w:rsidRPr="006D5C82" w:rsidRDefault="00DD1521" w:rsidP="00B85537">
            <w:pPr>
              <w:spacing w:after="0" w:line="240" w:lineRule="auto"/>
              <w:jc w:val="both"/>
              <w:rPr>
                <w:rFonts w:ascii="Arial" w:hAnsi="Arial" w:cs="Arial"/>
                <w:color w:val="000080"/>
                <w:sz w:val="18"/>
                <w:szCs w:val="18"/>
              </w:rPr>
            </w:pPr>
          </w:p>
        </w:tc>
        <w:tc>
          <w:tcPr>
            <w:tcW w:w="1676" w:type="dxa"/>
          </w:tcPr>
          <w:p w:rsidR="00DD1521" w:rsidRDefault="00DD1521" w:rsidP="00BB63E4">
            <w:pPr>
              <w:spacing w:after="0" w:line="240" w:lineRule="auto"/>
              <w:rPr>
                <w:rFonts w:ascii="Arial" w:hAnsi="Arial" w:cs="Arial"/>
                <w:color w:val="000080"/>
                <w:sz w:val="18"/>
                <w:szCs w:val="18"/>
                <w:lang w:val="es-ES_tradnl"/>
              </w:rPr>
            </w:pPr>
            <w:r w:rsidRPr="001D4A65">
              <w:rPr>
                <w:rFonts w:ascii="Arial" w:hAnsi="Arial" w:cs="Arial"/>
                <w:color w:val="000080"/>
                <w:sz w:val="18"/>
                <w:szCs w:val="18"/>
                <w:lang w:val="es-ES_tradnl"/>
              </w:rPr>
              <w:t xml:space="preserve">En el análisis de eficacia solo incluimos los resultados del ensayo pivotal fase III por considerar que es el que aporta la </w:t>
            </w:r>
            <w:r w:rsidRPr="001D4A65">
              <w:rPr>
                <w:rFonts w:ascii="Arial" w:hAnsi="Arial" w:cs="Arial"/>
                <w:color w:val="000080"/>
                <w:sz w:val="18"/>
                <w:szCs w:val="18"/>
                <w:lang w:val="es-ES_tradnl"/>
              </w:rPr>
              <w:lastRenderedPageBreak/>
              <w:t>información más relevante.</w:t>
            </w:r>
          </w:p>
          <w:p w:rsidR="00DD1521" w:rsidRPr="00BB63E4" w:rsidRDefault="00DD1521" w:rsidP="00BB63E4">
            <w:pPr>
              <w:spacing w:after="0" w:line="240" w:lineRule="auto"/>
              <w:rPr>
                <w:rFonts w:ascii="Arial" w:hAnsi="Arial" w:cs="Arial"/>
                <w:color w:val="000080"/>
                <w:sz w:val="18"/>
                <w:szCs w:val="18"/>
                <w:lang w:val="es-ES_tradnl"/>
              </w:rPr>
            </w:pPr>
          </w:p>
        </w:tc>
      </w:tr>
      <w:tr w:rsidR="00DD1521" w:rsidRPr="006D5C82" w:rsidTr="00B85537">
        <w:tc>
          <w:tcPr>
            <w:tcW w:w="1080" w:type="dxa"/>
          </w:tcPr>
          <w:p w:rsidR="00DD1521" w:rsidRDefault="00DD1521">
            <w:r w:rsidRPr="00E87B23">
              <w:rPr>
                <w:rFonts w:ascii="Arial" w:hAnsi="Arial" w:cs="Arial"/>
                <w:color w:val="000080"/>
                <w:sz w:val="18"/>
                <w:szCs w:val="18"/>
              </w:rPr>
              <w:lastRenderedPageBreak/>
              <w:t>J.F. Marín GEDEFO</w:t>
            </w:r>
          </w:p>
        </w:tc>
        <w:tc>
          <w:tcPr>
            <w:tcW w:w="7920" w:type="dxa"/>
          </w:tcPr>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Texto de la alegación (Apartado 5.2.b)</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color w:val="000080"/>
                <w:sz w:val="18"/>
                <w:szCs w:val="18"/>
              </w:rPr>
              <w:t>Dice: “</w:t>
            </w:r>
            <w:r w:rsidRPr="006D5C82">
              <w:rPr>
                <w:rFonts w:ascii="Arial" w:hAnsi="Arial" w:cs="Arial"/>
                <w:sz w:val="18"/>
                <w:szCs w:val="18"/>
              </w:rPr>
              <w:t>Una de las mayores limitaciones que presenta este estudio es que el grupo comparador no incluye como opción de tratamiento afatinib, fármaco también con indicación en primera línea y con utilización en práctica clínica habitual en este contexto clínico.”</w:t>
            </w:r>
          </w:p>
          <w:p w:rsidR="00DD1521" w:rsidRPr="006D5C82" w:rsidRDefault="00DD1521" w:rsidP="00B85537">
            <w:pPr>
              <w:spacing w:after="0" w:line="240" w:lineRule="auto"/>
              <w:jc w:val="both"/>
              <w:rPr>
                <w:rFonts w:ascii="Arial" w:hAnsi="Arial" w:cs="Arial"/>
                <w:sz w:val="18"/>
                <w:szCs w:val="18"/>
              </w:rPr>
            </w:pP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sz w:val="18"/>
                <w:szCs w:val="18"/>
              </w:rPr>
              <w:t xml:space="preserve">También se dice : “Los resultados del ensayo LUX-Lung-7 </w:t>
            </w:r>
            <w:r w:rsidRPr="006D5C82">
              <w:rPr>
                <w:rFonts w:ascii="Arial" w:hAnsi="Arial" w:cs="Arial"/>
                <w:sz w:val="18"/>
                <w:szCs w:val="18"/>
              </w:rPr>
              <w:fldChar w:fldCharType="begin"/>
            </w:r>
            <w:r w:rsidRPr="006D5C82">
              <w:rPr>
                <w:rFonts w:ascii="Arial" w:hAnsi="Arial" w:cs="Arial"/>
                <w:sz w:val="18"/>
                <w:szCs w:val="18"/>
              </w:rPr>
              <w:instrText xml:space="preserve"> ADDIN ZOTERO_ITEM CSL_CITATION {"citationID":"xgr3BAid","properties":{"formattedCitation":"(31)","plainCitation":"(31)"},"citationItems":[{"id":1035,"uris":["http://zotero.org/users/local/zrSbuHrK/items/C2A6G4PR"],"uri":["http://zotero.org/users/local/zrSbuHrK/items/C2A6G4PR"],"itemData":{"id":1035,"type":"article-journal","title":"Afatinib versus gefitinib in patients with EGFR mutation-positive advanced non-small-cell lung cancer: overall survival data from the phase IIb LUX-Lung 7 trial","container-title":"Annals of Oncology: Official Journal of the European Society for Medical Oncology","page":"270-277","volume":"28","issue":"2","source":"PubMed","abstract":"Background: In LUX-Lung 7, the irreversible ErbB family blocker, afatinib, significantly improved progression-free survival (PFS), time-to-treatment failure (TTF) and objective response rate (ORR) versus gefitinib in patients with epidermal growth factor receptor (EGFR) mutation-positive non-small-cell lung cancer (NSCLC). Here, we present primary analysis of mature overall survival (OS) data.\nPatients and methods: LUX-Lung 7 assessed afatinib 40</w:instrText>
            </w:r>
            <w:r w:rsidRPr="006D5C82">
              <w:rPr>
                <w:rFonts w:ascii="Arial" w:eastAsia="Arial Unicode MS" w:hAnsi="Arial Unicode MS" w:cs="Arial" w:hint="eastAsia"/>
                <w:sz w:val="18"/>
                <w:szCs w:val="18"/>
              </w:rPr>
              <w:instrText> </w:instrText>
            </w:r>
            <w:r w:rsidRPr="006D5C82">
              <w:rPr>
                <w:rFonts w:ascii="Arial" w:hAnsi="Arial" w:cs="Arial"/>
                <w:sz w:val="18"/>
                <w:szCs w:val="18"/>
              </w:rPr>
              <w:instrText>mg/day versus gefitinib 250</w:instrText>
            </w:r>
            <w:r w:rsidRPr="006D5C82">
              <w:rPr>
                <w:rFonts w:ascii="Arial" w:eastAsia="Arial Unicode MS" w:hAnsi="Arial Unicode MS" w:cs="Arial" w:hint="eastAsia"/>
                <w:sz w:val="18"/>
                <w:szCs w:val="18"/>
              </w:rPr>
              <w:instrText> </w:instrText>
            </w:r>
            <w:r w:rsidRPr="006D5C82">
              <w:rPr>
                <w:rFonts w:ascii="Arial" w:hAnsi="Arial" w:cs="Arial"/>
                <w:sz w:val="18"/>
                <w:szCs w:val="18"/>
              </w:rPr>
              <w:instrText xml:space="preserve">mg/day in treatment-naïve patients with stage IIIb/IV NSCLC and a common EGFR mutation (exon 19 deletion/L858R). Primary OS analysis was planned after </w:instrText>
            </w:r>
            <w:r w:rsidRPr="006D5C82">
              <w:rPr>
                <w:rFonts w:ascii="MS Mincho" w:eastAsia="MS Mincho" w:hAnsi="MS Mincho" w:cs="MS Mincho" w:hint="eastAsia"/>
                <w:sz w:val="18"/>
                <w:szCs w:val="18"/>
              </w:rPr>
              <w:instrText>∼</w:instrText>
            </w:r>
            <w:r w:rsidRPr="006D5C82">
              <w:rPr>
                <w:rFonts w:ascii="Arial" w:hAnsi="Arial" w:cs="Arial"/>
                <w:sz w:val="18"/>
                <w:szCs w:val="18"/>
              </w:rPr>
              <w:instrText>213 OS events and</w:instrText>
            </w:r>
            <w:r w:rsidRPr="006D5C82">
              <w:rPr>
                <w:rFonts w:ascii="Arial" w:eastAsia="Arial Unicode MS" w:hAnsi="Arial Unicode MS" w:cs="Arial" w:hint="eastAsia"/>
                <w:sz w:val="18"/>
                <w:szCs w:val="18"/>
              </w:rPr>
              <w:instrText> </w:instrText>
            </w:r>
            <w:r w:rsidRPr="006D5C82">
              <w:rPr>
                <w:rFonts w:ascii="Arial" w:hAnsi="Arial" w:cs="Arial"/>
                <w:sz w:val="18"/>
                <w:szCs w:val="18"/>
              </w:rPr>
              <w:instrText>≥32-month follow-up. OS was analysed by a Cox proportional hazards model, stratified by EGFR mutation type and baseline brain metastases.\nResults: Two-hundred and twenty-six OS events had occurred at the data cut-off (8 April 2016). After a median follow-up of 42.6 months, median OS (afatinib versus gefitinib) was 27.9 versus 24.5 months [hazard ratio (HR) = 0.86, 95% confidence interval (CI) 0.66</w:instrText>
            </w:r>
            <w:r w:rsidRPr="006D5C82">
              <w:rPr>
                <w:rFonts w:ascii="Arial" w:eastAsia="Arial Unicode MS" w:hAnsi="Arial Unicode MS" w:cs="Arial" w:hint="eastAsia"/>
                <w:sz w:val="18"/>
                <w:szCs w:val="18"/>
              </w:rPr>
              <w:instrText>‒</w:instrText>
            </w:r>
            <w:r w:rsidRPr="006D5C82">
              <w:rPr>
                <w:rFonts w:ascii="Arial" w:hAnsi="Arial" w:cs="Arial"/>
                <w:sz w:val="18"/>
                <w:szCs w:val="18"/>
              </w:rPr>
              <w:instrText>1.12, P</w:instrText>
            </w:r>
            <w:r w:rsidRPr="006D5C82">
              <w:rPr>
                <w:rFonts w:ascii="Arial" w:eastAsia="Arial Unicode MS" w:hAnsi="Arial Unicode MS" w:cs="Arial" w:hint="eastAsia"/>
                <w:sz w:val="18"/>
                <w:szCs w:val="18"/>
              </w:rPr>
              <w:instrText> </w:instrText>
            </w:r>
            <w:r w:rsidRPr="006D5C82">
              <w:rPr>
                <w:rFonts w:ascii="Arial" w:hAnsi="Arial" w:cs="Arial"/>
                <w:sz w:val="18"/>
                <w:szCs w:val="18"/>
              </w:rPr>
              <w:instrText>=</w:instrText>
            </w:r>
            <w:r w:rsidRPr="006D5C82">
              <w:rPr>
                <w:rFonts w:ascii="Arial" w:eastAsia="Arial Unicode MS" w:hAnsi="Arial Unicode MS" w:cs="Arial" w:hint="eastAsia"/>
                <w:sz w:val="18"/>
                <w:szCs w:val="18"/>
              </w:rPr>
              <w:instrText> </w:instrText>
            </w:r>
            <w:r w:rsidRPr="006D5C82">
              <w:rPr>
                <w:rFonts w:ascii="Arial" w:hAnsi="Arial" w:cs="Arial"/>
                <w:sz w:val="18"/>
                <w:szCs w:val="18"/>
              </w:rPr>
              <w:instrText>0.2580]. Prespecified subgroup analyses showed similar OS trends (afatinib versus gefitinib) in patients with exon 19 deletion (30.7 versus 26.4 months; HR, 0.83, 95% CI 0.58</w:instrText>
            </w:r>
            <w:r w:rsidRPr="006D5C82">
              <w:rPr>
                <w:rFonts w:ascii="Arial" w:eastAsia="Arial Unicode MS" w:hAnsi="Arial Unicode MS" w:cs="Arial" w:hint="eastAsia"/>
                <w:sz w:val="18"/>
                <w:szCs w:val="18"/>
              </w:rPr>
              <w:instrText>‒</w:instrText>
            </w:r>
            <w:r w:rsidRPr="006D5C82">
              <w:rPr>
                <w:rFonts w:ascii="Arial" w:hAnsi="Arial" w:cs="Arial"/>
                <w:sz w:val="18"/>
                <w:szCs w:val="18"/>
              </w:rPr>
              <w:instrText>1.17, P</w:instrText>
            </w:r>
            <w:r w:rsidRPr="006D5C82">
              <w:rPr>
                <w:rFonts w:ascii="Arial" w:eastAsia="Arial Unicode MS" w:hAnsi="Arial Unicode MS" w:cs="Arial" w:hint="eastAsia"/>
                <w:sz w:val="18"/>
                <w:szCs w:val="18"/>
              </w:rPr>
              <w:instrText> </w:instrText>
            </w:r>
            <w:r w:rsidRPr="006D5C82">
              <w:rPr>
                <w:rFonts w:ascii="Arial" w:hAnsi="Arial" w:cs="Arial"/>
                <w:sz w:val="18"/>
                <w:szCs w:val="18"/>
              </w:rPr>
              <w:instrText>=</w:instrText>
            </w:r>
            <w:r w:rsidRPr="006D5C82">
              <w:rPr>
                <w:rFonts w:ascii="Arial" w:eastAsia="Arial Unicode MS" w:hAnsi="Arial Unicode MS" w:cs="Arial" w:hint="eastAsia"/>
                <w:sz w:val="18"/>
                <w:szCs w:val="18"/>
              </w:rPr>
              <w:instrText> </w:instrText>
            </w:r>
            <w:r w:rsidRPr="006D5C82">
              <w:rPr>
                <w:rFonts w:ascii="Arial" w:hAnsi="Arial" w:cs="Arial"/>
                <w:sz w:val="18"/>
                <w:szCs w:val="18"/>
              </w:rPr>
              <w:instrText>0.2841) and L858R (25.0 versus 21.2 months; HR 0.91, 95% CI 0.62</w:instrText>
            </w:r>
            <w:r w:rsidRPr="006D5C82">
              <w:rPr>
                <w:rFonts w:ascii="Arial" w:eastAsia="Arial Unicode MS" w:hAnsi="Arial Unicode MS" w:cs="Arial" w:hint="eastAsia"/>
                <w:sz w:val="18"/>
                <w:szCs w:val="18"/>
              </w:rPr>
              <w:instrText>‒</w:instrText>
            </w:r>
            <w:r w:rsidRPr="006D5C82">
              <w:rPr>
                <w:rFonts w:ascii="Arial" w:hAnsi="Arial" w:cs="Arial"/>
                <w:sz w:val="18"/>
                <w:szCs w:val="18"/>
              </w:rPr>
              <w:instrText>1.36, P</w:instrText>
            </w:r>
            <w:r w:rsidRPr="006D5C82">
              <w:rPr>
                <w:rFonts w:ascii="Arial" w:eastAsia="Arial Unicode MS" w:hAnsi="Arial Unicode MS" w:cs="Arial" w:hint="eastAsia"/>
                <w:sz w:val="18"/>
                <w:szCs w:val="18"/>
              </w:rPr>
              <w:instrText> </w:instrText>
            </w:r>
            <w:r w:rsidRPr="006D5C82">
              <w:rPr>
                <w:rFonts w:ascii="Arial" w:hAnsi="Arial" w:cs="Arial"/>
                <w:sz w:val="18"/>
                <w:szCs w:val="18"/>
              </w:rPr>
              <w:instrText>=</w:instrText>
            </w:r>
            <w:r w:rsidRPr="006D5C82">
              <w:rPr>
                <w:rFonts w:ascii="Arial" w:eastAsia="Arial Unicode MS" w:hAnsi="Arial Unicode MS" w:cs="Arial" w:hint="eastAsia"/>
                <w:sz w:val="18"/>
                <w:szCs w:val="18"/>
              </w:rPr>
              <w:instrText> </w:instrText>
            </w:r>
            <w:r w:rsidRPr="006D5C82">
              <w:rPr>
                <w:rFonts w:ascii="Arial" w:hAnsi="Arial" w:cs="Arial"/>
                <w:sz w:val="18"/>
                <w:szCs w:val="18"/>
              </w:rPr>
              <w:instrText xml:space="preserve">0.6585) mutations. Most patients (afatinib, 72.6%; gefitinib, 76.8%) had at least one subsequent systemic anti-cancer treatment following discontinuation of afatinib/gefitinib; 20 (13.7%) and 23 (15.2%) patients received a third-generation EGFR tyrosine kinase inhibitor. Updated PFS (independent review), TTF and ORR data were significantly improved with afatinib.\nConclusion: In LUX-Lung 7, there was no significant difference in OS with afatinib versus gefitinib. Updated PFS (independent review), TTF and ORR data were significantly improved with afatinib.\nClinicaltrials.gov identifier: NCT01466660.","DOI":"10.1093/annonc/mdw611","ISSN":"1569-8041","note":"PMID: 28426106\nPMCID: PMC5391700","shortTitle":"Afatinib versus gefitinib in patients with EGFR mutation-positive advanced non-small-cell lung cancer","journalAbbreviation":"Ann. Oncol.","language":"eng","author":[{"family":"Paz-Ares","given":"L."},{"family":"Tan","given":"E.-H."},{"family":"O'Byrne","given":"K."},{"family":"Zhang","given":"L."},{"family":"Hirsh","given":"V."},{"family":"Boyer","given":"M."},{"family":"Yang","given":"J. C.-H."},{"family":"Mok","given":"T."},{"family":"Lee","given":"K. H."},{"family":"Lu","given":"S."},{"family":"Shi","given":"Y."},{"family":"Lee","given":"D. H."},{"family":"Laskin","given":"J."},{"family":"Kim","given":"D.-W."},{"family":"Laurie","given":"S. A."},{"family":"Kölbeck","given":"K."},{"family":"Fan","given":"J."},{"family":"Dodd","given":"N."},{"family":"Märten","given":"A."},{"family":"Park","given":"K."}],"issued":{"date-parts":[["2017"]],"season":"01"},"PMID":"28426106","PMCID":"PMC5391700"}}],"schema":"https://github.com/citation-style-language/schema/raw/master/csl-citation.json"} </w:instrText>
            </w:r>
            <w:r w:rsidRPr="006D5C82">
              <w:rPr>
                <w:rFonts w:ascii="Arial" w:hAnsi="Arial" w:cs="Arial"/>
                <w:sz w:val="18"/>
                <w:szCs w:val="18"/>
              </w:rPr>
              <w:fldChar w:fldCharType="separate"/>
            </w:r>
            <w:r w:rsidRPr="006D5C82">
              <w:rPr>
                <w:rFonts w:ascii="Arial" w:hAnsi="Arial" w:cs="Arial"/>
                <w:sz w:val="18"/>
                <w:szCs w:val="18"/>
              </w:rPr>
              <w:t>(27)</w:t>
            </w:r>
            <w:r w:rsidRPr="006D5C82">
              <w:rPr>
                <w:rFonts w:ascii="Arial" w:hAnsi="Arial" w:cs="Arial"/>
                <w:sz w:val="18"/>
                <w:szCs w:val="18"/>
              </w:rPr>
              <w:fldChar w:fldCharType="end"/>
            </w:r>
            <w:r w:rsidRPr="006D5C82">
              <w:rPr>
                <w:rFonts w:ascii="Arial" w:hAnsi="Arial" w:cs="Arial"/>
                <w:sz w:val="18"/>
                <w:szCs w:val="18"/>
              </w:rPr>
              <w:t>, ensayo clínico fase III que compara afatinib frente a gefitinib en primera línea en pacientes con CPNM avanzado o metastásico con mutaciones activadoras de EGFR mostraron un beneficio en términos de SLP a favor de afatinib, sin embargo en el análisis final de la SG no se detectaron diferencias significativas entre ambos fármacos”</w:t>
            </w:r>
          </w:p>
          <w:p w:rsidR="00DD1521" w:rsidRPr="006D5C82" w:rsidRDefault="00DD1521" w:rsidP="00B85537">
            <w:pPr>
              <w:spacing w:after="0" w:line="240" w:lineRule="auto"/>
              <w:jc w:val="both"/>
              <w:rPr>
                <w:rFonts w:ascii="Arial" w:hAnsi="Arial" w:cs="Arial"/>
                <w:sz w:val="18"/>
                <w:szCs w:val="18"/>
              </w:rPr>
            </w:pP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sz w:val="18"/>
                <w:szCs w:val="18"/>
              </w:rPr>
              <w:t>Sin embargo, más adelante en el apartado C2 se dice lo siguiente al valorar la equivalencia terapéutica del tratamiento en primera línea del CPNM:</w:t>
            </w:r>
          </w:p>
          <w:p w:rsidR="00DD1521" w:rsidRPr="006D5C82" w:rsidRDefault="00DD1521" w:rsidP="00B85537">
            <w:pPr>
              <w:spacing w:after="0" w:line="240" w:lineRule="auto"/>
              <w:jc w:val="both"/>
              <w:rPr>
                <w:rFonts w:ascii="Arial" w:hAnsi="Arial" w:cs="Arial"/>
                <w:sz w:val="18"/>
                <w:szCs w:val="18"/>
              </w:rPr>
            </w:pPr>
            <w:r w:rsidRPr="006D5C82">
              <w:rPr>
                <w:rFonts w:ascii="Arial" w:hAnsi="Arial" w:cs="Arial"/>
                <w:sz w:val="18"/>
                <w:szCs w:val="18"/>
              </w:rPr>
              <w:t>“La evidencia disponible se basa en comparaciones indirectas que apoyan similar eficacia entre erlotinib, gefitinib y afatinib”.</w:t>
            </w:r>
          </w:p>
          <w:p w:rsidR="00DD1521" w:rsidRPr="006D5C82" w:rsidRDefault="00DD1521" w:rsidP="00B85537">
            <w:pPr>
              <w:spacing w:after="0" w:line="240" w:lineRule="auto"/>
              <w:jc w:val="both"/>
              <w:rPr>
                <w:rFonts w:ascii="Arial" w:hAnsi="Arial" w:cs="Arial"/>
                <w:sz w:val="18"/>
                <w:szCs w:val="18"/>
              </w:rPr>
            </w:pPr>
          </w:p>
          <w:p w:rsidR="00DD1521" w:rsidRDefault="00DD1521" w:rsidP="00B85537">
            <w:pPr>
              <w:spacing w:after="0" w:line="240" w:lineRule="auto"/>
              <w:jc w:val="both"/>
              <w:rPr>
                <w:rFonts w:ascii="Arial" w:hAnsi="Arial" w:cs="Arial"/>
                <w:sz w:val="18"/>
                <w:szCs w:val="18"/>
              </w:rPr>
            </w:pPr>
            <w:r w:rsidRPr="006D5C82">
              <w:rPr>
                <w:rFonts w:ascii="Arial" w:hAnsi="Arial" w:cs="Arial"/>
                <w:sz w:val="18"/>
                <w:szCs w:val="18"/>
              </w:rPr>
              <w:t>Parece existir contradicción entre los distintos apartados del informe</w:t>
            </w:r>
          </w:p>
          <w:p w:rsidR="00DD1521" w:rsidRPr="006D5C82" w:rsidRDefault="00DD1521" w:rsidP="00B85537">
            <w:pPr>
              <w:spacing w:after="0" w:line="240" w:lineRule="auto"/>
              <w:jc w:val="both"/>
              <w:rPr>
                <w:rFonts w:ascii="Arial" w:hAnsi="Arial" w:cs="Arial"/>
                <w:color w:val="000080"/>
                <w:sz w:val="18"/>
                <w:szCs w:val="18"/>
              </w:rPr>
            </w:pPr>
          </w:p>
        </w:tc>
        <w:tc>
          <w:tcPr>
            <w:tcW w:w="1676" w:type="dxa"/>
          </w:tcPr>
          <w:p w:rsidR="00DD1521" w:rsidRPr="006D5C82" w:rsidRDefault="00DD1521" w:rsidP="00BB63E4">
            <w:pPr>
              <w:spacing w:after="0" w:line="240" w:lineRule="auto"/>
              <w:rPr>
                <w:rFonts w:ascii="Arial" w:hAnsi="Arial" w:cs="Arial"/>
                <w:color w:val="000080"/>
                <w:sz w:val="18"/>
                <w:szCs w:val="18"/>
              </w:rPr>
            </w:pPr>
            <w:r>
              <w:rPr>
                <w:rFonts w:ascii="Arial" w:hAnsi="Arial" w:cs="Arial"/>
                <w:color w:val="000080"/>
                <w:sz w:val="18"/>
                <w:szCs w:val="18"/>
                <w:lang w:val="es-ES_tradnl"/>
              </w:rPr>
              <w:t>Se sustituye la frase por “</w:t>
            </w:r>
            <w:r w:rsidRPr="00BB63E4">
              <w:rPr>
                <w:rFonts w:ascii="Arial" w:hAnsi="Arial" w:cs="Arial"/>
                <w:color w:val="000080"/>
                <w:sz w:val="18"/>
                <w:szCs w:val="18"/>
                <w:lang w:val="es-ES_tradnl"/>
              </w:rPr>
              <w:t>La evidencia disponible entre erlotinib y gefitinib, y entre erlotinib y afatinib se basa en comparaciones indirectas que apoyan similar eficacia entre ellos</w:t>
            </w:r>
            <w:r>
              <w:rPr>
                <w:rFonts w:ascii="Arial" w:hAnsi="Arial" w:cs="Arial"/>
                <w:color w:val="000080"/>
                <w:sz w:val="18"/>
                <w:szCs w:val="18"/>
                <w:lang w:val="es-ES_tradnl"/>
              </w:rPr>
              <w:t>”</w:t>
            </w:r>
          </w:p>
        </w:tc>
      </w:tr>
      <w:tr w:rsidR="00DD1521" w:rsidRPr="006D5C82" w:rsidTr="00B85537">
        <w:tc>
          <w:tcPr>
            <w:tcW w:w="1080" w:type="dxa"/>
          </w:tcPr>
          <w:p w:rsidR="00DD1521" w:rsidRDefault="00DD1521">
            <w:r w:rsidRPr="00E87B23">
              <w:rPr>
                <w:rFonts w:ascii="Arial" w:hAnsi="Arial" w:cs="Arial"/>
                <w:color w:val="000080"/>
                <w:sz w:val="18"/>
                <w:szCs w:val="18"/>
              </w:rPr>
              <w:t>J.F. Marín GEDEFO</w:t>
            </w:r>
          </w:p>
        </w:tc>
        <w:tc>
          <w:tcPr>
            <w:tcW w:w="7920" w:type="dxa"/>
          </w:tcPr>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Texto de la alegación (Área de Conclusiones)</w:t>
            </w:r>
          </w:p>
          <w:p w:rsidR="00DD1521" w:rsidRPr="006D5C82"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En el apartado de Costeen primera línea dice:</w:t>
            </w:r>
          </w:p>
          <w:p w:rsidR="00DD1521" w:rsidRPr="006D5C82" w:rsidRDefault="00DD1521" w:rsidP="00B85537">
            <w:pPr>
              <w:numPr>
                <w:ilvl w:val="0"/>
                <w:numId w:val="20"/>
              </w:numPr>
              <w:tabs>
                <w:tab w:val="left" w:pos="851"/>
              </w:tabs>
              <w:suppressAutoHyphens/>
              <w:snapToGrid w:val="0"/>
              <w:spacing w:after="0" w:line="240" w:lineRule="auto"/>
              <w:jc w:val="both"/>
              <w:rPr>
                <w:rFonts w:ascii="Arial" w:hAnsi="Arial" w:cs="Arial"/>
                <w:sz w:val="18"/>
                <w:szCs w:val="18"/>
              </w:rPr>
            </w:pPr>
            <w:r w:rsidRPr="006D5C82">
              <w:rPr>
                <w:rFonts w:ascii="Arial" w:hAnsi="Arial" w:cs="Arial"/>
                <w:sz w:val="18"/>
                <w:szCs w:val="18"/>
              </w:rPr>
              <w:t xml:space="preserve">Las dos evaluaciones económicas publicadas de osimertinib en la indicación evaluada estiman un RCEI entre 147.267,78 €/AVAC ganado y 178.604,6  €/AVAC. En base a estos resultados, el RCEI de osimertinib no se encuentra dentro del umbral de aceptabilidad de 21.000 €/AVAC. </w:t>
            </w:r>
          </w:p>
          <w:p w:rsidR="00DD1521" w:rsidRDefault="00DD1521" w:rsidP="00B85537">
            <w:pPr>
              <w:spacing w:after="0" w:line="240" w:lineRule="auto"/>
              <w:jc w:val="both"/>
              <w:rPr>
                <w:rFonts w:ascii="Arial" w:hAnsi="Arial" w:cs="Arial"/>
                <w:color w:val="000080"/>
                <w:sz w:val="18"/>
                <w:szCs w:val="18"/>
              </w:rPr>
            </w:pPr>
            <w:r w:rsidRPr="006D5C82">
              <w:rPr>
                <w:rFonts w:ascii="Arial" w:hAnsi="Arial" w:cs="Arial"/>
                <w:color w:val="000080"/>
                <w:sz w:val="18"/>
                <w:szCs w:val="18"/>
              </w:rPr>
              <w:t>Debería indicar la perspectiva y el ámbito del estudio, parece que son estudio en España y no es así.</w:t>
            </w:r>
          </w:p>
          <w:p w:rsidR="00DD1521" w:rsidRPr="006D5C82" w:rsidRDefault="00DD1521" w:rsidP="00B85537">
            <w:pPr>
              <w:spacing w:after="0" w:line="240" w:lineRule="auto"/>
              <w:jc w:val="both"/>
              <w:rPr>
                <w:rFonts w:ascii="Arial" w:hAnsi="Arial" w:cs="Arial"/>
                <w:color w:val="000080"/>
                <w:sz w:val="18"/>
                <w:szCs w:val="18"/>
              </w:rPr>
            </w:pPr>
          </w:p>
        </w:tc>
        <w:tc>
          <w:tcPr>
            <w:tcW w:w="1676" w:type="dxa"/>
          </w:tcPr>
          <w:p w:rsidR="00DD1521" w:rsidRPr="006D5C82" w:rsidRDefault="00DD1521" w:rsidP="00897B8F">
            <w:pPr>
              <w:spacing w:after="0" w:line="240" w:lineRule="auto"/>
              <w:rPr>
                <w:rFonts w:ascii="Arial" w:hAnsi="Arial" w:cs="Arial"/>
                <w:color w:val="000080"/>
                <w:sz w:val="18"/>
                <w:szCs w:val="18"/>
              </w:rPr>
            </w:pPr>
            <w:r>
              <w:rPr>
                <w:rFonts w:ascii="Arial" w:hAnsi="Arial" w:cs="Arial"/>
                <w:color w:val="000080"/>
                <w:sz w:val="18"/>
                <w:szCs w:val="18"/>
              </w:rPr>
              <w:t>Aceptada. Se elimina ese párrafo de las concusiones, ya que lleva a confusión.</w:t>
            </w:r>
          </w:p>
        </w:tc>
      </w:tr>
    </w:tbl>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Pr="00897B8F" w:rsidRDefault="00DD1521" w:rsidP="00897B8F">
      <w:pPr>
        <w:spacing w:after="0" w:line="240" w:lineRule="auto"/>
        <w:jc w:val="both"/>
        <w:outlineLvl w:val="0"/>
        <w:rPr>
          <w:rFonts w:ascii="Arial" w:hAnsi="Arial" w:cs="Arial"/>
          <w:color w:val="000080"/>
          <w:sz w:val="20"/>
          <w:szCs w:val="20"/>
        </w:rPr>
      </w:pPr>
      <w:bookmarkStart w:id="174" w:name="_Toc5624930"/>
      <w:bookmarkStart w:id="175" w:name="_Toc5793788"/>
      <w:r w:rsidRPr="00897B8F">
        <w:rPr>
          <w:rFonts w:ascii="Arial" w:hAnsi="Arial" w:cs="Arial"/>
          <w:color w:val="000080"/>
          <w:sz w:val="20"/>
          <w:szCs w:val="20"/>
        </w:rPr>
        <w:t>Nombre persona que hace la alegación propuesta: Arancha Martín Salazar</w:t>
      </w:r>
      <w:bookmarkEnd w:id="174"/>
      <w:bookmarkEnd w:id="175"/>
    </w:p>
    <w:p w:rsidR="00DD1521" w:rsidRPr="00897B8F" w:rsidRDefault="00DD1521" w:rsidP="00897B8F">
      <w:pPr>
        <w:spacing w:after="0" w:line="240" w:lineRule="auto"/>
        <w:jc w:val="both"/>
        <w:outlineLvl w:val="0"/>
        <w:rPr>
          <w:rFonts w:ascii="Arial" w:hAnsi="Arial" w:cs="Arial"/>
          <w:color w:val="000080"/>
          <w:sz w:val="20"/>
          <w:szCs w:val="20"/>
          <w:lang w:val="pt-BR"/>
        </w:rPr>
      </w:pPr>
      <w:bookmarkStart w:id="176" w:name="_Toc5624931"/>
      <w:bookmarkStart w:id="177" w:name="_Toc5793789"/>
      <w:r w:rsidRPr="00897B8F">
        <w:rPr>
          <w:rFonts w:ascii="Arial" w:hAnsi="Arial" w:cs="Arial"/>
          <w:color w:val="000080"/>
          <w:sz w:val="20"/>
          <w:szCs w:val="20"/>
          <w:lang w:val="pt-BR"/>
        </w:rPr>
        <w:t>Cargo que ocupa: Market Access Manager</w:t>
      </w:r>
      <w:bookmarkEnd w:id="176"/>
      <w:bookmarkEnd w:id="177"/>
    </w:p>
    <w:p w:rsidR="00DD1521" w:rsidRPr="00897B8F" w:rsidRDefault="00DD1521" w:rsidP="00897B8F">
      <w:pPr>
        <w:spacing w:after="0" w:line="240" w:lineRule="auto"/>
        <w:jc w:val="both"/>
        <w:outlineLvl w:val="0"/>
        <w:rPr>
          <w:rFonts w:ascii="Arial" w:hAnsi="Arial" w:cs="Arial"/>
          <w:color w:val="000080"/>
          <w:sz w:val="20"/>
          <w:szCs w:val="20"/>
          <w:lang w:val="pt-BR"/>
        </w:rPr>
      </w:pPr>
      <w:bookmarkStart w:id="178" w:name="_Toc5624932"/>
      <w:bookmarkStart w:id="179" w:name="_Toc5793790"/>
      <w:r w:rsidRPr="00897B8F">
        <w:rPr>
          <w:rFonts w:ascii="Arial" w:hAnsi="Arial" w:cs="Arial"/>
          <w:color w:val="000080"/>
          <w:sz w:val="20"/>
          <w:szCs w:val="20"/>
          <w:lang w:val="pt-BR"/>
        </w:rPr>
        <w:t xml:space="preserve">Centro, sociedad o empresa: </w:t>
      </w:r>
      <w:r w:rsidRPr="00550EA8">
        <w:rPr>
          <w:rFonts w:ascii="Arial" w:hAnsi="Arial" w:cs="Arial"/>
          <w:b/>
          <w:color w:val="000080"/>
          <w:sz w:val="20"/>
          <w:szCs w:val="20"/>
          <w:lang w:val="pt-BR"/>
        </w:rPr>
        <w:t>AstraZeneca</w:t>
      </w:r>
      <w:bookmarkEnd w:id="178"/>
      <w:bookmarkEnd w:id="179"/>
    </w:p>
    <w:p w:rsidR="00DD1521" w:rsidRPr="00D72D61" w:rsidRDefault="00DD1521" w:rsidP="00897B8F">
      <w:pPr>
        <w:spacing w:after="0" w:line="240" w:lineRule="auto"/>
        <w:jc w:val="both"/>
        <w:outlineLvl w:val="0"/>
        <w:rPr>
          <w:rFonts w:ascii="Arial" w:hAnsi="Arial" w:cs="Arial"/>
          <w:color w:val="000080"/>
          <w:sz w:val="20"/>
          <w:szCs w:val="20"/>
          <w:lang w:val="pt-BR"/>
        </w:rPr>
      </w:pPr>
      <w:bookmarkStart w:id="180" w:name="_Toc5624933"/>
      <w:bookmarkStart w:id="181" w:name="_Toc5793791"/>
      <w:r w:rsidRPr="00D72D61">
        <w:rPr>
          <w:rFonts w:ascii="Arial" w:hAnsi="Arial" w:cs="Arial"/>
          <w:color w:val="000080"/>
          <w:sz w:val="20"/>
          <w:szCs w:val="20"/>
          <w:lang w:val="pt-BR"/>
        </w:rPr>
        <w:t>Teléfono de contacto: 659 076 004</w:t>
      </w:r>
      <w:bookmarkEnd w:id="180"/>
      <w:bookmarkEnd w:id="181"/>
    </w:p>
    <w:p w:rsidR="00DD1521" w:rsidRPr="00D72D61" w:rsidRDefault="00DD1521" w:rsidP="00897B8F">
      <w:pPr>
        <w:spacing w:after="0" w:line="240" w:lineRule="auto"/>
        <w:jc w:val="both"/>
        <w:outlineLvl w:val="0"/>
        <w:rPr>
          <w:rFonts w:ascii="Arial" w:hAnsi="Arial" w:cs="Arial"/>
          <w:color w:val="000080"/>
          <w:sz w:val="20"/>
          <w:szCs w:val="20"/>
          <w:lang w:val="pt-BR"/>
        </w:rPr>
      </w:pPr>
    </w:p>
    <w:p w:rsidR="00DD1521" w:rsidRPr="00D72D61" w:rsidRDefault="00DD1521" w:rsidP="00897B8F">
      <w:pPr>
        <w:spacing w:after="0" w:line="240" w:lineRule="auto"/>
        <w:jc w:val="both"/>
        <w:rPr>
          <w:rFonts w:ascii="Arial" w:hAnsi="Arial" w:cs="Arial"/>
          <w:color w:val="000080"/>
          <w:sz w:val="20"/>
          <w:lang w:val="pt-BR"/>
        </w:rPr>
      </w:pPr>
      <w:r w:rsidRPr="00D72D61">
        <w:rPr>
          <w:rFonts w:ascii="Arial" w:hAnsi="Arial" w:cs="Arial"/>
          <w:color w:val="000080"/>
          <w:sz w:val="20"/>
          <w:lang w:val="pt-BR"/>
        </w:rPr>
        <w:t>Tutor: Vicente Arocas Casañ</w:t>
      </w:r>
    </w:p>
    <w:p w:rsidR="00DD1521" w:rsidRDefault="00DD1521">
      <w:pPr>
        <w:tabs>
          <w:tab w:val="left" w:pos="1880"/>
        </w:tabs>
        <w:spacing w:after="0" w:line="240" w:lineRule="auto"/>
        <w:rPr>
          <w:rFonts w:ascii="Arial" w:hAnsi="Arial" w:cs="Arial"/>
          <w:b/>
          <w:sz w:val="20"/>
          <w:szCs w:val="20"/>
          <w:lang w:val="pt-BR"/>
        </w:rPr>
      </w:pPr>
    </w:p>
    <w:p w:rsidR="00DD1521" w:rsidRPr="00D72D61" w:rsidRDefault="00DD1521">
      <w:pPr>
        <w:tabs>
          <w:tab w:val="left" w:pos="1880"/>
        </w:tabs>
        <w:spacing w:after="0" w:line="240" w:lineRule="auto"/>
        <w:rPr>
          <w:rFonts w:ascii="Arial" w:hAnsi="Arial" w:cs="Arial"/>
          <w:b/>
          <w:sz w:val="20"/>
          <w:szCs w:val="20"/>
          <w:lang w:val="pt-BR"/>
        </w:rPr>
      </w:pPr>
    </w:p>
    <w:tbl>
      <w:tblPr>
        <w:tblW w:w="10620"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1E0" w:firstRow="1" w:lastRow="1" w:firstColumn="1" w:lastColumn="1" w:noHBand="0" w:noVBand="0"/>
      </w:tblPr>
      <w:tblGrid>
        <w:gridCol w:w="1252"/>
        <w:gridCol w:w="7748"/>
        <w:gridCol w:w="1620"/>
      </w:tblGrid>
      <w:tr w:rsidR="00DD1521" w:rsidRPr="00C57D97" w:rsidTr="00C57D97">
        <w:trPr>
          <w:trHeight w:val="248"/>
        </w:trPr>
        <w:tc>
          <w:tcPr>
            <w:tcW w:w="9000" w:type="dxa"/>
            <w:gridSpan w:val="2"/>
          </w:tcPr>
          <w:p w:rsidR="00DD1521" w:rsidRPr="00C57D97" w:rsidRDefault="00DD1521" w:rsidP="00897B8F">
            <w:pPr>
              <w:spacing w:after="0" w:line="240" w:lineRule="auto"/>
              <w:jc w:val="both"/>
              <w:rPr>
                <w:rFonts w:ascii="Arial" w:hAnsi="Arial" w:cs="Arial"/>
                <w:b/>
                <w:color w:val="000080"/>
                <w:sz w:val="18"/>
                <w:szCs w:val="18"/>
              </w:rPr>
            </w:pPr>
            <w:r w:rsidRPr="00C57D97">
              <w:rPr>
                <w:rFonts w:ascii="Arial" w:hAnsi="Arial" w:cs="Arial"/>
                <w:b/>
                <w:color w:val="000080"/>
                <w:sz w:val="18"/>
                <w:szCs w:val="18"/>
              </w:rPr>
              <w:t>Alegaciones al borrador público</w:t>
            </w:r>
          </w:p>
        </w:tc>
        <w:tc>
          <w:tcPr>
            <w:tcW w:w="1620" w:type="dxa"/>
          </w:tcPr>
          <w:p w:rsidR="00DD1521" w:rsidRPr="00C57D97" w:rsidRDefault="00DD1521" w:rsidP="00C57D97">
            <w:pPr>
              <w:spacing w:after="0" w:line="240" w:lineRule="auto"/>
              <w:rPr>
                <w:rFonts w:ascii="Arial" w:hAnsi="Arial" w:cs="Arial"/>
                <w:b/>
                <w:color w:val="000080"/>
                <w:sz w:val="18"/>
                <w:szCs w:val="18"/>
              </w:rPr>
            </w:pPr>
            <w:r w:rsidRPr="00C57D97">
              <w:rPr>
                <w:rFonts w:ascii="Arial" w:hAnsi="Arial" w:cs="Arial"/>
                <w:b/>
                <w:color w:val="000080"/>
                <w:sz w:val="18"/>
                <w:szCs w:val="18"/>
              </w:rPr>
              <w:t>Respuesta  del tutor</w:t>
            </w:r>
          </w:p>
        </w:tc>
      </w:tr>
      <w:tr w:rsidR="00DD1521" w:rsidRPr="00897B8F" w:rsidTr="00C57D97">
        <w:trPr>
          <w:trHeight w:val="1538"/>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Gloria M</w:t>
            </w:r>
            <w:r w:rsidRPr="00897B8F">
              <w:rPr>
                <w:rFonts w:ascii="Arial" w:hAnsi="Arial" w:cs="Arial"/>
                <w:color w:val="000080"/>
                <w:sz w:val="18"/>
                <w:szCs w:val="18"/>
                <w:lang w:val="pt-BR"/>
              </w:rPr>
              <w:br/>
              <w:t>Medical Manager Astrazeneca</w:t>
            </w:r>
          </w:p>
        </w:tc>
        <w:tc>
          <w:tcPr>
            <w:tcW w:w="7748" w:type="dxa"/>
          </w:tcPr>
          <w:p w:rsidR="00DD1521" w:rsidRPr="00897B8F" w:rsidRDefault="00DD1521" w:rsidP="00897B8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80"/>
                <w:sz w:val="18"/>
                <w:szCs w:val="18"/>
                <w:u w:val="single"/>
              </w:rPr>
            </w:pPr>
            <w:r w:rsidRPr="00897B8F">
              <w:rPr>
                <w:rFonts w:ascii="Arial" w:hAnsi="Arial" w:cs="Arial"/>
                <w:color w:val="000080"/>
                <w:sz w:val="18"/>
                <w:szCs w:val="18"/>
                <w:u w:val="single"/>
              </w:rPr>
              <w:t xml:space="preserve">5.2.b Evaluación de la validez y de la utilidad práctica de los resultados </w:t>
            </w:r>
          </w:p>
          <w:p w:rsidR="00DD1521" w:rsidRPr="00897B8F" w:rsidRDefault="00DD1521" w:rsidP="00897B8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80"/>
                <w:sz w:val="18"/>
                <w:szCs w:val="18"/>
                <w:u w:val="single"/>
              </w:rPr>
            </w:pPr>
            <w:r w:rsidRPr="00897B8F">
              <w:rPr>
                <w:rFonts w:ascii="Arial" w:hAnsi="Arial" w:cs="Arial"/>
                <w:color w:val="000080"/>
                <w:sz w:val="18"/>
                <w:szCs w:val="18"/>
                <w:u w:val="single"/>
              </w:rPr>
              <w:t>A. Validez interna. Limitaciones de diseño y/o comentarios:</w:t>
            </w:r>
          </w:p>
          <w:p w:rsidR="00DD1521" w:rsidRPr="00897B8F" w:rsidRDefault="00DD1521" w:rsidP="00897B8F">
            <w:pPr>
              <w:spacing w:after="0" w:line="240" w:lineRule="auto"/>
              <w:jc w:val="both"/>
              <w:rPr>
                <w:rFonts w:ascii="Arial" w:hAnsi="Arial" w:cs="Arial"/>
                <w:sz w:val="18"/>
                <w:szCs w:val="18"/>
              </w:rPr>
            </w:pPr>
            <w:r w:rsidRPr="00897B8F">
              <w:rPr>
                <w:rFonts w:ascii="Arial" w:hAnsi="Arial" w:cs="Arial"/>
                <w:color w:val="000080"/>
                <w:sz w:val="18"/>
                <w:szCs w:val="18"/>
              </w:rPr>
              <w:t>Se sugiere aclarar que Osimertinib no se comparó en el estudio FLAURA con Afatinib, debido a su falta de disponibilidad en la algunos de los países participantes del Estudio.Tampoco se comparó con Dacomitinib, por tratarse de un fármaco de desarrollo posterior al diseño y elaboración del estudio FLAURA. (Comentario igualmente aplicable en el apartado 5.2.b.B.)</w:t>
            </w:r>
          </w:p>
        </w:tc>
        <w:tc>
          <w:tcPr>
            <w:tcW w:w="1620" w:type="dxa"/>
          </w:tcPr>
          <w:p w:rsidR="00DD1521" w:rsidRPr="00897B8F" w:rsidRDefault="00DD1521" w:rsidP="00D72D61">
            <w:pPr>
              <w:spacing w:after="0" w:line="240" w:lineRule="auto"/>
              <w:rPr>
                <w:rFonts w:ascii="Arial" w:hAnsi="Arial" w:cs="Arial"/>
                <w:color w:val="000080"/>
                <w:sz w:val="18"/>
                <w:szCs w:val="18"/>
                <w:lang w:val="es-ES_tradnl"/>
              </w:rPr>
            </w:pPr>
            <w:r>
              <w:rPr>
                <w:rFonts w:ascii="Arial" w:hAnsi="Arial" w:cs="Arial"/>
                <w:color w:val="000080"/>
                <w:sz w:val="18"/>
                <w:szCs w:val="18"/>
                <w:lang w:val="es-ES_tradnl"/>
              </w:rPr>
              <w:t xml:space="preserve">Aceptada. Se incluyen las aclaraciones: </w:t>
            </w:r>
            <w:r w:rsidRPr="0067423F">
              <w:rPr>
                <w:rFonts w:ascii="Arial" w:hAnsi="Arial" w:cs="Arial"/>
                <w:color w:val="000080"/>
                <w:sz w:val="18"/>
                <w:szCs w:val="18"/>
              </w:rPr>
              <w:t>“Hay que tener en cuenta que en el momento del diseño del estudio, afatinib no estaba disponible en algunos países participantes en el estudio.”</w:t>
            </w:r>
          </w:p>
        </w:tc>
      </w:tr>
      <w:tr w:rsidR="00DD1521" w:rsidRPr="00897B8F" w:rsidTr="00C57D97">
        <w:trPr>
          <w:trHeight w:val="1734"/>
        </w:trPr>
        <w:tc>
          <w:tcPr>
            <w:tcW w:w="1252" w:type="dxa"/>
          </w:tcPr>
          <w:p w:rsidR="00DD1521" w:rsidRPr="00D72D61" w:rsidRDefault="00DD1521" w:rsidP="00897B8F">
            <w:pPr>
              <w:spacing w:after="0" w:line="240" w:lineRule="auto"/>
              <w:rPr>
                <w:rFonts w:ascii="Arial" w:hAnsi="Arial" w:cs="Arial"/>
                <w:color w:val="000080"/>
                <w:sz w:val="18"/>
                <w:szCs w:val="18"/>
                <w:lang w:val="pt-BR"/>
              </w:rPr>
            </w:pPr>
            <w:r w:rsidRPr="00D72D61">
              <w:rPr>
                <w:rFonts w:ascii="Arial" w:hAnsi="Arial" w:cs="Arial"/>
                <w:color w:val="000080"/>
                <w:sz w:val="18"/>
                <w:szCs w:val="18"/>
                <w:lang w:val="pt-BR"/>
              </w:rPr>
              <w:lastRenderedPageBreak/>
              <w:t>Gloria M</w:t>
            </w:r>
            <w:r w:rsidRPr="00D72D61">
              <w:rPr>
                <w:rFonts w:ascii="Arial" w:hAnsi="Arial" w:cs="Arial"/>
                <w:color w:val="000080"/>
                <w:sz w:val="18"/>
                <w:szCs w:val="18"/>
                <w:lang w:val="pt-BR"/>
              </w:rPr>
              <w:br/>
              <w:t>Medical Manager Astrazeneca</w:t>
            </w:r>
          </w:p>
        </w:tc>
        <w:tc>
          <w:tcPr>
            <w:tcW w:w="7748" w:type="dxa"/>
          </w:tcPr>
          <w:p w:rsidR="00DD1521" w:rsidRPr="00897B8F" w:rsidRDefault="00DD1521" w:rsidP="00897B8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80"/>
                <w:sz w:val="18"/>
                <w:szCs w:val="18"/>
                <w:u w:val="single"/>
              </w:rPr>
            </w:pPr>
            <w:r w:rsidRPr="00897B8F">
              <w:rPr>
                <w:rFonts w:ascii="Arial" w:hAnsi="Arial" w:cs="Arial"/>
                <w:color w:val="000080"/>
                <w:sz w:val="18"/>
                <w:szCs w:val="18"/>
                <w:u w:val="single"/>
              </w:rPr>
              <w:t xml:space="preserve">5.2.b Evaluación de la validez y de la utilidad práctica de los resultados </w:t>
            </w:r>
          </w:p>
          <w:p w:rsidR="00DD1521" w:rsidRPr="00897B8F" w:rsidRDefault="00DD1521" w:rsidP="00897B8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80"/>
                <w:sz w:val="18"/>
                <w:szCs w:val="18"/>
                <w:u w:val="single"/>
              </w:rPr>
            </w:pPr>
            <w:r w:rsidRPr="00897B8F">
              <w:rPr>
                <w:rFonts w:ascii="Arial" w:hAnsi="Arial" w:cs="Arial"/>
                <w:color w:val="000080"/>
                <w:sz w:val="18"/>
                <w:szCs w:val="18"/>
                <w:u w:val="single"/>
              </w:rPr>
              <w:t>A. Validez interna. Limitaciones de diseño y/o comentarios:</w:t>
            </w:r>
          </w:p>
          <w:p w:rsidR="00DD1521" w:rsidRPr="00897B8F" w:rsidRDefault="00DD1521" w:rsidP="00897B8F">
            <w:pPr>
              <w:autoSpaceDE w:val="0"/>
              <w:autoSpaceDN w:val="0"/>
              <w:adjustRightInd w:val="0"/>
              <w:spacing w:after="0" w:line="240" w:lineRule="auto"/>
              <w:jc w:val="both"/>
              <w:rPr>
                <w:rFonts w:ascii="Arial" w:hAnsi="Arial" w:cs="Arial"/>
                <w:b/>
                <w:i/>
                <w:sz w:val="18"/>
                <w:szCs w:val="18"/>
              </w:rPr>
            </w:pPr>
            <w:r w:rsidRPr="00897B8F">
              <w:rPr>
                <w:rFonts w:ascii="Arial" w:hAnsi="Arial" w:cs="Arial"/>
                <w:color w:val="000080"/>
                <w:sz w:val="18"/>
                <w:szCs w:val="18"/>
              </w:rPr>
              <w:t>Se sugiere corregir que “la evaluación de la SLP en pacientes con afectación a nivel de SNC no fue una variable inicialmente incluida en el estudio, sino que fue una enmienda realizada a posteriori” ya que sí fue una variable incluida en el protocolo desde el principio como parte del análisis de subgrupos comparando SLP mediante el análisis Proporcional de Cox (pag 164 Protocolo Estudio FLAURA) Hazards Model) in the</w:t>
            </w:r>
            <w:r w:rsidRPr="00897B8F">
              <w:rPr>
                <w:rFonts w:ascii="Arial" w:hAnsi="Arial" w:cs="Arial"/>
                <w:sz w:val="18"/>
                <w:szCs w:val="18"/>
                <w:lang w:eastAsia="en-GB"/>
              </w:rPr>
              <w:t xml:space="preserve"> </w:t>
            </w:r>
            <w:r w:rsidRPr="00897B8F">
              <w:rPr>
                <w:rFonts w:ascii="Arial" w:hAnsi="Arial" w:cs="Arial"/>
                <w:color w:val="000080"/>
                <w:sz w:val="18"/>
                <w:szCs w:val="18"/>
              </w:rPr>
              <w:t>following groups</w:t>
            </w:r>
          </w:p>
        </w:tc>
        <w:tc>
          <w:tcPr>
            <w:tcW w:w="1620" w:type="dxa"/>
          </w:tcPr>
          <w:p w:rsidR="00DD1521" w:rsidRPr="00897B8F" w:rsidRDefault="00DD1521" w:rsidP="00C90AB8">
            <w:pPr>
              <w:spacing w:after="0" w:line="240" w:lineRule="auto"/>
              <w:rPr>
                <w:rFonts w:ascii="Arial" w:hAnsi="Arial" w:cs="Arial"/>
                <w:color w:val="000080"/>
                <w:sz w:val="18"/>
                <w:szCs w:val="18"/>
              </w:rPr>
            </w:pPr>
            <w:r>
              <w:rPr>
                <w:rFonts w:ascii="Arial" w:hAnsi="Arial" w:cs="Arial"/>
                <w:color w:val="000080"/>
                <w:sz w:val="18"/>
                <w:szCs w:val="18"/>
              </w:rPr>
              <w:t>Aceptada. Se elimina la frase.</w:t>
            </w:r>
          </w:p>
        </w:tc>
      </w:tr>
      <w:tr w:rsidR="00DD1521" w:rsidRPr="00897B8F" w:rsidTr="00C57D97">
        <w:trPr>
          <w:trHeight w:val="837"/>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Gloria M</w:t>
            </w:r>
            <w:r w:rsidRPr="00897B8F">
              <w:rPr>
                <w:rFonts w:ascii="Arial" w:hAnsi="Arial" w:cs="Arial"/>
                <w:color w:val="000080"/>
                <w:sz w:val="18"/>
                <w:szCs w:val="18"/>
                <w:lang w:val="pt-BR"/>
              </w:rPr>
              <w:br/>
              <w:t>Medical Manager Astrazeneca</w:t>
            </w:r>
          </w:p>
        </w:tc>
        <w:tc>
          <w:tcPr>
            <w:tcW w:w="7748" w:type="dxa"/>
          </w:tcPr>
          <w:p w:rsidR="00DD1521" w:rsidRDefault="00DD1521" w:rsidP="00897B8F">
            <w:pPr>
              <w:spacing w:after="0" w:line="240" w:lineRule="auto"/>
              <w:rPr>
                <w:rFonts w:ascii="Arial" w:hAnsi="Arial" w:cs="Arial"/>
                <w:i/>
                <w:color w:val="000080"/>
                <w:sz w:val="18"/>
                <w:szCs w:val="18"/>
                <w:u w:val="single"/>
              </w:rPr>
            </w:pPr>
            <w:r w:rsidRPr="00897B8F">
              <w:rPr>
                <w:rFonts w:ascii="Arial" w:hAnsi="Arial" w:cs="Arial"/>
                <w:color w:val="000080"/>
                <w:sz w:val="18"/>
                <w:szCs w:val="18"/>
              </w:rPr>
              <w:t>Se sugiere argumentar que tampoco se comparó con Dacomitinib, no por su falta de comercialización sino porque la molécula no se había desarrollado a nivel de estudio Fase II al momento del diseño del estudio FLAURA.</w:t>
            </w:r>
            <w:r w:rsidRPr="00897B8F">
              <w:rPr>
                <w:rFonts w:ascii="Arial" w:hAnsi="Arial" w:cs="Arial"/>
                <w:color w:val="000080"/>
                <w:sz w:val="18"/>
                <w:szCs w:val="18"/>
                <w:u w:val="single"/>
              </w:rPr>
              <w:t xml:space="preserve"> </w:t>
            </w:r>
            <w:hyperlink r:id="rId21" w:tooltip="Annals of oncology : official journal of the European Society for Medical Oncology." w:history="1">
              <w:r w:rsidRPr="00897B8F">
                <w:rPr>
                  <w:rFonts w:ascii="Arial" w:hAnsi="Arial" w:cs="Arial"/>
                  <w:i/>
                  <w:color w:val="000080"/>
                  <w:sz w:val="18"/>
                  <w:szCs w:val="18"/>
                  <w:u w:val="single"/>
                </w:rPr>
                <w:t>Ann Oncol.</w:t>
              </w:r>
            </w:hyperlink>
            <w:r w:rsidRPr="00897B8F">
              <w:rPr>
                <w:rFonts w:ascii="Arial" w:hAnsi="Arial" w:cs="Arial"/>
                <w:i/>
                <w:color w:val="000080"/>
                <w:sz w:val="18"/>
                <w:szCs w:val="18"/>
                <w:u w:val="single"/>
              </w:rPr>
              <w:t xml:space="preserve"> 2016 Sep;27(9):1712-8. doi: 10.1093/annonc/mdw227. Epub 2016 Jun 10.</w:t>
            </w:r>
          </w:p>
          <w:p w:rsidR="00DD1521" w:rsidRPr="00897B8F" w:rsidRDefault="00DD1521" w:rsidP="00897B8F">
            <w:pPr>
              <w:spacing w:after="0" w:line="240" w:lineRule="auto"/>
              <w:rPr>
                <w:rFonts w:ascii="Arial" w:hAnsi="Arial" w:cs="Arial"/>
                <w:color w:val="000000"/>
                <w:sz w:val="18"/>
                <w:szCs w:val="18"/>
              </w:rPr>
            </w:pPr>
          </w:p>
        </w:tc>
        <w:tc>
          <w:tcPr>
            <w:tcW w:w="1620" w:type="dxa"/>
          </w:tcPr>
          <w:p w:rsidR="00DD1521" w:rsidRPr="001C75F6" w:rsidRDefault="00DD1521" w:rsidP="001C75F6">
            <w:pPr>
              <w:pStyle w:val="Normal1"/>
              <w:spacing w:after="0" w:line="240" w:lineRule="auto"/>
              <w:rPr>
                <w:rFonts w:ascii="Arial" w:hAnsi="Arial" w:cs="Arial"/>
                <w:color w:val="000080"/>
                <w:sz w:val="18"/>
                <w:szCs w:val="18"/>
              </w:rPr>
            </w:pPr>
            <w:r>
              <w:rPr>
                <w:rFonts w:ascii="Arial" w:hAnsi="Arial" w:cs="Arial"/>
                <w:color w:val="000080"/>
                <w:sz w:val="18"/>
                <w:szCs w:val="18"/>
              </w:rPr>
              <w:t xml:space="preserve">Aceptada. </w:t>
            </w:r>
          </w:p>
          <w:p w:rsidR="00DD1521" w:rsidRPr="00897B8F" w:rsidRDefault="00DD1521" w:rsidP="00897B8F">
            <w:pPr>
              <w:spacing w:after="0" w:line="240" w:lineRule="auto"/>
              <w:rPr>
                <w:rFonts w:ascii="Arial" w:hAnsi="Arial" w:cs="Arial"/>
                <w:color w:val="000080"/>
                <w:sz w:val="18"/>
                <w:szCs w:val="18"/>
              </w:rPr>
            </w:pPr>
            <w:r>
              <w:rPr>
                <w:rFonts w:ascii="Arial" w:hAnsi="Arial" w:cs="Arial"/>
                <w:color w:val="000080"/>
                <w:sz w:val="18"/>
                <w:szCs w:val="18"/>
              </w:rPr>
              <w:t>Se argumenta.</w:t>
            </w:r>
          </w:p>
        </w:tc>
      </w:tr>
      <w:tr w:rsidR="00DD1521" w:rsidRPr="00897B8F" w:rsidTr="00C57D97">
        <w:trPr>
          <w:trHeight w:val="1070"/>
        </w:trPr>
        <w:tc>
          <w:tcPr>
            <w:tcW w:w="1252" w:type="dxa"/>
          </w:tcPr>
          <w:p w:rsidR="00DD1521" w:rsidRPr="00F65116" w:rsidRDefault="00DD1521" w:rsidP="00897B8F">
            <w:pPr>
              <w:spacing w:after="0" w:line="240" w:lineRule="auto"/>
              <w:rPr>
                <w:rFonts w:ascii="Arial" w:hAnsi="Arial" w:cs="Arial"/>
                <w:color w:val="000080"/>
                <w:sz w:val="18"/>
                <w:szCs w:val="18"/>
                <w:lang w:val="pt-BR"/>
              </w:rPr>
            </w:pPr>
            <w:r w:rsidRPr="00F65116">
              <w:rPr>
                <w:rFonts w:ascii="Arial" w:hAnsi="Arial" w:cs="Arial"/>
                <w:color w:val="000080"/>
                <w:sz w:val="18"/>
                <w:szCs w:val="18"/>
                <w:lang w:val="pt-BR"/>
              </w:rPr>
              <w:t>Gloria M</w:t>
            </w:r>
            <w:r w:rsidRPr="00F65116">
              <w:rPr>
                <w:rFonts w:ascii="Arial" w:hAnsi="Arial" w:cs="Arial"/>
                <w:color w:val="000080"/>
                <w:sz w:val="18"/>
                <w:szCs w:val="18"/>
                <w:lang w:val="pt-BR"/>
              </w:rPr>
              <w:br/>
              <w:t>Medical Manager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Se sugiere corregir “Los resultados del ensayo clínico fase III, LUX-lung 7 en el que se comparó Afatinib frente a Gefitinib en primera línea en pacientes con CPNM con mutaciones activadoras de EGFR mostraron una eficacia similar entre ambos fármacos en términos de SG” ya que no es cierto. Este estudio NO demostró beneficio con significancia estadística en SG</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22" o:title=""/>
                </v:shape>
                <o:OLEObject Type="Embed" ProgID="AcroExch.Document.DC" ShapeID="_x0000_i1025" DrawAspect="Icon" ObjectID="_1665731456" r:id="rId23"/>
              </w:object>
            </w:r>
          </w:p>
        </w:tc>
        <w:tc>
          <w:tcPr>
            <w:tcW w:w="1620" w:type="dxa"/>
          </w:tcPr>
          <w:p w:rsidR="00DD1521" w:rsidRDefault="00DD1521" w:rsidP="00A769DD">
            <w:pPr>
              <w:spacing w:after="0" w:line="240" w:lineRule="auto"/>
              <w:rPr>
                <w:rFonts w:ascii="Arial" w:hAnsi="Arial" w:cs="Arial"/>
                <w:color w:val="000080"/>
                <w:sz w:val="18"/>
                <w:szCs w:val="18"/>
                <w:lang w:val="es-ES_tradnl"/>
              </w:rPr>
            </w:pPr>
            <w:r>
              <w:rPr>
                <w:rFonts w:ascii="Arial" w:hAnsi="Arial" w:cs="Arial"/>
                <w:color w:val="000080"/>
                <w:sz w:val="18"/>
                <w:szCs w:val="18"/>
                <w:lang w:val="es-ES_tradnl"/>
              </w:rPr>
              <w:t>Ya está suficientemente remarcado este punto: “en el análisis final de la SG no se detectaron diferencias significativas entre ambos fármacos”</w:t>
            </w:r>
          </w:p>
          <w:p w:rsidR="00DD1521" w:rsidRPr="00897B8F" w:rsidRDefault="00DD1521" w:rsidP="00A769DD">
            <w:pPr>
              <w:spacing w:after="0" w:line="240" w:lineRule="auto"/>
              <w:rPr>
                <w:rFonts w:ascii="Arial" w:hAnsi="Arial" w:cs="Arial"/>
                <w:color w:val="000080"/>
                <w:sz w:val="18"/>
                <w:szCs w:val="18"/>
                <w:lang w:val="es-ES_tradnl"/>
              </w:rPr>
            </w:pP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Gloria M</w:t>
            </w:r>
            <w:r w:rsidRPr="00897B8F">
              <w:rPr>
                <w:rFonts w:ascii="Arial" w:hAnsi="Arial" w:cs="Arial"/>
                <w:color w:val="000080"/>
                <w:sz w:val="18"/>
                <w:szCs w:val="18"/>
                <w:lang w:val="pt-BR"/>
              </w:rPr>
              <w:br/>
              <w:t>Medical Manager Astrazeneca</w:t>
            </w:r>
          </w:p>
        </w:tc>
        <w:tc>
          <w:tcPr>
            <w:tcW w:w="7748" w:type="dxa"/>
          </w:tcPr>
          <w:p w:rsidR="00DD1521" w:rsidRPr="00897B8F" w:rsidRDefault="00DD1521" w:rsidP="00897B8F">
            <w:pPr>
              <w:autoSpaceDE w:val="0"/>
              <w:autoSpaceDN w:val="0"/>
              <w:adjustRightInd w:val="0"/>
              <w:spacing w:after="0" w:line="240" w:lineRule="auto"/>
              <w:jc w:val="both"/>
              <w:rPr>
                <w:rFonts w:ascii="Arial" w:hAnsi="Arial" w:cs="Arial"/>
                <w:color w:val="000080"/>
                <w:sz w:val="18"/>
                <w:szCs w:val="18"/>
                <w:u w:val="single"/>
              </w:rPr>
            </w:pPr>
            <w:r w:rsidRPr="00897B8F">
              <w:rPr>
                <w:rFonts w:ascii="Arial" w:hAnsi="Arial" w:cs="Arial"/>
                <w:color w:val="000080"/>
                <w:sz w:val="18"/>
                <w:szCs w:val="18"/>
                <w:u w:val="single"/>
              </w:rPr>
              <w:t xml:space="preserve">5.3.b Comparaciones indirectas (CI)  </w:t>
            </w:r>
          </w:p>
          <w:p w:rsidR="00DD1521" w:rsidRPr="00897B8F" w:rsidRDefault="00DD1521" w:rsidP="00897B8F">
            <w:pPr>
              <w:autoSpaceDE w:val="0"/>
              <w:autoSpaceDN w:val="0"/>
              <w:adjustRightInd w:val="0"/>
              <w:spacing w:after="0" w:line="240" w:lineRule="auto"/>
              <w:jc w:val="both"/>
              <w:rPr>
                <w:rFonts w:ascii="Arial" w:hAnsi="Arial" w:cs="Arial"/>
                <w:color w:val="000080"/>
                <w:sz w:val="18"/>
                <w:szCs w:val="18"/>
                <w:u w:val="single"/>
              </w:rPr>
            </w:pPr>
            <w:r w:rsidRPr="00897B8F">
              <w:rPr>
                <w:rFonts w:ascii="Arial" w:hAnsi="Arial" w:cs="Arial"/>
                <w:color w:val="000080"/>
                <w:sz w:val="18"/>
                <w:szCs w:val="18"/>
                <w:u w:val="single"/>
              </w:rPr>
              <w:t>5.3.b.21 Comparaciones indirectas de elaboración propia</w:t>
            </w:r>
          </w:p>
          <w:p w:rsidR="00DD1521" w:rsidRPr="00897B8F" w:rsidRDefault="00DD1521" w:rsidP="00897B8F">
            <w:pPr>
              <w:autoSpaceDE w:val="0"/>
              <w:autoSpaceDN w:val="0"/>
              <w:adjustRightInd w:val="0"/>
              <w:spacing w:after="0" w:line="240" w:lineRule="auto"/>
              <w:jc w:val="both"/>
              <w:rPr>
                <w:rFonts w:ascii="Arial" w:hAnsi="Arial" w:cs="Arial"/>
                <w:color w:val="000080"/>
                <w:sz w:val="18"/>
                <w:szCs w:val="18"/>
              </w:rPr>
            </w:pPr>
            <w:r w:rsidRPr="00897B8F">
              <w:rPr>
                <w:rFonts w:ascii="Arial" w:hAnsi="Arial" w:cs="Arial"/>
                <w:color w:val="000080"/>
                <w:sz w:val="18"/>
                <w:szCs w:val="18"/>
              </w:rPr>
              <w:t xml:space="preserve">Se sugiere corregir la asunción de que la comparación indirecta ajustada por el método de Bucher entre osimertinib y dacomitinib será suficientes para demostrar que no hay diferencias estadísticamente significativas entre los dos fármacos en cuanto a SLP ya que se tratan de muestras de poblaciones de pacientes completamente diferentes (estudio ARCHER tuvo mayoritariamente pacientes asiáticos y sin metástasis en SNC). El estudio de Bucher requiere que no haya diferencias en las características de los estudios; aunque modelos de regresión podrían controlar algunas de esas diferencias, otras deben asumir asunciones no demostradas. Finalmente, las comparaciones indirectas son esencialmente estudios observacionales, en los que podrán existir factores de confusión no conocidos. El riesgo de sesgo, con las importantes diferencias en las poblaciones (no asiáticos y con metástasis en SNC en FLAURA), es por lo tanto elevado. </w:t>
            </w:r>
          </w:p>
          <w:p w:rsidR="00DD1521" w:rsidRPr="00897B8F" w:rsidRDefault="00DD1521" w:rsidP="00897B8F">
            <w:pPr>
              <w:autoSpaceDE w:val="0"/>
              <w:autoSpaceDN w:val="0"/>
              <w:adjustRightInd w:val="0"/>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sz w:val="18"/>
                <w:szCs w:val="18"/>
              </w:rPr>
            </w:pPr>
            <w:r w:rsidRPr="00897B8F">
              <w:rPr>
                <w:rFonts w:ascii="Arial" w:hAnsi="Arial" w:cs="Arial"/>
                <w:sz w:val="18"/>
                <w:szCs w:val="18"/>
              </w:rPr>
              <w:object w:dxaOrig="1508" w:dyaOrig="982">
                <v:shape id="_x0000_i1026" type="#_x0000_t75" style="width:76pt;height:49pt" o:ole="">
                  <v:imagedata r:id="rId24" o:title=""/>
                </v:shape>
                <o:OLEObject Type="Embed" ProgID="AcroExch.Document.DC" ShapeID="_x0000_i1026" DrawAspect="Icon" ObjectID="_1665731457" r:id="rId25"/>
              </w:object>
            </w:r>
            <w:r w:rsidRPr="00897B8F">
              <w:rPr>
                <w:rFonts w:ascii="Arial" w:hAnsi="Arial" w:cs="Arial"/>
                <w:sz w:val="18"/>
                <w:szCs w:val="18"/>
              </w:rPr>
              <w:object w:dxaOrig="1508" w:dyaOrig="982">
                <v:shape id="_x0000_i1027" type="#_x0000_t75" style="width:76pt;height:49pt" o:ole="">
                  <v:imagedata r:id="rId26" o:title=""/>
                </v:shape>
                <o:OLEObject Type="Embed" ProgID="AcroExch.Document.DC" ShapeID="_x0000_i1027" DrawAspect="Icon" ObjectID="_1665731458" r:id="rId27"/>
              </w:object>
            </w:r>
          </w:p>
        </w:tc>
        <w:tc>
          <w:tcPr>
            <w:tcW w:w="1620" w:type="dxa"/>
          </w:tcPr>
          <w:p w:rsidR="00DD1521" w:rsidRPr="00897B8F" w:rsidRDefault="00DD1521" w:rsidP="00897B8F">
            <w:pPr>
              <w:spacing w:after="0" w:line="240" w:lineRule="auto"/>
              <w:jc w:val="both"/>
              <w:rPr>
                <w:rFonts w:ascii="Arial" w:hAnsi="Arial" w:cs="Arial"/>
                <w:color w:val="000080"/>
                <w:sz w:val="18"/>
                <w:szCs w:val="18"/>
              </w:rPr>
            </w:pPr>
            <w:r>
              <w:rPr>
                <w:rFonts w:ascii="Arial" w:hAnsi="Arial" w:cs="Arial"/>
                <w:color w:val="000080"/>
                <w:sz w:val="18"/>
                <w:szCs w:val="18"/>
              </w:rPr>
              <w:t>No aceptada. A pesar de las limitaciones de las comparaciones indirectas ajustadas, creemos que proporcionan una información relevante cuando no se dispone de comparaciones directas.</w:t>
            </w: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Gloria M</w:t>
            </w:r>
            <w:r w:rsidRPr="00897B8F">
              <w:rPr>
                <w:rFonts w:ascii="Arial" w:hAnsi="Arial" w:cs="Arial"/>
                <w:color w:val="000080"/>
                <w:sz w:val="18"/>
                <w:szCs w:val="18"/>
                <w:lang w:val="pt-BR"/>
              </w:rPr>
              <w:br/>
              <w:t>Medical Manager Astrazeneca</w:t>
            </w:r>
          </w:p>
        </w:tc>
        <w:tc>
          <w:tcPr>
            <w:tcW w:w="7748" w:type="dxa"/>
          </w:tcPr>
          <w:p w:rsidR="00DD1521" w:rsidRPr="00897B8F" w:rsidRDefault="00DD1521" w:rsidP="00897B8F">
            <w:pPr>
              <w:spacing w:after="0" w:line="240" w:lineRule="auto"/>
              <w:jc w:val="both"/>
              <w:rPr>
                <w:rFonts w:ascii="Arial" w:hAnsi="Arial" w:cs="Arial"/>
                <w:sz w:val="18"/>
                <w:szCs w:val="18"/>
                <w:highlight w:val="yellow"/>
              </w:rPr>
            </w:pPr>
            <w:r w:rsidRPr="00897B8F">
              <w:rPr>
                <w:rFonts w:ascii="Arial" w:hAnsi="Arial" w:cs="Arial"/>
                <w:color w:val="000080"/>
                <w:sz w:val="18"/>
                <w:szCs w:val="18"/>
              </w:rPr>
              <w:t>Con los datos actuales de supervivencia global, HR 0,63 (95% CI, 0,45-0,88) (corte de datos 12 Junio 2017 (madurez 25%)) podemos sugerir que se esperan datos de OS positivos. En agosto tendremos el análisis final y se darán los detalles en Septiembre.</w:t>
            </w:r>
            <w:r w:rsidRPr="00897B8F">
              <w:rPr>
                <w:rFonts w:ascii="Arial" w:hAnsi="Arial" w:cs="Arial"/>
                <w:sz w:val="18"/>
                <w:szCs w:val="18"/>
              </w:rPr>
              <w:t xml:space="preserve"> </w:t>
            </w:r>
          </w:p>
        </w:tc>
        <w:tc>
          <w:tcPr>
            <w:tcW w:w="1620" w:type="dxa"/>
          </w:tcPr>
          <w:p w:rsidR="00DD1521" w:rsidRDefault="00DD1521" w:rsidP="0061165C">
            <w:pPr>
              <w:spacing w:after="0" w:line="240" w:lineRule="auto"/>
              <w:rPr>
                <w:rFonts w:ascii="Arial" w:hAnsi="Arial" w:cs="Arial"/>
                <w:color w:val="000080"/>
                <w:sz w:val="18"/>
                <w:szCs w:val="18"/>
              </w:rPr>
            </w:pPr>
            <w:r>
              <w:rPr>
                <w:rFonts w:ascii="Arial" w:hAnsi="Arial" w:cs="Arial"/>
                <w:color w:val="000080"/>
                <w:sz w:val="18"/>
                <w:szCs w:val="18"/>
              </w:rPr>
              <w:t xml:space="preserve">No aceptada. No es posible esperar a la publicación de los resultados definitivos de SG. </w:t>
            </w:r>
          </w:p>
          <w:p w:rsidR="00DD1521" w:rsidRPr="00897B8F" w:rsidRDefault="00DD1521" w:rsidP="0061165C">
            <w:pPr>
              <w:spacing w:after="0" w:line="240" w:lineRule="auto"/>
              <w:rPr>
                <w:rFonts w:ascii="Arial" w:hAnsi="Arial" w:cs="Arial"/>
                <w:color w:val="000080"/>
                <w:sz w:val="18"/>
                <w:szCs w:val="18"/>
              </w:rPr>
            </w:pP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 xml:space="preserve">Carlota Moya </w:t>
            </w:r>
          </w:p>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7. AREA ECONÓMICA</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Los análisis de sensibilidad de los cálculos económicos se hacen con el coste de adquisición actual, el cual es el precio financiado – RDL 8/2010 + IVA.</w:t>
            </w:r>
          </w:p>
          <w:p w:rsidR="00DD1521" w:rsidRPr="00897B8F" w:rsidRDefault="00DD1521" w:rsidP="00897B8F">
            <w:pPr>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Este precio es un acuerdo de carácter confidencial con el Ministerio de Sanidad, por tanto, nuestra recomendación sería que no se presentara de forma tan explícita en este documento tal y como se propone también en las instrucciones de la guía EE e impacto presupuestario GENESIS de enero 2017</w:t>
            </w:r>
          </w:p>
          <w:p w:rsidR="00DD1521" w:rsidRPr="00897B8F" w:rsidRDefault="00DD1521" w:rsidP="00897B8F">
            <w:pPr>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 xml:space="preserve">Por otro lado, el precio incluido podría generar confusión puesto que se trata de Precio financiado – RDL +IVA mientras que los análisis con el precio notificado solo incluyen el IVA y no el RDL. </w:t>
            </w:r>
          </w:p>
          <w:p w:rsidR="00DD1521" w:rsidRPr="00897B8F" w:rsidRDefault="00DD1521" w:rsidP="00897B8F">
            <w:pPr>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lastRenderedPageBreak/>
              <w:t>Propuesta: incorporación de análisis de sensibilidad con varios escenarios (escenario al 20; escenario al 30%; escenario al 25%) o plantear un solo escenario al 25% como promedio.</w:t>
            </w:r>
          </w:p>
          <w:p w:rsidR="00DD1521" w:rsidRPr="00897B8F" w:rsidRDefault="00DD1521" w:rsidP="00897B8F">
            <w:pPr>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Por otro lado, se propone que este precio y los análisis de sensibilidad deberían ser actualizados tras la negociación de la primera línea de osimertinib.</w:t>
            </w:r>
          </w:p>
        </w:tc>
        <w:tc>
          <w:tcPr>
            <w:tcW w:w="1620" w:type="dxa"/>
          </w:tcPr>
          <w:p w:rsidR="00DD1521" w:rsidRPr="00897B8F" w:rsidRDefault="00DD1521" w:rsidP="00947F27">
            <w:pPr>
              <w:spacing w:after="0" w:line="240" w:lineRule="auto"/>
              <w:rPr>
                <w:rFonts w:ascii="Arial" w:hAnsi="Arial" w:cs="Arial"/>
                <w:color w:val="000080"/>
                <w:sz w:val="18"/>
                <w:szCs w:val="18"/>
              </w:rPr>
            </w:pPr>
            <w:r>
              <w:rPr>
                <w:rFonts w:ascii="Arial" w:hAnsi="Arial" w:cs="Arial"/>
                <w:color w:val="000080"/>
                <w:sz w:val="18"/>
                <w:szCs w:val="18"/>
              </w:rPr>
              <w:lastRenderedPageBreak/>
              <w:t>No aceptada. En nuestra opinión, Incluir más escenarios complicaría más el informe y no aportaría información relevante.</w:t>
            </w: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lastRenderedPageBreak/>
              <w:t>Carlota M.</w:t>
            </w:r>
          </w:p>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7. AREA ECONÓMICA</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En todos los análisis de la primera línea se compara osimertinib con dacomitinib.</w:t>
            </w:r>
          </w:p>
          <w:p w:rsidR="00DD1521" w:rsidRPr="00897B8F" w:rsidRDefault="00DD1521" w:rsidP="00897B8F">
            <w:pPr>
              <w:spacing w:after="0" w:line="240" w:lineRule="auto"/>
              <w:jc w:val="both"/>
              <w:rPr>
                <w:rFonts w:ascii="Arial" w:hAnsi="Arial" w:cs="Arial"/>
                <w:color w:val="000080"/>
                <w:sz w:val="18"/>
                <w:szCs w:val="18"/>
              </w:rPr>
            </w:pPr>
          </w:p>
          <w:p w:rsidR="00DD1521"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 xml:space="preserve">Dacomitinib no está aprobado actualmente por la EMA, tan sólo ha recibido el CHMP positivo el 31 de enero de 2019, y no está financiado en España, por tanto, dacomitinib no debe ser un comparador para incluir. </w:t>
            </w:r>
          </w:p>
          <w:p w:rsidR="00DD1521" w:rsidRPr="00897B8F" w:rsidRDefault="00DD1521" w:rsidP="00897B8F">
            <w:pPr>
              <w:spacing w:after="0" w:line="240" w:lineRule="auto"/>
              <w:jc w:val="both"/>
              <w:rPr>
                <w:rFonts w:ascii="Arial" w:hAnsi="Arial" w:cs="Arial"/>
                <w:color w:val="000080"/>
                <w:sz w:val="18"/>
                <w:szCs w:val="18"/>
              </w:rPr>
            </w:pPr>
          </w:p>
        </w:tc>
        <w:tc>
          <w:tcPr>
            <w:tcW w:w="1620" w:type="dxa"/>
          </w:tcPr>
          <w:p w:rsidR="00DD1521" w:rsidRPr="00897B8F" w:rsidRDefault="00DD1521" w:rsidP="00897B8F">
            <w:pPr>
              <w:spacing w:after="0" w:line="240" w:lineRule="auto"/>
              <w:jc w:val="both"/>
              <w:rPr>
                <w:rFonts w:ascii="Arial" w:hAnsi="Arial" w:cs="Arial"/>
                <w:color w:val="000080"/>
                <w:sz w:val="18"/>
                <w:szCs w:val="18"/>
              </w:rPr>
            </w:pPr>
            <w:r>
              <w:rPr>
                <w:rFonts w:ascii="Arial" w:hAnsi="Arial" w:cs="Arial"/>
                <w:color w:val="000080"/>
                <w:sz w:val="18"/>
                <w:szCs w:val="18"/>
              </w:rPr>
              <w:t>No aceptada.</w:t>
            </w: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Carlota M.</w:t>
            </w:r>
          </w:p>
          <w:p w:rsidR="00DD1521" w:rsidRPr="00897B8F" w:rsidRDefault="00DD1521" w:rsidP="00897B8F">
            <w:pPr>
              <w:spacing w:after="0" w:line="240" w:lineRule="auto"/>
              <w:rPr>
                <w:rFonts w:ascii="Arial" w:hAnsi="Arial" w:cs="Arial"/>
                <w:sz w:val="18"/>
                <w:szCs w:val="18"/>
                <w:lang w:val="pt-BR"/>
              </w:rPr>
            </w:pPr>
            <w:r w:rsidRPr="00897B8F">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Punto 7.1 Costes. Coste incremental. Tabla 13</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Pie de tabla: la referencia 22 debe ser cambiada por la 21, estudio AURA3</w:t>
            </w:r>
          </w:p>
        </w:tc>
        <w:tc>
          <w:tcPr>
            <w:tcW w:w="1620" w:type="dxa"/>
          </w:tcPr>
          <w:p w:rsidR="00DD1521" w:rsidRPr="00897B8F" w:rsidRDefault="00DD1521" w:rsidP="006F116B">
            <w:pPr>
              <w:spacing w:after="0" w:line="240" w:lineRule="auto"/>
              <w:rPr>
                <w:rFonts w:ascii="Arial" w:hAnsi="Arial" w:cs="Arial"/>
                <w:color w:val="000080"/>
                <w:sz w:val="18"/>
                <w:szCs w:val="18"/>
              </w:rPr>
            </w:pPr>
            <w:r>
              <w:rPr>
                <w:rFonts w:ascii="Arial" w:hAnsi="Arial" w:cs="Arial"/>
                <w:color w:val="000080"/>
                <w:sz w:val="18"/>
                <w:szCs w:val="18"/>
              </w:rPr>
              <w:t>Aceptada. Se corrige.</w:t>
            </w: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Carlota M.</w:t>
            </w:r>
          </w:p>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Punto 7.1 Costes. Coste incremental. Tabla 14</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Afatinib aparece con un envase de 30 comprimidos, pero el envase de afatinib es de 28 comprimidos.</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El error afecta a todos los cálculos del coste de afatinib.</w:t>
            </w:r>
          </w:p>
        </w:tc>
        <w:tc>
          <w:tcPr>
            <w:tcW w:w="1620" w:type="dxa"/>
          </w:tcPr>
          <w:p w:rsidR="00DD1521" w:rsidRPr="00897B8F" w:rsidRDefault="00DD1521" w:rsidP="00897B8F">
            <w:pPr>
              <w:spacing w:after="0" w:line="240" w:lineRule="auto"/>
              <w:jc w:val="both"/>
              <w:rPr>
                <w:rFonts w:ascii="Arial" w:hAnsi="Arial" w:cs="Arial"/>
                <w:color w:val="000080"/>
                <w:sz w:val="18"/>
                <w:szCs w:val="18"/>
              </w:rPr>
            </w:pPr>
            <w:r>
              <w:rPr>
                <w:rFonts w:ascii="Arial" w:hAnsi="Arial" w:cs="Arial"/>
                <w:color w:val="000080"/>
                <w:sz w:val="18"/>
                <w:szCs w:val="18"/>
              </w:rPr>
              <w:t>Aceptada. Se corrige.</w:t>
            </w: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Carlota M.</w:t>
            </w:r>
          </w:p>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Punto 7.1 Costes. Coste incremental. Tabla 14</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El coste de tratamiento de gefitinib y erlotinib debe ser 2.127*11,5 que es 24.464,0 €, en lugar de 21.695,4 €.</w:t>
            </w:r>
          </w:p>
          <w:p w:rsidR="00DD1521" w:rsidRPr="00897B8F" w:rsidRDefault="00DD1521" w:rsidP="00897B8F">
            <w:pPr>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Este error no afecta a los cálculos posteriores.</w:t>
            </w:r>
          </w:p>
        </w:tc>
        <w:tc>
          <w:tcPr>
            <w:tcW w:w="1620" w:type="dxa"/>
          </w:tcPr>
          <w:p w:rsidR="00DD1521" w:rsidRDefault="00DD1521" w:rsidP="00592B1E">
            <w:pPr>
              <w:spacing w:after="0" w:line="240" w:lineRule="auto"/>
              <w:rPr>
                <w:rFonts w:ascii="Arial" w:hAnsi="Arial" w:cs="Arial"/>
                <w:color w:val="000080"/>
                <w:sz w:val="18"/>
                <w:szCs w:val="18"/>
              </w:rPr>
            </w:pPr>
            <w:r>
              <w:rPr>
                <w:rFonts w:ascii="Arial" w:hAnsi="Arial" w:cs="Arial"/>
                <w:color w:val="000080"/>
                <w:sz w:val="18"/>
                <w:szCs w:val="18"/>
              </w:rPr>
              <w:t>Aceptada. Se corrige. Los cálculos posteriores estaban bien. Solo es una errata en esas dos celdas</w:t>
            </w:r>
          </w:p>
          <w:p w:rsidR="00DD1521" w:rsidRPr="00897B8F" w:rsidRDefault="00DD1521" w:rsidP="00592B1E">
            <w:pPr>
              <w:spacing w:after="0" w:line="240" w:lineRule="auto"/>
              <w:rPr>
                <w:rFonts w:ascii="Arial" w:hAnsi="Arial" w:cs="Arial"/>
                <w:color w:val="000080"/>
                <w:sz w:val="18"/>
                <w:szCs w:val="18"/>
              </w:rPr>
            </w:pPr>
          </w:p>
        </w:tc>
      </w:tr>
      <w:tr w:rsidR="00DD1521" w:rsidRPr="00897B8F" w:rsidTr="00C57D97">
        <w:trPr>
          <w:trHeight w:val="146"/>
        </w:trPr>
        <w:tc>
          <w:tcPr>
            <w:tcW w:w="1252" w:type="dxa"/>
          </w:tcPr>
          <w:p w:rsidR="00DD1521" w:rsidRPr="00F65116" w:rsidRDefault="00DD1521" w:rsidP="00897B8F">
            <w:pPr>
              <w:spacing w:after="0" w:line="240" w:lineRule="auto"/>
              <w:rPr>
                <w:rFonts w:ascii="Arial" w:hAnsi="Arial" w:cs="Arial"/>
                <w:color w:val="000080"/>
                <w:sz w:val="18"/>
                <w:szCs w:val="18"/>
                <w:lang w:val="pt-BR"/>
              </w:rPr>
            </w:pPr>
            <w:r w:rsidRPr="00F65116">
              <w:rPr>
                <w:rFonts w:ascii="Arial" w:hAnsi="Arial" w:cs="Arial"/>
                <w:color w:val="000080"/>
                <w:sz w:val="18"/>
                <w:szCs w:val="18"/>
                <w:lang w:val="pt-BR"/>
              </w:rPr>
              <w:t>Carlota M.</w:t>
            </w:r>
          </w:p>
          <w:p w:rsidR="00DD1521" w:rsidRPr="00F65116" w:rsidRDefault="00DD1521" w:rsidP="00897B8F">
            <w:pPr>
              <w:spacing w:after="0" w:line="240" w:lineRule="auto"/>
              <w:rPr>
                <w:rFonts w:ascii="Arial" w:hAnsi="Arial" w:cs="Arial"/>
                <w:color w:val="000080"/>
                <w:sz w:val="18"/>
                <w:szCs w:val="18"/>
                <w:lang w:val="pt-BR"/>
              </w:rPr>
            </w:pPr>
            <w:r w:rsidRPr="00F65116">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Punto 7.2.a Búsqueda de evaluaciones económicas publicadas</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No se ha incluido la evaluación económica publicada por la agencia evaluadora ZIN de Holanda. Ya que este país pertenece a Europa, se pueden utilizar los AVACs ganados de esta publicación para los cálculos de coste-efectividad en los puntos 7.3.3. y 7.4.3. ya que la población es más cerca a la española que la de Canadá.</w:t>
            </w:r>
          </w:p>
          <w:p w:rsidR="00DD1521" w:rsidRPr="00897B8F" w:rsidRDefault="00DD1521" w:rsidP="00897B8F">
            <w:pPr>
              <w:spacing w:after="0" w:line="240" w:lineRule="auto"/>
              <w:jc w:val="both"/>
              <w:rPr>
                <w:rFonts w:ascii="Arial" w:hAnsi="Arial" w:cs="Arial"/>
                <w:color w:val="000080"/>
                <w:sz w:val="18"/>
                <w:szCs w:val="18"/>
              </w:rPr>
            </w:pPr>
          </w:p>
          <w:p w:rsidR="00DD1521" w:rsidRDefault="00CB346C" w:rsidP="00897B8F">
            <w:pPr>
              <w:spacing w:after="0" w:line="240" w:lineRule="auto"/>
              <w:jc w:val="both"/>
              <w:rPr>
                <w:rFonts w:ascii="Arial" w:hAnsi="Arial" w:cs="Arial"/>
                <w:color w:val="000080"/>
                <w:sz w:val="18"/>
                <w:szCs w:val="18"/>
              </w:rPr>
            </w:pPr>
            <w:hyperlink r:id="rId28" w:history="1">
              <w:r w:rsidR="00DD1521" w:rsidRPr="00897B8F">
                <w:rPr>
                  <w:rStyle w:val="Hipervnculo"/>
                  <w:rFonts w:ascii="Arial" w:hAnsi="Arial" w:cs="Arial"/>
                  <w:sz w:val="18"/>
                  <w:szCs w:val="18"/>
                </w:rPr>
                <w:t>https://www.zorginstituutnederland.nl/publicaties/adviezen/2018/11/07/pakketadvies-sluisgeneesmiddel-osimertinib-tagrisso-bij-de-eerstelijnsbehandeling-van-patienten-met-gevorderde-of-gemetastaseerde-niet-kleincellige-longkanker-nsclc-met-activerende-egfr-mutaties</w:t>
              </w:r>
            </w:hyperlink>
            <w:r w:rsidR="00DD1521" w:rsidRPr="00897B8F">
              <w:rPr>
                <w:rFonts w:ascii="Arial" w:hAnsi="Arial" w:cs="Arial"/>
                <w:color w:val="000080"/>
                <w:sz w:val="18"/>
                <w:szCs w:val="18"/>
              </w:rPr>
              <w:t xml:space="preserve"> </w:t>
            </w:r>
          </w:p>
          <w:p w:rsidR="00DD1521" w:rsidRPr="00897B8F" w:rsidRDefault="00DD1521" w:rsidP="00897B8F">
            <w:pPr>
              <w:spacing w:after="0" w:line="240" w:lineRule="auto"/>
              <w:jc w:val="both"/>
              <w:rPr>
                <w:rFonts w:ascii="Arial" w:hAnsi="Arial" w:cs="Arial"/>
                <w:color w:val="000080"/>
                <w:sz w:val="18"/>
                <w:szCs w:val="18"/>
              </w:rPr>
            </w:pPr>
          </w:p>
        </w:tc>
        <w:tc>
          <w:tcPr>
            <w:tcW w:w="1620" w:type="dxa"/>
          </w:tcPr>
          <w:p w:rsidR="00DD1521" w:rsidRPr="00897B8F" w:rsidRDefault="00DD1521" w:rsidP="00897B8F">
            <w:pPr>
              <w:spacing w:after="0" w:line="240" w:lineRule="auto"/>
              <w:jc w:val="both"/>
              <w:rPr>
                <w:rFonts w:ascii="Arial" w:hAnsi="Arial" w:cs="Arial"/>
                <w:color w:val="000080"/>
                <w:sz w:val="18"/>
                <w:szCs w:val="18"/>
              </w:rPr>
            </w:pPr>
            <w:r>
              <w:rPr>
                <w:rFonts w:ascii="Arial" w:hAnsi="Arial" w:cs="Arial"/>
                <w:color w:val="000080"/>
                <w:sz w:val="18"/>
                <w:szCs w:val="18"/>
              </w:rPr>
              <w:t>No se incluye por estar publicada únicamente en holandés.</w:t>
            </w: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Carlota M.</w:t>
            </w:r>
          </w:p>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Revisión crítica y aplicabilidad de la evaluación económica de Ezeife et al. VALIDEZ EXTERNA</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●Ausencia del comparador erlotinib, fármaco utilizado habitualmente en práctica clínica.</w:t>
            </w:r>
          </w:p>
          <w:p w:rsidR="00DD1521" w:rsidRPr="00897B8F" w:rsidRDefault="00DD1521" w:rsidP="00897B8F">
            <w:pPr>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Es un error, erlotinib sí fue incluido en estudio FLAURA</w:t>
            </w:r>
          </w:p>
          <w:p w:rsidR="00DD1521" w:rsidRPr="00897B8F" w:rsidRDefault="00DD1521" w:rsidP="00897B8F">
            <w:pPr>
              <w:spacing w:after="0" w:line="240" w:lineRule="auto"/>
              <w:jc w:val="both"/>
              <w:rPr>
                <w:rFonts w:ascii="Arial" w:hAnsi="Arial" w:cs="Arial"/>
                <w:color w:val="000080"/>
                <w:sz w:val="18"/>
                <w:szCs w:val="18"/>
              </w:rPr>
            </w:pPr>
          </w:p>
        </w:tc>
        <w:tc>
          <w:tcPr>
            <w:tcW w:w="1620" w:type="dxa"/>
          </w:tcPr>
          <w:p w:rsidR="00DD1521" w:rsidRPr="00897B8F" w:rsidRDefault="00DD1521" w:rsidP="00C56DF0">
            <w:pPr>
              <w:spacing w:after="0" w:line="240" w:lineRule="auto"/>
              <w:rPr>
                <w:rFonts w:ascii="Arial" w:hAnsi="Arial" w:cs="Arial"/>
                <w:color w:val="000080"/>
                <w:sz w:val="18"/>
                <w:szCs w:val="18"/>
              </w:rPr>
            </w:pPr>
            <w:r>
              <w:rPr>
                <w:rFonts w:ascii="Arial" w:hAnsi="Arial" w:cs="Arial"/>
                <w:color w:val="000080"/>
                <w:sz w:val="18"/>
                <w:szCs w:val="18"/>
              </w:rPr>
              <w:t xml:space="preserve">Erlotinib no se incluyó en la evaluación económica de Ezeife. </w:t>
            </w: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Carlota M.</w:t>
            </w:r>
          </w:p>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7.3.3 Coste-utilidad. Estudios propios</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Si además aplicamos un coste un 30% inferior para gefitinib, por la probable aparición de genéricos en el primer semestre de 2019, el RCEI de osimertinib frente a este fármaco sería de 70.327 €/AVAC ganado.</w:t>
            </w:r>
          </w:p>
          <w:p w:rsidR="00DD1521" w:rsidRPr="00897B8F" w:rsidRDefault="00DD1521" w:rsidP="00897B8F">
            <w:pPr>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Se propone revisar el cálculo del RCEI porque puede ser que el resultado sea 68.715,23 €.</w:t>
            </w:r>
          </w:p>
        </w:tc>
        <w:tc>
          <w:tcPr>
            <w:tcW w:w="1620" w:type="dxa"/>
          </w:tcPr>
          <w:p w:rsidR="00DD1521" w:rsidRPr="00897B8F" w:rsidRDefault="00DD1521" w:rsidP="009E2F7D">
            <w:pPr>
              <w:spacing w:after="0" w:line="240" w:lineRule="auto"/>
              <w:rPr>
                <w:rFonts w:ascii="Arial" w:hAnsi="Arial" w:cs="Arial"/>
                <w:color w:val="000080"/>
                <w:sz w:val="18"/>
                <w:szCs w:val="18"/>
              </w:rPr>
            </w:pPr>
            <w:r>
              <w:rPr>
                <w:rFonts w:ascii="Arial" w:hAnsi="Arial" w:cs="Arial"/>
                <w:color w:val="000080"/>
                <w:sz w:val="18"/>
                <w:szCs w:val="18"/>
              </w:rPr>
              <w:t>Se repiten los cálculos, fijándose un RCEI de 67.877 €/AVAC ganado. Se actualizan también  los cálculos posteriores.</w:t>
            </w: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Carlota M.</w:t>
            </w:r>
          </w:p>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7.4.1. Estimación de la población diana. Tabla 22</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Se propone actualizar la población de referencia de España del INE a las cifras de 2019 (46.867.125 habitantes) y el número de pacientes con cáncer de pulmón a las cifras más actuales del cáncer de SEOM 2019 (29.503 pacientes).</w:t>
            </w:r>
          </w:p>
          <w:p w:rsidR="00DD1521" w:rsidRPr="00897B8F" w:rsidRDefault="00CB346C" w:rsidP="00897B8F">
            <w:pPr>
              <w:spacing w:after="0" w:line="240" w:lineRule="auto"/>
              <w:jc w:val="both"/>
              <w:rPr>
                <w:rFonts w:ascii="Arial" w:hAnsi="Arial" w:cs="Arial"/>
                <w:color w:val="000080"/>
                <w:sz w:val="18"/>
                <w:szCs w:val="18"/>
              </w:rPr>
            </w:pPr>
            <w:hyperlink r:id="rId29" w:history="1">
              <w:r w:rsidR="00DD1521" w:rsidRPr="00897B8F">
                <w:rPr>
                  <w:rStyle w:val="Hipervnculo"/>
                  <w:rFonts w:ascii="Arial" w:hAnsi="Arial" w:cs="Arial"/>
                  <w:sz w:val="18"/>
                  <w:szCs w:val="18"/>
                </w:rPr>
                <w:t>http://www.ine.es/jaxi/Tabla.htm?path=/t20/p278/p02/2018-2033/pob/l0/&amp;file=02000.px</w:t>
              </w:r>
            </w:hyperlink>
            <w:r w:rsidR="00DD1521" w:rsidRPr="00897B8F">
              <w:rPr>
                <w:rFonts w:ascii="Arial" w:hAnsi="Arial" w:cs="Arial"/>
                <w:color w:val="000080"/>
                <w:sz w:val="18"/>
                <w:szCs w:val="18"/>
              </w:rPr>
              <w:t xml:space="preserve"> </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sz w:val="18"/>
                <w:szCs w:val="18"/>
              </w:rPr>
              <w:object w:dxaOrig="1537" w:dyaOrig="994">
                <v:shape id="_x0000_i1028" type="#_x0000_t75" style="width:74pt;height:49.5pt" o:ole="">
                  <v:imagedata r:id="rId30" o:title=""/>
                </v:shape>
                <o:OLEObject Type="Embed" ProgID="AcroExch.Document.DC" ShapeID="_x0000_i1028" DrawAspect="Icon" ObjectID="_1665731459" r:id="rId31"/>
              </w:object>
            </w:r>
          </w:p>
        </w:tc>
        <w:tc>
          <w:tcPr>
            <w:tcW w:w="1620" w:type="dxa"/>
          </w:tcPr>
          <w:p w:rsidR="00DD1521" w:rsidRPr="00897B8F" w:rsidRDefault="00DD1521" w:rsidP="00651D22">
            <w:pPr>
              <w:spacing w:after="0" w:line="240" w:lineRule="auto"/>
              <w:rPr>
                <w:rFonts w:ascii="Arial" w:hAnsi="Arial" w:cs="Arial"/>
                <w:color w:val="000080"/>
                <w:sz w:val="18"/>
                <w:szCs w:val="18"/>
              </w:rPr>
            </w:pPr>
            <w:r>
              <w:rPr>
                <w:rFonts w:ascii="Arial" w:hAnsi="Arial" w:cs="Arial"/>
                <w:color w:val="000080"/>
                <w:sz w:val="18"/>
                <w:szCs w:val="18"/>
              </w:rPr>
              <w:lastRenderedPageBreak/>
              <w:t>No es relevante. Mantenemos la referencia original.</w:t>
            </w:r>
          </w:p>
        </w:tc>
      </w:tr>
      <w:tr w:rsidR="00DD1521" w:rsidRPr="00897B8F" w:rsidTr="00C57D97">
        <w:trPr>
          <w:trHeight w:val="146"/>
        </w:trPr>
        <w:tc>
          <w:tcPr>
            <w:tcW w:w="1252" w:type="dxa"/>
          </w:tcPr>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lastRenderedPageBreak/>
              <w:t>Carlota M.</w:t>
            </w:r>
          </w:p>
          <w:p w:rsidR="00DD1521" w:rsidRPr="00897B8F" w:rsidRDefault="00DD1521" w:rsidP="00897B8F">
            <w:pPr>
              <w:spacing w:after="0" w:line="240" w:lineRule="auto"/>
              <w:rPr>
                <w:rFonts w:ascii="Arial" w:hAnsi="Arial" w:cs="Arial"/>
                <w:color w:val="000080"/>
                <w:sz w:val="18"/>
                <w:szCs w:val="18"/>
                <w:lang w:val="pt-BR"/>
              </w:rPr>
            </w:pPr>
            <w:r w:rsidRPr="00897B8F">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7.4.1. Estimación de la población diana. Tabla 22</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992 pacientes</w:t>
            </w:r>
            <w:r w:rsidRPr="00897B8F">
              <w:rPr>
                <w:rFonts w:ascii="Arial" w:hAnsi="Arial" w:cs="Arial"/>
                <w:sz w:val="18"/>
                <w:szCs w:val="18"/>
              </w:rPr>
              <w:t xml:space="preserve"> </w:t>
            </w:r>
            <w:r w:rsidRPr="00897B8F">
              <w:rPr>
                <w:rFonts w:ascii="Arial" w:hAnsi="Arial" w:cs="Arial"/>
                <w:color w:val="000080"/>
                <w:sz w:val="18"/>
                <w:szCs w:val="18"/>
              </w:rPr>
              <w:t>con CPNM EGFRm que han progresado a un TKI-EGFR con mutación T790M identificada supone un 54% de los 1.846 anteriores.</w:t>
            </w:r>
          </w:p>
          <w:p w:rsidR="00DD1521" w:rsidRPr="00897B8F" w:rsidRDefault="00DD1521" w:rsidP="00897B8F">
            <w:pPr>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Puede que falte una línea intermedia del % de pacientes que se realizan el test tras progresión (90%).</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sz w:val="18"/>
                <w:szCs w:val="18"/>
              </w:rPr>
              <w:object w:dxaOrig="1537" w:dyaOrig="994">
                <v:shape id="_x0000_i1029" type="#_x0000_t75" style="width:74pt;height:49.5pt" o:ole="">
                  <v:imagedata r:id="rId32" o:title=""/>
                </v:shape>
                <o:OLEObject Type="Embed" ProgID="AcroExch.Document.DC" ShapeID="_x0000_i1029" DrawAspect="Icon" ObjectID="_1665731460" r:id="rId33"/>
              </w:object>
            </w:r>
          </w:p>
          <w:p w:rsidR="00DD1521" w:rsidRPr="00897B8F" w:rsidRDefault="00DD1521" w:rsidP="00897B8F">
            <w:pPr>
              <w:spacing w:after="0" w:line="240" w:lineRule="auto"/>
              <w:jc w:val="both"/>
              <w:rPr>
                <w:rFonts w:ascii="Arial" w:hAnsi="Arial" w:cs="Arial"/>
                <w:color w:val="000080"/>
                <w:sz w:val="18"/>
                <w:szCs w:val="18"/>
              </w:rPr>
            </w:pPr>
          </w:p>
        </w:tc>
        <w:tc>
          <w:tcPr>
            <w:tcW w:w="1620" w:type="dxa"/>
          </w:tcPr>
          <w:p w:rsidR="00DD1521" w:rsidRPr="00897B8F" w:rsidRDefault="00DD1521" w:rsidP="00897B8F">
            <w:pPr>
              <w:spacing w:after="0" w:line="240" w:lineRule="auto"/>
              <w:jc w:val="both"/>
              <w:rPr>
                <w:rFonts w:ascii="Arial" w:hAnsi="Arial" w:cs="Arial"/>
                <w:color w:val="000080"/>
                <w:sz w:val="18"/>
                <w:szCs w:val="18"/>
              </w:rPr>
            </w:pPr>
            <w:r>
              <w:rPr>
                <w:rFonts w:ascii="Arial" w:hAnsi="Arial" w:cs="Arial"/>
                <w:color w:val="000080"/>
                <w:sz w:val="18"/>
                <w:szCs w:val="18"/>
              </w:rPr>
              <w:t>Aceptada. Falta la línea con el % de pacientes que pueden hacerse el test.</w:t>
            </w:r>
          </w:p>
        </w:tc>
      </w:tr>
      <w:tr w:rsidR="00DD1521" w:rsidRPr="00897B8F" w:rsidTr="00C57D97">
        <w:trPr>
          <w:trHeight w:val="146"/>
        </w:trPr>
        <w:tc>
          <w:tcPr>
            <w:tcW w:w="1252" w:type="dxa"/>
          </w:tcPr>
          <w:p w:rsidR="00DD1521" w:rsidRPr="00550EA8" w:rsidRDefault="00DD1521" w:rsidP="00897B8F">
            <w:pPr>
              <w:spacing w:after="0" w:line="240" w:lineRule="auto"/>
              <w:rPr>
                <w:rFonts w:ascii="Arial" w:hAnsi="Arial" w:cs="Arial"/>
                <w:color w:val="000080"/>
                <w:sz w:val="18"/>
                <w:szCs w:val="18"/>
                <w:lang w:val="pt-BR"/>
              </w:rPr>
            </w:pPr>
            <w:r w:rsidRPr="00550EA8">
              <w:rPr>
                <w:rFonts w:ascii="Arial" w:hAnsi="Arial" w:cs="Arial"/>
                <w:color w:val="000080"/>
                <w:sz w:val="18"/>
                <w:szCs w:val="18"/>
                <w:lang w:val="pt-BR"/>
              </w:rPr>
              <w:t>Carlota M.</w:t>
            </w:r>
          </w:p>
          <w:p w:rsidR="00DD1521" w:rsidRPr="00550EA8" w:rsidRDefault="00DD1521" w:rsidP="00897B8F">
            <w:pPr>
              <w:spacing w:after="0" w:line="240" w:lineRule="auto"/>
              <w:rPr>
                <w:rFonts w:ascii="Arial" w:hAnsi="Arial" w:cs="Arial"/>
                <w:color w:val="000080"/>
                <w:sz w:val="18"/>
                <w:szCs w:val="18"/>
                <w:lang w:val="pt-BR"/>
              </w:rPr>
            </w:pPr>
            <w:r w:rsidRPr="00550EA8">
              <w:rPr>
                <w:rFonts w:ascii="Arial" w:hAnsi="Arial" w:cs="Arial"/>
                <w:color w:val="000080"/>
                <w:sz w:val="18"/>
                <w:szCs w:val="18"/>
                <w:lang w:val="pt-BR"/>
              </w:rPr>
              <w:t>HEOR Mger Astrazeneca</w:t>
            </w:r>
          </w:p>
        </w:tc>
        <w:tc>
          <w:tcPr>
            <w:tcW w:w="7748" w:type="dxa"/>
          </w:tcPr>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8. EVALUACIÓN DE LA CONVENIENCIA. Puntos 8.1 y 8.2</w:t>
            </w: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Se debería aclarar que sólo en caso de la segunda línea existen las diferencias definidas, porque en la 1ª línea los TKIs son orales.</w:t>
            </w:r>
          </w:p>
          <w:p w:rsidR="00DD1521" w:rsidRPr="00897B8F" w:rsidRDefault="00DD1521" w:rsidP="00897B8F">
            <w:pPr>
              <w:spacing w:after="0" w:line="240" w:lineRule="auto"/>
              <w:jc w:val="both"/>
              <w:rPr>
                <w:rFonts w:ascii="Arial" w:hAnsi="Arial" w:cs="Arial"/>
                <w:color w:val="000080"/>
                <w:sz w:val="18"/>
                <w:szCs w:val="18"/>
              </w:rPr>
            </w:pPr>
          </w:p>
          <w:p w:rsidR="00DD1521" w:rsidRPr="00897B8F" w:rsidRDefault="00DD1521" w:rsidP="00897B8F">
            <w:pPr>
              <w:spacing w:after="0" w:line="240" w:lineRule="auto"/>
              <w:jc w:val="both"/>
              <w:rPr>
                <w:rFonts w:ascii="Arial" w:hAnsi="Arial" w:cs="Arial"/>
                <w:color w:val="000080"/>
                <w:sz w:val="18"/>
                <w:szCs w:val="18"/>
              </w:rPr>
            </w:pPr>
            <w:r w:rsidRPr="00897B8F">
              <w:rPr>
                <w:rFonts w:ascii="Arial" w:hAnsi="Arial" w:cs="Arial"/>
                <w:color w:val="000080"/>
                <w:sz w:val="18"/>
                <w:szCs w:val="18"/>
              </w:rPr>
              <w:t>Se propone añadir que en comparación con los TKIs (gefitinib, erlotinib y afatinib) osimertinib mejora la conveniencia de las tomas porque se puede administrar junto con alimentos y con inhibidores de la bomba de protones ya que su biodisponibilidad, y por tanto su eficacia, no se ve alterada.</w:t>
            </w:r>
          </w:p>
        </w:tc>
        <w:tc>
          <w:tcPr>
            <w:tcW w:w="1620" w:type="dxa"/>
          </w:tcPr>
          <w:p w:rsidR="00DD1521" w:rsidRPr="00897B8F" w:rsidRDefault="00DD1521" w:rsidP="00F65116">
            <w:pPr>
              <w:spacing w:after="0" w:line="240" w:lineRule="auto"/>
              <w:rPr>
                <w:rFonts w:ascii="Arial" w:hAnsi="Arial" w:cs="Arial"/>
                <w:color w:val="000080"/>
                <w:sz w:val="18"/>
                <w:szCs w:val="18"/>
              </w:rPr>
            </w:pPr>
            <w:r>
              <w:rPr>
                <w:rFonts w:ascii="Arial" w:hAnsi="Arial" w:cs="Arial"/>
                <w:color w:val="000080"/>
                <w:sz w:val="18"/>
                <w:szCs w:val="18"/>
              </w:rPr>
              <w:t>Aceptada. Se incluye.</w:t>
            </w:r>
          </w:p>
        </w:tc>
      </w:tr>
    </w:tbl>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Pr="00897B8F" w:rsidRDefault="00DD1521" w:rsidP="00550EA8">
      <w:pPr>
        <w:spacing w:after="0" w:line="240" w:lineRule="auto"/>
        <w:outlineLvl w:val="0"/>
        <w:rPr>
          <w:rFonts w:ascii="Arial" w:hAnsi="Arial" w:cs="Arial"/>
          <w:color w:val="000080"/>
          <w:sz w:val="20"/>
          <w:szCs w:val="20"/>
        </w:rPr>
      </w:pPr>
      <w:bookmarkStart w:id="182" w:name="_Toc5624934"/>
      <w:bookmarkStart w:id="183" w:name="_Toc5793792"/>
      <w:r w:rsidRPr="00897B8F">
        <w:rPr>
          <w:rFonts w:ascii="Arial" w:hAnsi="Arial" w:cs="Arial"/>
          <w:color w:val="000080"/>
          <w:sz w:val="20"/>
          <w:szCs w:val="20"/>
        </w:rPr>
        <w:t xml:space="preserve">Nombre persona que hace la alegación propuesta: </w:t>
      </w:r>
      <w:r w:rsidRPr="00550EA8">
        <w:rPr>
          <w:rFonts w:ascii="Arial" w:hAnsi="Arial" w:cs="Arial"/>
          <w:color w:val="000080"/>
          <w:sz w:val="20"/>
          <w:szCs w:val="20"/>
        </w:rPr>
        <w:t>Mariona Massana</w:t>
      </w:r>
      <w:r>
        <w:rPr>
          <w:rFonts w:ascii="Arial" w:hAnsi="Arial" w:cs="Arial"/>
          <w:color w:val="000080"/>
          <w:sz w:val="20"/>
          <w:szCs w:val="20"/>
        </w:rPr>
        <w:t xml:space="preserve"> y</w:t>
      </w:r>
      <w:r w:rsidRPr="00550EA8">
        <w:rPr>
          <w:rFonts w:ascii="Arial" w:hAnsi="Arial" w:cs="Arial"/>
          <w:color w:val="000080"/>
          <w:sz w:val="20"/>
          <w:szCs w:val="20"/>
        </w:rPr>
        <w:t xml:space="preserve"> Núria Paladio</w:t>
      </w:r>
      <w:bookmarkEnd w:id="182"/>
      <w:bookmarkEnd w:id="183"/>
    </w:p>
    <w:p w:rsidR="00DD1521" w:rsidRPr="000F201F" w:rsidRDefault="00DD1521" w:rsidP="00550EA8">
      <w:pPr>
        <w:spacing w:after="0" w:line="240" w:lineRule="auto"/>
        <w:outlineLvl w:val="0"/>
        <w:rPr>
          <w:rFonts w:ascii="Arial" w:hAnsi="Arial" w:cs="Arial"/>
          <w:color w:val="000080"/>
          <w:sz w:val="20"/>
          <w:szCs w:val="20"/>
        </w:rPr>
      </w:pPr>
      <w:bookmarkStart w:id="184" w:name="_Toc5624935"/>
      <w:bookmarkStart w:id="185" w:name="_Toc5793793"/>
      <w:r w:rsidRPr="000F201F">
        <w:rPr>
          <w:rFonts w:ascii="Arial" w:hAnsi="Arial" w:cs="Arial"/>
          <w:color w:val="000080"/>
          <w:sz w:val="20"/>
          <w:szCs w:val="20"/>
        </w:rPr>
        <w:t xml:space="preserve">Cargo que ocupa: </w:t>
      </w:r>
      <w:r w:rsidRPr="00550EA8">
        <w:rPr>
          <w:rFonts w:ascii="Arial" w:hAnsi="Arial" w:cs="Arial"/>
          <w:color w:val="000080"/>
          <w:sz w:val="20"/>
          <w:szCs w:val="20"/>
        </w:rPr>
        <w:t>Departamento Medical Affairs</w:t>
      </w:r>
      <w:r>
        <w:rPr>
          <w:rFonts w:ascii="Arial" w:hAnsi="Arial" w:cs="Arial"/>
          <w:color w:val="000080"/>
          <w:sz w:val="20"/>
          <w:szCs w:val="20"/>
        </w:rPr>
        <w:t xml:space="preserve"> y </w:t>
      </w:r>
      <w:r w:rsidRPr="000F201F">
        <w:rPr>
          <w:rFonts w:ascii="Arial" w:hAnsi="Arial" w:cs="Arial"/>
          <w:color w:val="000080"/>
          <w:sz w:val="20"/>
          <w:szCs w:val="20"/>
        </w:rPr>
        <w:t>Market Access</w:t>
      </w:r>
      <w:bookmarkEnd w:id="184"/>
      <w:bookmarkEnd w:id="185"/>
    </w:p>
    <w:p w:rsidR="00DD1521" w:rsidRPr="000F201F" w:rsidRDefault="00DD1521" w:rsidP="00550EA8">
      <w:pPr>
        <w:spacing w:after="0" w:line="240" w:lineRule="auto"/>
        <w:outlineLvl w:val="0"/>
        <w:rPr>
          <w:rFonts w:ascii="Arial" w:hAnsi="Arial" w:cs="Arial"/>
          <w:color w:val="000080"/>
          <w:sz w:val="20"/>
          <w:szCs w:val="20"/>
        </w:rPr>
      </w:pPr>
      <w:bookmarkStart w:id="186" w:name="_Toc5624936"/>
      <w:bookmarkStart w:id="187" w:name="_Toc5793794"/>
      <w:r w:rsidRPr="000F201F">
        <w:rPr>
          <w:rFonts w:ascii="Arial" w:hAnsi="Arial" w:cs="Arial"/>
          <w:color w:val="000080"/>
          <w:sz w:val="20"/>
          <w:szCs w:val="20"/>
        </w:rPr>
        <w:t xml:space="preserve">Centro, sociedad o empresa: </w:t>
      </w:r>
      <w:r w:rsidRPr="00550EA8">
        <w:rPr>
          <w:rFonts w:ascii="Arial" w:hAnsi="Arial" w:cs="Arial"/>
          <w:b/>
          <w:color w:val="000080"/>
          <w:sz w:val="20"/>
          <w:szCs w:val="20"/>
        </w:rPr>
        <w:t>Boehringer-Ingelheim</w:t>
      </w:r>
      <w:bookmarkEnd w:id="186"/>
      <w:bookmarkEnd w:id="187"/>
    </w:p>
    <w:p w:rsidR="00DD1521" w:rsidRPr="000F201F" w:rsidRDefault="00DD1521" w:rsidP="00550EA8">
      <w:pPr>
        <w:spacing w:after="0" w:line="240" w:lineRule="auto"/>
        <w:outlineLvl w:val="0"/>
        <w:rPr>
          <w:rFonts w:ascii="Arial" w:hAnsi="Arial" w:cs="Arial"/>
          <w:color w:val="000080"/>
          <w:sz w:val="20"/>
          <w:szCs w:val="20"/>
        </w:rPr>
      </w:pPr>
      <w:bookmarkStart w:id="188" w:name="_Toc5624937"/>
      <w:bookmarkStart w:id="189" w:name="_Toc5793795"/>
      <w:r w:rsidRPr="000F201F">
        <w:rPr>
          <w:rFonts w:ascii="Arial" w:hAnsi="Arial" w:cs="Arial"/>
          <w:color w:val="000080"/>
          <w:sz w:val="20"/>
          <w:szCs w:val="20"/>
        </w:rPr>
        <w:t>Teléfono de contacto:</w:t>
      </w:r>
      <w:bookmarkEnd w:id="188"/>
      <w:bookmarkEnd w:id="189"/>
      <w:r w:rsidRPr="000F201F">
        <w:rPr>
          <w:rFonts w:ascii="Arial" w:hAnsi="Arial" w:cs="Arial"/>
          <w:color w:val="000080"/>
          <w:sz w:val="20"/>
          <w:szCs w:val="20"/>
        </w:rPr>
        <w:t xml:space="preserve"> </w:t>
      </w:r>
    </w:p>
    <w:p w:rsidR="00DD1521" w:rsidRPr="000F201F" w:rsidRDefault="00DD1521" w:rsidP="00550EA8">
      <w:pPr>
        <w:spacing w:after="0" w:line="240" w:lineRule="auto"/>
        <w:outlineLvl w:val="0"/>
        <w:rPr>
          <w:rFonts w:ascii="Arial" w:hAnsi="Arial" w:cs="Arial"/>
          <w:color w:val="000080"/>
          <w:sz w:val="20"/>
          <w:szCs w:val="20"/>
        </w:rPr>
      </w:pPr>
    </w:p>
    <w:p w:rsidR="00DD1521" w:rsidRPr="000F201F" w:rsidRDefault="00DD1521" w:rsidP="00550EA8">
      <w:pPr>
        <w:spacing w:after="0" w:line="240" w:lineRule="auto"/>
        <w:rPr>
          <w:rFonts w:ascii="Arial" w:hAnsi="Arial" w:cs="Arial"/>
          <w:color w:val="000080"/>
          <w:sz w:val="20"/>
        </w:rPr>
      </w:pPr>
      <w:r w:rsidRPr="000F201F">
        <w:rPr>
          <w:rFonts w:ascii="Arial" w:hAnsi="Arial" w:cs="Arial"/>
          <w:color w:val="000080"/>
          <w:sz w:val="20"/>
        </w:rPr>
        <w:t>Tutor: Vicente Arocas Casañ</w:t>
      </w:r>
    </w:p>
    <w:p w:rsidR="00DD1521" w:rsidRPr="000F201F" w:rsidRDefault="00DD1521">
      <w:pPr>
        <w:tabs>
          <w:tab w:val="left" w:pos="1880"/>
        </w:tabs>
        <w:spacing w:after="0" w:line="240" w:lineRule="auto"/>
        <w:rPr>
          <w:rFonts w:ascii="Arial" w:hAnsi="Arial" w:cs="Arial"/>
          <w:sz w:val="20"/>
          <w:szCs w:val="20"/>
        </w:rPr>
      </w:pPr>
    </w:p>
    <w:tbl>
      <w:tblPr>
        <w:tblW w:w="10620"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121"/>
        <w:gridCol w:w="8039"/>
        <w:gridCol w:w="1460"/>
      </w:tblGrid>
      <w:tr w:rsidR="00DD1521" w:rsidRPr="00C57D97" w:rsidTr="00550EA8">
        <w:trPr>
          <w:trHeight w:val="248"/>
        </w:trPr>
        <w:tc>
          <w:tcPr>
            <w:tcW w:w="9160" w:type="dxa"/>
            <w:gridSpan w:val="2"/>
          </w:tcPr>
          <w:p w:rsidR="00DD1521" w:rsidRPr="00C57D97" w:rsidRDefault="00DD1521" w:rsidP="00550EA8">
            <w:pPr>
              <w:spacing w:after="0" w:line="240" w:lineRule="auto"/>
              <w:jc w:val="both"/>
              <w:rPr>
                <w:rFonts w:ascii="Arial" w:hAnsi="Arial" w:cs="Arial"/>
                <w:b/>
                <w:color w:val="000080"/>
                <w:sz w:val="18"/>
                <w:szCs w:val="18"/>
              </w:rPr>
            </w:pPr>
            <w:r w:rsidRPr="00C57D97">
              <w:rPr>
                <w:rFonts w:ascii="Arial" w:hAnsi="Arial" w:cs="Arial"/>
                <w:b/>
                <w:color w:val="000080"/>
                <w:sz w:val="18"/>
                <w:szCs w:val="18"/>
              </w:rPr>
              <w:t>Alegaciones al borrador público</w:t>
            </w:r>
          </w:p>
        </w:tc>
        <w:tc>
          <w:tcPr>
            <w:tcW w:w="1460" w:type="dxa"/>
          </w:tcPr>
          <w:p w:rsidR="00DD1521" w:rsidRPr="00C57D97" w:rsidRDefault="00DD1521" w:rsidP="00550EA8">
            <w:pPr>
              <w:spacing w:after="0" w:line="240" w:lineRule="auto"/>
              <w:rPr>
                <w:rFonts w:ascii="Arial" w:hAnsi="Arial" w:cs="Arial"/>
                <w:b/>
                <w:color w:val="000080"/>
                <w:sz w:val="18"/>
                <w:szCs w:val="18"/>
              </w:rPr>
            </w:pPr>
            <w:r w:rsidRPr="00C57D97">
              <w:rPr>
                <w:rFonts w:ascii="Arial" w:hAnsi="Arial" w:cs="Arial"/>
                <w:b/>
                <w:color w:val="000080"/>
                <w:sz w:val="18"/>
                <w:szCs w:val="18"/>
              </w:rPr>
              <w:t>Respuesta  del tutor</w:t>
            </w:r>
          </w:p>
        </w:tc>
      </w:tr>
      <w:tr w:rsidR="00DD1521" w:rsidRPr="00550EA8" w:rsidTr="00550EA8">
        <w:tc>
          <w:tcPr>
            <w:tcW w:w="1121" w:type="dxa"/>
          </w:tcPr>
          <w:p w:rsidR="00DD1521" w:rsidRPr="00550EA8" w:rsidRDefault="00DD1521" w:rsidP="00550EA8">
            <w:pPr>
              <w:spacing w:after="0" w:line="240" w:lineRule="auto"/>
              <w:rPr>
                <w:rFonts w:ascii="Arial" w:hAnsi="Arial" w:cs="Arial"/>
                <w:b/>
                <w:color w:val="000080"/>
                <w:sz w:val="18"/>
                <w:szCs w:val="18"/>
              </w:rPr>
            </w:pPr>
            <w:r w:rsidRPr="00550EA8">
              <w:rPr>
                <w:rFonts w:ascii="Arial" w:hAnsi="Arial" w:cs="Arial"/>
                <w:b/>
                <w:color w:val="000080"/>
                <w:sz w:val="18"/>
                <w:szCs w:val="18"/>
              </w:rPr>
              <w:t xml:space="preserve">Dept Market Access </w:t>
            </w:r>
          </w:p>
        </w:tc>
        <w:tc>
          <w:tcPr>
            <w:tcW w:w="8039" w:type="dxa"/>
          </w:tcPr>
          <w:p w:rsidR="00DD1521" w:rsidRPr="00550EA8" w:rsidRDefault="00DD1521" w:rsidP="00550EA8">
            <w:pPr>
              <w:spacing w:after="0" w:line="240" w:lineRule="auto"/>
              <w:rPr>
                <w:rFonts w:ascii="Arial" w:hAnsi="Arial" w:cs="Arial"/>
                <w:b/>
                <w:color w:val="000080"/>
                <w:sz w:val="18"/>
                <w:szCs w:val="18"/>
              </w:rPr>
            </w:pPr>
            <w:r w:rsidRPr="00550EA8">
              <w:rPr>
                <w:rFonts w:ascii="Arial" w:hAnsi="Arial" w:cs="Arial"/>
                <w:b/>
                <w:color w:val="000080"/>
                <w:sz w:val="18"/>
                <w:szCs w:val="18"/>
              </w:rPr>
              <w:t>Alegación 1</w:t>
            </w:r>
          </w:p>
          <w:p w:rsidR="00DD1521" w:rsidRPr="00550EA8" w:rsidRDefault="00DD1521" w:rsidP="00550EA8">
            <w:pPr>
              <w:spacing w:after="0" w:line="240" w:lineRule="auto"/>
              <w:rPr>
                <w:rFonts w:ascii="Arial" w:hAnsi="Arial" w:cs="Arial"/>
                <w:b/>
                <w:color w:val="000080"/>
                <w:sz w:val="18"/>
                <w:szCs w:val="18"/>
              </w:rPr>
            </w:pPr>
            <w:r w:rsidRPr="00550EA8">
              <w:rPr>
                <w:rFonts w:ascii="Arial" w:hAnsi="Arial" w:cs="Arial"/>
                <w:b/>
                <w:color w:val="000080"/>
                <w:sz w:val="18"/>
                <w:szCs w:val="18"/>
              </w:rPr>
              <w:t>Apartado B. Aplicabilidad del ensayo a la práctica del hospital (Pág 19)</w:t>
            </w:r>
          </w:p>
          <w:p w:rsidR="00DD1521" w:rsidRPr="00550EA8" w:rsidRDefault="00DD1521" w:rsidP="00550EA8">
            <w:pPr>
              <w:spacing w:after="0" w:line="240" w:lineRule="auto"/>
              <w:jc w:val="both"/>
              <w:rPr>
                <w:rFonts w:ascii="Arial" w:hAnsi="Arial" w:cs="Arial"/>
                <w:b/>
                <w:color w:val="000080"/>
                <w:sz w:val="18"/>
                <w:szCs w:val="18"/>
                <w:lang w:val="es-ES_tradnl"/>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Frase original:</w:t>
            </w:r>
          </w:p>
          <w:p w:rsidR="00DD1521" w:rsidRPr="00550EA8" w:rsidRDefault="00DD1521" w:rsidP="00550EA8">
            <w:pPr>
              <w:spacing w:after="0" w:line="240" w:lineRule="auto"/>
              <w:jc w:val="both"/>
              <w:rPr>
                <w:rFonts w:ascii="Arial" w:hAnsi="Arial" w:cs="Arial"/>
                <w:i/>
                <w:color w:val="000080"/>
                <w:sz w:val="18"/>
                <w:szCs w:val="18"/>
              </w:rPr>
            </w:pPr>
            <w:r w:rsidRPr="00550EA8">
              <w:rPr>
                <w:rFonts w:ascii="Arial" w:hAnsi="Arial" w:cs="Arial"/>
                <w:i/>
                <w:color w:val="000080"/>
                <w:sz w:val="18"/>
                <w:szCs w:val="18"/>
              </w:rPr>
              <w:t xml:space="preserve">“La justificación proporcionada por el promotor fue que en el momento del diseño del estudio afatinib no era ampliamente utilizado y no constituía un estándar de tratamiento en primera línea y asumen que los tres fármacos presentan una eficacia similar apoyándose en los resultados publicados de un metaanálisis </w:t>
            </w:r>
            <w:r w:rsidRPr="00550EA8">
              <w:rPr>
                <w:rFonts w:ascii="Arial" w:hAnsi="Arial" w:cs="Arial"/>
                <w:i/>
                <w:color w:val="000080"/>
                <w:sz w:val="18"/>
                <w:szCs w:val="18"/>
              </w:rPr>
              <w:fldChar w:fldCharType="begin"/>
            </w:r>
            <w:r w:rsidRPr="00550EA8">
              <w:rPr>
                <w:rFonts w:ascii="Arial" w:hAnsi="Arial" w:cs="Arial"/>
                <w:i/>
                <w:color w:val="000080"/>
                <w:sz w:val="18"/>
                <w:szCs w:val="18"/>
              </w:rPr>
              <w:instrText xml:space="preserve"> ADDIN ZOTERO_ITEM CSL_CITATION {"citationID":"o04xdIEA","properties":{"formattedCitation":"(30)","plainCitation":"(30)"},"citationItems":[{"id":1033,"uris":["http://zotero.org/users/local/zrSbuHrK/items/MERCKIQ3"],"uri":["http://zotero.org/users/local/zrSbuHrK/items/MERCKIQ3"],"itemData":{"id":1033,"type":"article-journal","title":"Tyrosine kinase inhibitor combination therapy in first-line treatment of non-small-cell lung cancer: systematic review and network meta-analysis","container-title":"OncoTargets and Therapy","page":"2473-2482","volume":"10","source":"PubMed","abstract":"INTRODUCTION: The introduction of epidermal growth factor receptor tyrosine kinase inhibitors (EGFR-TKIs) has improved the outlook for patients with advanced non-small-cell lung cancer (NSCLC) with EGFR+ mutations. However, most patients develop resistance, with the result that median progression-free survival (PFS) iŝ12 months. Combining EGFR-TKIs with other agents, such as bevacizumab, is a promising approach to prolonging remission. This systematic review and network meta-analysis (NMA) were undertaken to assess available evidence regarding the benefits of first-line combination therapy involving EGFR-TKIs in patients with advanced NSCLC.\nMETHODS: Literature searches were performed using relevant search terms. Study-level pseudo-individual patient-level data (IPD) were recreated from digitized Kaplan-Meier curve data, using a published algorithm. Study IPD were analyzed using both the proportional hazards and the acceleration failure time (AFT) survival models, and it was concluded that the AFT model was most appropriate. An NMA was performed based on acceleration factors (AFs) using a Bayesian framework to compare EGFR-TKIs and chemotherapy.\nRESULTS: Nine randomized controlled trials were identified that provided data for EGFR-TKI therapy in patients with EGFR+ tumors. These included studies of afatinib (n=3), erlotinib (n=3), erlotinib plus bevacizumab (n=1) and gefitinib (n=2). Erlotinib plus bevacizumab produced the greatest increase in PFS compared with chemotherapy, with 1/AF being 0.24 (95% credible interval [CrI] 0.17, 0.34). This combination also produced greater increases in PFS compared with EGFR-TKI monotherapy: 1/AF versus afatinib, 0.51 (95% CrI 0.35, 0.73); versus erlotinib, 0.53 (95% CrI 0.39, 0.72) and versus gefitinib, 0.46 (95% CrI 0.32, 0.66). All three EGFR-TKI monotherapies prolonged PFS compared with chemotherapy; estimates of treatment effect ranged from 1/AF 0.53 (95% CrI 0.48, 0.60) for gefitinib to 1/AF 0.46 (95% CrI 0.40, 0.53) for erlotinib. There was no evidence for differences between EGFR-TKI monotherapies, as all 95% CrIs included the null value.\nCONCLUSION: Although data for erlotinib plus bevacizumab came from a single Phase 2 study, the results of the NMA suggest that adding bevacizumab to erlotinib may be a promising approach to improving the outcomes achieved with EGFR-TKI monotherapy in patients with advanced EGFR+ NSCLC.","DOI":"10.2147/OTT.S134382","ISSN":"1178-6930","note":"PMID: 28503070\nPMCID: PMC5426468","shortTitle":"Tyrosine kinase inhibitor combination therapy in first-line treatment of non-small-cell lung cancer","journalAbbreviation":"Onco Targets Ther","language":"eng","author":[{"family":"Batson","given":"Sarah"},{"family":"Mitchell","given":"Stephen A."},{"family":"Windisch","given":"Ricarda"},{"family":"Damonte","given":"Elisabetta"},{"family":"Munk","given":"Veronica C."},{"family":"Reguart","given":"Noemi"}],"issued":{"date-parts":[["2017"]]},"PMID":"28503070","PMCID":"PMC5426468"}}],"schema":"https://github.com/citation-style-language/schema/raw/master/csl-citation.json"} </w:instrText>
            </w:r>
            <w:r w:rsidRPr="00550EA8">
              <w:rPr>
                <w:rFonts w:ascii="Arial" w:hAnsi="Arial" w:cs="Arial"/>
                <w:i/>
                <w:color w:val="000080"/>
                <w:sz w:val="18"/>
                <w:szCs w:val="18"/>
              </w:rPr>
              <w:fldChar w:fldCharType="separate"/>
            </w:r>
            <w:r w:rsidRPr="00550EA8">
              <w:rPr>
                <w:rFonts w:ascii="Arial" w:hAnsi="Arial" w:cs="Arial"/>
                <w:i/>
                <w:color w:val="000080"/>
                <w:sz w:val="18"/>
                <w:szCs w:val="18"/>
              </w:rPr>
              <w:t>(30)</w:t>
            </w:r>
            <w:r w:rsidRPr="00550EA8">
              <w:rPr>
                <w:rFonts w:ascii="Arial" w:hAnsi="Arial" w:cs="Arial"/>
                <w:i/>
                <w:color w:val="000080"/>
                <w:sz w:val="18"/>
                <w:szCs w:val="18"/>
              </w:rPr>
              <w:fldChar w:fldCharType="end"/>
            </w:r>
            <w:r w:rsidRPr="00550EA8">
              <w:rPr>
                <w:rFonts w:ascii="Arial" w:hAnsi="Arial" w:cs="Arial"/>
                <w:i/>
                <w:color w:val="000080"/>
                <w:sz w:val="18"/>
                <w:szCs w:val="18"/>
              </w:rPr>
              <w:t>”</w:t>
            </w:r>
          </w:p>
          <w:p w:rsidR="00DD1521" w:rsidRPr="00550EA8" w:rsidRDefault="00DD1521" w:rsidP="00550EA8">
            <w:pPr>
              <w:spacing w:after="0" w:line="240" w:lineRule="auto"/>
              <w:jc w:val="both"/>
              <w:rPr>
                <w:rFonts w:ascii="Arial" w:hAnsi="Arial" w:cs="Arial"/>
                <w:color w:val="000080"/>
                <w:sz w:val="18"/>
                <w:szCs w:val="18"/>
                <w:lang w:val="es-ES_tradnl"/>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Motivo de la alegación:</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El reclutamiento del estudio FLAURA se inició casi 1 año y medio después de la opinión positiva de afatinib en pacientes con mutaciones del EGFR del Comité de Medicamentos de Uso Humano (diciembre 2014</w:t>
            </w:r>
            <w:r w:rsidRPr="00550EA8">
              <w:rPr>
                <w:rFonts w:ascii="Arial" w:hAnsi="Arial" w:cs="Arial"/>
                <w:color w:val="000080"/>
                <w:sz w:val="18"/>
                <w:szCs w:val="18"/>
                <w:vertAlign w:val="superscript"/>
              </w:rPr>
              <w:t>1</w:t>
            </w:r>
            <w:r w:rsidRPr="00550EA8">
              <w:rPr>
                <w:rFonts w:ascii="Arial" w:hAnsi="Arial" w:cs="Arial"/>
                <w:color w:val="000080"/>
                <w:sz w:val="18"/>
                <w:szCs w:val="18"/>
              </w:rPr>
              <w:t xml:space="preserve"> y julio 2013</w:t>
            </w:r>
            <w:r w:rsidRPr="00550EA8">
              <w:rPr>
                <w:rFonts w:ascii="Arial" w:hAnsi="Arial" w:cs="Arial"/>
                <w:color w:val="000080"/>
                <w:sz w:val="18"/>
                <w:szCs w:val="18"/>
                <w:vertAlign w:val="superscript"/>
              </w:rPr>
              <w:t>2</w:t>
            </w:r>
            <w:r w:rsidRPr="00550EA8">
              <w:rPr>
                <w:rFonts w:ascii="Arial" w:hAnsi="Arial" w:cs="Arial"/>
                <w:color w:val="000080"/>
                <w:sz w:val="18"/>
                <w:szCs w:val="18"/>
              </w:rPr>
              <w:t xml:space="preserve">, respectivamente). El metaanálisis con número de referencia 30 del informe actual fue publicado en 2018 por lo que, por razones temporales, no pudo haber sido el motivo para justificar la no inclusión de afatinib en el brazo comparador del estudio FLAURA. </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Por otro lado, el estudio citado en el informe incluye solo estudios con gefitinib y erlotinib. Por este motivo, de sus conclusiones no pudo haberse inferido que los 3 fármacos (refiriéndose, se entiende, a erlotinib, gefitinib y afatinib) tienen eficacia similar. Por ello tampoco parece razonable que este fuera el motivo para justificar que no era necesario incluir afatinib como comparador del estudio FLAURA.</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 xml:space="preserve">Entendemos que en la fase de diseño del estudio FLAURA, los datos publicados de eficacia de afatinib serían limitados pero también queremos hacer constar que cualquier análisis de ese momento no pudo haber tenido en cuenta ni los resultados finales de los estudios LUX-Lung 3 y </w:t>
            </w:r>
            <w:r w:rsidRPr="00550EA8">
              <w:rPr>
                <w:rFonts w:ascii="Arial" w:hAnsi="Arial" w:cs="Arial"/>
                <w:color w:val="000080"/>
                <w:sz w:val="18"/>
                <w:szCs w:val="18"/>
              </w:rPr>
              <w:lastRenderedPageBreak/>
              <w:t>LUX-Lung 6</w:t>
            </w:r>
            <w:r w:rsidRPr="00550EA8">
              <w:rPr>
                <w:rFonts w:ascii="Arial" w:hAnsi="Arial" w:cs="Arial"/>
                <w:color w:val="000080"/>
                <w:sz w:val="18"/>
                <w:szCs w:val="18"/>
                <w:vertAlign w:val="superscript"/>
              </w:rPr>
              <w:t>3</w:t>
            </w:r>
            <w:r w:rsidRPr="00550EA8">
              <w:rPr>
                <w:rFonts w:ascii="Arial" w:hAnsi="Arial" w:cs="Arial"/>
                <w:color w:val="000080"/>
                <w:sz w:val="18"/>
                <w:szCs w:val="18"/>
              </w:rPr>
              <w:t xml:space="preserve"> ni el estudio LUX-Lung 7</w:t>
            </w:r>
            <w:r w:rsidRPr="00550EA8">
              <w:rPr>
                <w:rFonts w:ascii="Arial" w:hAnsi="Arial" w:cs="Arial"/>
                <w:color w:val="000080"/>
                <w:sz w:val="18"/>
                <w:szCs w:val="18"/>
                <w:vertAlign w:val="superscript"/>
              </w:rPr>
              <w:t>4</w:t>
            </w:r>
            <w:r w:rsidRPr="00550EA8">
              <w:rPr>
                <w:rFonts w:ascii="Arial" w:hAnsi="Arial" w:cs="Arial"/>
                <w:color w:val="000080"/>
                <w:sz w:val="18"/>
                <w:szCs w:val="18"/>
              </w:rPr>
              <w:t xml:space="preserve"> que comparó afatinib versus gefitinib en pacientes con mutaciones frecuentes del EGFR publicados con posterioridad.</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A día de hoy, afatinib sí es una opción de tratamiento estándar recogida por las Guías de cáncer de pulmón de nuestro entorno como la Sociedad Española de Oncología Médica (SEOM)</w:t>
            </w:r>
            <w:r w:rsidRPr="00550EA8">
              <w:rPr>
                <w:rFonts w:ascii="Arial" w:hAnsi="Arial" w:cs="Arial"/>
                <w:color w:val="000080"/>
                <w:sz w:val="18"/>
                <w:szCs w:val="18"/>
                <w:vertAlign w:val="superscript"/>
              </w:rPr>
              <w:t xml:space="preserve">5 </w:t>
            </w:r>
            <w:r w:rsidRPr="00550EA8">
              <w:rPr>
                <w:rFonts w:ascii="Arial" w:hAnsi="Arial" w:cs="Arial"/>
                <w:color w:val="000080"/>
                <w:sz w:val="18"/>
                <w:szCs w:val="18"/>
              </w:rPr>
              <w:t>y la de Sociedad Europea de Oncología Médica (ESMO)</w:t>
            </w:r>
            <w:r w:rsidRPr="00550EA8">
              <w:rPr>
                <w:rFonts w:ascii="Arial" w:hAnsi="Arial" w:cs="Arial"/>
                <w:color w:val="000080"/>
                <w:sz w:val="18"/>
                <w:szCs w:val="18"/>
                <w:vertAlign w:val="superscript"/>
              </w:rPr>
              <w:t>6</w:t>
            </w:r>
            <w:r w:rsidRPr="00550EA8">
              <w:rPr>
                <w:rFonts w:ascii="Arial" w:hAnsi="Arial" w:cs="Arial"/>
                <w:color w:val="000080"/>
                <w:sz w:val="18"/>
                <w:szCs w:val="18"/>
              </w:rPr>
              <w:t>. También en las Guías de la National Comprehensive Cancer Network de cáncer de pulmón de Estados Unidos con grado de recomendación 1 desde la versión 1 de 2014 de como mínimo el 24 de enero de 2014</w:t>
            </w:r>
            <w:r w:rsidRPr="00550EA8">
              <w:rPr>
                <w:rFonts w:ascii="Arial" w:hAnsi="Arial" w:cs="Arial"/>
                <w:color w:val="000080"/>
                <w:sz w:val="18"/>
                <w:szCs w:val="18"/>
                <w:vertAlign w:val="superscript"/>
              </w:rPr>
              <w:t>7</w:t>
            </w:r>
            <w:r w:rsidRPr="00550EA8">
              <w:rPr>
                <w:rFonts w:ascii="Arial" w:hAnsi="Arial" w:cs="Arial"/>
                <w:color w:val="000080"/>
                <w:sz w:val="18"/>
                <w:szCs w:val="18"/>
              </w:rPr>
              <w:t xml:space="preserve">, casi 1 año antes del inicio de reclutamiento del estudio FLAURA. </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Sugerencia de cambio:</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Sugerimos revisar la referencia utilizada para afirmar que en el momento de diseñar el estudio FLAURA el laboratorio promotor asumió que potencialmente los 3 TKI podían tener eficacia similar en el momento de diseñar el estudio. En caso de no haber incluido afatinib, eliminar la parte que sugiere eficacia similar de los 3 TKI. También matizar que afatinib estaba incluido en guías de práctica clínica como opción de 1L en EGFR, como mínimo, en las Guías del NCCN junto con erlotinib (en EEUU la comercializción de gefitinib fue posterior a la de afatinib).</w:t>
            </w:r>
          </w:p>
          <w:p w:rsidR="00DD1521" w:rsidRPr="00550EA8" w:rsidRDefault="00DD1521" w:rsidP="00550EA8">
            <w:pPr>
              <w:spacing w:after="0" w:line="240" w:lineRule="auto"/>
              <w:jc w:val="both"/>
              <w:rPr>
                <w:rFonts w:ascii="Arial" w:hAnsi="Arial" w:cs="Arial"/>
                <w:b/>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Referencias:</w:t>
            </w:r>
          </w:p>
          <w:p w:rsidR="00DD1521" w:rsidRPr="00550EA8" w:rsidRDefault="00DD1521" w:rsidP="00550EA8">
            <w:pPr>
              <w:numPr>
                <w:ilvl w:val="0"/>
                <w:numId w:val="25"/>
              </w:numPr>
              <w:spacing w:after="0" w:line="240" w:lineRule="auto"/>
              <w:ind w:left="213" w:hanging="213"/>
              <w:rPr>
                <w:rFonts w:ascii="Arial" w:hAnsi="Arial" w:cs="Arial"/>
                <w:i/>
                <w:color w:val="000080"/>
                <w:sz w:val="18"/>
                <w:szCs w:val="18"/>
              </w:rPr>
            </w:pPr>
            <w:r w:rsidRPr="00550EA8">
              <w:rPr>
                <w:rFonts w:ascii="Arial" w:hAnsi="Arial" w:cs="Arial"/>
                <w:bCs/>
                <w:i/>
                <w:color w:val="000080"/>
                <w:sz w:val="18"/>
                <w:szCs w:val="18"/>
                <w:lang w:val="en-US"/>
              </w:rPr>
              <w:t xml:space="preserve">AZD9291 Versus Gefitinib or Erlotinib in Patients With Locally Advanced or Metastatic Non-small Cell Lung Cancer (FLAURA). </w:t>
            </w:r>
            <w:r w:rsidRPr="00550EA8">
              <w:rPr>
                <w:rFonts w:ascii="Arial" w:hAnsi="Arial" w:cs="Arial"/>
                <w:bCs/>
                <w:i/>
                <w:color w:val="000080"/>
                <w:sz w:val="18"/>
                <w:szCs w:val="18"/>
              </w:rPr>
              <w:t xml:space="preserve">Descripción del estudio disponible en: </w:t>
            </w:r>
            <w:hyperlink r:id="rId34" w:history="1">
              <w:r w:rsidRPr="00550EA8">
                <w:rPr>
                  <w:rStyle w:val="Hipervnculo"/>
                  <w:rFonts w:ascii="Arial" w:hAnsi="Arial" w:cs="Arial"/>
                  <w:bCs/>
                  <w:i/>
                  <w:color w:val="000080"/>
                  <w:sz w:val="18"/>
                  <w:szCs w:val="18"/>
                </w:rPr>
                <w:t>https://clinicaltrials.gov/ct2/show/NCT02296125</w:t>
              </w:r>
            </w:hyperlink>
            <w:r w:rsidRPr="00550EA8">
              <w:rPr>
                <w:rFonts w:ascii="Arial" w:hAnsi="Arial" w:cs="Arial"/>
                <w:bCs/>
                <w:i/>
                <w:color w:val="000080"/>
                <w:sz w:val="18"/>
                <w:szCs w:val="18"/>
              </w:rPr>
              <w:t xml:space="preserve"> </w:t>
            </w:r>
          </w:p>
          <w:p w:rsidR="00DD1521" w:rsidRPr="00550EA8" w:rsidRDefault="00DD1521" w:rsidP="00550EA8">
            <w:pPr>
              <w:numPr>
                <w:ilvl w:val="0"/>
                <w:numId w:val="25"/>
              </w:numPr>
              <w:spacing w:after="0" w:line="240" w:lineRule="auto"/>
              <w:ind w:left="213" w:hanging="213"/>
              <w:rPr>
                <w:rFonts w:ascii="Arial" w:hAnsi="Arial" w:cs="Arial"/>
                <w:bCs/>
                <w:i/>
                <w:color w:val="000080"/>
                <w:sz w:val="18"/>
                <w:szCs w:val="18"/>
                <w:lang w:val="en-GB"/>
              </w:rPr>
            </w:pPr>
            <w:r w:rsidRPr="00550EA8">
              <w:rPr>
                <w:rFonts w:ascii="Arial" w:hAnsi="Arial" w:cs="Arial"/>
                <w:bCs/>
                <w:i/>
                <w:color w:val="000080"/>
                <w:sz w:val="18"/>
                <w:szCs w:val="18"/>
                <w:lang w:val="en-GB"/>
              </w:rPr>
              <w:t>GIOTRIF Committee for Medicinal Products for Human Use (CHMP) Summary of positive opinion.</w:t>
            </w:r>
          </w:p>
          <w:p w:rsidR="00DD1521" w:rsidRPr="00550EA8" w:rsidRDefault="00DD1521" w:rsidP="00550EA8">
            <w:pPr>
              <w:spacing w:after="0" w:line="240" w:lineRule="auto"/>
              <w:ind w:left="213"/>
              <w:rPr>
                <w:rFonts w:ascii="Arial" w:hAnsi="Arial" w:cs="Arial"/>
                <w:i/>
                <w:color w:val="000080"/>
                <w:sz w:val="18"/>
                <w:szCs w:val="18"/>
              </w:rPr>
            </w:pPr>
            <w:r w:rsidRPr="00550EA8">
              <w:rPr>
                <w:rFonts w:ascii="Arial" w:hAnsi="Arial" w:cs="Arial"/>
                <w:i/>
                <w:color w:val="000080"/>
                <w:sz w:val="18"/>
                <w:szCs w:val="18"/>
              </w:rPr>
              <w:t xml:space="preserve">Disponible en: </w:t>
            </w:r>
            <w:hyperlink r:id="rId35" w:history="1">
              <w:r w:rsidRPr="00550EA8">
                <w:rPr>
                  <w:rStyle w:val="Hipervnculo"/>
                  <w:rFonts w:ascii="Arial" w:hAnsi="Arial" w:cs="Arial"/>
                  <w:i/>
                  <w:color w:val="000080"/>
                  <w:sz w:val="18"/>
                  <w:szCs w:val="18"/>
                </w:rPr>
                <w:t>https://www.ema.europa.eu/en/documents/smop-initial/chmp-summary-positive-opinion-giotrif_en.pdf</w:t>
              </w:r>
            </w:hyperlink>
            <w:r w:rsidRPr="00550EA8">
              <w:rPr>
                <w:rFonts w:ascii="Arial" w:hAnsi="Arial" w:cs="Arial"/>
                <w:i/>
                <w:color w:val="000080"/>
                <w:sz w:val="18"/>
                <w:szCs w:val="18"/>
              </w:rPr>
              <w:t xml:space="preserve"> </w:t>
            </w:r>
          </w:p>
          <w:p w:rsidR="00DD1521" w:rsidRPr="00550EA8" w:rsidRDefault="00DD1521" w:rsidP="00550EA8">
            <w:pPr>
              <w:numPr>
                <w:ilvl w:val="0"/>
                <w:numId w:val="25"/>
              </w:numPr>
              <w:spacing w:after="0" w:line="240" w:lineRule="auto"/>
              <w:ind w:left="213" w:hanging="213"/>
              <w:rPr>
                <w:rFonts w:ascii="Arial" w:hAnsi="Arial" w:cs="Arial"/>
                <w:bCs/>
                <w:i/>
                <w:color w:val="000080"/>
                <w:sz w:val="18"/>
                <w:szCs w:val="18"/>
                <w:lang w:val="en-US"/>
              </w:rPr>
            </w:pPr>
            <w:r w:rsidRPr="00550EA8">
              <w:rPr>
                <w:rFonts w:ascii="Arial" w:hAnsi="Arial" w:cs="Arial"/>
                <w:bCs/>
                <w:i/>
                <w:color w:val="000080"/>
                <w:sz w:val="18"/>
                <w:szCs w:val="18"/>
              </w:rPr>
              <w:t xml:space="preserve">Yang JC, Wu YL, Schuler M, et al. Afatinib versus cisplatin based chemotherapy for EGFR mutation-positive lung adenocarcinoma (LUX-Lung 3 and LUX-Lung 6): analysis of overall survival data from two randomised, phase 3 trials. </w:t>
            </w:r>
            <w:r w:rsidRPr="00550EA8">
              <w:rPr>
                <w:rFonts w:ascii="Arial" w:hAnsi="Arial" w:cs="Arial"/>
                <w:bCs/>
                <w:i/>
                <w:color w:val="000080"/>
                <w:sz w:val="18"/>
                <w:szCs w:val="18"/>
                <w:lang w:val="en-US"/>
              </w:rPr>
              <w:t>Lancet Oncol. 2015;16(2):141-51.</w:t>
            </w:r>
          </w:p>
          <w:p w:rsidR="00DD1521" w:rsidRPr="00550EA8" w:rsidRDefault="00DD1521" w:rsidP="00550EA8">
            <w:pPr>
              <w:pStyle w:val="reference"/>
              <w:numPr>
                <w:ilvl w:val="0"/>
                <w:numId w:val="25"/>
              </w:numPr>
              <w:spacing w:after="0"/>
              <w:ind w:left="213" w:hanging="213"/>
              <w:rPr>
                <w:rFonts w:cs="Arial"/>
                <w:bCs/>
                <w:i/>
                <w:color w:val="000080"/>
                <w:sz w:val="18"/>
                <w:szCs w:val="18"/>
                <w:lang w:eastAsia="es-ES"/>
              </w:rPr>
            </w:pPr>
            <w:r w:rsidRPr="00550EA8">
              <w:rPr>
                <w:rFonts w:cs="Arial"/>
                <w:bCs/>
                <w:i/>
                <w:color w:val="000080"/>
                <w:sz w:val="18"/>
                <w:szCs w:val="18"/>
                <w:lang w:eastAsia="es-ES"/>
              </w:rPr>
              <w:t>Park K, Tan EH, O'Byrne K, Zhang L, Boyer M, Mok T, Hirsh V, Yang JC, Lee KH, Lu S, Shi Y. Afatinib versus gefitinib as first-line treatment of patients with EGFR mutation-positive non-small-cell lung cancer (LUX-Lung 7): a phase 2B, open-label, randomised controlled trial. The Lancet oncology. 2016 May 1;17(5):577-89.</w:t>
            </w:r>
          </w:p>
          <w:p w:rsidR="00DD1521" w:rsidRPr="00550EA8" w:rsidRDefault="00DD1521" w:rsidP="00550EA8">
            <w:pPr>
              <w:pStyle w:val="reference"/>
              <w:numPr>
                <w:ilvl w:val="0"/>
                <w:numId w:val="25"/>
              </w:numPr>
              <w:spacing w:after="0"/>
              <w:ind w:left="213" w:hanging="213"/>
              <w:rPr>
                <w:rFonts w:cs="Arial"/>
                <w:bCs/>
                <w:i/>
                <w:color w:val="000080"/>
                <w:sz w:val="18"/>
                <w:szCs w:val="18"/>
                <w:lang w:eastAsia="es-ES"/>
              </w:rPr>
            </w:pPr>
            <w:r w:rsidRPr="00550EA8">
              <w:rPr>
                <w:rFonts w:cs="Arial"/>
                <w:bCs/>
                <w:i/>
                <w:color w:val="000080"/>
                <w:sz w:val="18"/>
                <w:szCs w:val="18"/>
                <w:lang w:val="pt-BR"/>
              </w:rPr>
              <w:t xml:space="preserve">M. Majem, Juan O, Insa A, Reguart N, Trigo JM, Carcereny E et al. </w:t>
            </w:r>
            <w:r w:rsidRPr="00550EA8">
              <w:rPr>
                <w:rFonts w:cs="Arial"/>
                <w:bCs/>
                <w:i/>
                <w:color w:val="000080"/>
                <w:sz w:val="18"/>
                <w:szCs w:val="18"/>
              </w:rPr>
              <w:t>SEOM clinical guidelines for the treatment of non</w:t>
            </w:r>
            <w:r w:rsidRPr="00550EA8">
              <w:rPr>
                <w:rFonts w:cs="Arial"/>
                <w:bCs/>
                <w:i/>
                <w:color w:val="000080"/>
                <w:sz w:val="18"/>
                <w:szCs w:val="18"/>
              </w:rPr>
              <w:noBreakHyphen/>
              <w:t>small cell lung cancer (2018) Clinical and Translational Oncology Clin Transl Oncol. 2019 Jan;21(1):3-17</w:t>
            </w:r>
          </w:p>
          <w:p w:rsidR="00DD1521" w:rsidRPr="00550EA8" w:rsidRDefault="00DD1521" w:rsidP="00550EA8">
            <w:pPr>
              <w:pStyle w:val="reference"/>
              <w:numPr>
                <w:ilvl w:val="0"/>
                <w:numId w:val="25"/>
              </w:numPr>
              <w:spacing w:after="0"/>
              <w:ind w:left="213" w:hanging="213"/>
              <w:rPr>
                <w:rFonts w:cs="Arial"/>
                <w:bCs/>
                <w:i/>
                <w:color w:val="000080"/>
                <w:sz w:val="18"/>
                <w:szCs w:val="18"/>
                <w:lang w:val="es-ES" w:eastAsia="es-ES"/>
              </w:rPr>
            </w:pPr>
            <w:r w:rsidRPr="00550EA8">
              <w:rPr>
                <w:rFonts w:cs="Arial"/>
                <w:bCs/>
                <w:i/>
                <w:color w:val="000080"/>
                <w:sz w:val="18"/>
                <w:szCs w:val="18"/>
              </w:rPr>
              <w:t xml:space="preserve">D. Planchard, S. Popat, K. Kerr, S. Novello, E. F. Smit, C. Faivre-Finn, T. S. Mok, M. Reck, P. E. Van Schil, M. D. Hellmann &amp; S. Peters, on behalf of the ESMO Guidelines Committee. Metastatic Non-Small-Cell Lung Cancer: ESMO Clinical Practice Guidelines for diagnosis, treatment and follow-up. </w:t>
            </w:r>
            <w:r w:rsidRPr="00550EA8">
              <w:rPr>
                <w:rFonts w:cs="Arial"/>
                <w:bCs/>
                <w:i/>
                <w:color w:val="000080"/>
                <w:sz w:val="18"/>
                <w:szCs w:val="18"/>
                <w:lang w:val="es-ES"/>
              </w:rPr>
              <w:t xml:space="preserve">Versión corregida online disponible en: </w:t>
            </w:r>
            <w:hyperlink r:id="rId36" w:history="1">
              <w:r w:rsidRPr="00550EA8">
                <w:rPr>
                  <w:rStyle w:val="Hipervnculo"/>
                  <w:rFonts w:cs="Arial"/>
                  <w:i/>
                  <w:color w:val="000080"/>
                  <w:sz w:val="18"/>
                  <w:szCs w:val="18"/>
                  <w:lang w:val="es-ES"/>
                </w:rPr>
                <w:t>https://www.esmo.org/Guidelines/Lung-and-Chest-Tumours/Metastatic-Non-Small-Cell-Lung-Cancer</w:t>
              </w:r>
            </w:hyperlink>
            <w:r w:rsidRPr="00550EA8">
              <w:rPr>
                <w:rFonts w:cs="Arial"/>
                <w:color w:val="000080"/>
                <w:sz w:val="18"/>
                <w:szCs w:val="18"/>
                <w:lang w:val="es-ES"/>
              </w:rPr>
              <w:t xml:space="preserve"> </w:t>
            </w:r>
          </w:p>
          <w:p w:rsidR="00DD1521" w:rsidRPr="00550EA8" w:rsidRDefault="00DD1521" w:rsidP="00550EA8">
            <w:pPr>
              <w:pStyle w:val="reference"/>
              <w:numPr>
                <w:ilvl w:val="0"/>
                <w:numId w:val="25"/>
              </w:numPr>
              <w:spacing w:after="0"/>
              <w:ind w:left="213" w:hanging="213"/>
              <w:rPr>
                <w:rFonts w:cs="Arial"/>
                <w:bCs/>
                <w:i/>
                <w:color w:val="000000"/>
                <w:sz w:val="18"/>
                <w:szCs w:val="18"/>
                <w:lang w:val="es-ES" w:eastAsia="es-ES"/>
              </w:rPr>
            </w:pPr>
            <w:r w:rsidRPr="00550EA8">
              <w:rPr>
                <w:rFonts w:cs="Arial"/>
                <w:bCs/>
                <w:i/>
                <w:color w:val="000080"/>
                <w:sz w:val="18"/>
                <w:szCs w:val="18"/>
                <w:lang w:eastAsia="es-ES"/>
              </w:rPr>
              <w:t xml:space="preserve">NCCN Clinical Practice Guidelines in Oncology (NCCN Guidelines) Non-Small cell Lung Cancer. </w:t>
            </w:r>
            <w:r w:rsidRPr="00550EA8">
              <w:rPr>
                <w:rFonts w:cs="Arial"/>
                <w:bCs/>
                <w:i/>
                <w:color w:val="000080"/>
                <w:sz w:val="18"/>
                <w:szCs w:val="18"/>
                <w:lang w:val="es-ES" w:eastAsia="es-ES"/>
              </w:rPr>
              <w:t>Version 3.2014. No disponible on-line. Adjuntamos documento pdf. Ver página 6 donde se indica las modificaciones incluidas a la versión 1.2014 sobre la versión 2.2013.</w:t>
            </w:r>
          </w:p>
        </w:tc>
        <w:tc>
          <w:tcPr>
            <w:tcW w:w="1460" w:type="dxa"/>
          </w:tcPr>
          <w:p w:rsidR="00DD1521" w:rsidRPr="00550EA8" w:rsidRDefault="00DD1521" w:rsidP="00550EA8">
            <w:pPr>
              <w:spacing w:after="0" w:line="240" w:lineRule="auto"/>
              <w:jc w:val="both"/>
              <w:rPr>
                <w:rFonts w:ascii="Arial" w:hAnsi="Arial" w:cs="Arial"/>
                <w:color w:val="000080"/>
                <w:sz w:val="18"/>
                <w:szCs w:val="18"/>
              </w:rPr>
            </w:pPr>
            <w:r>
              <w:rPr>
                <w:rFonts w:ascii="Arial" w:hAnsi="Arial" w:cs="Arial"/>
                <w:color w:val="000080"/>
                <w:sz w:val="18"/>
                <w:szCs w:val="18"/>
              </w:rPr>
              <w:lastRenderedPageBreak/>
              <w:t xml:space="preserve">Se sustituye la frase original por: </w:t>
            </w:r>
          </w:p>
          <w:p w:rsidR="00DD1521" w:rsidRPr="00550EA8" w:rsidRDefault="00DD1521" w:rsidP="00550EA8">
            <w:pPr>
              <w:spacing w:after="0" w:line="240" w:lineRule="auto"/>
              <w:jc w:val="both"/>
              <w:rPr>
                <w:rFonts w:ascii="Arial" w:hAnsi="Arial" w:cs="Arial"/>
                <w:color w:val="000080"/>
                <w:sz w:val="18"/>
                <w:szCs w:val="18"/>
              </w:rPr>
            </w:pPr>
            <w:r w:rsidRPr="0067423F">
              <w:rPr>
                <w:rFonts w:ascii="Arial" w:hAnsi="Arial" w:cs="Arial"/>
                <w:color w:val="000080"/>
                <w:sz w:val="18"/>
                <w:szCs w:val="18"/>
              </w:rPr>
              <w:t>“Hay que tener en cuenta que en el momento del diseño del estudio, afatinib no estaba disponible en algunos países participantes en el estudio.”</w:t>
            </w:r>
          </w:p>
        </w:tc>
      </w:tr>
      <w:tr w:rsidR="00DD1521" w:rsidRPr="00521123" w:rsidTr="00550EA8">
        <w:tc>
          <w:tcPr>
            <w:tcW w:w="1121" w:type="dxa"/>
          </w:tcPr>
          <w:p w:rsidR="00DD1521" w:rsidRPr="00550EA8" w:rsidRDefault="00DD1521" w:rsidP="00550EA8">
            <w:pPr>
              <w:spacing w:after="0" w:line="240" w:lineRule="auto"/>
              <w:rPr>
                <w:rFonts w:ascii="Arial" w:hAnsi="Arial" w:cs="Arial"/>
                <w:color w:val="000080"/>
                <w:sz w:val="18"/>
                <w:szCs w:val="18"/>
              </w:rPr>
            </w:pPr>
            <w:r w:rsidRPr="00550EA8">
              <w:rPr>
                <w:rFonts w:ascii="Arial" w:hAnsi="Arial" w:cs="Arial"/>
                <w:b/>
                <w:color w:val="000080"/>
                <w:sz w:val="18"/>
                <w:szCs w:val="18"/>
              </w:rPr>
              <w:lastRenderedPageBreak/>
              <w:t xml:space="preserve">Dept Market Access </w:t>
            </w:r>
          </w:p>
        </w:tc>
        <w:tc>
          <w:tcPr>
            <w:tcW w:w="8039" w:type="dxa"/>
          </w:tcPr>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Alegación 2.</w:t>
            </w:r>
          </w:p>
          <w:p w:rsidR="00DD1521" w:rsidRPr="00550EA8" w:rsidRDefault="00DD1521" w:rsidP="00550EA8">
            <w:pPr>
              <w:spacing w:after="0" w:line="240" w:lineRule="auto"/>
              <w:jc w:val="both"/>
              <w:rPr>
                <w:rFonts w:ascii="Arial" w:hAnsi="Arial" w:cs="Arial"/>
                <w:b/>
                <w:color w:val="000080"/>
                <w:sz w:val="18"/>
                <w:szCs w:val="18"/>
                <w:highlight w:val="magenta"/>
              </w:rPr>
            </w:pPr>
            <w:r w:rsidRPr="00550EA8">
              <w:rPr>
                <w:rFonts w:ascii="Arial" w:hAnsi="Arial" w:cs="Arial"/>
                <w:b/>
                <w:color w:val="000080"/>
                <w:sz w:val="18"/>
                <w:szCs w:val="18"/>
              </w:rPr>
              <w:t>Apartado C.2 La evidencia de equivalencia terapéutica (pag. 22)</w:t>
            </w:r>
          </w:p>
          <w:p w:rsidR="00DD1521" w:rsidRPr="00550EA8" w:rsidRDefault="00DD1521" w:rsidP="00550EA8">
            <w:pPr>
              <w:spacing w:after="0" w:line="240" w:lineRule="auto"/>
              <w:jc w:val="both"/>
              <w:rPr>
                <w:rFonts w:ascii="Arial" w:hAnsi="Arial" w:cs="Arial"/>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Frase original:</w:t>
            </w:r>
          </w:p>
          <w:p w:rsidR="00DD1521" w:rsidRPr="00550EA8" w:rsidRDefault="00DD1521" w:rsidP="00550EA8">
            <w:pPr>
              <w:pStyle w:val="Normal1"/>
              <w:spacing w:after="0" w:line="240" w:lineRule="auto"/>
              <w:jc w:val="both"/>
              <w:rPr>
                <w:rFonts w:ascii="Arial" w:hAnsi="Arial" w:cs="Arial"/>
                <w:i/>
                <w:color w:val="000080"/>
                <w:sz w:val="18"/>
                <w:szCs w:val="18"/>
              </w:rPr>
            </w:pPr>
            <w:r w:rsidRPr="00550EA8">
              <w:rPr>
                <w:rFonts w:ascii="Arial" w:hAnsi="Arial" w:cs="Arial"/>
                <w:i/>
                <w:color w:val="000080"/>
                <w:sz w:val="18"/>
                <w:szCs w:val="18"/>
              </w:rPr>
              <w:t xml:space="preserve">“Por tanto, los dos metaanálisis disponibles apoyan la equivalencia entre los tres fármacos, (…)”. </w:t>
            </w:r>
          </w:p>
          <w:p w:rsidR="00DD1521" w:rsidRPr="00550EA8" w:rsidRDefault="00DD1521" w:rsidP="00550EA8">
            <w:pPr>
              <w:spacing w:after="0" w:line="240" w:lineRule="auto"/>
              <w:jc w:val="both"/>
              <w:rPr>
                <w:rFonts w:ascii="Arial" w:hAnsi="Arial" w:cs="Arial"/>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Motivo de la alegación:</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Una búsqueda en PubMED (palabras clave: afatinib, erlotinib, gefitinib, TKI, EGFR, lung cancer), a día de hoy, de metanálisis y metanálisis en red cuyo objetivo sea conocer la eficacia/seguridad relativa de los distintos TKI en pacientes con mutaciones del EFGR muestra que la bibliografía es extensa.</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 xml:space="preserve">El primer hallazgo que revela la lectura de estos estudios es que existen importantes diferencias entre ellos, por ejemplo, en el número de TKI incluidos en el análisis (erlotinib, gefitinib, afatinib, icotinib, dacomitinib y/o osimertinib) y en la evidencia incluida, tanto en lo que refiere al tipo de estudios (ensayos clínicos, estudios de cohortes retrospectivas y/o prospectivas) como al número de estudios incluidos –determinado por la disponibilidad de datos en el tiempo de corte de las búsquedas. Se entiende que, en base a lo anterior, las conclusiones de cada uno de los estudios sea también diferente. </w:t>
            </w:r>
          </w:p>
          <w:p w:rsidR="00DD1521" w:rsidRPr="00550EA8" w:rsidRDefault="00DD1521" w:rsidP="00550EA8">
            <w:pPr>
              <w:pStyle w:val="NormalWeb"/>
              <w:spacing w:before="0" w:beforeAutospacing="0" w:after="0" w:afterAutospacing="0" w:line="240" w:lineRule="auto"/>
              <w:jc w:val="both"/>
              <w:rPr>
                <w:rFonts w:ascii="Arial" w:hAnsi="Arial" w:cs="Arial"/>
                <w:color w:val="000080"/>
                <w:sz w:val="18"/>
                <w:szCs w:val="18"/>
              </w:rPr>
            </w:pPr>
            <w:r w:rsidRPr="00550EA8">
              <w:rPr>
                <w:rFonts w:ascii="Arial" w:hAnsi="Arial" w:cs="Arial"/>
                <w:color w:val="000080"/>
                <w:sz w:val="18"/>
                <w:szCs w:val="18"/>
              </w:rPr>
              <w:lastRenderedPageBreak/>
              <w:t>A modo de ejemplo, se han identificado como mínimo 3 estudios que contradicen las conclusiones del estudio de Yang et al 2017 utilizado como única referencia en el informe actual:</w:t>
            </w:r>
          </w:p>
          <w:p w:rsidR="00DD1521" w:rsidRPr="00550EA8" w:rsidRDefault="00DD1521" w:rsidP="00550EA8">
            <w:pPr>
              <w:pStyle w:val="NormalWeb"/>
              <w:numPr>
                <w:ilvl w:val="0"/>
                <w:numId w:val="21"/>
              </w:numPr>
              <w:spacing w:before="0" w:beforeAutospacing="0" w:after="0" w:afterAutospacing="0" w:line="240" w:lineRule="auto"/>
              <w:ind w:left="355" w:hanging="283"/>
              <w:jc w:val="both"/>
              <w:rPr>
                <w:rFonts w:ascii="Arial" w:hAnsi="Arial" w:cs="Arial"/>
                <w:color w:val="000080"/>
                <w:sz w:val="18"/>
                <w:szCs w:val="18"/>
              </w:rPr>
            </w:pPr>
            <w:r w:rsidRPr="00550EA8">
              <w:rPr>
                <w:rFonts w:ascii="Arial" w:hAnsi="Arial" w:cs="Arial"/>
                <w:color w:val="000080"/>
                <w:sz w:val="18"/>
                <w:szCs w:val="18"/>
              </w:rPr>
              <w:t>Zhang et al. 2016</w:t>
            </w:r>
            <w:r w:rsidRPr="00550EA8">
              <w:rPr>
                <w:rFonts w:ascii="Arial" w:hAnsi="Arial" w:cs="Arial"/>
                <w:color w:val="000080"/>
                <w:sz w:val="18"/>
                <w:szCs w:val="18"/>
                <w:vertAlign w:val="superscript"/>
              </w:rPr>
              <w:t xml:space="preserve">1 </w:t>
            </w:r>
            <w:r w:rsidRPr="00550EA8">
              <w:rPr>
                <w:rFonts w:ascii="Arial" w:hAnsi="Arial" w:cs="Arial"/>
                <w:color w:val="000080"/>
                <w:sz w:val="18"/>
                <w:szCs w:val="18"/>
              </w:rPr>
              <w:t>(16 ensayos clínicos aleatorizados; 2.962 pacientes) observan que el rango de probabilidad indica que afatinib y erlotinib tienen potencialmente mejor eficacia que gefitinib.</w:t>
            </w:r>
          </w:p>
          <w:p w:rsidR="00DD1521" w:rsidRPr="00550EA8" w:rsidRDefault="00DD1521" w:rsidP="00550EA8">
            <w:pPr>
              <w:pStyle w:val="NormalWeb"/>
              <w:numPr>
                <w:ilvl w:val="0"/>
                <w:numId w:val="21"/>
              </w:numPr>
              <w:spacing w:before="0" w:beforeAutospacing="0" w:after="0" w:afterAutospacing="0" w:line="240" w:lineRule="auto"/>
              <w:ind w:left="355" w:hanging="283"/>
              <w:jc w:val="both"/>
              <w:rPr>
                <w:rFonts w:ascii="Arial" w:hAnsi="Arial" w:cs="Arial"/>
                <w:color w:val="000080"/>
                <w:sz w:val="18"/>
                <w:szCs w:val="18"/>
              </w:rPr>
            </w:pPr>
            <w:r w:rsidRPr="00550EA8">
              <w:rPr>
                <w:rFonts w:ascii="Arial" w:hAnsi="Arial" w:cs="Arial"/>
                <w:color w:val="000080"/>
                <w:sz w:val="18"/>
                <w:szCs w:val="18"/>
              </w:rPr>
              <w:t>Zhang et al. 2017</w:t>
            </w:r>
            <w:r w:rsidRPr="00550EA8">
              <w:rPr>
                <w:rFonts w:ascii="Arial" w:hAnsi="Arial" w:cs="Arial"/>
                <w:color w:val="000080"/>
                <w:sz w:val="18"/>
                <w:szCs w:val="18"/>
                <w:vertAlign w:val="superscript"/>
              </w:rPr>
              <w:t xml:space="preserve">2 </w:t>
            </w:r>
            <w:r w:rsidRPr="00550EA8">
              <w:rPr>
                <w:rFonts w:ascii="Arial" w:hAnsi="Arial" w:cs="Arial"/>
                <w:color w:val="000080"/>
                <w:sz w:val="18"/>
                <w:szCs w:val="18"/>
              </w:rPr>
              <w:t xml:space="preserve">(6 ensayos clínicos; 1.055 pacientes) concluyen que sí existen diferencias entre los TKI de 1ª generación (erlotinib, gefitinib y icotinib) y los TKI de 2ª generación (afatinib y dacomitinib) a favor de estos últimos. </w:t>
            </w:r>
          </w:p>
          <w:p w:rsidR="00DD1521" w:rsidRPr="00550EA8" w:rsidRDefault="00DD1521" w:rsidP="00550EA8">
            <w:pPr>
              <w:pStyle w:val="NormalWeb"/>
              <w:numPr>
                <w:ilvl w:val="0"/>
                <w:numId w:val="21"/>
              </w:numPr>
              <w:spacing w:before="0" w:beforeAutospacing="0" w:after="0" w:afterAutospacing="0" w:line="240" w:lineRule="auto"/>
              <w:ind w:left="355" w:hanging="283"/>
              <w:jc w:val="both"/>
              <w:rPr>
                <w:rFonts w:ascii="Arial" w:hAnsi="Arial" w:cs="Arial"/>
                <w:color w:val="000080"/>
                <w:sz w:val="18"/>
                <w:szCs w:val="18"/>
              </w:rPr>
            </w:pPr>
            <w:r w:rsidRPr="00550EA8">
              <w:rPr>
                <w:rFonts w:ascii="Arial" w:hAnsi="Arial" w:cs="Arial"/>
                <w:color w:val="000080"/>
                <w:sz w:val="18"/>
                <w:szCs w:val="18"/>
              </w:rPr>
              <w:t>Li et al 2018</w:t>
            </w:r>
            <w:r w:rsidRPr="00550EA8">
              <w:rPr>
                <w:rFonts w:ascii="Arial" w:hAnsi="Arial" w:cs="Arial"/>
                <w:color w:val="000080"/>
                <w:sz w:val="18"/>
                <w:szCs w:val="18"/>
                <w:vertAlign w:val="superscript"/>
              </w:rPr>
              <w:t>3</w:t>
            </w:r>
            <w:r w:rsidRPr="00550EA8">
              <w:rPr>
                <w:rFonts w:ascii="Arial" w:hAnsi="Arial" w:cs="Arial"/>
                <w:color w:val="000080"/>
                <w:sz w:val="18"/>
                <w:szCs w:val="18"/>
              </w:rPr>
              <w:t xml:space="preserve"> (11 ensayos clínico; 3.145 pacientes) observan que los 3 TKI con mayor probabilidad de beneficio son osimertinib, dacomitinib y afatinib. Este estudio está descrito en detalle en el apartado 5.3. del presente informe donde se destaca que también que osimertinib no es superior a dacomitinib y afatinib.</w:t>
            </w:r>
          </w:p>
          <w:p w:rsidR="00DD1521" w:rsidRPr="00550EA8" w:rsidRDefault="00DD1521" w:rsidP="00550EA8">
            <w:pPr>
              <w:pStyle w:val="NormalWeb"/>
              <w:spacing w:before="0" w:beforeAutospacing="0" w:after="0" w:afterAutospacing="0" w:line="240" w:lineRule="auto"/>
              <w:jc w:val="both"/>
              <w:rPr>
                <w:rFonts w:ascii="Arial" w:hAnsi="Arial" w:cs="Arial"/>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Sugerencia de cambio:</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Sugerimos introducir otros estudios recientes en el apartado C2 y las conclusiones derivadas de estos. Al menos 3 estudios no apoyarían la eficacia similar entre los TKI de 1ª generación (erlotinib y gefitinib) y afatinib, dacomitinib y osimertinib.</w:t>
            </w:r>
          </w:p>
          <w:p w:rsidR="00DD1521" w:rsidRPr="00550EA8" w:rsidRDefault="00DD1521" w:rsidP="00550EA8">
            <w:pPr>
              <w:spacing w:after="0" w:line="240" w:lineRule="auto"/>
              <w:jc w:val="both"/>
              <w:rPr>
                <w:rFonts w:ascii="Arial" w:hAnsi="Arial" w:cs="Arial"/>
                <w:color w:val="000080"/>
                <w:sz w:val="18"/>
                <w:szCs w:val="18"/>
              </w:rPr>
            </w:pPr>
          </w:p>
          <w:p w:rsidR="00DD1521" w:rsidRPr="00550EA8" w:rsidRDefault="00DD1521" w:rsidP="00550EA8">
            <w:pPr>
              <w:spacing w:after="0" w:line="240" w:lineRule="auto"/>
              <w:jc w:val="both"/>
              <w:rPr>
                <w:rFonts w:ascii="Arial" w:hAnsi="Arial" w:cs="Arial"/>
                <w:b/>
                <w:color w:val="000080"/>
                <w:sz w:val="18"/>
                <w:szCs w:val="18"/>
                <w:lang w:val="en-US"/>
              </w:rPr>
            </w:pPr>
            <w:r w:rsidRPr="00550EA8">
              <w:rPr>
                <w:rFonts w:ascii="Arial" w:hAnsi="Arial" w:cs="Arial"/>
                <w:b/>
                <w:color w:val="000080"/>
                <w:sz w:val="18"/>
                <w:szCs w:val="18"/>
                <w:lang w:val="en-US"/>
              </w:rPr>
              <w:t>Referencias:</w:t>
            </w:r>
          </w:p>
          <w:p w:rsidR="00DD1521" w:rsidRPr="00550EA8" w:rsidRDefault="00DD1521" w:rsidP="00550EA8">
            <w:pPr>
              <w:pStyle w:val="reference"/>
              <w:numPr>
                <w:ilvl w:val="0"/>
                <w:numId w:val="23"/>
              </w:numPr>
              <w:spacing w:after="0"/>
              <w:ind w:left="213" w:hanging="213"/>
              <w:rPr>
                <w:rFonts w:cs="Arial"/>
                <w:bCs/>
                <w:i/>
                <w:color w:val="000080"/>
                <w:sz w:val="18"/>
                <w:szCs w:val="18"/>
                <w:lang w:eastAsia="es-ES"/>
              </w:rPr>
            </w:pPr>
            <w:r w:rsidRPr="00550EA8">
              <w:rPr>
                <w:rFonts w:cs="Arial"/>
                <w:bCs/>
                <w:i/>
                <w:color w:val="000080"/>
                <w:sz w:val="18"/>
                <w:szCs w:val="18"/>
                <w:lang w:eastAsia="es-ES"/>
              </w:rPr>
              <w:t xml:space="preserve">Zhang Y, Sheng J, Yang Y, Fang W, Kang S, He Y et al. Optimized selection of three major EGFR-TKIs in advanced EGFR-positive non-small cell lung cancer: a network meta-analysis. </w:t>
            </w:r>
            <w:r w:rsidRPr="00550EA8">
              <w:rPr>
                <w:rFonts w:cs="Arial"/>
                <w:i/>
                <w:color w:val="000080"/>
                <w:sz w:val="18"/>
                <w:szCs w:val="18"/>
                <w:lang w:eastAsia="es-ES"/>
              </w:rPr>
              <w:t>Oncotarget. 2016;7(15):20093-20108</w:t>
            </w:r>
          </w:p>
          <w:p w:rsidR="00DD1521" w:rsidRPr="00550EA8" w:rsidRDefault="00DD1521" w:rsidP="00550EA8">
            <w:pPr>
              <w:pStyle w:val="reference"/>
              <w:numPr>
                <w:ilvl w:val="0"/>
                <w:numId w:val="23"/>
              </w:numPr>
              <w:spacing w:after="0"/>
              <w:ind w:left="213" w:hanging="213"/>
              <w:rPr>
                <w:rFonts w:cs="Arial"/>
                <w:bCs/>
                <w:i/>
                <w:color w:val="000080"/>
                <w:sz w:val="18"/>
                <w:szCs w:val="18"/>
                <w:lang w:eastAsia="es-ES"/>
              </w:rPr>
            </w:pPr>
            <w:r w:rsidRPr="00550EA8">
              <w:rPr>
                <w:rFonts w:cs="Arial"/>
                <w:bCs/>
                <w:i/>
                <w:color w:val="000080"/>
                <w:sz w:val="18"/>
                <w:szCs w:val="18"/>
                <w:lang w:eastAsia="es-ES"/>
              </w:rPr>
              <w:t>Zhang Y, Zhang Z, Huang X, Kang S, Chen G, Wu M et al. Therapeutic Efficacy Comparison of 5 Major EGFR-TKIs in Advanced EGFR-positive None Small-cell Lung Cancer: A Network Meta-analysis Based on Head-to-Head Trials. Clinical Lung Cancer, Vol. 18, No. 5, e333-40</w:t>
            </w:r>
          </w:p>
          <w:p w:rsidR="00DD1521" w:rsidRPr="00550EA8" w:rsidRDefault="00DD1521" w:rsidP="00550EA8">
            <w:pPr>
              <w:pStyle w:val="reference"/>
              <w:numPr>
                <w:ilvl w:val="0"/>
                <w:numId w:val="23"/>
              </w:numPr>
              <w:spacing w:after="0"/>
              <w:ind w:left="213" w:hanging="213"/>
              <w:rPr>
                <w:rFonts w:cs="Arial"/>
                <w:color w:val="000080"/>
                <w:sz w:val="18"/>
                <w:szCs w:val="18"/>
                <w:lang w:val="en-GB"/>
              </w:rPr>
            </w:pPr>
            <w:r w:rsidRPr="00550EA8">
              <w:rPr>
                <w:rFonts w:cs="Arial"/>
                <w:bCs/>
                <w:i/>
                <w:color w:val="000080"/>
                <w:sz w:val="18"/>
                <w:szCs w:val="18"/>
                <w:lang w:eastAsia="es-ES"/>
              </w:rPr>
              <w:t xml:space="preserve">Lin JZ, Ma SK, Wu SX, Yu SH, Li XY. A network meta-analysis of non small-cell lung cancer patients with an activating EGFR mutation. </w:t>
            </w:r>
            <w:r w:rsidRPr="00550EA8">
              <w:rPr>
                <w:rFonts w:cs="Arial"/>
                <w:bCs/>
                <w:i/>
                <w:color w:val="000080"/>
                <w:sz w:val="18"/>
                <w:szCs w:val="18"/>
                <w:lang w:val="en-GB" w:eastAsia="es-ES"/>
              </w:rPr>
              <w:t xml:space="preserve">Should osimertinib be the first-line treatment? Medicine (2018) 97:30(e11569). </w:t>
            </w:r>
            <w:hyperlink r:id="rId37" w:history="1">
              <w:r w:rsidRPr="00550EA8">
                <w:rPr>
                  <w:rStyle w:val="Hipervnculo"/>
                  <w:rFonts w:cs="Arial"/>
                  <w:i/>
                  <w:color w:val="000080"/>
                  <w:sz w:val="18"/>
                  <w:szCs w:val="18"/>
                  <w:lang w:val="en-GB" w:eastAsia="zh-CN"/>
                </w:rPr>
                <w:t>http://dx.doi.org/10.1097/MD.0000000000011569</w:t>
              </w:r>
            </w:hyperlink>
            <w:r w:rsidRPr="00550EA8">
              <w:rPr>
                <w:rFonts w:cs="Arial"/>
                <w:i/>
                <w:sz w:val="18"/>
                <w:szCs w:val="18"/>
                <w:lang w:val="en-GB" w:eastAsia="zh-CN"/>
              </w:rPr>
              <w:t xml:space="preserve"> </w:t>
            </w:r>
          </w:p>
        </w:tc>
        <w:tc>
          <w:tcPr>
            <w:tcW w:w="1460" w:type="dxa"/>
          </w:tcPr>
          <w:p w:rsidR="00DD1521" w:rsidRPr="00521123" w:rsidRDefault="00DD1521" w:rsidP="00536169">
            <w:pPr>
              <w:pStyle w:val="Normal1"/>
              <w:spacing w:after="0" w:line="240" w:lineRule="auto"/>
              <w:rPr>
                <w:rFonts w:ascii="Arial" w:hAnsi="Arial" w:cs="Arial"/>
                <w:color w:val="000080"/>
                <w:sz w:val="18"/>
                <w:szCs w:val="18"/>
              </w:rPr>
            </w:pPr>
            <w:r w:rsidRPr="00521123">
              <w:rPr>
                <w:rFonts w:ascii="Arial" w:hAnsi="Arial" w:cs="Arial"/>
                <w:color w:val="000080"/>
                <w:sz w:val="18"/>
                <w:szCs w:val="18"/>
              </w:rPr>
              <w:lastRenderedPageBreak/>
              <w:t>Se incluyen las dos referencia</w:t>
            </w:r>
            <w:r>
              <w:rPr>
                <w:rFonts w:ascii="Arial" w:hAnsi="Arial" w:cs="Arial"/>
                <w:color w:val="000080"/>
                <w:sz w:val="18"/>
                <w:szCs w:val="18"/>
              </w:rPr>
              <w:t>s</w:t>
            </w:r>
            <w:r w:rsidRPr="00521123">
              <w:rPr>
                <w:rFonts w:ascii="Arial" w:hAnsi="Arial" w:cs="Arial"/>
                <w:color w:val="000080"/>
                <w:sz w:val="18"/>
                <w:szCs w:val="18"/>
              </w:rPr>
              <w:t xml:space="preserve"> de Zhang et al y se </w:t>
            </w:r>
            <w:r>
              <w:rPr>
                <w:rFonts w:ascii="Arial" w:hAnsi="Arial" w:cs="Arial"/>
                <w:color w:val="000080"/>
                <w:sz w:val="18"/>
                <w:szCs w:val="18"/>
              </w:rPr>
              <w:t>modifica la frase: “</w:t>
            </w:r>
            <w:r w:rsidRPr="00536169">
              <w:rPr>
                <w:rFonts w:ascii="Arial" w:hAnsi="Arial" w:cs="Arial"/>
                <w:color w:val="000080"/>
                <w:sz w:val="18"/>
                <w:szCs w:val="18"/>
              </w:rPr>
              <w:t>Por tanto, existen metaanálisis que</w:t>
            </w:r>
            <w:r>
              <w:rPr>
                <w:rFonts w:ascii="Arial" w:hAnsi="Arial" w:cs="Arial"/>
                <w:sz w:val="20"/>
                <w:szCs w:val="20"/>
              </w:rPr>
              <w:t xml:space="preserve"> </w:t>
            </w:r>
            <w:r w:rsidRPr="00521123">
              <w:rPr>
                <w:rFonts w:ascii="Arial" w:hAnsi="Arial" w:cs="Arial"/>
                <w:color w:val="000080"/>
                <w:sz w:val="18"/>
                <w:szCs w:val="18"/>
              </w:rPr>
              <w:t xml:space="preserve">apoyan la equivalencia entre los tres fármacos y otros indican que existe cierto beneficio adicional con afatinib, aunque las deficiencias metodológicas de estos </w:t>
            </w:r>
            <w:r w:rsidRPr="00521123">
              <w:rPr>
                <w:rFonts w:ascii="Arial" w:hAnsi="Arial" w:cs="Arial"/>
                <w:color w:val="000080"/>
                <w:sz w:val="18"/>
                <w:szCs w:val="18"/>
              </w:rPr>
              <w:lastRenderedPageBreak/>
              <w:t>estudios hacen que estos datos deban interpretarse con cautela.</w:t>
            </w:r>
            <w:r>
              <w:rPr>
                <w:rFonts w:ascii="Arial" w:hAnsi="Arial" w:cs="Arial"/>
                <w:color w:val="000080"/>
                <w:sz w:val="18"/>
                <w:szCs w:val="18"/>
              </w:rPr>
              <w:t>”</w:t>
            </w:r>
            <w:r w:rsidRPr="00521123">
              <w:rPr>
                <w:rFonts w:ascii="Arial" w:hAnsi="Arial" w:cs="Arial"/>
                <w:color w:val="000080"/>
                <w:sz w:val="18"/>
                <w:szCs w:val="18"/>
              </w:rPr>
              <w:t xml:space="preserve"> </w:t>
            </w:r>
          </w:p>
          <w:p w:rsidR="00DD1521" w:rsidRPr="00521123" w:rsidRDefault="00DD1521" w:rsidP="00550EA8">
            <w:pPr>
              <w:spacing w:after="0" w:line="240" w:lineRule="auto"/>
              <w:jc w:val="both"/>
              <w:rPr>
                <w:rFonts w:ascii="Arial" w:hAnsi="Arial" w:cs="Arial"/>
                <w:color w:val="000080"/>
                <w:sz w:val="18"/>
                <w:szCs w:val="18"/>
              </w:rPr>
            </w:pPr>
          </w:p>
        </w:tc>
      </w:tr>
      <w:tr w:rsidR="00DD1521" w:rsidRPr="0019510C" w:rsidTr="00550EA8">
        <w:tc>
          <w:tcPr>
            <w:tcW w:w="1121" w:type="dxa"/>
          </w:tcPr>
          <w:p w:rsidR="00DD1521" w:rsidRPr="00550EA8" w:rsidRDefault="00DD1521" w:rsidP="00550EA8">
            <w:pPr>
              <w:spacing w:after="0" w:line="240" w:lineRule="auto"/>
              <w:rPr>
                <w:rFonts w:ascii="Arial" w:hAnsi="Arial" w:cs="Arial"/>
                <w:b/>
                <w:color w:val="000080"/>
                <w:sz w:val="18"/>
                <w:szCs w:val="18"/>
              </w:rPr>
            </w:pPr>
            <w:r w:rsidRPr="00550EA8">
              <w:rPr>
                <w:rFonts w:ascii="Arial" w:hAnsi="Arial" w:cs="Arial"/>
                <w:b/>
                <w:color w:val="000080"/>
                <w:sz w:val="18"/>
                <w:szCs w:val="18"/>
              </w:rPr>
              <w:lastRenderedPageBreak/>
              <w:t xml:space="preserve">Dept Medical  Affairs </w:t>
            </w:r>
          </w:p>
          <w:p w:rsidR="00DD1521" w:rsidRPr="00550EA8" w:rsidRDefault="00DD1521" w:rsidP="00550EA8">
            <w:pPr>
              <w:spacing w:after="0" w:line="240" w:lineRule="auto"/>
              <w:jc w:val="both"/>
              <w:rPr>
                <w:rFonts w:ascii="Arial" w:hAnsi="Arial" w:cs="Arial"/>
                <w:b/>
                <w:color w:val="000080"/>
                <w:sz w:val="18"/>
                <w:szCs w:val="18"/>
              </w:rPr>
            </w:pPr>
          </w:p>
        </w:tc>
        <w:tc>
          <w:tcPr>
            <w:tcW w:w="8039" w:type="dxa"/>
          </w:tcPr>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Alegación 3</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Apartado “B. Aplicabilidad del ensayo a la práctica del hospital” en “Tratamiento de primera línea del CPNM avanzado o metastásico con mutaciones activadoras de EGFR”</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(pág. 19)</w:t>
            </w:r>
          </w:p>
          <w:p w:rsidR="00DD1521" w:rsidRPr="00550EA8" w:rsidRDefault="00DD1521" w:rsidP="00550EA8">
            <w:pPr>
              <w:spacing w:after="0" w:line="240" w:lineRule="auto"/>
              <w:jc w:val="both"/>
              <w:rPr>
                <w:rFonts w:ascii="Arial" w:hAnsi="Arial" w:cs="Arial"/>
                <w:b/>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Frase original:</w:t>
            </w:r>
          </w:p>
          <w:p w:rsidR="00DD1521" w:rsidRPr="00550EA8" w:rsidRDefault="00DD1521" w:rsidP="00550EA8">
            <w:pPr>
              <w:spacing w:after="0" w:line="240" w:lineRule="auto"/>
              <w:jc w:val="both"/>
              <w:rPr>
                <w:rFonts w:ascii="Arial" w:hAnsi="Arial" w:cs="Arial"/>
                <w:i/>
                <w:color w:val="000080"/>
                <w:sz w:val="18"/>
                <w:szCs w:val="18"/>
              </w:rPr>
            </w:pPr>
            <w:r w:rsidRPr="00550EA8">
              <w:rPr>
                <w:rFonts w:ascii="Arial" w:hAnsi="Arial" w:cs="Arial"/>
                <w:i/>
                <w:color w:val="000080"/>
                <w:sz w:val="18"/>
                <w:szCs w:val="18"/>
              </w:rPr>
              <w:t xml:space="preserve">“Los resultados del ensayo LUX-Lung-7 </w:t>
            </w:r>
            <w:r w:rsidRPr="00550EA8">
              <w:rPr>
                <w:rFonts w:ascii="Arial" w:hAnsi="Arial" w:cs="Arial"/>
                <w:i/>
                <w:color w:val="000080"/>
                <w:sz w:val="18"/>
                <w:szCs w:val="18"/>
              </w:rPr>
              <w:fldChar w:fldCharType="begin"/>
            </w:r>
            <w:r w:rsidRPr="00550EA8">
              <w:rPr>
                <w:rFonts w:ascii="Arial" w:hAnsi="Arial" w:cs="Arial"/>
                <w:i/>
                <w:color w:val="000080"/>
                <w:sz w:val="18"/>
                <w:szCs w:val="18"/>
              </w:rPr>
              <w:instrText xml:space="preserve"> ADDIN ZOTERO_ITEM CSL_CITATION {"citationID":"xgr3BAid","properties":{"formattedCitation":"(31)","plainCitation":"(31)"},"citationItems":[{"id":1035,"uris":["http://zotero.org/users/local/zrSbuHrK/items/C2A6G4PR"],"uri":["http://zotero.org/users/local/zrSbuHrK/items/C2A6G4PR"],"itemData":{"id":1035,"type":"article-journal","title":"Afatinib versus gefitinib in patients with EGFR mutation-positive advanced non-small-cell lung cancer: overall survival data from the phase IIb LUX-Lung 7 trial","container-title":"Annals of Oncology: Official Journal of the European Society for Medical Oncology","page":"270-277","volume":"28","issue":"2","source":"PubMed","abstract":"Background: In LUX-Lung 7, the irreversible ErbB family blocker, afatinib, significantly improved progression-free survival (PFS), time-to-treatment failure (TTF) and objective response rate (ORR) versus gefitinib in patients with epidermal growth factor receptor (EGFR) mutation-positive non-small-cell lung cancer (NSCLC). Here, we present primary analysis of mature overall survival (OS) data.\nPatients and methods: LUX-Lung 7 assessed afatinib 40</w:instrText>
            </w:r>
            <w:r w:rsidRPr="00550EA8">
              <w:rPr>
                <w:rFonts w:ascii="MS Mincho" w:eastAsia="MS Mincho" w:hAnsi="MS Mincho" w:cs="MS Mincho" w:hint="eastAsia"/>
                <w:i/>
                <w:color w:val="000080"/>
                <w:sz w:val="18"/>
                <w:szCs w:val="18"/>
              </w:rPr>
              <w:instrText> </w:instrText>
            </w:r>
            <w:r w:rsidRPr="00550EA8">
              <w:rPr>
                <w:rFonts w:ascii="Arial" w:hAnsi="Arial" w:cs="Arial"/>
                <w:i/>
                <w:color w:val="000080"/>
                <w:sz w:val="18"/>
                <w:szCs w:val="18"/>
              </w:rPr>
              <w:instrText>mg/day versus gefitinib 250</w:instrText>
            </w:r>
            <w:r w:rsidRPr="00550EA8">
              <w:rPr>
                <w:rFonts w:ascii="MS Mincho" w:eastAsia="MS Mincho" w:hAnsi="MS Mincho" w:cs="MS Mincho" w:hint="eastAsia"/>
                <w:i/>
                <w:color w:val="000080"/>
                <w:sz w:val="18"/>
                <w:szCs w:val="18"/>
              </w:rPr>
              <w:instrText> </w:instrText>
            </w:r>
            <w:r w:rsidRPr="00550EA8">
              <w:rPr>
                <w:rFonts w:ascii="Arial" w:hAnsi="Arial" w:cs="Arial"/>
                <w:i/>
                <w:color w:val="000080"/>
                <w:sz w:val="18"/>
                <w:szCs w:val="18"/>
              </w:rPr>
              <w:instrText xml:space="preserve">mg/day in treatment-naïve patients with stage IIIb/IV NSCLC and a common EGFR mutation (exon 19 deletion/L858R). Primary OS analysis was planned after </w:instrText>
            </w:r>
            <w:r w:rsidRPr="00550EA8">
              <w:rPr>
                <w:rFonts w:ascii="Cambria Math" w:hAnsi="Cambria Math" w:cs="Arial"/>
                <w:i/>
                <w:color w:val="000080"/>
                <w:sz w:val="18"/>
                <w:szCs w:val="18"/>
              </w:rPr>
              <w:instrText>∼</w:instrText>
            </w:r>
            <w:r w:rsidRPr="00550EA8">
              <w:rPr>
                <w:rFonts w:ascii="Arial" w:hAnsi="Arial" w:cs="Arial"/>
                <w:i/>
                <w:color w:val="000080"/>
                <w:sz w:val="18"/>
                <w:szCs w:val="18"/>
              </w:rPr>
              <w:instrText>213 OS events and</w:instrText>
            </w:r>
            <w:r w:rsidRPr="00550EA8">
              <w:rPr>
                <w:rFonts w:ascii="MS Mincho" w:eastAsia="MS Mincho" w:hAnsi="MS Mincho" w:cs="MS Mincho" w:hint="eastAsia"/>
                <w:i/>
                <w:color w:val="000080"/>
                <w:sz w:val="18"/>
                <w:szCs w:val="18"/>
              </w:rPr>
              <w:instrText> </w:instrText>
            </w:r>
            <w:r w:rsidRPr="00550EA8">
              <w:rPr>
                <w:rFonts w:ascii="Arial" w:hAnsi="Arial" w:cs="Arial"/>
                <w:i/>
                <w:color w:val="000080"/>
                <w:sz w:val="18"/>
                <w:szCs w:val="18"/>
              </w:rPr>
              <w:instrText>≥32-month follow-up. OS was analysed by a Cox proportional hazards model, stratified by EGFR mutation type and baseline brain metastases.\nResults: Two-hundred and twenty-six OS events had occurred at the data cut-off (8 April 2016). After a median follow-up of 42.6 months, median OS (afatinib versus gefitinib) was 27.9 versus 24.5 months [hazard ratio (HR) = 0.86, 95% confidence interval (CI) 0.66</w:instrText>
            </w:r>
            <w:r w:rsidRPr="00550EA8">
              <w:rPr>
                <w:rFonts w:ascii="MS Mincho" w:eastAsia="MS Mincho" w:hAnsi="MS Mincho" w:cs="MS Mincho" w:hint="eastAsia"/>
                <w:i/>
                <w:color w:val="000080"/>
                <w:sz w:val="18"/>
                <w:szCs w:val="18"/>
              </w:rPr>
              <w:instrText>‒</w:instrText>
            </w:r>
            <w:r w:rsidRPr="00550EA8">
              <w:rPr>
                <w:rFonts w:ascii="Arial" w:hAnsi="Arial" w:cs="Arial"/>
                <w:i/>
                <w:color w:val="000080"/>
                <w:sz w:val="18"/>
                <w:szCs w:val="18"/>
              </w:rPr>
              <w:instrText>1.12, P</w:instrText>
            </w:r>
            <w:r w:rsidRPr="00550EA8">
              <w:rPr>
                <w:rFonts w:ascii="MS Mincho" w:eastAsia="MS Mincho" w:hAnsi="MS Mincho" w:cs="MS Mincho" w:hint="eastAsia"/>
                <w:i/>
                <w:color w:val="000080"/>
                <w:sz w:val="18"/>
                <w:szCs w:val="18"/>
              </w:rPr>
              <w:instrText> </w:instrText>
            </w:r>
            <w:r w:rsidRPr="00550EA8">
              <w:rPr>
                <w:rFonts w:ascii="Arial" w:hAnsi="Arial" w:cs="Arial"/>
                <w:i/>
                <w:color w:val="000080"/>
                <w:sz w:val="18"/>
                <w:szCs w:val="18"/>
              </w:rPr>
              <w:instrText>=</w:instrText>
            </w:r>
            <w:r w:rsidRPr="00550EA8">
              <w:rPr>
                <w:rFonts w:ascii="MS Mincho" w:eastAsia="MS Mincho" w:hAnsi="MS Mincho" w:cs="MS Mincho" w:hint="eastAsia"/>
                <w:i/>
                <w:color w:val="000080"/>
                <w:sz w:val="18"/>
                <w:szCs w:val="18"/>
              </w:rPr>
              <w:instrText> </w:instrText>
            </w:r>
            <w:r w:rsidRPr="00550EA8">
              <w:rPr>
                <w:rFonts w:ascii="Arial" w:hAnsi="Arial" w:cs="Arial"/>
                <w:i/>
                <w:color w:val="000080"/>
                <w:sz w:val="18"/>
                <w:szCs w:val="18"/>
              </w:rPr>
              <w:instrText>0.2580]. Prespecified subgroup analyses showed similar OS trends (afatinib versus gefitinib) in patients with exon 19 deletion (30.7 versus 26.4 months; HR, 0.83, 95% CI 0.58</w:instrText>
            </w:r>
            <w:r w:rsidRPr="00550EA8">
              <w:rPr>
                <w:rFonts w:ascii="MS Mincho" w:eastAsia="MS Mincho" w:hAnsi="MS Mincho" w:cs="MS Mincho" w:hint="eastAsia"/>
                <w:i/>
                <w:color w:val="000080"/>
                <w:sz w:val="18"/>
                <w:szCs w:val="18"/>
              </w:rPr>
              <w:instrText>‒</w:instrText>
            </w:r>
            <w:r w:rsidRPr="00550EA8">
              <w:rPr>
                <w:rFonts w:ascii="Arial" w:hAnsi="Arial" w:cs="Arial"/>
                <w:i/>
                <w:color w:val="000080"/>
                <w:sz w:val="18"/>
                <w:szCs w:val="18"/>
              </w:rPr>
              <w:instrText>1.17, P</w:instrText>
            </w:r>
            <w:r w:rsidRPr="00550EA8">
              <w:rPr>
                <w:rFonts w:ascii="MS Mincho" w:eastAsia="MS Mincho" w:hAnsi="MS Mincho" w:cs="MS Mincho" w:hint="eastAsia"/>
                <w:i/>
                <w:color w:val="000080"/>
                <w:sz w:val="18"/>
                <w:szCs w:val="18"/>
              </w:rPr>
              <w:instrText> </w:instrText>
            </w:r>
            <w:r w:rsidRPr="00550EA8">
              <w:rPr>
                <w:rFonts w:ascii="Arial" w:hAnsi="Arial" w:cs="Arial"/>
                <w:i/>
                <w:color w:val="000080"/>
                <w:sz w:val="18"/>
                <w:szCs w:val="18"/>
              </w:rPr>
              <w:instrText>=</w:instrText>
            </w:r>
            <w:r w:rsidRPr="00550EA8">
              <w:rPr>
                <w:rFonts w:ascii="MS Mincho" w:eastAsia="MS Mincho" w:hAnsi="MS Mincho" w:cs="MS Mincho" w:hint="eastAsia"/>
                <w:i/>
                <w:color w:val="000080"/>
                <w:sz w:val="18"/>
                <w:szCs w:val="18"/>
              </w:rPr>
              <w:instrText> </w:instrText>
            </w:r>
            <w:r w:rsidRPr="00550EA8">
              <w:rPr>
                <w:rFonts w:ascii="Arial" w:hAnsi="Arial" w:cs="Arial"/>
                <w:i/>
                <w:color w:val="000080"/>
                <w:sz w:val="18"/>
                <w:szCs w:val="18"/>
              </w:rPr>
              <w:instrText>0.2841) and L858R (25.0 versus 21.2 months; HR 0.91, 95% CI 0.62</w:instrText>
            </w:r>
            <w:r w:rsidRPr="00550EA8">
              <w:rPr>
                <w:rFonts w:ascii="MS Mincho" w:eastAsia="MS Mincho" w:hAnsi="MS Mincho" w:cs="MS Mincho" w:hint="eastAsia"/>
                <w:i/>
                <w:color w:val="000080"/>
                <w:sz w:val="18"/>
                <w:szCs w:val="18"/>
              </w:rPr>
              <w:instrText>‒</w:instrText>
            </w:r>
            <w:r w:rsidRPr="00550EA8">
              <w:rPr>
                <w:rFonts w:ascii="Arial" w:hAnsi="Arial" w:cs="Arial"/>
                <w:i/>
                <w:color w:val="000080"/>
                <w:sz w:val="18"/>
                <w:szCs w:val="18"/>
              </w:rPr>
              <w:instrText>1.36, P</w:instrText>
            </w:r>
            <w:r w:rsidRPr="00550EA8">
              <w:rPr>
                <w:rFonts w:ascii="MS Mincho" w:eastAsia="MS Mincho" w:hAnsi="MS Mincho" w:cs="MS Mincho" w:hint="eastAsia"/>
                <w:i/>
                <w:color w:val="000080"/>
                <w:sz w:val="18"/>
                <w:szCs w:val="18"/>
              </w:rPr>
              <w:instrText> </w:instrText>
            </w:r>
            <w:r w:rsidRPr="00550EA8">
              <w:rPr>
                <w:rFonts w:ascii="Arial" w:hAnsi="Arial" w:cs="Arial"/>
                <w:i/>
                <w:color w:val="000080"/>
                <w:sz w:val="18"/>
                <w:szCs w:val="18"/>
              </w:rPr>
              <w:instrText>=</w:instrText>
            </w:r>
            <w:r w:rsidRPr="00550EA8">
              <w:rPr>
                <w:rFonts w:ascii="MS Mincho" w:eastAsia="MS Mincho" w:hAnsi="MS Mincho" w:cs="MS Mincho" w:hint="eastAsia"/>
                <w:i/>
                <w:color w:val="000080"/>
                <w:sz w:val="18"/>
                <w:szCs w:val="18"/>
              </w:rPr>
              <w:instrText> </w:instrText>
            </w:r>
            <w:r w:rsidRPr="00550EA8">
              <w:rPr>
                <w:rFonts w:ascii="Arial" w:hAnsi="Arial" w:cs="Arial"/>
                <w:i/>
                <w:color w:val="000080"/>
                <w:sz w:val="18"/>
                <w:szCs w:val="18"/>
              </w:rPr>
              <w:instrText xml:space="preserve">0.6585) mutations. Most patients (afatinib, 72.6%; gefitinib, 76.8%) had at least one subsequent systemic anti-cancer treatment following discontinuation of afatinib/gefitinib; 20 (13.7%) and 23 (15.2%) patients received a third-generation EGFR tyrosine kinase inhibitor. Updated PFS (independent review), TTF and ORR data were significantly improved with afatinib.\nConclusion: In LUX-Lung 7, there was no significant difference in OS with afatinib versus gefitinib. Updated PFS (independent review), TTF and ORR data were significantly improved with afatinib.\nClinicaltrials.gov identifier: NCT01466660.","DOI":"10.1093/annonc/mdw611","ISSN":"1569-8041","note":"PMID: 28426106\nPMCID: PMC5391700","shortTitle":"Afatinib versus gefitinib in patients with EGFR mutation-positive advanced non-small-cell lung cancer","journalAbbreviation":"Ann. Oncol.","language":"eng","author":[{"family":"Paz-Ares","given":"L."},{"family":"Tan","given":"E.-H."},{"family":"O'Byrne","given":"K."},{"family":"Zhang","given":"L."},{"family":"Hirsh","given":"V."},{"family":"Boyer","given":"M."},{"family":"Yang","given":"J. C.-H."},{"family":"Mok","given":"T."},{"family":"Lee","given":"K. H."},{"family":"Lu","given":"S."},{"family":"Shi","given":"Y."},{"family":"Lee","given":"D. H."},{"family":"Laskin","given":"J."},{"family":"Kim","given":"D.-W."},{"family":"Laurie","given":"S. A."},{"family":"Kölbeck","given":"K."},{"family":"Fan","given":"J."},{"family":"Dodd","given":"N."},{"family":"Märten","given":"A."},{"family":"Park","given":"K."}],"issued":{"date-parts":[["2017"]],"season":"01"},"PMID":"28426106","PMCID":"PMC5391700"}}],"schema":"https://github.com/citation-style-language/schema/raw/master/csl-citation.json"} </w:instrText>
            </w:r>
            <w:r w:rsidRPr="00550EA8">
              <w:rPr>
                <w:rFonts w:ascii="Arial" w:hAnsi="Arial" w:cs="Arial"/>
                <w:i/>
                <w:color w:val="000080"/>
                <w:sz w:val="18"/>
                <w:szCs w:val="18"/>
              </w:rPr>
              <w:fldChar w:fldCharType="separate"/>
            </w:r>
            <w:r w:rsidRPr="00550EA8">
              <w:rPr>
                <w:rFonts w:ascii="Arial" w:hAnsi="Arial" w:cs="Arial"/>
                <w:i/>
                <w:color w:val="000080"/>
                <w:sz w:val="18"/>
                <w:szCs w:val="18"/>
              </w:rPr>
              <w:t>(27)</w:t>
            </w:r>
            <w:r w:rsidRPr="00550EA8">
              <w:rPr>
                <w:rFonts w:ascii="Arial" w:hAnsi="Arial" w:cs="Arial"/>
                <w:i/>
                <w:color w:val="000080"/>
                <w:sz w:val="18"/>
                <w:szCs w:val="18"/>
              </w:rPr>
              <w:fldChar w:fldCharType="end"/>
            </w:r>
            <w:r w:rsidRPr="00550EA8">
              <w:rPr>
                <w:rFonts w:ascii="Arial" w:hAnsi="Arial" w:cs="Arial"/>
                <w:i/>
                <w:color w:val="000080"/>
                <w:sz w:val="18"/>
                <w:szCs w:val="18"/>
              </w:rPr>
              <w:t>, ensayo clínico fase III que compara afatinib frente a gefitinib en primera línea en pacientes con CPNM avanzado o metastásico con mutaciones activadoras de EGFR (…)”</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Motivo de la alegación:</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LUX-Lung 7 es un ensayo clínico aleatorizado, abierto, internacional y multicéntrico de fase IIb llevado a cabo en 64 centros de 13 países distintos (n=319) que comparó afatinib 40 mg/día frente a gefitinib 250 mg/día en pacientes con adenocarcinoma avanzado/metastásico con mutaciones frecuentes del EGFR (del19/L858R)</w:t>
            </w:r>
            <w:r w:rsidRPr="00550EA8">
              <w:rPr>
                <w:rFonts w:ascii="Arial" w:hAnsi="Arial" w:cs="Arial"/>
                <w:color w:val="000080"/>
                <w:sz w:val="18"/>
                <w:szCs w:val="18"/>
                <w:vertAlign w:val="superscript"/>
              </w:rPr>
              <w:t>1</w:t>
            </w:r>
            <w:r w:rsidRPr="00550EA8">
              <w:rPr>
                <w:rFonts w:ascii="Arial" w:hAnsi="Arial" w:cs="Arial"/>
                <w:color w:val="000080"/>
                <w:sz w:val="18"/>
                <w:szCs w:val="18"/>
              </w:rPr>
              <w:t>. Las variables co-principales del estudio fueron: supervivencia libre de progresión (SLP) según comité independiente, tiempo hasta el fallo del tratamiento (TTF) y supervivencia global (SG). El objetivo del ensayo fue estimar el efecto relativo de afatinib frente a gefitinib por lo que la estimación del tamaño de la muestra se estableció para controlar la amplitud del intervalo de confianza del hazard ratio para la variable SLP.</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Sugerencia de cambio:</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Se sugiere cambiar la denominación de fase III del ensayo LUX lung 7 por fase IIB.</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El mismo cambio se sugiere en el Apartado C.2 La evidencia de equivalencia terapéutica, en Tratamiento de primera línea del CPNM avanzado o metastásico con mutaciones activadoras de EGFR. (Pág. 21).</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Referencias:</w:t>
            </w:r>
          </w:p>
          <w:p w:rsidR="00DD1521" w:rsidRPr="00550EA8" w:rsidRDefault="00DD1521" w:rsidP="00550EA8">
            <w:pPr>
              <w:numPr>
                <w:ilvl w:val="0"/>
                <w:numId w:val="22"/>
              </w:numPr>
              <w:spacing w:after="0" w:line="240" w:lineRule="auto"/>
              <w:ind w:left="213" w:hanging="213"/>
              <w:jc w:val="both"/>
              <w:rPr>
                <w:rFonts w:ascii="Arial" w:hAnsi="Arial" w:cs="Arial"/>
                <w:color w:val="000080"/>
                <w:sz w:val="18"/>
                <w:szCs w:val="18"/>
              </w:rPr>
            </w:pPr>
            <w:r w:rsidRPr="00550EA8">
              <w:rPr>
                <w:rFonts w:ascii="Arial" w:hAnsi="Arial" w:cs="Arial"/>
                <w:bCs/>
                <w:i/>
                <w:color w:val="000080"/>
                <w:sz w:val="18"/>
                <w:szCs w:val="18"/>
                <w:lang w:eastAsia="en-US"/>
              </w:rPr>
              <w:t xml:space="preserve">Park K, Tan EH, O'Byrne K, Zhang L, Boyer M, Mok T, Hirsh V, Yang JC, Lee KH, Lu S, Shi Y. Afatinib versus gefitinib as first-line treatment of patients with EGFR mutation-positive non-small-cell lung cancer (LUX-Lung 7): a phase 2B, open-label, randomised controlled trial. the Lancet oncology. </w:t>
            </w:r>
            <w:r w:rsidRPr="00550EA8">
              <w:rPr>
                <w:rFonts w:ascii="Arial" w:hAnsi="Arial" w:cs="Arial"/>
                <w:bCs/>
                <w:i/>
                <w:color w:val="000080"/>
                <w:sz w:val="18"/>
                <w:szCs w:val="18"/>
                <w:lang w:val="pt-BR" w:eastAsia="en-US"/>
              </w:rPr>
              <w:t>2016 May 1;17(5):577-89.</w:t>
            </w:r>
          </w:p>
        </w:tc>
        <w:tc>
          <w:tcPr>
            <w:tcW w:w="1460" w:type="dxa"/>
          </w:tcPr>
          <w:p w:rsidR="00DD1521" w:rsidRPr="0019510C" w:rsidRDefault="00DD1521" w:rsidP="0019510C">
            <w:pPr>
              <w:spacing w:after="0" w:line="240" w:lineRule="auto"/>
              <w:rPr>
                <w:rFonts w:ascii="Arial" w:hAnsi="Arial" w:cs="Arial"/>
                <w:color w:val="000080"/>
                <w:sz w:val="18"/>
                <w:szCs w:val="18"/>
              </w:rPr>
            </w:pPr>
            <w:r w:rsidRPr="0019510C">
              <w:rPr>
                <w:rFonts w:ascii="Arial" w:hAnsi="Arial" w:cs="Arial"/>
                <w:color w:val="000080"/>
                <w:sz w:val="18"/>
                <w:szCs w:val="18"/>
              </w:rPr>
              <w:t xml:space="preserve">Aceptada. </w:t>
            </w:r>
            <w:r>
              <w:rPr>
                <w:rFonts w:ascii="Arial" w:hAnsi="Arial" w:cs="Arial"/>
                <w:color w:val="000080"/>
                <w:sz w:val="18"/>
                <w:szCs w:val="18"/>
              </w:rPr>
              <w:t>Se rectifica.</w:t>
            </w:r>
          </w:p>
        </w:tc>
      </w:tr>
      <w:tr w:rsidR="00DD1521" w:rsidRPr="00550EA8" w:rsidTr="00550EA8">
        <w:tc>
          <w:tcPr>
            <w:tcW w:w="1121" w:type="dxa"/>
          </w:tcPr>
          <w:p w:rsidR="00DD1521" w:rsidRPr="00550EA8" w:rsidRDefault="00DD1521" w:rsidP="00550EA8">
            <w:pPr>
              <w:spacing w:after="0" w:line="240" w:lineRule="auto"/>
              <w:rPr>
                <w:rFonts w:ascii="Arial" w:hAnsi="Arial" w:cs="Arial"/>
                <w:b/>
                <w:color w:val="000080"/>
                <w:sz w:val="18"/>
                <w:szCs w:val="18"/>
              </w:rPr>
            </w:pPr>
            <w:r w:rsidRPr="00550EA8">
              <w:rPr>
                <w:rFonts w:ascii="Arial" w:hAnsi="Arial" w:cs="Arial"/>
                <w:b/>
                <w:color w:val="000080"/>
                <w:sz w:val="18"/>
                <w:szCs w:val="18"/>
              </w:rPr>
              <w:t xml:space="preserve">Dept Medical  Affairs </w:t>
            </w:r>
          </w:p>
          <w:p w:rsidR="00DD1521" w:rsidRPr="00550EA8" w:rsidRDefault="00DD1521" w:rsidP="00550EA8">
            <w:pPr>
              <w:spacing w:after="0" w:line="240" w:lineRule="auto"/>
              <w:rPr>
                <w:rFonts w:ascii="Arial" w:hAnsi="Arial" w:cs="Arial"/>
                <w:b/>
                <w:color w:val="000080"/>
                <w:sz w:val="18"/>
                <w:szCs w:val="18"/>
              </w:rPr>
            </w:pPr>
          </w:p>
        </w:tc>
        <w:tc>
          <w:tcPr>
            <w:tcW w:w="8039" w:type="dxa"/>
          </w:tcPr>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Alegación 4</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Apartado 5.4.1 Guías de Práctica clínica, pág. 24</w:t>
            </w:r>
          </w:p>
          <w:p w:rsidR="00DD1521" w:rsidRPr="00550EA8" w:rsidRDefault="00DD1521" w:rsidP="00550EA8">
            <w:pPr>
              <w:spacing w:after="0" w:line="240" w:lineRule="auto"/>
              <w:jc w:val="both"/>
              <w:rPr>
                <w:rFonts w:ascii="Arial" w:hAnsi="Arial" w:cs="Arial"/>
                <w:b/>
                <w:bCs/>
                <w:i/>
                <w:color w:val="000080"/>
                <w:sz w:val="18"/>
                <w:szCs w:val="18"/>
                <w:lang w:val="en-US"/>
              </w:rPr>
            </w:pPr>
            <w:r w:rsidRPr="000F201F">
              <w:rPr>
                <w:rFonts w:ascii="Arial" w:hAnsi="Arial" w:cs="Arial"/>
                <w:b/>
                <w:bCs/>
                <w:i/>
                <w:color w:val="000080"/>
                <w:sz w:val="18"/>
                <w:szCs w:val="18"/>
                <w:lang w:val="en-GB"/>
              </w:rPr>
              <w:t xml:space="preserve">“Metastatic non-small-cell lung </w:t>
            </w:r>
            <w:r w:rsidRPr="00550EA8">
              <w:rPr>
                <w:rFonts w:ascii="Arial" w:hAnsi="Arial" w:cs="Arial"/>
                <w:b/>
                <w:bCs/>
                <w:i/>
                <w:color w:val="000080"/>
                <w:sz w:val="18"/>
                <w:szCs w:val="18"/>
                <w:lang w:val="en-US"/>
              </w:rPr>
              <w:t xml:space="preserve">cancer: ESMO Clinical Practice Guidelines for diagnosis, treatment and follow-up (2016) </w:t>
            </w:r>
            <w:r w:rsidRPr="00550EA8">
              <w:rPr>
                <w:rFonts w:ascii="Arial" w:hAnsi="Arial" w:cs="Arial"/>
                <w:b/>
                <w:bCs/>
                <w:i/>
                <w:color w:val="000080"/>
                <w:sz w:val="18"/>
                <w:szCs w:val="18"/>
                <w:lang w:val="en-US"/>
              </w:rPr>
              <w:fldChar w:fldCharType="begin"/>
            </w:r>
            <w:r w:rsidRPr="00550EA8">
              <w:rPr>
                <w:rFonts w:ascii="Arial" w:hAnsi="Arial" w:cs="Arial"/>
                <w:b/>
                <w:bCs/>
                <w:i/>
                <w:color w:val="000080"/>
                <w:sz w:val="18"/>
                <w:szCs w:val="18"/>
                <w:lang w:val="en-US"/>
              </w:rPr>
              <w:instrText xml:space="preserve"> ADDIN ZOTERO_ITEM CSL_CITATION {"citationID":"ZzBcCNTm","properties":{"formattedCitation":"(41)","plainCitation":"(41)"},"citationItems":[{"id":1045,"uris":["http://zotero.org/users/local/zrSbuHrK/items/DGNJPC63"],"uri":["http://zotero.org/users/local/zrSbuHrK/items/DGNJPC63"],"itemData":{"id":1045,"type":"article-journal","title":"Metastatic non-small-cell lung cancer: ESMO Clinical Practice Guidelines for diagnosis, treatment and follow-up","container-title":"Annals of Oncology: Official Journal of the European Society for Medical Oncology","page":"v1-v27","volume":"27","issue":"suppl 5","source":"PubMed","DOI":"10.1093/annonc/mdw326","ISSN":"1569-8041","note":"PMID: 27664245","shortTitle":"Metastatic non-small-cell lung cancer","journalAbbreviation":"Ann. Oncol.","language":"eng","author":[{"family":"Novello","given":"S."},{"family":"Barlesi","given":"F."},{"family":"Califano","given":"R."},{"family":"Cufer","given":"T."},{"family":"Ekman","given":"S."},{"family":"Levra","given":"M. Giaj"},{"family":"Kerr","given":"K."},{"family":"Popat","given":"S."},{"family":"Reck","given":"M."},{"family":"Senan","given":"S."},{"family":"Simo","given":"G. V."},{"family":"Vansteenkiste","given":"J."},{"family":"Peters","given":"S."},{"family":"ESMO Guidelines Committee","given":""}],"issued":{"date-parts":[["2016",9]]},"PMID":"27664245"}}],"schema":"https://github.com/citation-style-language/schema/raw/master/csl-citation.json"} </w:instrText>
            </w:r>
            <w:r w:rsidRPr="00550EA8">
              <w:rPr>
                <w:rFonts w:ascii="Arial" w:hAnsi="Arial" w:cs="Arial"/>
                <w:b/>
                <w:bCs/>
                <w:i/>
                <w:color w:val="000080"/>
                <w:sz w:val="18"/>
                <w:szCs w:val="18"/>
                <w:lang w:val="en-US"/>
              </w:rPr>
              <w:fldChar w:fldCharType="separate"/>
            </w:r>
            <w:r w:rsidRPr="00550EA8">
              <w:rPr>
                <w:rFonts w:ascii="Arial" w:hAnsi="Arial" w:cs="Arial"/>
                <w:b/>
                <w:bCs/>
                <w:i/>
                <w:color w:val="000080"/>
                <w:sz w:val="18"/>
                <w:szCs w:val="18"/>
                <w:lang w:val="en-US"/>
              </w:rPr>
              <w:t>(34)</w:t>
            </w:r>
            <w:r w:rsidRPr="00550EA8">
              <w:rPr>
                <w:rFonts w:ascii="Arial" w:hAnsi="Arial" w:cs="Arial"/>
                <w:b/>
                <w:bCs/>
                <w:i/>
                <w:color w:val="000080"/>
                <w:sz w:val="18"/>
                <w:szCs w:val="18"/>
                <w:lang w:val="en-US"/>
              </w:rPr>
              <w:fldChar w:fldCharType="end"/>
            </w:r>
          </w:p>
          <w:p w:rsidR="00DD1521" w:rsidRPr="00550EA8" w:rsidRDefault="00DD1521" w:rsidP="00550EA8">
            <w:pPr>
              <w:spacing w:after="0" w:line="240" w:lineRule="auto"/>
              <w:jc w:val="both"/>
              <w:rPr>
                <w:rFonts w:ascii="Arial" w:hAnsi="Arial" w:cs="Arial"/>
                <w:i/>
                <w:color w:val="000080"/>
                <w:sz w:val="18"/>
                <w:szCs w:val="18"/>
              </w:rPr>
            </w:pPr>
            <w:r w:rsidRPr="00550EA8">
              <w:rPr>
                <w:rFonts w:ascii="Arial" w:hAnsi="Arial" w:cs="Arial"/>
                <w:i/>
                <w:color w:val="000080"/>
                <w:sz w:val="18"/>
                <w:szCs w:val="18"/>
              </w:rPr>
              <w:t xml:space="preserve">En pacientes con </w:t>
            </w:r>
            <w:r w:rsidRPr="00550EA8">
              <w:rPr>
                <w:rFonts w:ascii="Arial" w:hAnsi="Arial" w:cs="Arial"/>
                <w:b/>
                <w:bCs/>
                <w:i/>
                <w:color w:val="000080"/>
                <w:sz w:val="18"/>
                <w:szCs w:val="18"/>
              </w:rPr>
              <w:t>mutación EGFR positiva</w:t>
            </w:r>
            <w:r w:rsidRPr="00550EA8">
              <w:rPr>
                <w:rFonts w:ascii="Arial" w:hAnsi="Arial" w:cs="Arial"/>
                <w:i/>
                <w:color w:val="000080"/>
                <w:sz w:val="18"/>
                <w:szCs w:val="18"/>
              </w:rPr>
              <w:t>, osimertinib se considera como una opción de tratamiento de primera línea, al igual que el resto de ITK erlotinib, gefitinib y dacomitinib (no comercializado en España)”</w:t>
            </w:r>
          </w:p>
          <w:p w:rsidR="00DD1521" w:rsidRPr="00550EA8" w:rsidRDefault="00DD1521" w:rsidP="00550EA8">
            <w:pPr>
              <w:spacing w:after="0" w:line="240" w:lineRule="auto"/>
              <w:jc w:val="both"/>
              <w:rPr>
                <w:rFonts w:ascii="Arial" w:hAnsi="Arial" w:cs="Arial"/>
                <w:b/>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Motivo de la alegación:</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En la guía de ESMO del año 2016</w:t>
            </w:r>
            <w:r w:rsidRPr="00550EA8">
              <w:rPr>
                <w:rFonts w:ascii="Arial" w:hAnsi="Arial" w:cs="Arial"/>
                <w:color w:val="000080"/>
                <w:sz w:val="18"/>
                <w:szCs w:val="18"/>
                <w:vertAlign w:val="superscript"/>
              </w:rPr>
              <w:t>1</w:t>
            </w:r>
            <w:r w:rsidRPr="00550EA8">
              <w:rPr>
                <w:rFonts w:ascii="Arial" w:hAnsi="Arial" w:cs="Arial"/>
                <w:color w:val="000080"/>
                <w:sz w:val="18"/>
                <w:szCs w:val="18"/>
              </w:rPr>
              <w:t>, como en la actualización más reciente de 2018</w:t>
            </w:r>
            <w:r w:rsidRPr="00550EA8">
              <w:rPr>
                <w:rFonts w:ascii="Arial" w:hAnsi="Arial" w:cs="Arial"/>
                <w:color w:val="000080"/>
                <w:sz w:val="18"/>
                <w:szCs w:val="18"/>
                <w:vertAlign w:val="superscript"/>
              </w:rPr>
              <w:t>2</w:t>
            </w:r>
            <w:r w:rsidRPr="00550EA8">
              <w:rPr>
                <w:rFonts w:ascii="Arial" w:hAnsi="Arial" w:cs="Arial"/>
                <w:color w:val="000080"/>
                <w:sz w:val="18"/>
                <w:szCs w:val="18"/>
              </w:rPr>
              <w:t xml:space="preserve">,  incluye afatinib -categorizado con un nivel de evidencia y grado de recomendación de [I, A] respectivamente, y como una opción de tratamiento en primera línea en pacientes con mutación positiva del EGFR. </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Sugerencia de cambio:</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Se sugiere incluir a afatinib como opción de tratamiento en primera línea en pacientes con mutación EGFR positiva.</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Referencias:</w:t>
            </w:r>
          </w:p>
          <w:p w:rsidR="00DD1521" w:rsidRPr="00550EA8" w:rsidRDefault="00DD1521" w:rsidP="00550EA8">
            <w:pPr>
              <w:numPr>
                <w:ilvl w:val="0"/>
                <w:numId w:val="27"/>
              </w:numPr>
              <w:autoSpaceDE w:val="0"/>
              <w:autoSpaceDN w:val="0"/>
              <w:adjustRightInd w:val="0"/>
              <w:spacing w:after="0" w:line="240" w:lineRule="auto"/>
              <w:ind w:left="213" w:hanging="213"/>
              <w:rPr>
                <w:rFonts w:ascii="Arial" w:hAnsi="Arial" w:cs="Arial"/>
                <w:bCs/>
                <w:i/>
                <w:color w:val="000080"/>
                <w:sz w:val="18"/>
                <w:szCs w:val="18"/>
                <w:lang w:val="pt-BR" w:eastAsia="en-US"/>
              </w:rPr>
            </w:pPr>
            <w:r w:rsidRPr="00550EA8">
              <w:rPr>
                <w:rFonts w:ascii="Arial" w:hAnsi="Arial" w:cs="Arial"/>
                <w:bCs/>
                <w:i/>
                <w:color w:val="000080"/>
                <w:sz w:val="18"/>
                <w:szCs w:val="18"/>
                <w:lang w:eastAsia="en-US"/>
              </w:rPr>
              <w:t xml:space="preserve">Novello S, Barlesi F, Califano R, Cufer T, Ekman S, Levra MG et al. Metastatic non-small-cell lung cancer: ESMO Clinical Practice Guidelines for diagnosis, treatment and follow-up. </w:t>
            </w:r>
            <w:r w:rsidRPr="00550EA8">
              <w:rPr>
                <w:rFonts w:ascii="Arial" w:hAnsi="Arial" w:cs="Arial"/>
                <w:color w:val="000080"/>
                <w:sz w:val="18"/>
                <w:szCs w:val="18"/>
                <w:lang w:eastAsia="zh-CN"/>
              </w:rPr>
              <w:t>Annals of Oncology 27 (Supplement 5): v1–v27, 2016</w:t>
            </w:r>
          </w:p>
          <w:p w:rsidR="00DD1521" w:rsidRPr="00550EA8" w:rsidRDefault="00DD1521" w:rsidP="00550EA8">
            <w:pPr>
              <w:numPr>
                <w:ilvl w:val="0"/>
                <w:numId w:val="27"/>
              </w:numPr>
              <w:spacing w:after="0" w:line="240" w:lineRule="auto"/>
              <w:ind w:left="213" w:hanging="213"/>
              <w:jc w:val="both"/>
              <w:rPr>
                <w:rFonts w:ascii="Arial" w:hAnsi="Arial" w:cs="Arial"/>
                <w:color w:val="000080"/>
                <w:sz w:val="18"/>
                <w:szCs w:val="18"/>
              </w:rPr>
            </w:pPr>
            <w:bookmarkStart w:id="190" w:name="OLE_LINK3"/>
            <w:bookmarkStart w:id="191" w:name="OLE_LINK4"/>
            <w:r w:rsidRPr="00550EA8">
              <w:rPr>
                <w:rFonts w:ascii="Arial" w:hAnsi="Arial" w:cs="Arial"/>
                <w:bCs/>
                <w:i/>
                <w:color w:val="000080"/>
                <w:sz w:val="18"/>
                <w:szCs w:val="18"/>
                <w:lang w:val="en-US"/>
              </w:rPr>
              <w:t xml:space="preserve">D. Planchard, S. Popat, K. Kerr, S. Novello, E. F. Smit, C. Faivre-Finn, T. S. Mok, M. Reck, P. E. Van Schil, M. D. Hellmann &amp; S. Peters, on behalf of the ESMO Guidelines Committee. Metastatic Non-Small-Cell Lung Cancer: ESMO Clinical Practice Guidelines for diagnosis, treatment and follow-up. </w:t>
            </w:r>
            <w:r w:rsidRPr="00550EA8">
              <w:rPr>
                <w:rFonts w:ascii="Arial" w:hAnsi="Arial" w:cs="Arial"/>
                <w:bCs/>
                <w:i/>
                <w:color w:val="000080"/>
                <w:sz w:val="18"/>
                <w:szCs w:val="18"/>
              </w:rPr>
              <w:t xml:space="preserve">Versión corregida online disponible en: </w:t>
            </w:r>
            <w:hyperlink r:id="rId38" w:history="1">
              <w:r w:rsidRPr="00550EA8">
                <w:rPr>
                  <w:rStyle w:val="Hipervnculo"/>
                  <w:rFonts w:ascii="Arial" w:hAnsi="Arial" w:cs="Arial"/>
                  <w:i/>
                  <w:color w:val="000080"/>
                  <w:sz w:val="18"/>
                  <w:szCs w:val="18"/>
                </w:rPr>
                <w:t>https://www.esmo.org/Guidelines/Lung-and-Chest-Tumours/Metastatic-Non-Small-Cell-Lung-Cancer</w:t>
              </w:r>
            </w:hyperlink>
            <w:bookmarkEnd w:id="190"/>
            <w:bookmarkEnd w:id="191"/>
          </w:p>
        </w:tc>
        <w:tc>
          <w:tcPr>
            <w:tcW w:w="1460" w:type="dxa"/>
          </w:tcPr>
          <w:p w:rsidR="00DD1521" w:rsidRPr="00550EA8" w:rsidRDefault="00DD1521" w:rsidP="00550EA8">
            <w:pPr>
              <w:spacing w:after="0" w:line="240" w:lineRule="auto"/>
              <w:jc w:val="both"/>
              <w:rPr>
                <w:rFonts w:ascii="Arial" w:hAnsi="Arial" w:cs="Arial"/>
                <w:color w:val="000080"/>
                <w:sz w:val="18"/>
                <w:szCs w:val="18"/>
              </w:rPr>
            </w:pPr>
            <w:r>
              <w:rPr>
                <w:rFonts w:ascii="Arial" w:hAnsi="Arial" w:cs="Arial"/>
                <w:color w:val="000080"/>
                <w:sz w:val="18"/>
                <w:szCs w:val="18"/>
              </w:rPr>
              <w:lastRenderedPageBreak/>
              <w:t>Aceptada. Ser añade afatinib y se actualiza la referencia 34.</w:t>
            </w:r>
          </w:p>
        </w:tc>
      </w:tr>
      <w:tr w:rsidR="00DD1521" w:rsidRPr="001D63D0" w:rsidTr="00550EA8">
        <w:tc>
          <w:tcPr>
            <w:tcW w:w="1121" w:type="dxa"/>
          </w:tcPr>
          <w:p w:rsidR="00DD1521" w:rsidRPr="00550EA8" w:rsidRDefault="00DD1521" w:rsidP="00550EA8">
            <w:pPr>
              <w:spacing w:after="0" w:line="240" w:lineRule="auto"/>
              <w:rPr>
                <w:rFonts w:ascii="Arial" w:hAnsi="Arial" w:cs="Arial"/>
                <w:b/>
                <w:color w:val="000080"/>
                <w:sz w:val="18"/>
                <w:szCs w:val="18"/>
              </w:rPr>
            </w:pPr>
            <w:r w:rsidRPr="00550EA8">
              <w:rPr>
                <w:rFonts w:ascii="Arial" w:hAnsi="Arial" w:cs="Arial"/>
                <w:b/>
                <w:color w:val="000080"/>
                <w:sz w:val="18"/>
                <w:szCs w:val="18"/>
              </w:rPr>
              <w:lastRenderedPageBreak/>
              <w:t>Dep Market Access</w:t>
            </w:r>
          </w:p>
        </w:tc>
        <w:tc>
          <w:tcPr>
            <w:tcW w:w="8039" w:type="dxa"/>
          </w:tcPr>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Alegación 5</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Apartado 7.1. Costes. Coste Incremental (pág 32)</w:t>
            </w:r>
          </w:p>
          <w:p w:rsidR="00DD1521" w:rsidRPr="00550EA8" w:rsidRDefault="00DD1521" w:rsidP="00550EA8">
            <w:pPr>
              <w:spacing w:after="0" w:line="240" w:lineRule="auto"/>
              <w:jc w:val="both"/>
              <w:rPr>
                <w:rFonts w:ascii="Arial" w:hAnsi="Arial" w:cs="Arial"/>
                <w:b/>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Tabla 14. Comparación de costes del tratamiento evaluado frente a otra/s alternativa/s.</w:t>
            </w:r>
          </w:p>
          <w:p w:rsidR="00DD1521" w:rsidRPr="00550EA8" w:rsidRDefault="00DD1521" w:rsidP="00550EA8">
            <w:pPr>
              <w:spacing w:after="0" w:line="240" w:lineRule="auto"/>
              <w:jc w:val="both"/>
              <w:rPr>
                <w:rFonts w:ascii="Arial" w:hAnsi="Arial" w:cs="Arial"/>
                <w:b/>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Motivo de la alegación:</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El precio unitario y coste/día de afatinib a PVL+IVA incluidos en la tabla consideran que las cajas de GIOTRIF contienen 30 unidades cuando en realidad contienen 28.</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La tabla original asume que el tiempo medio de tratamiento de afatinib es el del brazo comparador del estudio FLAURA -que no incluye afatinib. Según el estudio LUX-Lung 7, la mediana del tiempo de duración de los pacientes tratados con afatinib fue de 13,5 meses</w:t>
            </w:r>
            <w:r w:rsidRPr="00550EA8">
              <w:rPr>
                <w:rFonts w:ascii="Arial" w:hAnsi="Arial" w:cs="Arial"/>
                <w:color w:val="000080"/>
                <w:sz w:val="18"/>
                <w:szCs w:val="18"/>
                <w:vertAlign w:val="superscript"/>
              </w:rPr>
              <w:t>1</w:t>
            </w:r>
            <w:r w:rsidRPr="00550EA8">
              <w:rPr>
                <w:rFonts w:ascii="Arial" w:hAnsi="Arial" w:cs="Arial"/>
                <w:color w:val="000080"/>
                <w:sz w:val="18"/>
                <w:szCs w:val="18"/>
              </w:rPr>
              <w:t>.</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Sugerencia de cambio:</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Se propone la siguiente tabla una vez ajustados los valores/cálculos derivados de lo anterior.</w:t>
            </w:r>
          </w:p>
          <w:p w:rsidR="00DD1521" w:rsidRPr="00550EA8" w:rsidRDefault="00DD1521" w:rsidP="00550EA8">
            <w:pPr>
              <w:spacing w:after="0" w:line="240" w:lineRule="auto"/>
              <w:jc w:val="both"/>
              <w:rPr>
                <w:rFonts w:ascii="Arial" w:hAnsi="Arial" w:cs="Arial"/>
                <w:b/>
                <w:sz w:val="18"/>
                <w:szCs w:val="18"/>
              </w:rPr>
            </w:pPr>
            <w:r w:rsidRPr="00550EA8">
              <w:rPr>
                <w:rFonts w:ascii="Arial" w:hAnsi="Arial" w:cs="Arial"/>
                <w:color w:val="000080"/>
                <w:sz w:val="18"/>
                <w:szCs w:val="18"/>
              </w:rPr>
              <w:t xml:space="preserve">Nota: La propuesta de tabla no asume ningún otro cambio que afecte al resto de fármacos incluidos. </w:t>
            </w:r>
          </w:p>
          <w:tbl>
            <w:tblPr>
              <w:tblW w:w="7720" w:type="dxa"/>
              <w:tblLayout w:type="fixed"/>
              <w:tblCellMar>
                <w:left w:w="70" w:type="dxa"/>
                <w:right w:w="70" w:type="dxa"/>
              </w:tblCellMar>
              <w:tblLook w:val="00A0" w:firstRow="1" w:lastRow="0" w:firstColumn="1" w:lastColumn="0" w:noHBand="0" w:noVBand="0"/>
            </w:tblPr>
            <w:tblGrid>
              <w:gridCol w:w="1342"/>
              <w:gridCol w:w="1275"/>
              <w:gridCol w:w="1276"/>
              <w:gridCol w:w="1275"/>
              <w:gridCol w:w="1276"/>
              <w:gridCol w:w="1276"/>
            </w:tblGrid>
            <w:tr w:rsidR="00DD1521" w:rsidRPr="0067423F" w:rsidTr="00550EA8">
              <w:trPr>
                <w:cantSplit/>
              </w:trPr>
              <w:tc>
                <w:tcPr>
                  <w:tcW w:w="7720" w:type="dxa"/>
                  <w:gridSpan w:val="6"/>
                  <w:tcBorders>
                    <w:top w:val="single" w:sz="4" w:space="0" w:color="000000"/>
                    <w:left w:val="single" w:sz="4" w:space="0" w:color="000000"/>
                    <w:bottom w:val="single" w:sz="4" w:space="0" w:color="000000"/>
                    <w:right w:val="single" w:sz="4" w:space="0" w:color="000000"/>
                  </w:tcBorders>
                  <w:shd w:val="clear" w:color="auto" w:fill="CCFFCC"/>
                </w:tcPr>
                <w:p w:rsidR="00DD1521" w:rsidRPr="0067423F" w:rsidRDefault="00DD1521" w:rsidP="00550EA8">
                  <w:pPr>
                    <w:spacing w:after="0" w:line="240" w:lineRule="auto"/>
                    <w:rPr>
                      <w:rFonts w:ascii="Arial" w:hAnsi="Arial" w:cs="Arial"/>
                      <w:sz w:val="16"/>
                      <w:szCs w:val="16"/>
                    </w:rPr>
                  </w:pPr>
                  <w:r w:rsidRPr="0067423F">
                    <w:rPr>
                      <w:rFonts w:ascii="Arial" w:hAnsi="Arial" w:cs="Arial"/>
                      <w:b/>
                      <w:bCs/>
                      <w:sz w:val="16"/>
                      <w:szCs w:val="16"/>
                    </w:rPr>
                    <w:t>Tabla 14. Comparación de costes del tratamiento evaluado frente a otra/s alternativa/s.</w:t>
                  </w:r>
                </w:p>
              </w:tc>
            </w:tr>
            <w:tr w:rsidR="00DD1521" w:rsidRPr="0067423F" w:rsidTr="00550EA8">
              <w:trPr>
                <w:cantSplit/>
              </w:trPr>
              <w:tc>
                <w:tcPr>
                  <w:tcW w:w="1342" w:type="dxa"/>
                  <w:tcBorders>
                    <w:top w:val="single" w:sz="4" w:space="0" w:color="000000"/>
                    <w:left w:val="single" w:sz="4" w:space="0" w:color="000000"/>
                    <w:bottom w:val="single" w:sz="4" w:space="0" w:color="000000"/>
                    <w:right w:val="nil"/>
                  </w:tcBorders>
                  <w:shd w:val="clear" w:color="auto" w:fill="CCFFCC"/>
                </w:tcPr>
                <w:p w:rsidR="00DD1521" w:rsidRPr="0067423F" w:rsidRDefault="00DD1521" w:rsidP="00550EA8">
                  <w:pPr>
                    <w:snapToGrid w:val="0"/>
                    <w:spacing w:after="0" w:line="240" w:lineRule="auto"/>
                    <w:jc w:val="both"/>
                    <w:rPr>
                      <w:rFonts w:ascii="Arial" w:hAnsi="Arial" w:cs="Arial"/>
                      <w:b/>
                      <w:bCs/>
                      <w:sz w:val="16"/>
                      <w:szCs w:val="16"/>
                    </w:rPr>
                  </w:pPr>
                </w:p>
              </w:tc>
              <w:tc>
                <w:tcPr>
                  <w:tcW w:w="6378" w:type="dxa"/>
                  <w:gridSpan w:val="5"/>
                  <w:tcBorders>
                    <w:top w:val="single" w:sz="4" w:space="0" w:color="000000"/>
                    <w:left w:val="single" w:sz="4" w:space="0" w:color="000000"/>
                    <w:bottom w:val="single" w:sz="4" w:space="0" w:color="000000"/>
                    <w:right w:val="single" w:sz="4" w:space="0" w:color="000000"/>
                  </w:tcBorders>
                  <w:shd w:val="clear" w:color="auto" w:fill="CCFFCC"/>
                </w:tcPr>
                <w:p w:rsidR="00DD1521" w:rsidRPr="0067423F" w:rsidRDefault="00DD1521" w:rsidP="00550EA8">
                  <w:pPr>
                    <w:spacing w:after="0" w:line="240" w:lineRule="auto"/>
                    <w:jc w:val="center"/>
                    <w:rPr>
                      <w:rFonts w:ascii="Arial" w:hAnsi="Arial" w:cs="Arial"/>
                      <w:sz w:val="16"/>
                      <w:szCs w:val="16"/>
                    </w:rPr>
                  </w:pPr>
                  <w:r w:rsidRPr="0067423F">
                    <w:rPr>
                      <w:rFonts w:ascii="Arial" w:hAnsi="Arial" w:cs="Arial"/>
                      <w:b/>
                      <w:bCs/>
                      <w:sz w:val="16"/>
                      <w:szCs w:val="16"/>
                    </w:rPr>
                    <w:t>Medicamento</w:t>
                  </w:r>
                </w:p>
              </w:tc>
            </w:tr>
            <w:tr w:rsidR="00DD1521" w:rsidRPr="0067423F" w:rsidTr="00550EA8">
              <w:trPr>
                <w:trHeight w:val="685"/>
              </w:trPr>
              <w:tc>
                <w:tcPr>
                  <w:tcW w:w="1342" w:type="dxa"/>
                  <w:tcBorders>
                    <w:top w:val="single" w:sz="4" w:space="0" w:color="000000"/>
                    <w:left w:val="single" w:sz="4" w:space="0" w:color="000000"/>
                    <w:bottom w:val="single" w:sz="4" w:space="0" w:color="000000"/>
                    <w:right w:val="nil"/>
                  </w:tcBorders>
                  <w:shd w:val="clear" w:color="auto" w:fill="E6E6E6"/>
                </w:tcPr>
                <w:p w:rsidR="00DD1521" w:rsidRPr="0067423F" w:rsidRDefault="00DD1521" w:rsidP="00550EA8">
                  <w:pPr>
                    <w:snapToGrid w:val="0"/>
                    <w:spacing w:after="0" w:line="240" w:lineRule="auto"/>
                    <w:jc w:val="center"/>
                    <w:rPr>
                      <w:rFonts w:ascii="Arial" w:hAnsi="Arial" w:cs="Arial"/>
                      <w:b/>
                      <w:bCs/>
                      <w:sz w:val="16"/>
                      <w:szCs w:val="16"/>
                    </w:rPr>
                  </w:pPr>
                </w:p>
              </w:tc>
              <w:tc>
                <w:tcPr>
                  <w:tcW w:w="1275" w:type="dxa"/>
                  <w:tcBorders>
                    <w:top w:val="single" w:sz="4" w:space="0" w:color="000000"/>
                    <w:left w:val="single" w:sz="4" w:space="0" w:color="000000"/>
                    <w:bottom w:val="single" w:sz="4" w:space="0" w:color="000000"/>
                    <w:right w:val="nil"/>
                  </w:tcBorders>
                  <w:shd w:val="clear" w:color="auto" w:fill="E6E6E6"/>
                </w:tcPr>
                <w:p w:rsidR="00DD1521" w:rsidRPr="0067423F" w:rsidRDefault="00DD1521" w:rsidP="00550EA8">
                  <w:pPr>
                    <w:pStyle w:val="Normal1"/>
                    <w:spacing w:after="0" w:line="240" w:lineRule="auto"/>
                    <w:jc w:val="center"/>
                    <w:rPr>
                      <w:rFonts w:ascii="Arial" w:hAnsi="Arial" w:cs="Arial"/>
                      <w:b/>
                      <w:bCs/>
                      <w:sz w:val="16"/>
                      <w:szCs w:val="16"/>
                    </w:rPr>
                  </w:pPr>
                  <w:r w:rsidRPr="0067423F">
                    <w:rPr>
                      <w:rFonts w:ascii="Arial" w:hAnsi="Arial" w:cs="Arial"/>
                      <w:b/>
                      <w:bCs/>
                      <w:sz w:val="16"/>
                      <w:szCs w:val="16"/>
                    </w:rPr>
                    <w:t>OSIMERTINIB</w:t>
                  </w:r>
                </w:p>
                <w:p w:rsidR="00DD1521" w:rsidRPr="0067423F" w:rsidRDefault="00DD1521" w:rsidP="00550EA8">
                  <w:pPr>
                    <w:pStyle w:val="Normal1"/>
                    <w:spacing w:after="0" w:line="240" w:lineRule="auto"/>
                    <w:jc w:val="center"/>
                    <w:rPr>
                      <w:rFonts w:ascii="Arial" w:hAnsi="Arial" w:cs="Arial"/>
                      <w:sz w:val="16"/>
                      <w:szCs w:val="16"/>
                    </w:rPr>
                  </w:pPr>
                  <w:r w:rsidRPr="0067423F">
                    <w:rPr>
                      <w:rFonts w:ascii="Arial" w:hAnsi="Arial" w:cs="Arial"/>
                      <w:sz w:val="16"/>
                      <w:szCs w:val="16"/>
                    </w:rPr>
                    <w:t>Tagrisso® 40/80 mg 30 comprimidos.</w:t>
                  </w:r>
                </w:p>
              </w:tc>
              <w:tc>
                <w:tcPr>
                  <w:tcW w:w="1276" w:type="dxa"/>
                  <w:tcBorders>
                    <w:top w:val="single" w:sz="4" w:space="0" w:color="000000"/>
                    <w:left w:val="single" w:sz="4" w:space="0" w:color="000000"/>
                    <w:bottom w:val="single" w:sz="4" w:space="0" w:color="000000"/>
                    <w:right w:val="single" w:sz="4" w:space="0" w:color="auto"/>
                  </w:tcBorders>
                  <w:shd w:val="clear" w:color="auto" w:fill="E6E6E6"/>
                </w:tcPr>
                <w:p w:rsidR="00DD1521" w:rsidRPr="0067423F" w:rsidRDefault="00DD1521" w:rsidP="00550EA8">
                  <w:pPr>
                    <w:spacing w:after="0" w:line="240" w:lineRule="auto"/>
                    <w:jc w:val="center"/>
                    <w:rPr>
                      <w:rFonts w:ascii="Arial" w:hAnsi="Arial" w:cs="Arial"/>
                      <w:sz w:val="16"/>
                      <w:szCs w:val="16"/>
                    </w:rPr>
                  </w:pPr>
                  <w:r w:rsidRPr="0067423F">
                    <w:rPr>
                      <w:rFonts w:ascii="Arial" w:hAnsi="Arial" w:cs="Arial"/>
                      <w:b/>
                      <w:bCs/>
                      <w:sz w:val="16"/>
                      <w:szCs w:val="16"/>
                    </w:rPr>
                    <w:t>DACOMITINIB</w:t>
                  </w:r>
                  <w:r w:rsidRPr="0067423F">
                    <w:rPr>
                      <w:rFonts w:ascii="Arial" w:hAnsi="Arial" w:cs="Arial"/>
                      <w:sz w:val="16"/>
                      <w:szCs w:val="16"/>
                    </w:rPr>
                    <w:t xml:space="preserve"> Vizimpro® 15/30/45 mg </w:t>
                  </w:r>
                </w:p>
                <w:p w:rsidR="00DD1521" w:rsidRPr="0067423F" w:rsidRDefault="00DD1521" w:rsidP="00550EA8">
                  <w:pPr>
                    <w:spacing w:after="0" w:line="240" w:lineRule="auto"/>
                    <w:jc w:val="center"/>
                    <w:rPr>
                      <w:rFonts w:ascii="Arial" w:hAnsi="Arial" w:cs="Arial"/>
                      <w:sz w:val="16"/>
                      <w:szCs w:val="16"/>
                    </w:rPr>
                  </w:pPr>
                  <w:r w:rsidRPr="0067423F">
                    <w:rPr>
                      <w:rFonts w:ascii="Arial" w:hAnsi="Arial" w:cs="Arial"/>
                      <w:sz w:val="16"/>
                      <w:szCs w:val="16"/>
                    </w:rPr>
                    <w:t>30 comprimidos</w:t>
                  </w:r>
                </w:p>
              </w:tc>
              <w:tc>
                <w:tcPr>
                  <w:tcW w:w="1275" w:type="dxa"/>
                  <w:tcBorders>
                    <w:top w:val="single" w:sz="4" w:space="0" w:color="000000"/>
                    <w:left w:val="single" w:sz="4" w:space="0" w:color="auto"/>
                    <w:bottom w:val="single" w:sz="4" w:space="0" w:color="000000"/>
                    <w:right w:val="nil"/>
                  </w:tcBorders>
                  <w:shd w:val="clear" w:color="auto" w:fill="E6E6E6"/>
                </w:tcPr>
                <w:p w:rsidR="00DD1521" w:rsidRPr="0067423F" w:rsidRDefault="00DD1521" w:rsidP="00550EA8">
                  <w:pPr>
                    <w:pStyle w:val="Normal1"/>
                    <w:spacing w:after="0" w:line="240" w:lineRule="auto"/>
                    <w:jc w:val="center"/>
                    <w:rPr>
                      <w:rFonts w:ascii="Arial" w:hAnsi="Arial" w:cs="Arial"/>
                      <w:b/>
                      <w:bCs/>
                      <w:sz w:val="16"/>
                      <w:szCs w:val="16"/>
                    </w:rPr>
                  </w:pPr>
                  <w:r w:rsidRPr="0067423F">
                    <w:rPr>
                      <w:rFonts w:ascii="Arial" w:hAnsi="Arial" w:cs="Arial"/>
                      <w:b/>
                      <w:bCs/>
                      <w:sz w:val="16"/>
                      <w:szCs w:val="16"/>
                    </w:rPr>
                    <w:t>ERLOTINIB</w:t>
                  </w:r>
                </w:p>
                <w:p w:rsidR="00DD1521" w:rsidRPr="0067423F" w:rsidRDefault="00DD1521" w:rsidP="00550EA8">
                  <w:pPr>
                    <w:pStyle w:val="Normal1"/>
                    <w:spacing w:after="0" w:line="240" w:lineRule="auto"/>
                    <w:jc w:val="center"/>
                    <w:rPr>
                      <w:rFonts w:ascii="Arial" w:hAnsi="Arial" w:cs="Arial"/>
                      <w:sz w:val="16"/>
                      <w:szCs w:val="16"/>
                    </w:rPr>
                  </w:pPr>
                  <w:r w:rsidRPr="0067423F">
                    <w:rPr>
                      <w:rFonts w:ascii="Arial" w:hAnsi="Arial" w:cs="Arial"/>
                      <w:sz w:val="16"/>
                      <w:szCs w:val="16"/>
                    </w:rPr>
                    <w:t xml:space="preserve">Tarceva®  100/ 150 mg </w:t>
                  </w:r>
                </w:p>
                <w:p w:rsidR="00DD1521" w:rsidRPr="0067423F" w:rsidRDefault="00DD1521" w:rsidP="00550EA8">
                  <w:pPr>
                    <w:pStyle w:val="Normal1"/>
                    <w:spacing w:after="0" w:line="240" w:lineRule="auto"/>
                    <w:jc w:val="center"/>
                    <w:rPr>
                      <w:rFonts w:ascii="Arial" w:hAnsi="Arial" w:cs="Arial"/>
                      <w:sz w:val="16"/>
                      <w:szCs w:val="16"/>
                    </w:rPr>
                  </w:pPr>
                  <w:r w:rsidRPr="0067423F">
                    <w:rPr>
                      <w:rFonts w:ascii="Arial" w:hAnsi="Arial" w:cs="Arial"/>
                      <w:sz w:val="16"/>
                      <w:szCs w:val="16"/>
                    </w:rPr>
                    <w:t>30 comprimidos</w:t>
                  </w:r>
                </w:p>
              </w:tc>
              <w:tc>
                <w:tcPr>
                  <w:tcW w:w="1276" w:type="dxa"/>
                  <w:tcBorders>
                    <w:top w:val="single" w:sz="4" w:space="0" w:color="000000"/>
                    <w:left w:val="single" w:sz="4" w:space="0" w:color="000000"/>
                    <w:bottom w:val="single" w:sz="4" w:space="0" w:color="000000"/>
                    <w:right w:val="single" w:sz="4" w:space="0" w:color="000000"/>
                  </w:tcBorders>
                  <w:shd w:val="clear" w:color="auto" w:fill="E6E6E6"/>
                </w:tcPr>
                <w:p w:rsidR="00DD1521" w:rsidRPr="0067423F" w:rsidRDefault="00DD1521" w:rsidP="00550EA8">
                  <w:pPr>
                    <w:spacing w:after="0" w:line="240" w:lineRule="auto"/>
                    <w:jc w:val="center"/>
                    <w:rPr>
                      <w:rFonts w:ascii="Arial" w:hAnsi="Arial" w:cs="Arial"/>
                      <w:b/>
                      <w:bCs/>
                      <w:sz w:val="16"/>
                      <w:szCs w:val="16"/>
                    </w:rPr>
                  </w:pPr>
                  <w:r w:rsidRPr="0067423F">
                    <w:rPr>
                      <w:rFonts w:ascii="Arial" w:hAnsi="Arial" w:cs="Arial"/>
                      <w:b/>
                      <w:bCs/>
                      <w:sz w:val="16"/>
                      <w:szCs w:val="16"/>
                    </w:rPr>
                    <w:t>GEFITINIB</w:t>
                  </w:r>
                </w:p>
                <w:p w:rsidR="00DD1521" w:rsidRPr="0067423F" w:rsidRDefault="00DD1521" w:rsidP="00550EA8">
                  <w:pPr>
                    <w:spacing w:after="0" w:line="240" w:lineRule="auto"/>
                    <w:jc w:val="center"/>
                    <w:rPr>
                      <w:rFonts w:ascii="Arial" w:hAnsi="Arial" w:cs="Arial"/>
                      <w:sz w:val="16"/>
                      <w:szCs w:val="16"/>
                    </w:rPr>
                  </w:pPr>
                  <w:r w:rsidRPr="0067423F">
                    <w:rPr>
                      <w:rFonts w:ascii="Arial" w:hAnsi="Arial" w:cs="Arial"/>
                      <w:sz w:val="16"/>
                      <w:szCs w:val="16"/>
                    </w:rPr>
                    <w:t>Iressa® 250 mg</w:t>
                  </w:r>
                </w:p>
                <w:p w:rsidR="00DD1521" w:rsidRPr="0067423F" w:rsidRDefault="00DD1521" w:rsidP="00550EA8">
                  <w:pPr>
                    <w:spacing w:after="0" w:line="240" w:lineRule="auto"/>
                    <w:jc w:val="center"/>
                    <w:rPr>
                      <w:rFonts w:ascii="Arial" w:hAnsi="Arial" w:cs="Arial"/>
                      <w:sz w:val="16"/>
                      <w:szCs w:val="16"/>
                    </w:rPr>
                  </w:pPr>
                  <w:r w:rsidRPr="0067423F">
                    <w:rPr>
                      <w:rFonts w:ascii="Arial" w:hAnsi="Arial" w:cs="Arial"/>
                      <w:sz w:val="16"/>
                      <w:szCs w:val="16"/>
                    </w:rPr>
                    <w:t>30 comprimidos</w:t>
                  </w:r>
                </w:p>
              </w:tc>
              <w:tc>
                <w:tcPr>
                  <w:tcW w:w="1276" w:type="dxa"/>
                  <w:tcBorders>
                    <w:top w:val="single" w:sz="4" w:space="0" w:color="000000"/>
                    <w:left w:val="single" w:sz="4" w:space="0" w:color="000000"/>
                    <w:bottom w:val="single" w:sz="4" w:space="0" w:color="000000"/>
                    <w:right w:val="single" w:sz="4" w:space="0" w:color="000000"/>
                  </w:tcBorders>
                  <w:shd w:val="clear" w:color="auto" w:fill="E6E6E6"/>
                </w:tcPr>
                <w:p w:rsidR="00DD1521" w:rsidRPr="0067423F" w:rsidRDefault="00DD1521" w:rsidP="00550EA8">
                  <w:pPr>
                    <w:spacing w:after="0" w:line="240" w:lineRule="auto"/>
                    <w:jc w:val="center"/>
                    <w:rPr>
                      <w:rFonts w:ascii="Arial" w:hAnsi="Arial" w:cs="Arial"/>
                      <w:b/>
                      <w:bCs/>
                      <w:sz w:val="16"/>
                      <w:szCs w:val="16"/>
                    </w:rPr>
                  </w:pPr>
                  <w:r w:rsidRPr="0067423F">
                    <w:rPr>
                      <w:rFonts w:ascii="Arial" w:hAnsi="Arial" w:cs="Arial"/>
                      <w:b/>
                      <w:bCs/>
                      <w:sz w:val="16"/>
                      <w:szCs w:val="16"/>
                    </w:rPr>
                    <w:t>AFATINIB</w:t>
                  </w:r>
                </w:p>
                <w:p w:rsidR="00DD1521" w:rsidRPr="0067423F" w:rsidRDefault="00DD1521" w:rsidP="00550EA8">
                  <w:pPr>
                    <w:pStyle w:val="Normal1"/>
                    <w:spacing w:after="0" w:line="240" w:lineRule="auto"/>
                    <w:jc w:val="center"/>
                    <w:rPr>
                      <w:rFonts w:ascii="Arial" w:hAnsi="Arial" w:cs="Arial"/>
                      <w:sz w:val="16"/>
                      <w:szCs w:val="16"/>
                    </w:rPr>
                  </w:pPr>
                  <w:r w:rsidRPr="0067423F">
                    <w:rPr>
                      <w:rFonts w:ascii="Arial" w:hAnsi="Arial" w:cs="Arial"/>
                      <w:sz w:val="16"/>
                      <w:szCs w:val="16"/>
                    </w:rPr>
                    <w:t>Giotrif® 20/30/40/50mg 30 comprimidos</w:t>
                  </w:r>
                </w:p>
              </w:tc>
            </w:tr>
            <w:tr w:rsidR="00DD1521" w:rsidRPr="0067423F" w:rsidTr="00550EA8">
              <w:trPr>
                <w:trHeight w:val="168"/>
              </w:trPr>
              <w:tc>
                <w:tcPr>
                  <w:tcW w:w="1342"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pacing w:after="0" w:line="240" w:lineRule="auto"/>
                    <w:rPr>
                      <w:rFonts w:ascii="Arial" w:hAnsi="Arial" w:cs="Arial"/>
                      <w:b/>
                      <w:bCs/>
                      <w:sz w:val="16"/>
                      <w:szCs w:val="16"/>
                    </w:rPr>
                  </w:pPr>
                  <w:r w:rsidRPr="0067423F">
                    <w:rPr>
                      <w:rFonts w:ascii="Arial" w:hAnsi="Arial" w:cs="Arial"/>
                      <w:b/>
                      <w:bCs/>
                      <w:sz w:val="16"/>
                      <w:szCs w:val="16"/>
                    </w:rPr>
                    <w:t xml:space="preserve">Precio unitario (PVL+IVA) </w:t>
                  </w:r>
                </w:p>
              </w:tc>
              <w:tc>
                <w:tcPr>
                  <w:tcW w:w="1275"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210,32 €*</w:t>
                  </w:r>
                </w:p>
              </w:tc>
              <w:tc>
                <w:tcPr>
                  <w:tcW w:w="1276" w:type="dxa"/>
                  <w:tcBorders>
                    <w:top w:val="single" w:sz="4" w:space="0" w:color="000000"/>
                    <w:left w:val="single" w:sz="4" w:space="0" w:color="000000"/>
                    <w:bottom w:val="single" w:sz="4" w:space="0" w:color="000000"/>
                    <w:right w:val="single" w:sz="4" w:space="0" w:color="auto"/>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346,6 €</w:t>
                  </w:r>
                </w:p>
              </w:tc>
              <w:tc>
                <w:tcPr>
                  <w:tcW w:w="1275" w:type="dxa"/>
                  <w:tcBorders>
                    <w:top w:val="single" w:sz="4" w:space="0" w:color="000000"/>
                    <w:left w:val="single" w:sz="4" w:space="0" w:color="auto"/>
                    <w:bottom w:val="single" w:sz="4" w:space="0" w:color="000000"/>
                    <w:right w:val="nil"/>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70,9 €**</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70,9**</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p>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70,9 €</w:t>
                  </w:r>
                </w:p>
              </w:tc>
            </w:tr>
            <w:tr w:rsidR="00DD1521" w:rsidRPr="0067423F" w:rsidTr="00550EA8">
              <w:tc>
                <w:tcPr>
                  <w:tcW w:w="1342"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pacing w:after="0" w:line="240" w:lineRule="auto"/>
                    <w:rPr>
                      <w:rFonts w:ascii="Arial" w:hAnsi="Arial" w:cs="Arial"/>
                      <w:b/>
                      <w:bCs/>
                      <w:sz w:val="16"/>
                      <w:szCs w:val="16"/>
                    </w:rPr>
                  </w:pPr>
                  <w:r w:rsidRPr="0067423F">
                    <w:rPr>
                      <w:rFonts w:ascii="Arial" w:hAnsi="Arial" w:cs="Arial"/>
                      <w:b/>
                      <w:bCs/>
                      <w:sz w:val="16"/>
                      <w:szCs w:val="16"/>
                    </w:rPr>
                    <w:t>Posología</w:t>
                  </w:r>
                </w:p>
              </w:tc>
              <w:tc>
                <w:tcPr>
                  <w:tcW w:w="1275"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80 mg/24 h</w:t>
                  </w:r>
                </w:p>
              </w:tc>
              <w:tc>
                <w:tcPr>
                  <w:tcW w:w="1276" w:type="dxa"/>
                  <w:tcBorders>
                    <w:top w:val="single" w:sz="4" w:space="0" w:color="000000"/>
                    <w:left w:val="single" w:sz="4" w:space="0" w:color="000000"/>
                    <w:bottom w:val="single" w:sz="4" w:space="0" w:color="000000"/>
                    <w:right w:val="single" w:sz="4" w:space="0" w:color="auto"/>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45 mg/24h</w:t>
                  </w:r>
                </w:p>
              </w:tc>
              <w:tc>
                <w:tcPr>
                  <w:tcW w:w="1275" w:type="dxa"/>
                  <w:tcBorders>
                    <w:top w:val="single" w:sz="4" w:space="0" w:color="000000"/>
                    <w:left w:val="single" w:sz="4" w:space="0" w:color="auto"/>
                    <w:bottom w:val="single" w:sz="4" w:space="0" w:color="000000"/>
                    <w:right w:val="nil"/>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150 mg/24h</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250 mg/24h</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40 mg/24 h</w:t>
                  </w:r>
                </w:p>
              </w:tc>
            </w:tr>
            <w:tr w:rsidR="00DD1521" w:rsidRPr="0067423F" w:rsidTr="00550EA8">
              <w:trPr>
                <w:trHeight w:val="310"/>
              </w:trPr>
              <w:tc>
                <w:tcPr>
                  <w:tcW w:w="1342"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pacing w:after="0" w:line="240" w:lineRule="auto"/>
                    <w:rPr>
                      <w:rFonts w:ascii="Arial" w:hAnsi="Arial" w:cs="Arial"/>
                      <w:sz w:val="16"/>
                      <w:szCs w:val="16"/>
                    </w:rPr>
                  </w:pPr>
                  <w:r w:rsidRPr="0067423F">
                    <w:rPr>
                      <w:rFonts w:ascii="Arial" w:hAnsi="Arial" w:cs="Arial"/>
                      <w:b/>
                      <w:bCs/>
                      <w:sz w:val="16"/>
                      <w:szCs w:val="16"/>
                    </w:rPr>
                    <w:t>Coste día</w:t>
                  </w:r>
                </w:p>
              </w:tc>
              <w:tc>
                <w:tcPr>
                  <w:tcW w:w="1275"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210,32 €</w:t>
                  </w:r>
                </w:p>
              </w:tc>
              <w:tc>
                <w:tcPr>
                  <w:tcW w:w="1276" w:type="dxa"/>
                  <w:tcBorders>
                    <w:top w:val="single" w:sz="4" w:space="0" w:color="000000"/>
                    <w:left w:val="single" w:sz="4" w:space="0" w:color="000000"/>
                    <w:bottom w:val="single" w:sz="4" w:space="0" w:color="000000"/>
                    <w:right w:val="single" w:sz="4" w:space="0" w:color="auto"/>
                  </w:tcBorders>
                  <w:vAlign w:val="center"/>
                </w:tcPr>
                <w:p w:rsidR="00DD1521" w:rsidRPr="0067423F" w:rsidRDefault="00DD1521" w:rsidP="00550EA8">
                  <w:pPr>
                    <w:pStyle w:val="Normal1"/>
                    <w:spacing w:after="0" w:line="240" w:lineRule="auto"/>
                    <w:jc w:val="center"/>
                    <w:rPr>
                      <w:rFonts w:ascii="Arial" w:hAnsi="Arial" w:cs="Arial"/>
                      <w:sz w:val="16"/>
                      <w:szCs w:val="16"/>
                    </w:rPr>
                  </w:pPr>
                  <w:r w:rsidRPr="0067423F">
                    <w:rPr>
                      <w:rFonts w:ascii="Arial" w:hAnsi="Arial" w:cs="Arial"/>
                      <w:sz w:val="16"/>
                      <w:szCs w:val="16"/>
                    </w:rPr>
                    <w:t>346,6 €</w:t>
                  </w:r>
                </w:p>
              </w:tc>
              <w:tc>
                <w:tcPr>
                  <w:tcW w:w="1275" w:type="dxa"/>
                  <w:tcBorders>
                    <w:top w:val="single" w:sz="4" w:space="0" w:color="000000"/>
                    <w:left w:val="single" w:sz="4" w:space="0" w:color="auto"/>
                    <w:bottom w:val="single" w:sz="4" w:space="0" w:color="000000"/>
                    <w:right w:val="nil"/>
                  </w:tcBorders>
                  <w:vAlign w:val="center"/>
                </w:tcPr>
                <w:p w:rsidR="00DD1521" w:rsidRPr="0067423F" w:rsidRDefault="00DD1521" w:rsidP="00550EA8">
                  <w:pPr>
                    <w:pStyle w:val="Normal1"/>
                    <w:spacing w:after="0" w:line="240" w:lineRule="auto"/>
                    <w:jc w:val="center"/>
                    <w:rPr>
                      <w:rFonts w:ascii="Arial" w:hAnsi="Arial" w:cs="Arial"/>
                      <w:sz w:val="16"/>
                      <w:szCs w:val="16"/>
                    </w:rPr>
                  </w:pPr>
                  <w:r w:rsidRPr="0067423F">
                    <w:rPr>
                      <w:rFonts w:ascii="Arial" w:hAnsi="Arial" w:cs="Arial"/>
                      <w:sz w:val="16"/>
                      <w:szCs w:val="16"/>
                    </w:rPr>
                    <w:t>70,9 €</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70,9</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p>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70,9 €</w:t>
                  </w:r>
                </w:p>
              </w:tc>
            </w:tr>
            <w:tr w:rsidR="00DD1521" w:rsidRPr="0067423F" w:rsidTr="00550EA8">
              <w:tc>
                <w:tcPr>
                  <w:tcW w:w="1342"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pacing w:after="0" w:line="240" w:lineRule="auto"/>
                    <w:rPr>
                      <w:rFonts w:ascii="Arial" w:hAnsi="Arial" w:cs="Arial"/>
                      <w:b/>
                      <w:bCs/>
                      <w:sz w:val="16"/>
                      <w:szCs w:val="16"/>
                    </w:rPr>
                  </w:pPr>
                  <w:r w:rsidRPr="0067423F">
                    <w:rPr>
                      <w:rFonts w:ascii="Arial" w:hAnsi="Arial" w:cs="Arial"/>
                      <w:b/>
                      <w:bCs/>
                      <w:sz w:val="16"/>
                      <w:szCs w:val="16"/>
                    </w:rPr>
                    <w:t>Coste tratamiento/mes</w:t>
                  </w:r>
                </w:p>
              </w:tc>
              <w:tc>
                <w:tcPr>
                  <w:tcW w:w="1275" w:type="dxa"/>
                  <w:tcBorders>
                    <w:top w:val="single" w:sz="4" w:space="0" w:color="000000"/>
                    <w:left w:val="single" w:sz="4" w:space="0" w:color="000000"/>
                    <w:bottom w:val="single" w:sz="4" w:space="0" w:color="000000"/>
                    <w:right w:val="nil"/>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6.310 €</w:t>
                  </w:r>
                </w:p>
              </w:tc>
              <w:tc>
                <w:tcPr>
                  <w:tcW w:w="1276" w:type="dxa"/>
                  <w:tcBorders>
                    <w:top w:val="single" w:sz="4" w:space="0" w:color="000000"/>
                    <w:left w:val="single" w:sz="4" w:space="0" w:color="000000"/>
                    <w:bottom w:val="single" w:sz="4" w:space="0" w:color="000000"/>
                    <w:right w:val="single" w:sz="4" w:space="0" w:color="auto"/>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10.939 €</w:t>
                  </w:r>
                </w:p>
              </w:tc>
              <w:tc>
                <w:tcPr>
                  <w:tcW w:w="1275" w:type="dxa"/>
                  <w:tcBorders>
                    <w:top w:val="single" w:sz="4" w:space="0" w:color="000000"/>
                    <w:left w:val="single" w:sz="4" w:space="0" w:color="auto"/>
                    <w:bottom w:val="single" w:sz="4" w:space="0" w:color="000000"/>
                    <w:right w:val="nil"/>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2.127 €</w:t>
                  </w:r>
                </w:p>
              </w:tc>
              <w:tc>
                <w:tcPr>
                  <w:tcW w:w="1276" w:type="dxa"/>
                  <w:tcBorders>
                    <w:top w:val="single" w:sz="4" w:space="0" w:color="000000"/>
                    <w:left w:val="single" w:sz="4" w:space="0" w:color="000000"/>
                    <w:bottom w:val="single" w:sz="4" w:space="0" w:color="000000"/>
                    <w:right w:val="single" w:sz="4" w:space="0" w:color="000000"/>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 xml:space="preserve">2.127 € </w:t>
                  </w:r>
                </w:p>
              </w:tc>
              <w:tc>
                <w:tcPr>
                  <w:tcW w:w="1276" w:type="dxa"/>
                  <w:tcBorders>
                    <w:top w:val="single" w:sz="4" w:space="0" w:color="000000"/>
                    <w:left w:val="single" w:sz="4" w:space="0" w:color="000000"/>
                    <w:bottom w:val="single" w:sz="4" w:space="0" w:color="000000"/>
                    <w:right w:val="single" w:sz="4" w:space="0" w:color="000000"/>
                  </w:tcBorders>
                </w:tcPr>
                <w:p w:rsidR="00DD1521" w:rsidRPr="0067423F" w:rsidRDefault="00DD1521" w:rsidP="00550EA8">
                  <w:pPr>
                    <w:snapToGrid w:val="0"/>
                    <w:spacing w:after="0" w:line="240" w:lineRule="auto"/>
                    <w:jc w:val="center"/>
                    <w:rPr>
                      <w:rFonts w:ascii="Arial" w:hAnsi="Arial" w:cs="Arial"/>
                      <w:sz w:val="16"/>
                      <w:szCs w:val="16"/>
                    </w:rPr>
                  </w:pPr>
                </w:p>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2.127 €</w:t>
                  </w:r>
                </w:p>
              </w:tc>
            </w:tr>
            <w:tr w:rsidR="00DD1521" w:rsidRPr="0067423F" w:rsidTr="00550EA8">
              <w:tc>
                <w:tcPr>
                  <w:tcW w:w="1342"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pacing w:after="0" w:line="240" w:lineRule="auto"/>
                    <w:rPr>
                      <w:rFonts w:ascii="Arial" w:hAnsi="Arial" w:cs="Arial"/>
                      <w:b/>
                      <w:bCs/>
                      <w:sz w:val="16"/>
                      <w:szCs w:val="16"/>
                    </w:rPr>
                  </w:pPr>
                  <w:r w:rsidRPr="0067423F">
                    <w:rPr>
                      <w:rFonts w:ascii="Arial" w:hAnsi="Arial" w:cs="Arial"/>
                      <w:b/>
                      <w:bCs/>
                      <w:sz w:val="16"/>
                      <w:szCs w:val="16"/>
                    </w:rPr>
                    <w:t xml:space="preserve">Duración de tratamiento </w:t>
                  </w:r>
                </w:p>
              </w:tc>
              <w:tc>
                <w:tcPr>
                  <w:tcW w:w="1275" w:type="dxa"/>
                  <w:tcBorders>
                    <w:top w:val="single" w:sz="4" w:space="0" w:color="000000"/>
                    <w:left w:val="single" w:sz="4" w:space="0" w:color="000000"/>
                    <w:bottom w:val="single" w:sz="4" w:space="0" w:color="000000"/>
                    <w:right w:val="nil"/>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16,2 meses ***</w:t>
                  </w:r>
                </w:p>
              </w:tc>
              <w:tc>
                <w:tcPr>
                  <w:tcW w:w="1276" w:type="dxa"/>
                  <w:tcBorders>
                    <w:top w:val="single" w:sz="4" w:space="0" w:color="000000"/>
                    <w:left w:val="single" w:sz="4" w:space="0" w:color="000000"/>
                    <w:bottom w:val="single" w:sz="4" w:space="0" w:color="000000"/>
                    <w:right w:val="single" w:sz="4" w:space="0" w:color="auto"/>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15,3 meses****</w:t>
                  </w:r>
                </w:p>
              </w:tc>
              <w:tc>
                <w:tcPr>
                  <w:tcW w:w="1275" w:type="dxa"/>
                  <w:tcBorders>
                    <w:top w:val="single" w:sz="4" w:space="0" w:color="000000"/>
                    <w:left w:val="single" w:sz="4" w:space="0" w:color="auto"/>
                    <w:bottom w:val="single" w:sz="4" w:space="0" w:color="000000"/>
                    <w:right w:val="nil"/>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11,5  meses***</w:t>
                  </w:r>
                </w:p>
              </w:tc>
              <w:tc>
                <w:tcPr>
                  <w:tcW w:w="1276" w:type="dxa"/>
                  <w:tcBorders>
                    <w:top w:val="single" w:sz="4" w:space="0" w:color="000000"/>
                    <w:left w:val="single" w:sz="4" w:space="0" w:color="000000"/>
                    <w:bottom w:val="single" w:sz="4" w:space="0" w:color="000000"/>
                    <w:right w:val="single" w:sz="4" w:space="0" w:color="000000"/>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11,5 meses***</w:t>
                  </w:r>
                </w:p>
              </w:tc>
              <w:tc>
                <w:tcPr>
                  <w:tcW w:w="1276" w:type="dxa"/>
                  <w:tcBorders>
                    <w:top w:val="single" w:sz="4" w:space="0" w:color="000000"/>
                    <w:left w:val="single" w:sz="4" w:space="0" w:color="000000"/>
                    <w:bottom w:val="single" w:sz="4" w:space="0" w:color="000000"/>
                    <w:right w:val="single" w:sz="4" w:space="0" w:color="000000"/>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13,5 meses¥</w:t>
                  </w:r>
                </w:p>
              </w:tc>
            </w:tr>
            <w:tr w:rsidR="00DD1521" w:rsidRPr="0067423F" w:rsidTr="00550EA8">
              <w:tc>
                <w:tcPr>
                  <w:tcW w:w="1342"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pacing w:after="0" w:line="240" w:lineRule="auto"/>
                    <w:rPr>
                      <w:rFonts w:ascii="Arial" w:hAnsi="Arial" w:cs="Arial"/>
                      <w:sz w:val="16"/>
                      <w:szCs w:val="16"/>
                    </w:rPr>
                  </w:pPr>
                  <w:r w:rsidRPr="0067423F">
                    <w:rPr>
                      <w:rFonts w:ascii="Arial" w:hAnsi="Arial" w:cs="Arial"/>
                      <w:b/>
                      <w:bCs/>
                      <w:sz w:val="16"/>
                      <w:szCs w:val="16"/>
                    </w:rPr>
                    <w:t xml:space="preserve">Coste tratamiento completo </w:t>
                  </w:r>
                </w:p>
              </w:tc>
              <w:tc>
                <w:tcPr>
                  <w:tcW w:w="1275" w:type="dxa"/>
                  <w:tcBorders>
                    <w:top w:val="single" w:sz="4" w:space="0" w:color="000000"/>
                    <w:left w:val="single" w:sz="4" w:space="0" w:color="000000"/>
                    <w:bottom w:val="single" w:sz="4" w:space="0" w:color="000000"/>
                    <w:right w:val="nil"/>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102.215 €</w:t>
                  </w:r>
                </w:p>
              </w:tc>
              <w:tc>
                <w:tcPr>
                  <w:tcW w:w="1276" w:type="dxa"/>
                  <w:tcBorders>
                    <w:top w:val="single" w:sz="4" w:space="0" w:color="000000"/>
                    <w:left w:val="single" w:sz="4" w:space="0" w:color="000000"/>
                    <w:bottom w:val="single" w:sz="4" w:space="0" w:color="000000"/>
                    <w:right w:val="single" w:sz="4" w:space="0" w:color="auto"/>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167.367</w:t>
                  </w:r>
                </w:p>
              </w:tc>
              <w:tc>
                <w:tcPr>
                  <w:tcW w:w="1275" w:type="dxa"/>
                  <w:tcBorders>
                    <w:top w:val="single" w:sz="4" w:space="0" w:color="000000"/>
                    <w:left w:val="single" w:sz="4" w:space="0" w:color="auto"/>
                    <w:bottom w:val="single" w:sz="4" w:space="0" w:color="000000"/>
                    <w:right w:val="nil"/>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21.695,4 €</w:t>
                  </w:r>
                </w:p>
              </w:tc>
              <w:tc>
                <w:tcPr>
                  <w:tcW w:w="1276" w:type="dxa"/>
                  <w:tcBorders>
                    <w:top w:val="single" w:sz="4" w:space="0" w:color="000000"/>
                    <w:left w:val="single" w:sz="4" w:space="0" w:color="000000"/>
                    <w:bottom w:val="single" w:sz="4" w:space="0" w:color="000000"/>
                    <w:right w:val="single" w:sz="4" w:space="0" w:color="000000"/>
                  </w:tcBorders>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21.695,4 €</w:t>
                  </w:r>
                </w:p>
              </w:tc>
              <w:tc>
                <w:tcPr>
                  <w:tcW w:w="1276" w:type="dxa"/>
                  <w:tcBorders>
                    <w:top w:val="single" w:sz="4" w:space="0" w:color="000000"/>
                    <w:left w:val="single" w:sz="4" w:space="0" w:color="000000"/>
                    <w:bottom w:val="single" w:sz="4" w:space="0" w:color="000000"/>
                    <w:right w:val="single" w:sz="4" w:space="0" w:color="000000"/>
                  </w:tcBorders>
                </w:tcPr>
                <w:p w:rsidR="00DD1521" w:rsidRPr="0067423F" w:rsidRDefault="00DD1521" w:rsidP="00550EA8">
                  <w:pPr>
                    <w:snapToGrid w:val="0"/>
                    <w:spacing w:after="0" w:line="240" w:lineRule="auto"/>
                    <w:jc w:val="center"/>
                    <w:rPr>
                      <w:rFonts w:ascii="Arial" w:hAnsi="Arial" w:cs="Arial"/>
                      <w:sz w:val="16"/>
                      <w:szCs w:val="16"/>
                    </w:rPr>
                  </w:pPr>
                </w:p>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28.717€</w:t>
                  </w:r>
                </w:p>
              </w:tc>
            </w:tr>
            <w:tr w:rsidR="00DD1521" w:rsidRPr="0067423F" w:rsidTr="00550EA8">
              <w:tc>
                <w:tcPr>
                  <w:tcW w:w="1342"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pacing w:after="0" w:line="240" w:lineRule="auto"/>
                    <w:rPr>
                      <w:rFonts w:ascii="Arial" w:hAnsi="Arial" w:cs="Arial"/>
                      <w:b/>
                      <w:bCs/>
                      <w:sz w:val="16"/>
                      <w:szCs w:val="16"/>
                    </w:rPr>
                  </w:pPr>
                  <w:r w:rsidRPr="0067423F">
                    <w:rPr>
                      <w:rFonts w:ascii="Arial" w:hAnsi="Arial" w:cs="Arial"/>
                      <w:b/>
                      <w:bCs/>
                      <w:sz w:val="16"/>
                      <w:szCs w:val="16"/>
                    </w:rPr>
                    <w:t xml:space="preserve">Costes directos asociados </w:t>
                  </w:r>
                  <w:r w:rsidRPr="0067423F">
                    <w:rPr>
                      <w:rFonts w:ascii="Arial" w:hAnsi="Arial" w:cs="Arial"/>
                      <w:sz w:val="16"/>
                      <w:szCs w:val="16"/>
                    </w:rPr>
                    <w:t>(derivados de la administración en hospital de día)</w:t>
                  </w:r>
                </w:p>
              </w:tc>
              <w:tc>
                <w:tcPr>
                  <w:tcW w:w="1275"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NP</w:t>
                  </w:r>
                </w:p>
              </w:tc>
              <w:tc>
                <w:tcPr>
                  <w:tcW w:w="1276" w:type="dxa"/>
                  <w:tcBorders>
                    <w:top w:val="single" w:sz="4" w:space="0" w:color="000000"/>
                    <w:left w:val="single" w:sz="4" w:space="0" w:color="000000"/>
                    <w:bottom w:val="single" w:sz="4" w:space="0" w:color="000000"/>
                    <w:right w:val="single" w:sz="4" w:space="0" w:color="auto"/>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NP</w:t>
                  </w:r>
                </w:p>
              </w:tc>
              <w:tc>
                <w:tcPr>
                  <w:tcW w:w="1275" w:type="dxa"/>
                  <w:tcBorders>
                    <w:top w:val="single" w:sz="4" w:space="0" w:color="000000"/>
                    <w:left w:val="single" w:sz="4" w:space="0" w:color="auto"/>
                    <w:bottom w:val="single" w:sz="4" w:space="0" w:color="000000"/>
                    <w:right w:val="nil"/>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NP</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NP</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NP</w:t>
                  </w:r>
                </w:p>
              </w:tc>
            </w:tr>
            <w:tr w:rsidR="00DD1521" w:rsidRPr="0067423F" w:rsidTr="00550EA8">
              <w:tc>
                <w:tcPr>
                  <w:tcW w:w="1342"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pacing w:after="0" w:line="240" w:lineRule="auto"/>
                    <w:rPr>
                      <w:rFonts w:ascii="Arial" w:hAnsi="Arial" w:cs="Arial"/>
                      <w:sz w:val="16"/>
                      <w:szCs w:val="16"/>
                    </w:rPr>
                  </w:pPr>
                  <w:r w:rsidRPr="0067423F">
                    <w:rPr>
                      <w:rFonts w:ascii="Arial" w:hAnsi="Arial" w:cs="Arial"/>
                      <w:b/>
                      <w:bCs/>
                      <w:sz w:val="16"/>
                      <w:szCs w:val="16"/>
                    </w:rPr>
                    <w:t xml:space="preserve">Coste incremental de 0simertinib respecto a sus comparadores </w:t>
                  </w:r>
                </w:p>
              </w:tc>
              <w:tc>
                <w:tcPr>
                  <w:tcW w:w="1275" w:type="dxa"/>
                  <w:tcBorders>
                    <w:top w:val="single" w:sz="4" w:space="0" w:color="000000"/>
                    <w:left w:val="single" w:sz="4" w:space="0" w:color="000000"/>
                    <w:bottom w:val="single" w:sz="4" w:space="0" w:color="000000"/>
                    <w:right w:val="nil"/>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Fármaco de referencia</w:t>
                  </w:r>
                </w:p>
              </w:tc>
              <w:tc>
                <w:tcPr>
                  <w:tcW w:w="1276" w:type="dxa"/>
                  <w:tcBorders>
                    <w:top w:val="single" w:sz="4" w:space="0" w:color="000000"/>
                    <w:left w:val="single" w:sz="4" w:space="0" w:color="000000"/>
                    <w:bottom w:val="single" w:sz="4" w:space="0" w:color="000000"/>
                    <w:right w:val="single" w:sz="4" w:space="0" w:color="auto"/>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- 65.152 €</w:t>
                  </w:r>
                </w:p>
              </w:tc>
              <w:tc>
                <w:tcPr>
                  <w:tcW w:w="1275" w:type="dxa"/>
                  <w:tcBorders>
                    <w:top w:val="single" w:sz="4" w:space="0" w:color="000000"/>
                    <w:left w:val="single" w:sz="4" w:space="0" w:color="auto"/>
                    <w:bottom w:val="single" w:sz="4" w:space="0" w:color="000000"/>
                    <w:right w:val="nil"/>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+77.755 €</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+77.755 €</w:t>
                  </w:r>
                </w:p>
              </w:tc>
              <w:tc>
                <w:tcPr>
                  <w:tcW w:w="1276" w:type="dxa"/>
                  <w:tcBorders>
                    <w:top w:val="single" w:sz="4" w:space="0" w:color="000000"/>
                    <w:left w:val="single" w:sz="4" w:space="0" w:color="000000"/>
                    <w:bottom w:val="single" w:sz="4" w:space="0" w:color="000000"/>
                    <w:right w:val="single" w:sz="4" w:space="0" w:color="000000"/>
                  </w:tcBorders>
                  <w:vAlign w:val="center"/>
                </w:tcPr>
                <w:p w:rsidR="00DD1521" w:rsidRPr="0067423F" w:rsidRDefault="00DD1521" w:rsidP="00550EA8">
                  <w:pPr>
                    <w:snapToGrid w:val="0"/>
                    <w:spacing w:after="0" w:line="240" w:lineRule="auto"/>
                    <w:jc w:val="center"/>
                    <w:rPr>
                      <w:rFonts w:ascii="Arial" w:hAnsi="Arial" w:cs="Arial"/>
                      <w:sz w:val="16"/>
                      <w:szCs w:val="16"/>
                    </w:rPr>
                  </w:pPr>
                  <w:r w:rsidRPr="0067423F">
                    <w:rPr>
                      <w:rFonts w:ascii="Arial" w:hAnsi="Arial" w:cs="Arial"/>
                      <w:sz w:val="16"/>
                      <w:szCs w:val="16"/>
                    </w:rPr>
                    <w:t>+73.498 €</w:t>
                  </w:r>
                </w:p>
              </w:tc>
            </w:tr>
            <w:tr w:rsidR="00DD1521" w:rsidRPr="0067423F" w:rsidTr="00550EA8">
              <w:trPr>
                <w:cantSplit/>
              </w:trPr>
              <w:tc>
                <w:tcPr>
                  <w:tcW w:w="7720" w:type="dxa"/>
                  <w:gridSpan w:val="6"/>
                  <w:tcBorders>
                    <w:top w:val="single" w:sz="4" w:space="0" w:color="000000"/>
                    <w:left w:val="single" w:sz="4" w:space="0" w:color="000000"/>
                    <w:bottom w:val="single" w:sz="4" w:space="0" w:color="000000"/>
                    <w:right w:val="single" w:sz="4" w:space="0" w:color="000000"/>
                  </w:tcBorders>
                  <w:shd w:val="clear" w:color="auto" w:fill="E6E6E6"/>
                </w:tcPr>
                <w:p w:rsidR="00DD1521" w:rsidRPr="0067423F" w:rsidRDefault="00DD1521" w:rsidP="00550EA8">
                  <w:pPr>
                    <w:pStyle w:val="Normal1"/>
                    <w:spacing w:after="0" w:line="240" w:lineRule="auto"/>
                    <w:rPr>
                      <w:rFonts w:ascii="Arial" w:hAnsi="Arial" w:cs="Arial"/>
                      <w:sz w:val="16"/>
                      <w:szCs w:val="16"/>
                    </w:rPr>
                  </w:pPr>
                  <w:r w:rsidRPr="0067423F">
                    <w:rPr>
                      <w:rFonts w:ascii="Arial" w:hAnsi="Arial" w:cs="Arial"/>
                      <w:sz w:val="16"/>
                      <w:szCs w:val="16"/>
                    </w:rPr>
                    <w:lastRenderedPageBreak/>
                    <w:t>NP: no procede</w:t>
                  </w:r>
                </w:p>
                <w:p w:rsidR="00DD1521" w:rsidRPr="0067423F" w:rsidRDefault="00DD1521" w:rsidP="00550EA8">
                  <w:pPr>
                    <w:pStyle w:val="Normal1"/>
                    <w:spacing w:after="0" w:line="240" w:lineRule="auto"/>
                    <w:rPr>
                      <w:rFonts w:ascii="Arial" w:hAnsi="Arial" w:cs="Arial"/>
                      <w:sz w:val="16"/>
                      <w:szCs w:val="16"/>
                    </w:rPr>
                  </w:pPr>
                  <w:r w:rsidRPr="0067423F">
                    <w:rPr>
                      <w:rFonts w:ascii="Arial" w:hAnsi="Arial" w:cs="Arial"/>
                      <w:sz w:val="16"/>
                      <w:szCs w:val="16"/>
                      <w:vertAlign w:val="superscript"/>
                    </w:rPr>
                    <w:t>*</w:t>
                  </w:r>
                  <w:r w:rsidRPr="0067423F">
                    <w:rPr>
                      <w:rFonts w:ascii="Arial" w:hAnsi="Arial" w:cs="Arial"/>
                      <w:sz w:val="16"/>
                      <w:szCs w:val="16"/>
                    </w:rPr>
                    <w:t>Precio notificado + IVA para la indicación actualmente financiada.</w:t>
                  </w:r>
                </w:p>
                <w:p w:rsidR="00DD1521" w:rsidRPr="0067423F" w:rsidRDefault="00DD1521" w:rsidP="00550EA8">
                  <w:pPr>
                    <w:pStyle w:val="Normal1"/>
                    <w:spacing w:after="0" w:line="240" w:lineRule="auto"/>
                    <w:rPr>
                      <w:rFonts w:ascii="Arial" w:hAnsi="Arial" w:cs="Arial"/>
                      <w:sz w:val="16"/>
                      <w:szCs w:val="16"/>
                    </w:rPr>
                  </w:pPr>
                  <w:r w:rsidRPr="0067423F">
                    <w:rPr>
                      <w:rFonts w:ascii="Arial" w:hAnsi="Arial" w:cs="Arial"/>
                      <w:sz w:val="16"/>
                      <w:szCs w:val="16"/>
                      <w:vertAlign w:val="superscript"/>
                    </w:rPr>
                    <w:t>**</w:t>
                  </w:r>
                  <w:r w:rsidRPr="0067423F">
                    <w:rPr>
                      <w:rFonts w:ascii="Arial" w:hAnsi="Arial" w:cs="Arial"/>
                      <w:sz w:val="16"/>
                      <w:szCs w:val="16"/>
                    </w:rPr>
                    <w:t>Estimado a partir de los precios oficiales publicados por varias CCAA.</w:t>
                  </w:r>
                </w:p>
                <w:p w:rsidR="00DD1521" w:rsidRPr="0067423F" w:rsidRDefault="00DD1521" w:rsidP="00550EA8">
                  <w:pPr>
                    <w:pStyle w:val="Normal1"/>
                    <w:spacing w:after="0" w:line="240" w:lineRule="auto"/>
                    <w:rPr>
                      <w:rFonts w:ascii="Arial" w:hAnsi="Arial" w:cs="Arial"/>
                      <w:sz w:val="16"/>
                      <w:szCs w:val="16"/>
                    </w:rPr>
                  </w:pPr>
                  <w:r w:rsidRPr="0067423F">
                    <w:rPr>
                      <w:rFonts w:ascii="Arial" w:hAnsi="Arial" w:cs="Arial"/>
                      <w:sz w:val="16"/>
                      <w:szCs w:val="16"/>
                    </w:rPr>
                    <w:t>*** Considerando una duración del tratamiento similar a la publicada en el estudio FLAURA</w:t>
                  </w:r>
                </w:p>
                <w:p w:rsidR="00DD1521" w:rsidRPr="0067423F" w:rsidRDefault="00DD1521" w:rsidP="00550EA8">
                  <w:pPr>
                    <w:pStyle w:val="Normal1"/>
                    <w:spacing w:after="0" w:line="240" w:lineRule="auto"/>
                    <w:rPr>
                      <w:rFonts w:ascii="Arial" w:hAnsi="Arial" w:cs="Arial"/>
                      <w:sz w:val="16"/>
                      <w:szCs w:val="16"/>
                    </w:rPr>
                  </w:pPr>
                  <w:r w:rsidRPr="0067423F">
                    <w:rPr>
                      <w:rFonts w:ascii="Arial" w:hAnsi="Arial" w:cs="Arial"/>
                      <w:sz w:val="16"/>
                      <w:szCs w:val="16"/>
                    </w:rPr>
                    <w:t>**** Considerando una duración del tratamiento similar a la publicada en el estudio ARCHER 1050</w:t>
                  </w:r>
                </w:p>
                <w:p w:rsidR="00DD1521" w:rsidRPr="0067423F" w:rsidRDefault="00DD1521" w:rsidP="00550EA8">
                  <w:pPr>
                    <w:pStyle w:val="Normal1"/>
                    <w:spacing w:after="0" w:line="240" w:lineRule="auto"/>
                    <w:rPr>
                      <w:rFonts w:ascii="Arial" w:hAnsi="Arial" w:cs="Arial"/>
                      <w:sz w:val="16"/>
                      <w:szCs w:val="16"/>
                    </w:rPr>
                  </w:pPr>
                  <w:r w:rsidRPr="0067423F">
                    <w:rPr>
                      <w:rFonts w:ascii="Arial" w:hAnsi="Arial" w:cs="Arial"/>
                      <w:sz w:val="16"/>
                      <w:szCs w:val="16"/>
                    </w:rPr>
                    <w:t>¥ Considerando la mediana del tiempo de tratamiento del estudio LUX-LUNG 7</w:t>
                  </w:r>
                </w:p>
              </w:tc>
            </w:tr>
          </w:tbl>
          <w:p w:rsidR="00DD1521" w:rsidRPr="00550EA8" w:rsidRDefault="00DD1521" w:rsidP="00550EA8">
            <w:pPr>
              <w:spacing w:after="0" w:line="240" w:lineRule="auto"/>
              <w:jc w:val="both"/>
              <w:rPr>
                <w:rFonts w:ascii="Arial" w:hAnsi="Arial" w:cs="Arial"/>
                <w:color w:val="000080"/>
                <w:sz w:val="18"/>
                <w:szCs w:val="18"/>
              </w:rPr>
            </w:pPr>
          </w:p>
          <w:p w:rsidR="00DD1521" w:rsidRPr="00550EA8" w:rsidRDefault="00DD1521" w:rsidP="00550EA8">
            <w:pPr>
              <w:pStyle w:val="reference"/>
              <w:spacing w:after="0"/>
              <w:ind w:left="0" w:firstLine="0"/>
              <w:rPr>
                <w:rFonts w:cs="Arial"/>
                <w:b/>
                <w:color w:val="000080"/>
                <w:sz w:val="18"/>
                <w:szCs w:val="18"/>
                <w:lang w:val="es-ES" w:eastAsia="es-ES"/>
              </w:rPr>
            </w:pPr>
            <w:r w:rsidRPr="00550EA8">
              <w:rPr>
                <w:rFonts w:cs="Arial"/>
                <w:b/>
                <w:color w:val="000080"/>
                <w:sz w:val="18"/>
                <w:szCs w:val="18"/>
                <w:lang w:val="es-ES" w:eastAsia="es-ES"/>
              </w:rPr>
              <w:t>Referencias</w:t>
            </w:r>
          </w:p>
          <w:p w:rsidR="00DD1521" w:rsidRDefault="00DD1521" w:rsidP="00550EA8">
            <w:pPr>
              <w:pStyle w:val="reference"/>
              <w:numPr>
                <w:ilvl w:val="0"/>
                <w:numId w:val="26"/>
              </w:numPr>
              <w:spacing w:after="0"/>
              <w:ind w:left="213" w:hanging="213"/>
              <w:rPr>
                <w:rFonts w:cs="Arial"/>
                <w:bCs/>
                <w:i/>
                <w:color w:val="000080"/>
                <w:sz w:val="18"/>
                <w:szCs w:val="18"/>
                <w:lang w:val="pt-BR"/>
              </w:rPr>
            </w:pPr>
            <w:r w:rsidRPr="00550EA8">
              <w:rPr>
                <w:rFonts w:cs="Arial"/>
                <w:bCs/>
                <w:i/>
                <w:color w:val="000080"/>
                <w:sz w:val="18"/>
                <w:szCs w:val="18"/>
                <w:lang w:val="es-ES"/>
              </w:rPr>
              <w:t xml:space="preserve">Park K, Tan EH, O'Byrne K, Zhang L, Boyer M, Mok T, Hirsh V, Yang JC, Lee KH, Lu S, Shi Y. Afatinib versus gefitinib as first-line treatment of patients with EGFR mutation-positive non-small-cell lung cancer (LUX-Lung 7): a phase 2B, open-label, randomised controlled trial. the Lancet oncology. </w:t>
            </w:r>
            <w:r w:rsidRPr="00550EA8">
              <w:rPr>
                <w:rFonts w:cs="Arial"/>
                <w:bCs/>
                <w:i/>
                <w:color w:val="000080"/>
                <w:sz w:val="18"/>
                <w:szCs w:val="18"/>
                <w:lang w:val="pt-BR"/>
              </w:rPr>
              <w:t>2016 May 1;17(5):577-89.</w:t>
            </w:r>
          </w:p>
          <w:p w:rsidR="00DD1521" w:rsidRPr="00550EA8" w:rsidRDefault="00DD1521" w:rsidP="009D2B38">
            <w:pPr>
              <w:pStyle w:val="reference"/>
              <w:spacing w:after="0"/>
              <w:ind w:left="0" w:firstLine="0"/>
              <w:rPr>
                <w:rFonts w:cs="Arial"/>
                <w:bCs/>
                <w:i/>
                <w:color w:val="000080"/>
                <w:sz w:val="18"/>
                <w:szCs w:val="18"/>
                <w:lang w:val="pt-BR"/>
              </w:rPr>
            </w:pPr>
          </w:p>
        </w:tc>
        <w:tc>
          <w:tcPr>
            <w:tcW w:w="1460" w:type="dxa"/>
          </w:tcPr>
          <w:p w:rsidR="00DD1521" w:rsidRPr="001D63D0" w:rsidRDefault="00DD1521" w:rsidP="001D63D0">
            <w:pPr>
              <w:spacing w:after="0" w:line="240" w:lineRule="auto"/>
              <w:rPr>
                <w:rFonts w:ascii="Arial" w:hAnsi="Arial" w:cs="Arial"/>
                <w:color w:val="000080"/>
                <w:sz w:val="18"/>
                <w:szCs w:val="18"/>
              </w:rPr>
            </w:pPr>
            <w:r w:rsidRPr="001D63D0">
              <w:rPr>
                <w:rFonts w:ascii="Arial" w:hAnsi="Arial" w:cs="Arial"/>
                <w:color w:val="000080"/>
                <w:sz w:val="18"/>
                <w:szCs w:val="18"/>
              </w:rPr>
              <w:lastRenderedPageBreak/>
              <w:t xml:space="preserve">Aceptada. </w:t>
            </w:r>
            <w:r>
              <w:rPr>
                <w:rFonts w:ascii="Arial" w:hAnsi="Arial" w:cs="Arial"/>
                <w:color w:val="000080"/>
                <w:sz w:val="18"/>
                <w:szCs w:val="18"/>
              </w:rPr>
              <w:t>Se corrigen los cálculos.</w:t>
            </w:r>
          </w:p>
        </w:tc>
      </w:tr>
      <w:tr w:rsidR="00DD1521" w:rsidRPr="009D2B38" w:rsidTr="00550EA8">
        <w:tc>
          <w:tcPr>
            <w:tcW w:w="1121" w:type="dxa"/>
          </w:tcPr>
          <w:p w:rsidR="00DD1521" w:rsidRPr="00550EA8" w:rsidRDefault="00DD1521" w:rsidP="00550EA8">
            <w:pPr>
              <w:spacing w:after="0" w:line="240" w:lineRule="auto"/>
              <w:rPr>
                <w:rFonts w:ascii="Arial" w:hAnsi="Arial" w:cs="Arial"/>
                <w:b/>
                <w:color w:val="000080"/>
                <w:sz w:val="18"/>
                <w:szCs w:val="18"/>
              </w:rPr>
            </w:pPr>
            <w:r w:rsidRPr="00550EA8">
              <w:rPr>
                <w:rFonts w:ascii="Arial" w:hAnsi="Arial" w:cs="Arial"/>
                <w:b/>
                <w:color w:val="000080"/>
                <w:sz w:val="18"/>
                <w:szCs w:val="18"/>
              </w:rPr>
              <w:lastRenderedPageBreak/>
              <w:t>Dept Med Aff</w:t>
            </w:r>
          </w:p>
        </w:tc>
        <w:tc>
          <w:tcPr>
            <w:tcW w:w="8039" w:type="dxa"/>
          </w:tcPr>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Alegación 6</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Apartado 7.2.b Extracción de datos de las evaluaciones económicas publicadas, en  Informe de evaluación económica de la CADTH (44) y Revisión crítica y aplicabilidad de la evaluación económica del Informe de evaluación económica de la CADTH. pág. 38</w:t>
            </w:r>
          </w:p>
          <w:p w:rsidR="00DD1521" w:rsidRDefault="00DD1521" w:rsidP="00550EA8">
            <w:pPr>
              <w:spacing w:after="0" w:line="240" w:lineRule="auto"/>
              <w:jc w:val="both"/>
              <w:rPr>
                <w:rFonts w:ascii="Arial" w:hAnsi="Arial" w:cs="Arial"/>
                <w:b/>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Frase original:</w:t>
            </w:r>
          </w:p>
          <w:p w:rsidR="00DD1521" w:rsidRPr="00550EA8" w:rsidRDefault="00DD1521" w:rsidP="00550EA8">
            <w:pPr>
              <w:spacing w:after="0" w:line="240" w:lineRule="auto"/>
              <w:jc w:val="both"/>
              <w:rPr>
                <w:rFonts w:ascii="Arial" w:hAnsi="Arial" w:cs="Arial"/>
                <w:i/>
                <w:color w:val="000080"/>
                <w:sz w:val="18"/>
                <w:szCs w:val="18"/>
              </w:rPr>
            </w:pPr>
            <w:r w:rsidRPr="00550EA8">
              <w:rPr>
                <w:rFonts w:ascii="Arial" w:hAnsi="Arial" w:cs="Arial"/>
                <w:i/>
                <w:color w:val="000080"/>
                <w:sz w:val="18"/>
                <w:szCs w:val="18"/>
              </w:rPr>
              <w:t>“(…) No se disponen de EECC comparativos de osimertinib frente a afatinib ni tampoco Astrazeneca incluye una comparación indirecta de osimertinib vs afatinib en el análisis económico. Sin embargo, en base a los resultados del ensayo LUX-lung 7 en el que las diferencias en eficacia entre gefitinib y afatinib fueron marginales, esta asunción se considera aceptable, aunque no deja de ser una limitación.(…)”</w:t>
            </w:r>
          </w:p>
          <w:p w:rsidR="00DD1521" w:rsidRDefault="00DD1521" w:rsidP="00550EA8">
            <w:pPr>
              <w:spacing w:after="0" w:line="240" w:lineRule="auto"/>
              <w:jc w:val="both"/>
              <w:rPr>
                <w:rFonts w:ascii="Arial" w:hAnsi="Arial" w:cs="Arial"/>
                <w:b/>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Motivo de la alegación:</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 xml:space="preserve">Si bien es cierto que no se observaron diferencias numéricamente relevantes en términos de mediana de SLP en el ensayo LUX Lung 7, el </w:t>
            </w:r>
            <w:r w:rsidRPr="00550EA8">
              <w:rPr>
                <w:rFonts w:ascii="Arial" w:hAnsi="Arial" w:cs="Arial"/>
                <w:i/>
                <w:color w:val="000080"/>
                <w:sz w:val="18"/>
                <w:szCs w:val="18"/>
              </w:rPr>
              <w:t>hazard ratio</w:t>
            </w:r>
            <w:r w:rsidRPr="00550EA8">
              <w:rPr>
                <w:rFonts w:ascii="Arial" w:hAnsi="Arial" w:cs="Arial"/>
                <w:color w:val="000080"/>
                <w:sz w:val="18"/>
                <w:szCs w:val="18"/>
              </w:rPr>
              <w:t xml:space="preserve"> indica que afatinib reduce significativamente el riesgo de progresión  o muerte en un 27% comparado con gefitinib (hazard ratio de 0,73; IC95%: 0,57 – 0,95; p= 0,017). Además se observó un aumento del porcentaje de pacientes libres de progresión de afatinib comparado con gefitinib a los 18 meses (27% vs 15%; p=0,018) y 24 meses (18% vs 8%; p=0,018) lo que indica un mayor beneficio de afatinib a largo plazo.</w:t>
            </w:r>
            <w:r w:rsidRPr="00550EA8">
              <w:rPr>
                <w:rFonts w:ascii="Arial" w:hAnsi="Arial" w:cs="Arial"/>
                <w:color w:val="000080"/>
                <w:sz w:val="18"/>
                <w:szCs w:val="18"/>
                <w:vertAlign w:val="superscript"/>
              </w:rPr>
              <w:t>1</w:t>
            </w:r>
            <w:r w:rsidRPr="00550EA8">
              <w:rPr>
                <w:rFonts w:ascii="Arial" w:hAnsi="Arial" w:cs="Arial"/>
                <w:color w:val="000080"/>
                <w:sz w:val="18"/>
                <w:szCs w:val="18"/>
              </w:rPr>
              <w:t xml:space="preserve"> </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 xml:space="preserve">Al comparar las curvas de Kaplan-Meier (KM) correspondientes a dos tratamientos, la correcta interpretación del beneficio ofrecido por un tratamiento depende, sobre todo, de tener en cuenta las diferencias entre las curvas a lo largo de todo el período de observación del ensayo. Aunque los valores de mediana son indicadores del efecto de un tratamiento, no ofrecen una imagen completa de los beneficios globales de un tratamiento ya que representan sólo un punto de la curva de KM. Los cocientes de riesgo o </w:t>
            </w:r>
            <w:r w:rsidRPr="00550EA8">
              <w:rPr>
                <w:rFonts w:ascii="Arial" w:hAnsi="Arial" w:cs="Arial"/>
                <w:i/>
                <w:color w:val="000080"/>
                <w:sz w:val="18"/>
                <w:szCs w:val="18"/>
              </w:rPr>
              <w:t>Hazard ratio</w:t>
            </w:r>
            <w:r w:rsidRPr="00550EA8">
              <w:rPr>
                <w:rFonts w:ascii="Arial" w:hAnsi="Arial" w:cs="Arial"/>
                <w:color w:val="000080"/>
                <w:sz w:val="18"/>
                <w:szCs w:val="18"/>
              </w:rPr>
              <w:t xml:space="preserve"> miden la diferencia (o razón) en la velocidad a la que los pacientes en dos brazos de tratamiento experimentan un evento como la progresión de la enfermedad durante todo el período del ensayo y son una mejor indicación de la superioridad de un tratamiento sobre el otro.</w:t>
            </w:r>
            <w:r w:rsidRPr="00550EA8">
              <w:rPr>
                <w:rFonts w:ascii="Arial" w:hAnsi="Arial" w:cs="Arial"/>
                <w:color w:val="000080"/>
                <w:sz w:val="18"/>
                <w:szCs w:val="18"/>
                <w:vertAlign w:val="superscript"/>
              </w:rPr>
              <w:t>2</w:t>
            </w:r>
            <w:r w:rsidRPr="00550EA8">
              <w:rPr>
                <w:rFonts w:ascii="Arial" w:hAnsi="Arial" w:cs="Arial"/>
                <w:color w:val="000080"/>
                <w:sz w:val="18"/>
                <w:szCs w:val="18"/>
              </w:rPr>
              <w:t xml:space="preserve"> </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 xml:space="preserve">Uno de los motivos más probables por los cuales la curva tarda en separarse y que luego, cuando lo hace, se observe un mayor beneficio en el brazo de afatinib, tenga que ver con el distinto mecanismo de acción de los dos fármacos. Afatinib es un TKI irreversible de la familia ErbB. Esta amplia inhibición le confiere, a afatinib, la capacidad de revertir y retrasar la aparición de resistencias en comparación con los EGFR-TKIs de primera generación. </w:t>
            </w:r>
          </w:p>
          <w:p w:rsidR="00DD1521" w:rsidRPr="00550EA8" w:rsidRDefault="00DD1521" w:rsidP="00550EA8">
            <w:pPr>
              <w:spacing w:after="0" w:line="240" w:lineRule="auto"/>
              <w:jc w:val="both"/>
              <w:rPr>
                <w:rFonts w:ascii="Arial" w:hAnsi="Arial" w:cs="Arial"/>
                <w:color w:val="000080"/>
                <w:sz w:val="18"/>
                <w:szCs w:val="18"/>
              </w:rPr>
            </w:pPr>
            <w:r w:rsidRPr="00550EA8">
              <w:rPr>
                <w:rFonts w:ascii="Arial" w:hAnsi="Arial" w:cs="Arial"/>
                <w:color w:val="000080"/>
                <w:sz w:val="18"/>
                <w:szCs w:val="18"/>
              </w:rPr>
              <w:t>Adicionalmente, en tiempo al fallo de tratamiento se observó una reducción del 27% comparado con gefitinib (HR=0,73; IC95 0,58 - 0,92; p= 0,0073) y una mayor tasa de respuesta versus gefitinib (70% vs 56%; p=0,0083) según revisión independiente. Los datos de SG sugirieron una tendencia favorable aunque no significativa a reducir el riesgo de muertedel 14% en pacientes tratados con afatinib frente a gefitinib (27.9 vs 24.5 meses; HR=0.86; IC 95% 0.66-1.12; p=0.258). En una posterior actualización con 48 meses de seguimiento esta tendencia se mantuvo y fue consistente en todos los subgrupos de pacientes.</w:t>
            </w:r>
            <w:r w:rsidRPr="00550EA8">
              <w:rPr>
                <w:rFonts w:ascii="Arial" w:hAnsi="Arial" w:cs="Arial"/>
                <w:color w:val="000080"/>
                <w:sz w:val="18"/>
                <w:szCs w:val="18"/>
                <w:vertAlign w:val="superscript"/>
              </w:rPr>
              <w:t>3</w:t>
            </w:r>
          </w:p>
          <w:p w:rsidR="00DD1521" w:rsidRDefault="00DD1521" w:rsidP="00550EA8">
            <w:pPr>
              <w:spacing w:after="0" w:line="240" w:lineRule="auto"/>
              <w:jc w:val="both"/>
              <w:rPr>
                <w:rFonts w:ascii="Arial" w:hAnsi="Arial" w:cs="Arial"/>
                <w:b/>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t>Sugerencia de cambio:</w:t>
            </w: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color w:val="000080"/>
                <w:sz w:val="18"/>
                <w:szCs w:val="18"/>
              </w:rPr>
              <w:t xml:space="preserve">La valoración de eficacia en términos de SLP y TTF entre otras variables sugiere mejoría a favor de afatinib cuando se compara con gefitinib en primera línea de tratamiento. Por los objetivos del ensayo LUX Lung 7 descritos anteriormente en la alegación </w:t>
            </w:r>
            <w:r w:rsidRPr="00550EA8">
              <w:rPr>
                <w:rFonts w:ascii="Arial" w:hAnsi="Arial" w:cs="Arial"/>
                <w:i/>
                <w:color w:val="000080"/>
                <w:sz w:val="18"/>
                <w:szCs w:val="18"/>
              </w:rPr>
              <w:t xml:space="preserve">3 </w:t>
            </w:r>
            <w:r w:rsidRPr="00550EA8">
              <w:rPr>
                <w:rFonts w:ascii="Arial" w:hAnsi="Arial" w:cs="Arial"/>
                <w:color w:val="000080"/>
                <w:sz w:val="18"/>
                <w:szCs w:val="18"/>
              </w:rPr>
              <w:t>y, con la metodología estadística aplicada, LUX Lung 7 no tenía suficiente potencia para demostrar diferencias en SG aunque se mantiene una tendencia favorable y consistente incluso con una mediana de seguimiento prolongada. Estos supuestos avalan la diferencia entre afatinib y gefitinib.</w:t>
            </w:r>
          </w:p>
          <w:p w:rsidR="00DD1521" w:rsidRDefault="00DD1521" w:rsidP="00550EA8">
            <w:pPr>
              <w:spacing w:after="0" w:line="240" w:lineRule="auto"/>
              <w:jc w:val="both"/>
              <w:rPr>
                <w:rFonts w:ascii="Arial" w:hAnsi="Arial" w:cs="Arial"/>
                <w:b/>
                <w:color w:val="000080"/>
                <w:sz w:val="18"/>
                <w:szCs w:val="18"/>
              </w:rPr>
            </w:pPr>
          </w:p>
          <w:p w:rsidR="00DD1521" w:rsidRPr="00550EA8" w:rsidRDefault="00DD1521" w:rsidP="00550EA8">
            <w:pPr>
              <w:spacing w:after="0" w:line="240" w:lineRule="auto"/>
              <w:jc w:val="both"/>
              <w:rPr>
                <w:rFonts w:ascii="Arial" w:hAnsi="Arial" w:cs="Arial"/>
                <w:b/>
                <w:color w:val="000080"/>
                <w:sz w:val="18"/>
                <w:szCs w:val="18"/>
              </w:rPr>
            </w:pPr>
            <w:r w:rsidRPr="00550EA8">
              <w:rPr>
                <w:rFonts w:ascii="Arial" w:hAnsi="Arial" w:cs="Arial"/>
                <w:b/>
                <w:color w:val="000080"/>
                <w:sz w:val="18"/>
                <w:szCs w:val="18"/>
              </w:rPr>
              <w:lastRenderedPageBreak/>
              <w:t>Referencias</w:t>
            </w:r>
          </w:p>
          <w:p w:rsidR="00DD1521" w:rsidRPr="00550EA8" w:rsidRDefault="00DD1521" w:rsidP="00550EA8">
            <w:pPr>
              <w:pStyle w:val="reference"/>
              <w:numPr>
                <w:ilvl w:val="0"/>
                <w:numId w:val="24"/>
              </w:numPr>
              <w:spacing w:after="0"/>
              <w:ind w:left="213" w:hanging="142"/>
              <w:rPr>
                <w:rFonts w:cs="Arial"/>
                <w:bCs/>
                <w:i/>
                <w:color w:val="000080"/>
                <w:sz w:val="18"/>
                <w:szCs w:val="18"/>
                <w:lang w:eastAsia="es-ES"/>
              </w:rPr>
            </w:pPr>
            <w:r w:rsidRPr="00550EA8">
              <w:rPr>
                <w:rFonts w:cs="Arial"/>
                <w:bCs/>
                <w:i/>
                <w:color w:val="000080"/>
                <w:sz w:val="18"/>
                <w:szCs w:val="18"/>
                <w:lang w:val="es-ES" w:eastAsia="es-ES"/>
              </w:rPr>
              <w:t xml:space="preserve">Park K, Tan EH, O'Byrne K, Zhang L, Boyer M, Mok T, Hirsh V, Yang JC, Lee KH, Lu S, Shi Y. Afatinib versus gefitinib as first-line treatment of patients with EGFR mutation-positive non-small-cell lung cancer (LUX-Lung 7): a phase 2B, open-label, randomised controlled trial. </w:t>
            </w:r>
            <w:r w:rsidRPr="00550EA8">
              <w:rPr>
                <w:rFonts w:cs="Arial"/>
                <w:bCs/>
                <w:i/>
                <w:color w:val="000080"/>
                <w:sz w:val="18"/>
                <w:szCs w:val="18"/>
                <w:lang w:eastAsia="es-ES"/>
              </w:rPr>
              <w:t>The Lancet oncology. 2016 May 1;17(5):577-89</w:t>
            </w:r>
          </w:p>
          <w:p w:rsidR="00DD1521" w:rsidRPr="00550EA8" w:rsidRDefault="00DD1521" w:rsidP="00550EA8">
            <w:pPr>
              <w:pStyle w:val="reference"/>
              <w:numPr>
                <w:ilvl w:val="0"/>
                <w:numId w:val="24"/>
              </w:numPr>
              <w:spacing w:after="0"/>
              <w:ind w:left="213" w:hanging="142"/>
              <w:rPr>
                <w:rFonts w:cs="Arial"/>
                <w:bCs/>
                <w:i/>
                <w:color w:val="000080"/>
                <w:sz w:val="18"/>
                <w:szCs w:val="18"/>
                <w:lang w:eastAsia="es-ES"/>
              </w:rPr>
            </w:pPr>
            <w:r w:rsidRPr="00550EA8">
              <w:rPr>
                <w:rFonts w:cs="Arial"/>
                <w:bCs/>
                <w:i/>
                <w:color w:val="000080"/>
                <w:sz w:val="18"/>
                <w:szCs w:val="18"/>
                <w:lang w:eastAsia="es-ES"/>
              </w:rPr>
              <w:t>Blagoev KB, Wilkerson J, Fojo W. Hazard  ratios in cancer clinical trials—a primer. Nat Rev Clin  Oncol 2012; 9 (3): 178-183</w:t>
            </w:r>
          </w:p>
          <w:p w:rsidR="00DD1521" w:rsidRPr="00550EA8" w:rsidRDefault="00DD1521" w:rsidP="00550EA8">
            <w:pPr>
              <w:pStyle w:val="reference"/>
              <w:numPr>
                <w:ilvl w:val="0"/>
                <w:numId w:val="24"/>
              </w:numPr>
              <w:spacing w:after="0"/>
              <w:ind w:left="213" w:hanging="142"/>
              <w:rPr>
                <w:rFonts w:cs="Arial"/>
                <w:bCs/>
                <w:i/>
                <w:color w:val="000000"/>
                <w:sz w:val="18"/>
                <w:szCs w:val="18"/>
                <w:lang w:eastAsia="es-ES"/>
              </w:rPr>
            </w:pPr>
            <w:r w:rsidRPr="00550EA8">
              <w:rPr>
                <w:rFonts w:cs="Arial"/>
                <w:bCs/>
                <w:i/>
                <w:color w:val="000080"/>
                <w:sz w:val="18"/>
                <w:szCs w:val="18"/>
                <w:lang w:val="nl-NL" w:eastAsia="es-ES"/>
              </w:rPr>
              <w:t>Corral J, Park K, Yang JCH et al.. Afatinib versus gefitinib in patients with EGFR mutation-positive (EGFRm+) NSCLC: updated overall survival data from the phase IIb trial LUX-Lung 7.</w:t>
            </w:r>
            <w:r w:rsidRPr="00550EA8">
              <w:rPr>
                <w:rFonts w:cs="Arial"/>
                <w:color w:val="000080"/>
                <w:sz w:val="18"/>
                <w:szCs w:val="18"/>
                <w:lang w:val="nl-NL"/>
              </w:rPr>
              <w:t xml:space="preserve"> </w:t>
            </w:r>
            <w:r w:rsidRPr="00550EA8">
              <w:rPr>
                <w:rFonts w:cs="Arial"/>
                <w:bCs/>
                <w:i/>
                <w:color w:val="000080"/>
                <w:sz w:val="18"/>
                <w:szCs w:val="18"/>
                <w:lang w:eastAsia="es-ES"/>
              </w:rPr>
              <w:t>Ann Oncol 28 (Suppl 2), 34, Abstr 93PD (2017)</w:t>
            </w:r>
          </w:p>
        </w:tc>
        <w:tc>
          <w:tcPr>
            <w:tcW w:w="1460" w:type="dxa"/>
          </w:tcPr>
          <w:p w:rsidR="00DD1521" w:rsidRPr="009D2B38" w:rsidRDefault="00DD1521" w:rsidP="009D2B38">
            <w:pPr>
              <w:spacing w:after="0" w:line="240" w:lineRule="auto"/>
              <w:rPr>
                <w:rFonts w:ascii="Arial" w:hAnsi="Arial" w:cs="Arial"/>
                <w:color w:val="000080"/>
                <w:sz w:val="18"/>
                <w:szCs w:val="18"/>
              </w:rPr>
            </w:pPr>
            <w:r w:rsidRPr="009D2B38">
              <w:rPr>
                <w:rFonts w:ascii="Arial" w:hAnsi="Arial" w:cs="Arial"/>
                <w:color w:val="000080"/>
                <w:sz w:val="18"/>
                <w:szCs w:val="18"/>
              </w:rPr>
              <w:lastRenderedPageBreak/>
              <w:t>Ya indicamos que no disponer de una comparaci</w:t>
            </w:r>
            <w:r>
              <w:rPr>
                <w:rFonts w:ascii="Arial" w:hAnsi="Arial" w:cs="Arial"/>
                <w:color w:val="000080"/>
                <w:sz w:val="18"/>
                <w:szCs w:val="18"/>
              </w:rPr>
              <w:t>ón entre osimertinib y afatinib es una limitación. En este apartado no tratamos de opinar acerca de las difefrencias de eficacia entre ambos fármacos, únicamente describimos de manera crítica un estudio farmacoecnómi-co publicado.</w:t>
            </w:r>
          </w:p>
        </w:tc>
      </w:tr>
    </w:tbl>
    <w:p w:rsidR="00DD1521" w:rsidRDefault="00DD1521">
      <w:pPr>
        <w:tabs>
          <w:tab w:val="left" w:pos="1880"/>
        </w:tabs>
        <w:spacing w:after="0" w:line="240" w:lineRule="auto"/>
        <w:rPr>
          <w:rFonts w:ascii="Arial" w:hAnsi="Arial" w:cs="Arial"/>
          <w:sz w:val="20"/>
          <w:szCs w:val="20"/>
        </w:rPr>
      </w:pPr>
    </w:p>
    <w:p w:rsidR="00DD1521" w:rsidRDefault="00DD1521">
      <w:pPr>
        <w:tabs>
          <w:tab w:val="left" w:pos="1880"/>
        </w:tabs>
        <w:spacing w:after="0" w:line="240" w:lineRule="auto"/>
        <w:rPr>
          <w:rFonts w:ascii="Arial" w:hAnsi="Arial" w:cs="Arial"/>
          <w:sz w:val="20"/>
          <w:szCs w:val="20"/>
        </w:rPr>
      </w:pPr>
    </w:p>
    <w:p w:rsidR="00DD1521" w:rsidRDefault="00DD1521" w:rsidP="00D2691F">
      <w:pPr>
        <w:spacing w:after="0" w:line="240" w:lineRule="auto"/>
        <w:outlineLvl w:val="0"/>
        <w:rPr>
          <w:rFonts w:ascii="Arial" w:hAnsi="Arial" w:cs="Arial"/>
          <w:color w:val="000080"/>
          <w:sz w:val="20"/>
          <w:szCs w:val="20"/>
        </w:rPr>
      </w:pPr>
      <w:bookmarkStart w:id="192" w:name="_Toc5624938"/>
      <w:bookmarkStart w:id="193" w:name="_Toc5793796"/>
      <w:r w:rsidRPr="00897B8F">
        <w:rPr>
          <w:rFonts w:ascii="Arial" w:hAnsi="Arial" w:cs="Arial"/>
          <w:color w:val="000080"/>
          <w:sz w:val="20"/>
          <w:szCs w:val="20"/>
        </w:rPr>
        <w:t xml:space="preserve">Nombre persona que hace la alegación propuesta: </w:t>
      </w:r>
      <w:r w:rsidRPr="003938FE">
        <w:rPr>
          <w:rFonts w:ascii="Arial" w:hAnsi="Arial" w:cs="Arial"/>
          <w:color w:val="000080"/>
          <w:sz w:val="20"/>
          <w:szCs w:val="20"/>
        </w:rPr>
        <w:t>Marina De Salas Cansado</w:t>
      </w:r>
      <w:bookmarkEnd w:id="192"/>
      <w:bookmarkEnd w:id="193"/>
    </w:p>
    <w:p w:rsidR="00DD1521" w:rsidRPr="00D2691F" w:rsidRDefault="00DD1521" w:rsidP="00D2691F">
      <w:pPr>
        <w:spacing w:after="0" w:line="240" w:lineRule="auto"/>
        <w:outlineLvl w:val="0"/>
        <w:rPr>
          <w:rFonts w:ascii="Arial" w:hAnsi="Arial" w:cs="Arial"/>
          <w:color w:val="000080"/>
          <w:sz w:val="20"/>
          <w:szCs w:val="20"/>
        </w:rPr>
      </w:pPr>
      <w:bookmarkStart w:id="194" w:name="_Toc5624939"/>
      <w:bookmarkStart w:id="195" w:name="_Toc5793797"/>
      <w:r w:rsidRPr="00D2691F">
        <w:rPr>
          <w:rFonts w:ascii="Arial" w:hAnsi="Arial" w:cs="Arial"/>
          <w:color w:val="000080"/>
          <w:sz w:val="20"/>
          <w:szCs w:val="20"/>
        </w:rPr>
        <w:t xml:space="preserve">Cargo que ocupa: </w:t>
      </w:r>
      <w:r w:rsidRPr="004F6972">
        <w:rPr>
          <w:rFonts w:ascii="Arial" w:hAnsi="Arial" w:cs="Arial"/>
          <w:color w:val="000080"/>
          <w:sz w:val="20"/>
          <w:szCs w:val="20"/>
        </w:rPr>
        <w:t>Market Access Manager</w:t>
      </w:r>
      <w:bookmarkEnd w:id="194"/>
      <w:bookmarkEnd w:id="195"/>
      <w:r w:rsidRPr="00550EA8">
        <w:rPr>
          <w:rFonts w:ascii="Arial" w:hAnsi="Arial" w:cs="Arial"/>
          <w:color w:val="000080"/>
          <w:sz w:val="20"/>
          <w:szCs w:val="20"/>
        </w:rPr>
        <w:t xml:space="preserve"> </w:t>
      </w:r>
    </w:p>
    <w:p w:rsidR="00DD1521" w:rsidRPr="000F201F" w:rsidRDefault="00DD1521" w:rsidP="00D2691F">
      <w:pPr>
        <w:spacing w:after="0" w:line="240" w:lineRule="auto"/>
        <w:outlineLvl w:val="0"/>
        <w:rPr>
          <w:rFonts w:ascii="Arial" w:hAnsi="Arial" w:cs="Arial"/>
          <w:color w:val="000080"/>
          <w:sz w:val="20"/>
          <w:szCs w:val="20"/>
        </w:rPr>
      </w:pPr>
      <w:bookmarkStart w:id="196" w:name="_Toc5624940"/>
      <w:bookmarkStart w:id="197" w:name="_Toc5793798"/>
      <w:r w:rsidRPr="000F201F">
        <w:rPr>
          <w:rFonts w:ascii="Arial" w:hAnsi="Arial" w:cs="Arial"/>
          <w:color w:val="000080"/>
          <w:sz w:val="20"/>
          <w:szCs w:val="20"/>
        </w:rPr>
        <w:t xml:space="preserve">Centro, sociedad o empresa: </w:t>
      </w:r>
      <w:r w:rsidRPr="008D25F6">
        <w:rPr>
          <w:rFonts w:ascii="Arial" w:hAnsi="Arial" w:cs="Arial"/>
          <w:b/>
          <w:color w:val="000080"/>
          <w:sz w:val="20"/>
          <w:szCs w:val="20"/>
        </w:rPr>
        <w:t>Roche Farma S.A.</w:t>
      </w:r>
      <w:bookmarkEnd w:id="196"/>
      <w:bookmarkEnd w:id="197"/>
    </w:p>
    <w:p w:rsidR="00DD1521" w:rsidRPr="00D2691F" w:rsidRDefault="00DD1521" w:rsidP="00D2691F">
      <w:pPr>
        <w:spacing w:after="0" w:line="240" w:lineRule="auto"/>
        <w:outlineLvl w:val="0"/>
        <w:rPr>
          <w:rFonts w:ascii="Arial" w:hAnsi="Arial" w:cs="Arial"/>
          <w:color w:val="000080"/>
          <w:sz w:val="20"/>
          <w:szCs w:val="20"/>
        </w:rPr>
      </w:pPr>
      <w:bookmarkStart w:id="198" w:name="_Toc5624941"/>
      <w:bookmarkStart w:id="199" w:name="_Toc5793799"/>
      <w:r w:rsidRPr="00D2691F">
        <w:rPr>
          <w:rFonts w:ascii="Arial" w:hAnsi="Arial" w:cs="Arial"/>
          <w:color w:val="000080"/>
          <w:sz w:val="20"/>
          <w:szCs w:val="20"/>
        </w:rPr>
        <w:t xml:space="preserve">Teléfono de contacto: </w:t>
      </w:r>
      <w:r w:rsidRPr="004F6972">
        <w:rPr>
          <w:rFonts w:ascii="Arial" w:hAnsi="Arial" w:cs="Arial"/>
          <w:color w:val="000080"/>
          <w:sz w:val="20"/>
          <w:szCs w:val="20"/>
        </w:rPr>
        <w:t>91 324</w:t>
      </w:r>
      <w:r>
        <w:rPr>
          <w:rFonts w:ascii="Arial" w:hAnsi="Arial" w:cs="Arial"/>
          <w:color w:val="000080"/>
          <w:sz w:val="20"/>
          <w:szCs w:val="20"/>
        </w:rPr>
        <w:t xml:space="preserve"> </w:t>
      </w:r>
      <w:r w:rsidRPr="004F6972">
        <w:rPr>
          <w:rFonts w:ascii="Arial" w:hAnsi="Arial" w:cs="Arial"/>
          <w:color w:val="000080"/>
          <w:sz w:val="20"/>
          <w:szCs w:val="20"/>
        </w:rPr>
        <w:t>84</w:t>
      </w:r>
      <w:r>
        <w:rPr>
          <w:rFonts w:ascii="Arial" w:hAnsi="Arial" w:cs="Arial"/>
          <w:color w:val="000080"/>
          <w:sz w:val="20"/>
          <w:szCs w:val="20"/>
        </w:rPr>
        <w:t xml:space="preserve"> </w:t>
      </w:r>
      <w:r w:rsidRPr="004F6972">
        <w:rPr>
          <w:rFonts w:ascii="Arial" w:hAnsi="Arial" w:cs="Arial"/>
          <w:color w:val="000080"/>
          <w:sz w:val="20"/>
          <w:szCs w:val="20"/>
        </w:rPr>
        <w:t>64</w:t>
      </w:r>
      <w:bookmarkEnd w:id="198"/>
      <w:bookmarkEnd w:id="199"/>
    </w:p>
    <w:p w:rsidR="00DD1521" w:rsidRPr="00D2691F" w:rsidRDefault="00DD1521" w:rsidP="00D2691F">
      <w:pPr>
        <w:spacing w:after="0" w:line="240" w:lineRule="auto"/>
        <w:outlineLvl w:val="0"/>
        <w:rPr>
          <w:rFonts w:ascii="Arial" w:hAnsi="Arial" w:cs="Arial"/>
          <w:color w:val="000080"/>
          <w:sz w:val="20"/>
          <w:szCs w:val="20"/>
        </w:rPr>
      </w:pPr>
    </w:p>
    <w:p w:rsidR="00DD1521" w:rsidRPr="00D2691F" w:rsidRDefault="00DD1521" w:rsidP="00D2691F">
      <w:pPr>
        <w:spacing w:after="0" w:line="240" w:lineRule="auto"/>
        <w:rPr>
          <w:rFonts w:ascii="Arial" w:hAnsi="Arial" w:cs="Arial"/>
          <w:color w:val="000080"/>
          <w:sz w:val="20"/>
        </w:rPr>
      </w:pPr>
      <w:r w:rsidRPr="00D2691F">
        <w:rPr>
          <w:rFonts w:ascii="Arial" w:hAnsi="Arial" w:cs="Arial"/>
          <w:color w:val="000080"/>
          <w:sz w:val="20"/>
        </w:rPr>
        <w:t>Tutor: Vicente Arocas Casañ</w:t>
      </w:r>
    </w:p>
    <w:p w:rsidR="00DD1521" w:rsidRDefault="00DD1521">
      <w:pPr>
        <w:tabs>
          <w:tab w:val="left" w:pos="1880"/>
        </w:tabs>
        <w:spacing w:after="0" w:line="240" w:lineRule="auto"/>
        <w:rPr>
          <w:rFonts w:ascii="Arial" w:hAnsi="Arial" w:cs="Arial"/>
          <w:sz w:val="20"/>
          <w:szCs w:val="20"/>
        </w:rPr>
      </w:pPr>
    </w:p>
    <w:tbl>
      <w:tblPr>
        <w:tblW w:w="10620"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8100"/>
        <w:gridCol w:w="1440"/>
      </w:tblGrid>
      <w:tr w:rsidR="00DD1521" w:rsidRPr="00C57D97" w:rsidTr="004F6972">
        <w:trPr>
          <w:trHeight w:val="248"/>
        </w:trPr>
        <w:tc>
          <w:tcPr>
            <w:tcW w:w="9180" w:type="dxa"/>
            <w:gridSpan w:val="2"/>
          </w:tcPr>
          <w:p w:rsidR="00DD1521" w:rsidRPr="00C57D97" w:rsidRDefault="00DD1521" w:rsidP="004F6972">
            <w:pPr>
              <w:spacing w:after="0" w:line="240" w:lineRule="auto"/>
              <w:jc w:val="both"/>
              <w:rPr>
                <w:rFonts w:ascii="Arial" w:hAnsi="Arial" w:cs="Arial"/>
                <w:b/>
                <w:color w:val="000080"/>
                <w:sz w:val="18"/>
                <w:szCs w:val="18"/>
              </w:rPr>
            </w:pPr>
            <w:r w:rsidRPr="00C57D97">
              <w:rPr>
                <w:rFonts w:ascii="Arial" w:hAnsi="Arial" w:cs="Arial"/>
                <w:b/>
                <w:color w:val="000080"/>
                <w:sz w:val="18"/>
                <w:szCs w:val="18"/>
              </w:rPr>
              <w:t>Alegaciones al borrador público</w:t>
            </w:r>
          </w:p>
        </w:tc>
        <w:tc>
          <w:tcPr>
            <w:tcW w:w="1440" w:type="dxa"/>
          </w:tcPr>
          <w:p w:rsidR="00DD1521" w:rsidRPr="00C57D97" w:rsidRDefault="00DD1521" w:rsidP="004F6972">
            <w:pPr>
              <w:spacing w:after="0" w:line="240" w:lineRule="auto"/>
              <w:rPr>
                <w:rFonts w:ascii="Arial" w:hAnsi="Arial" w:cs="Arial"/>
                <w:b/>
                <w:color w:val="000080"/>
                <w:sz w:val="18"/>
                <w:szCs w:val="18"/>
              </w:rPr>
            </w:pPr>
            <w:r w:rsidRPr="00C57D97">
              <w:rPr>
                <w:rFonts w:ascii="Arial" w:hAnsi="Arial" w:cs="Arial"/>
                <w:b/>
                <w:color w:val="000080"/>
                <w:sz w:val="18"/>
                <w:szCs w:val="18"/>
              </w:rPr>
              <w:t>Respuesta  del tutor</w:t>
            </w:r>
          </w:p>
        </w:tc>
      </w:tr>
      <w:tr w:rsidR="00DD1521" w:rsidRPr="004F6972" w:rsidTr="004F6972">
        <w:tc>
          <w:tcPr>
            <w:tcW w:w="1080" w:type="dxa"/>
          </w:tcPr>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Dpto. Médico</w:t>
            </w:r>
          </w:p>
        </w:tc>
        <w:tc>
          <w:tcPr>
            <w:tcW w:w="8100" w:type="dxa"/>
          </w:tcPr>
          <w:p w:rsidR="00DD1521" w:rsidRPr="004F6972" w:rsidRDefault="00DD1521" w:rsidP="004F6972">
            <w:pPr>
              <w:spacing w:after="0" w:line="240" w:lineRule="auto"/>
              <w:jc w:val="both"/>
              <w:rPr>
                <w:rFonts w:ascii="Arial" w:hAnsi="Arial" w:cs="Arial"/>
                <w:b/>
                <w:color w:val="000080"/>
                <w:sz w:val="18"/>
                <w:szCs w:val="18"/>
              </w:rPr>
            </w:pPr>
            <w:r w:rsidRPr="004F6972">
              <w:rPr>
                <w:rFonts w:ascii="Arial" w:hAnsi="Arial" w:cs="Arial"/>
                <w:b/>
                <w:color w:val="000080"/>
                <w:sz w:val="18"/>
                <w:szCs w:val="18"/>
              </w:rPr>
              <w:t>Pág. 5 - 3.2.b Tratamiento actual de la enfermedad: evidencias</w:t>
            </w:r>
          </w:p>
          <w:p w:rsidR="00DD1521" w:rsidRPr="004F6972" w:rsidRDefault="00DD1521" w:rsidP="004F6972">
            <w:pPr>
              <w:spacing w:after="0" w:line="240" w:lineRule="auto"/>
              <w:jc w:val="both"/>
              <w:rPr>
                <w:rFonts w:ascii="Arial" w:hAnsi="Arial" w:cs="Arial"/>
                <w:b/>
                <w:color w:val="000080"/>
                <w:sz w:val="18"/>
                <w:szCs w:val="18"/>
              </w:rPr>
            </w:pPr>
          </w:p>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Solicitamos que se modifique el siguiente párrafo:</w:t>
            </w:r>
          </w:p>
          <w:p w:rsidR="00DD1521" w:rsidRPr="004F6972" w:rsidRDefault="00DD1521" w:rsidP="004F6972">
            <w:pPr>
              <w:spacing w:after="0" w:line="240" w:lineRule="auto"/>
              <w:jc w:val="both"/>
              <w:rPr>
                <w:rFonts w:ascii="Arial" w:hAnsi="Arial" w:cs="Arial"/>
                <w:color w:val="000080"/>
                <w:sz w:val="18"/>
                <w:szCs w:val="18"/>
              </w:rPr>
            </w:pPr>
          </w:p>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 xml:space="preserve">La adición de bevacizumab a erlotinib se puede recomendar en pacientes con estado funcional 0-1,.  </w:t>
            </w:r>
          </w:p>
          <w:p w:rsidR="00DD1521" w:rsidRPr="004F6972" w:rsidRDefault="00DD1521" w:rsidP="004F6972">
            <w:pPr>
              <w:spacing w:after="0" w:line="240" w:lineRule="auto"/>
              <w:jc w:val="both"/>
              <w:rPr>
                <w:rFonts w:ascii="Arial" w:hAnsi="Arial" w:cs="Arial"/>
                <w:sz w:val="18"/>
                <w:szCs w:val="18"/>
              </w:rPr>
            </w:pPr>
          </w:p>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De acuerdo con los datos recientemente presentados en ASCO 2018 del estudio fase III NEJ026, se evaluó bevacizumab más erlotinib en pacientes con CPNM EGFR+ no previamente tratados, la combinación demostró un aumento significativo de SLP y una buena tolerabilidad.</w:t>
            </w:r>
          </w:p>
          <w:p w:rsidR="00DD1521" w:rsidRPr="004F6972" w:rsidRDefault="00DD1521" w:rsidP="004F6972">
            <w:pPr>
              <w:spacing w:after="0" w:line="240" w:lineRule="auto"/>
              <w:jc w:val="both"/>
              <w:rPr>
                <w:rFonts w:ascii="Arial" w:hAnsi="Arial" w:cs="Arial"/>
                <w:sz w:val="18"/>
                <w:szCs w:val="18"/>
              </w:rPr>
            </w:pPr>
          </w:p>
          <w:p w:rsidR="00DD1521" w:rsidRPr="004F6972" w:rsidRDefault="00DD1521" w:rsidP="004F6972">
            <w:pPr>
              <w:spacing w:after="0" w:line="240" w:lineRule="auto"/>
              <w:jc w:val="both"/>
              <w:rPr>
                <w:rFonts w:ascii="Arial" w:hAnsi="Arial" w:cs="Arial"/>
                <w:i/>
                <w:color w:val="000080"/>
                <w:sz w:val="18"/>
                <w:szCs w:val="18"/>
              </w:rPr>
            </w:pPr>
            <w:r w:rsidRPr="004F6972">
              <w:rPr>
                <w:rFonts w:ascii="Arial" w:hAnsi="Arial" w:cs="Arial"/>
                <w:i/>
                <w:color w:val="000080"/>
                <w:sz w:val="18"/>
                <w:szCs w:val="18"/>
                <w:lang w:val="en-US"/>
              </w:rPr>
              <w:t xml:space="preserve">Furuya et al. Journal of Clinical Oncology 36, no. 15_suppl (May 20 2018) 9006-9006.  </w:t>
            </w:r>
            <w:r w:rsidRPr="004F6972">
              <w:rPr>
                <w:rFonts w:ascii="Arial" w:hAnsi="Arial" w:cs="Arial"/>
                <w:i/>
                <w:color w:val="000080"/>
                <w:sz w:val="18"/>
                <w:szCs w:val="18"/>
              </w:rPr>
              <w:t>DOI: 10.1200/JCO.2018.36.15_suppl.9006</w:t>
            </w:r>
          </w:p>
        </w:tc>
        <w:tc>
          <w:tcPr>
            <w:tcW w:w="1440" w:type="dxa"/>
          </w:tcPr>
          <w:p w:rsidR="00DD1521" w:rsidRPr="004F6972" w:rsidRDefault="00DD1521" w:rsidP="00584AB9">
            <w:pPr>
              <w:spacing w:after="0" w:line="240" w:lineRule="auto"/>
              <w:rPr>
                <w:rFonts w:ascii="Arial" w:hAnsi="Arial" w:cs="Arial"/>
                <w:color w:val="000080"/>
                <w:sz w:val="18"/>
                <w:szCs w:val="18"/>
              </w:rPr>
            </w:pPr>
            <w:r>
              <w:rPr>
                <w:rFonts w:ascii="Arial" w:hAnsi="Arial" w:cs="Arial"/>
                <w:color w:val="000080"/>
                <w:sz w:val="18"/>
                <w:szCs w:val="18"/>
              </w:rPr>
              <w:t>En ese párrafo se hacía referencia a la combinación con quimioterapia en pacientes ya tratados. Mantenemos la recomendación de ausencia de contraindicación y estado funcional 0-1, tal y como dice la guía ESMO y eliminamos la referencia al escaso beneficio y elevado coste. Añadimos también la combinación erlotinib +/- bevacizumab como opción de 1ª línea.</w:t>
            </w:r>
          </w:p>
        </w:tc>
      </w:tr>
      <w:tr w:rsidR="00DD1521" w:rsidRPr="004F6972" w:rsidTr="004F6972">
        <w:tc>
          <w:tcPr>
            <w:tcW w:w="1080" w:type="dxa"/>
          </w:tcPr>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Dpto. Médico</w:t>
            </w:r>
          </w:p>
        </w:tc>
        <w:tc>
          <w:tcPr>
            <w:tcW w:w="8100" w:type="dxa"/>
          </w:tcPr>
          <w:p w:rsidR="00DD1521" w:rsidRPr="004F6972" w:rsidRDefault="00DD1521" w:rsidP="004F6972">
            <w:pPr>
              <w:spacing w:after="0" w:line="240" w:lineRule="auto"/>
              <w:jc w:val="both"/>
              <w:rPr>
                <w:rFonts w:ascii="Arial" w:hAnsi="Arial" w:cs="Arial"/>
                <w:b/>
                <w:bCs/>
                <w:i/>
                <w:iCs/>
                <w:color w:val="000080"/>
                <w:sz w:val="18"/>
                <w:szCs w:val="18"/>
              </w:rPr>
            </w:pPr>
            <w:r w:rsidRPr="004F6972">
              <w:rPr>
                <w:rFonts w:ascii="Arial" w:hAnsi="Arial" w:cs="Arial"/>
                <w:b/>
                <w:color w:val="000080"/>
                <w:sz w:val="18"/>
                <w:szCs w:val="18"/>
              </w:rPr>
              <w:t xml:space="preserve">Pág. 7 - </w:t>
            </w:r>
            <w:r w:rsidRPr="004F6972">
              <w:rPr>
                <w:rFonts w:ascii="Arial" w:hAnsi="Arial" w:cs="Arial"/>
                <w:b/>
                <w:bCs/>
                <w:i/>
                <w:iCs/>
                <w:color w:val="000080"/>
                <w:sz w:val="18"/>
                <w:szCs w:val="18"/>
              </w:rPr>
              <w:t xml:space="preserve">3.3 Características comparadas con otras alternativas similares </w:t>
            </w:r>
          </w:p>
          <w:p w:rsidR="00DD1521" w:rsidRPr="004F6972" w:rsidRDefault="00DD1521" w:rsidP="004F6972">
            <w:pPr>
              <w:spacing w:after="0" w:line="240" w:lineRule="auto"/>
              <w:jc w:val="both"/>
              <w:rPr>
                <w:rFonts w:ascii="Arial" w:hAnsi="Arial" w:cs="Arial"/>
                <w:b/>
                <w:color w:val="000080"/>
                <w:sz w:val="18"/>
                <w:szCs w:val="18"/>
              </w:rPr>
            </w:pPr>
            <w:r w:rsidRPr="004F6972">
              <w:rPr>
                <w:rFonts w:ascii="Arial" w:hAnsi="Arial" w:cs="Arial"/>
                <w:b/>
                <w:color w:val="000080"/>
                <w:sz w:val="18"/>
                <w:szCs w:val="18"/>
              </w:rPr>
              <w:t>Tabla 4. Características diferenciales comparadas con otras alternativas similares para el tratamiento de primera línea del CPNM avanzado o metastásico con mutaciones activadoras del EGFR</w:t>
            </w:r>
          </w:p>
          <w:p w:rsidR="00DD1521" w:rsidRPr="004F6972" w:rsidRDefault="00DD1521" w:rsidP="004F6972">
            <w:pPr>
              <w:spacing w:after="0" w:line="240" w:lineRule="auto"/>
              <w:jc w:val="both"/>
              <w:rPr>
                <w:rFonts w:ascii="Arial" w:hAnsi="Arial" w:cs="Arial"/>
                <w:b/>
                <w:color w:val="000080"/>
                <w:sz w:val="18"/>
                <w:szCs w:val="18"/>
              </w:rPr>
            </w:pPr>
          </w:p>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Solicitamos que se incluya la presentación de 25 mg de Tarceva®</w:t>
            </w:r>
          </w:p>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Tarceva® comprimidos recubiertos con película de 25 mg, 100 mg y y 150 mg, tal y como aparece en su ficha técnica.</w:t>
            </w:r>
          </w:p>
          <w:p w:rsidR="00DD1521" w:rsidRPr="004F6972" w:rsidRDefault="0023048A" w:rsidP="004F6972">
            <w:pPr>
              <w:spacing w:after="0" w:line="240" w:lineRule="auto"/>
              <w:rPr>
                <w:rFonts w:ascii="Arial" w:hAnsi="Arial" w:cs="Arial"/>
                <w:color w:val="000080"/>
                <w:sz w:val="18"/>
                <w:szCs w:val="18"/>
              </w:rPr>
            </w:pPr>
            <w:r>
              <w:rPr>
                <w:rFonts w:ascii="Arial" w:hAnsi="Arial" w:cs="Arial"/>
                <w:noProof/>
                <w:sz w:val="18"/>
                <w:szCs w:val="18"/>
              </w:rPr>
              <w:lastRenderedPageBreak/>
              <w:drawing>
                <wp:inline distT="0" distB="0" distL="0" distR="0">
                  <wp:extent cx="4924425" cy="2019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4425" cy="2019300"/>
                          </a:xfrm>
                          <a:prstGeom prst="rect">
                            <a:avLst/>
                          </a:prstGeom>
                          <a:noFill/>
                          <a:ln>
                            <a:noFill/>
                          </a:ln>
                        </pic:spPr>
                      </pic:pic>
                    </a:graphicData>
                  </a:graphic>
                </wp:inline>
              </w:drawing>
            </w:r>
            <w:r w:rsidR="00DD1521" w:rsidRPr="004F6972">
              <w:rPr>
                <w:rFonts w:ascii="Arial" w:hAnsi="Arial" w:cs="Arial"/>
                <w:i/>
                <w:color w:val="000080"/>
                <w:sz w:val="18"/>
                <w:szCs w:val="18"/>
              </w:rPr>
              <w:t xml:space="preserve"> Ficha técnica Tarceva</w:t>
            </w:r>
            <w:r w:rsidR="00DD1521" w:rsidRPr="004F6972">
              <w:rPr>
                <w:rFonts w:ascii="Arial" w:hAnsi="Arial" w:cs="Arial"/>
                <w:color w:val="000080"/>
                <w:sz w:val="18"/>
                <w:szCs w:val="18"/>
              </w:rPr>
              <w:br/>
            </w:r>
          </w:p>
        </w:tc>
        <w:tc>
          <w:tcPr>
            <w:tcW w:w="1440" w:type="dxa"/>
          </w:tcPr>
          <w:p w:rsidR="00DD1521" w:rsidRPr="004F6972" w:rsidRDefault="00DD1521" w:rsidP="004F6972">
            <w:pPr>
              <w:spacing w:after="0" w:line="240" w:lineRule="auto"/>
              <w:jc w:val="both"/>
              <w:rPr>
                <w:rFonts w:ascii="Arial" w:hAnsi="Arial" w:cs="Arial"/>
                <w:color w:val="000080"/>
                <w:sz w:val="18"/>
                <w:szCs w:val="18"/>
              </w:rPr>
            </w:pPr>
            <w:r>
              <w:rPr>
                <w:rFonts w:ascii="Arial" w:hAnsi="Arial" w:cs="Arial"/>
                <w:color w:val="000080"/>
                <w:sz w:val="18"/>
                <w:szCs w:val="18"/>
              </w:rPr>
              <w:lastRenderedPageBreak/>
              <w:t>Aceptada</w:t>
            </w:r>
          </w:p>
        </w:tc>
      </w:tr>
      <w:tr w:rsidR="00DD1521" w:rsidRPr="004F6972" w:rsidTr="004F6972">
        <w:tc>
          <w:tcPr>
            <w:tcW w:w="1080" w:type="dxa"/>
          </w:tcPr>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lastRenderedPageBreak/>
              <w:t>Dpto. Médico</w:t>
            </w:r>
          </w:p>
        </w:tc>
        <w:tc>
          <w:tcPr>
            <w:tcW w:w="8100" w:type="dxa"/>
          </w:tcPr>
          <w:p w:rsidR="00DD1521" w:rsidRPr="004F6972" w:rsidRDefault="00DD1521" w:rsidP="004F6972">
            <w:pPr>
              <w:spacing w:after="0" w:line="240" w:lineRule="auto"/>
              <w:jc w:val="both"/>
              <w:rPr>
                <w:rFonts w:ascii="Arial" w:hAnsi="Arial" w:cs="Arial"/>
                <w:b/>
                <w:color w:val="000080"/>
                <w:sz w:val="18"/>
                <w:szCs w:val="18"/>
              </w:rPr>
            </w:pPr>
            <w:r w:rsidRPr="004F6972">
              <w:rPr>
                <w:rFonts w:ascii="Arial" w:hAnsi="Arial" w:cs="Arial"/>
                <w:b/>
                <w:color w:val="000080"/>
                <w:sz w:val="18"/>
                <w:szCs w:val="18"/>
              </w:rPr>
              <w:t>Pág. 6 - 3.2.b Tratamiento actual de la enfermedad: evidencias </w:t>
            </w:r>
          </w:p>
          <w:p w:rsidR="00DD1521" w:rsidRPr="004F6972" w:rsidRDefault="00DD1521" w:rsidP="004F6972">
            <w:pPr>
              <w:spacing w:after="0" w:line="240" w:lineRule="auto"/>
              <w:jc w:val="both"/>
              <w:rPr>
                <w:rFonts w:ascii="Arial" w:hAnsi="Arial" w:cs="Arial"/>
                <w:b/>
                <w:color w:val="000080"/>
                <w:sz w:val="18"/>
                <w:szCs w:val="18"/>
              </w:rPr>
            </w:pPr>
          </w:p>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Solicitamos que se modifique el siguiente párrafo:</w:t>
            </w:r>
          </w:p>
          <w:p w:rsidR="00DD1521" w:rsidRPr="004F6972" w:rsidRDefault="00DD1521" w:rsidP="004F6972">
            <w:pPr>
              <w:spacing w:after="0" w:line="240" w:lineRule="auto"/>
              <w:jc w:val="both"/>
              <w:rPr>
                <w:rFonts w:ascii="Arial" w:hAnsi="Arial" w:cs="Arial"/>
                <w:color w:val="000080"/>
                <w:sz w:val="18"/>
                <w:szCs w:val="18"/>
              </w:rPr>
            </w:pPr>
          </w:p>
          <w:p w:rsidR="00DD1521" w:rsidRPr="004F6972" w:rsidRDefault="00DD1521" w:rsidP="004F6972">
            <w:pPr>
              <w:spacing w:after="0" w:line="240" w:lineRule="auto"/>
              <w:jc w:val="both"/>
              <w:rPr>
                <w:rFonts w:ascii="Arial" w:hAnsi="Arial" w:cs="Arial"/>
                <w:color w:val="5B9BD5"/>
                <w:sz w:val="18"/>
                <w:szCs w:val="18"/>
              </w:rPr>
            </w:pPr>
            <w:r w:rsidRPr="004F6972">
              <w:rPr>
                <w:rFonts w:ascii="Arial" w:hAnsi="Arial" w:cs="Arial"/>
                <w:color w:val="000080"/>
                <w:sz w:val="18"/>
                <w:szCs w:val="18"/>
              </w:rPr>
              <w:t xml:space="preserve">Las guías NCCN contemplan la quimioterapia basada en platino como terapia de referencia tras progresión a ITK anti-EGFR, preferentemente cisplatino-pemetrexed en la histología no escamosa y cisplatino-gemcitabina en la escamosa, </w:t>
            </w:r>
            <w:r w:rsidRPr="004F6972">
              <w:rPr>
                <w:rFonts w:ascii="Arial" w:hAnsi="Arial" w:cs="Arial"/>
                <w:color w:val="00B0F0"/>
                <w:sz w:val="18"/>
                <w:szCs w:val="18"/>
                <w:shd w:val="clear" w:color="auto" w:fill="FFFFFF"/>
              </w:rPr>
              <w:t>sin embargo, no descartan que tras una progresión sintomática sistémica a un ITK se utilice la inmunoterapia.</w:t>
            </w:r>
            <w:r w:rsidRPr="004F6972">
              <w:rPr>
                <w:rFonts w:ascii="Arial" w:hAnsi="Arial" w:cs="Arial"/>
                <w:color w:val="00B0F0"/>
                <w:sz w:val="18"/>
                <w:szCs w:val="18"/>
              </w:rPr>
              <w:t xml:space="preserve"> </w:t>
            </w:r>
            <w:r w:rsidRPr="004F6972">
              <w:rPr>
                <w:rFonts w:ascii="Arial" w:hAnsi="Arial" w:cs="Arial"/>
                <w:strike/>
                <w:color w:val="000080"/>
                <w:sz w:val="18"/>
                <w:szCs w:val="18"/>
              </w:rPr>
              <w:t xml:space="preserve">Los datos existentes en segunda línea indican que la inmunoterapia es menos efectiva, independientemente de la expresión de PD-L1, en tumores con mutación EGFR activa </w:t>
            </w:r>
            <w:r w:rsidRPr="004F6972">
              <w:rPr>
                <w:rFonts w:ascii="Arial" w:hAnsi="Arial" w:cs="Arial"/>
                <w:color w:val="000080"/>
                <w:sz w:val="18"/>
                <w:szCs w:val="18"/>
              </w:rPr>
              <w:t xml:space="preserve">(8). </w:t>
            </w:r>
            <w:r w:rsidRPr="004F6972">
              <w:rPr>
                <w:rFonts w:ascii="Arial" w:hAnsi="Arial" w:cs="Arial"/>
                <w:color w:val="00B0F0"/>
                <w:sz w:val="18"/>
                <w:szCs w:val="18"/>
              </w:rPr>
              <w:t>Las guías ESMO 2018 sí recomiendan tanto la quimioterapia basada en platino como la combinación de atezolizumab +</w:t>
            </w:r>
            <w:r w:rsidRPr="004F6972">
              <w:rPr>
                <w:rFonts w:ascii="Arial" w:hAnsi="Arial" w:cs="Arial"/>
                <w:color w:val="5B9BD5"/>
                <w:sz w:val="18"/>
                <w:szCs w:val="18"/>
              </w:rPr>
              <w:t xml:space="preserve"> </w:t>
            </w:r>
            <w:r w:rsidRPr="004F6972">
              <w:rPr>
                <w:rFonts w:ascii="Arial" w:hAnsi="Arial" w:cs="Arial"/>
                <w:color w:val="00B0F0"/>
                <w:sz w:val="18"/>
                <w:szCs w:val="18"/>
              </w:rPr>
              <w:t>bevacizumab + carboplatino + paclitaxel tras un tratamiento con ITK, en pacientes sin mutación de resistencia T790M (ensayo fase III IMpower150).</w:t>
            </w:r>
          </w:p>
          <w:p w:rsidR="00DD1521" w:rsidRPr="004F6972" w:rsidRDefault="00DD1521" w:rsidP="004F6972">
            <w:pPr>
              <w:spacing w:after="0" w:line="240" w:lineRule="auto"/>
              <w:jc w:val="both"/>
              <w:rPr>
                <w:rFonts w:ascii="Arial" w:hAnsi="Arial" w:cs="Arial"/>
                <w:color w:val="000080"/>
                <w:sz w:val="18"/>
                <w:szCs w:val="18"/>
              </w:rPr>
            </w:pPr>
          </w:p>
          <w:p w:rsidR="00DD1521" w:rsidRPr="004F6972" w:rsidRDefault="00DD1521" w:rsidP="004F6972">
            <w:pPr>
              <w:spacing w:after="0" w:line="240" w:lineRule="auto"/>
              <w:jc w:val="both"/>
              <w:rPr>
                <w:rFonts w:ascii="Arial" w:hAnsi="Arial" w:cs="Arial"/>
                <w:i/>
                <w:color w:val="000080"/>
                <w:sz w:val="18"/>
                <w:szCs w:val="18"/>
              </w:rPr>
            </w:pPr>
            <w:r w:rsidRPr="004F6972">
              <w:rPr>
                <w:rFonts w:ascii="Arial" w:hAnsi="Arial" w:cs="Arial"/>
                <w:i/>
                <w:color w:val="000080"/>
                <w:sz w:val="18"/>
                <w:szCs w:val="18"/>
              </w:rPr>
              <w:t>ESMO Planchard et al. Annals of Oncology 29 (Supplement 4): iv192–iv237, 2018</w:t>
            </w:r>
          </w:p>
          <w:p w:rsidR="00DD1521" w:rsidRPr="004F6972" w:rsidRDefault="00DD1521" w:rsidP="004F6972">
            <w:pPr>
              <w:spacing w:after="0" w:line="240" w:lineRule="auto"/>
              <w:jc w:val="both"/>
              <w:rPr>
                <w:rFonts w:ascii="Arial" w:hAnsi="Arial" w:cs="Arial"/>
                <w:i/>
                <w:color w:val="000080"/>
                <w:sz w:val="18"/>
                <w:szCs w:val="18"/>
              </w:rPr>
            </w:pPr>
            <w:r w:rsidRPr="004F6972">
              <w:rPr>
                <w:rFonts w:ascii="Arial" w:hAnsi="Arial" w:cs="Arial"/>
                <w:i/>
                <w:color w:val="000080"/>
                <w:sz w:val="18"/>
                <w:szCs w:val="18"/>
              </w:rPr>
              <w:t>Socinski, et al. N Engl J Med 2018; Socinski, et al. ASCO 2018; Mok, et al. ESMO Asia 2018</w:t>
            </w:r>
          </w:p>
        </w:tc>
        <w:tc>
          <w:tcPr>
            <w:tcW w:w="1440" w:type="dxa"/>
          </w:tcPr>
          <w:p w:rsidR="00DD1521" w:rsidRPr="006F027A" w:rsidRDefault="00DD1521" w:rsidP="006F027A">
            <w:pPr>
              <w:pStyle w:val="NormalWeb"/>
              <w:spacing w:before="0" w:beforeAutospacing="0" w:after="0" w:afterAutospacing="0" w:line="240" w:lineRule="auto"/>
              <w:rPr>
                <w:rFonts w:ascii="Arial" w:hAnsi="Arial" w:cs="Arial"/>
                <w:color w:val="000080"/>
                <w:sz w:val="18"/>
                <w:szCs w:val="18"/>
              </w:rPr>
            </w:pPr>
            <w:r>
              <w:rPr>
                <w:rFonts w:ascii="Arial" w:hAnsi="Arial" w:cs="Arial"/>
                <w:color w:val="000080"/>
                <w:sz w:val="18"/>
                <w:szCs w:val="18"/>
              </w:rPr>
              <w:t>Se elimina la frase que hace referencia a la menor efectividad de la inmunoterapia y se añade “</w:t>
            </w:r>
            <w:r w:rsidRPr="006F027A">
              <w:rPr>
                <w:rFonts w:ascii="Arial" w:hAnsi="Arial" w:cs="Arial"/>
                <w:color w:val="000080"/>
                <w:sz w:val="18"/>
                <w:szCs w:val="18"/>
              </w:rPr>
              <w:t>La guía ESMO considera que la combinación de atezolizumab y bevacizumab con carboplatino y paclitaxel podría ser considerada como una opción terapéutica en pacientes con tumores EGFR mutados, y EGOG PS 0-1, en ausencia de contraindicaciones para el uso de inmunoterapia, después de que se hayan explotado las terapias dirigidas (34).</w:t>
            </w:r>
            <w:r>
              <w:rPr>
                <w:rFonts w:ascii="Arial" w:hAnsi="Arial" w:cs="Arial"/>
                <w:color w:val="000080"/>
                <w:sz w:val="18"/>
                <w:szCs w:val="18"/>
              </w:rPr>
              <w:t>”</w:t>
            </w:r>
          </w:p>
          <w:p w:rsidR="00DD1521" w:rsidRPr="006F027A" w:rsidRDefault="00DD1521" w:rsidP="006F027A">
            <w:pPr>
              <w:spacing w:after="0" w:line="240" w:lineRule="auto"/>
              <w:rPr>
                <w:rFonts w:ascii="Arial" w:hAnsi="Arial" w:cs="Arial"/>
                <w:color w:val="000080"/>
                <w:sz w:val="18"/>
                <w:szCs w:val="18"/>
              </w:rPr>
            </w:pPr>
          </w:p>
        </w:tc>
      </w:tr>
      <w:tr w:rsidR="00DD1521" w:rsidRPr="004F6972" w:rsidTr="004F6972">
        <w:tc>
          <w:tcPr>
            <w:tcW w:w="1080" w:type="dxa"/>
          </w:tcPr>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Dpto. Médico</w:t>
            </w:r>
          </w:p>
        </w:tc>
        <w:tc>
          <w:tcPr>
            <w:tcW w:w="8100" w:type="dxa"/>
          </w:tcPr>
          <w:p w:rsidR="00DD1521" w:rsidRPr="004F6972" w:rsidRDefault="00DD1521" w:rsidP="004F6972">
            <w:pPr>
              <w:spacing w:after="0" w:line="240" w:lineRule="auto"/>
              <w:jc w:val="both"/>
              <w:rPr>
                <w:rFonts w:ascii="Arial" w:hAnsi="Arial" w:cs="Arial"/>
                <w:b/>
                <w:bCs/>
                <w:i/>
                <w:iCs/>
                <w:color w:val="000080"/>
                <w:sz w:val="18"/>
                <w:szCs w:val="18"/>
              </w:rPr>
            </w:pPr>
            <w:r w:rsidRPr="004F6972">
              <w:rPr>
                <w:rFonts w:ascii="Arial" w:hAnsi="Arial" w:cs="Arial"/>
                <w:b/>
                <w:color w:val="000080"/>
                <w:sz w:val="18"/>
                <w:szCs w:val="18"/>
              </w:rPr>
              <w:t xml:space="preserve">Pág. 7 - </w:t>
            </w:r>
            <w:r w:rsidRPr="004F6972">
              <w:rPr>
                <w:rFonts w:ascii="Arial" w:hAnsi="Arial" w:cs="Arial"/>
                <w:b/>
                <w:bCs/>
                <w:i/>
                <w:iCs/>
                <w:color w:val="000080"/>
                <w:sz w:val="18"/>
                <w:szCs w:val="18"/>
              </w:rPr>
              <w:t xml:space="preserve">3.3 Características comparadas con otras alternativas similares </w:t>
            </w:r>
          </w:p>
          <w:p w:rsidR="00DD1521" w:rsidRPr="004F6972" w:rsidRDefault="00DD1521" w:rsidP="004F6972">
            <w:pPr>
              <w:spacing w:after="0" w:line="240" w:lineRule="auto"/>
              <w:jc w:val="both"/>
              <w:rPr>
                <w:rFonts w:ascii="Arial" w:hAnsi="Arial" w:cs="Arial"/>
                <w:b/>
                <w:color w:val="000080"/>
                <w:sz w:val="18"/>
                <w:szCs w:val="18"/>
              </w:rPr>
            </w:pPr>
            <w:r w:rsidRPr="004F6972">
              <w:rPr>
                <w:rFonts w:ascii="Arial" w:hAnsi="Arial" w:cs="Arial"/>
                <w:b/>
                <w:color w:val="000080"/>
                <w:sz w:val="18"/>
                <w:szCs w:val="18"/>
              </w:rPr>
              <w:t>Tabla 4. Características diferenciales comparadas con otras alternativas similares para el tratamiento de primera línea del CPNM avanzado o metastásico con mutaciones activadoras del EGFR</w:t>
            </w:r>
          </w:p>
          <w:p w:rsidR="00DD1521" w:rsidRPr="004F6972" w:rsidRDefault="00DD1521" w:rsidP="004F6972">
            <w:pPr>
              <w:spacing w:after="0" w:line="240" w:lineRule="auto"/>
              <w:rPr>
                <w:rFonts w:ascii="Arial" w:hAnsi="Arial" w:cs="Arial"/>
                <w:color w:val="000080"/>
                <w:sz w:val="18"/>
                <w:szCs w:val="18"/>
              </w:rPr>
            </w:pPr>
          </w:p>
          <w:p w:rsidR="00DD1521" w:rsidRPr="004F6972" w:rsidRDefault="00DD1521" w:rsidP="004F6972">
            <w:pPr>
              <w:spacing w:after="0" w:line="240" w:lineRule="auto"/>
              <w:rPr>
                <w:rFonts w:ascii="Arial" w:hAnsi="Arial" w:cs="Arial"/>
                <w:color w:val="000080"/>
                <w:sz w:val="18"/>
                <w:szCs w:val="18"/>
              </w:rPr>
            </w:pPr>
            <w:r w:rsidRPr="004F6972">
              <w:rPr>
                <w:rFonts w:ascii="Arial" w:hAnsi="Arial" w:cs="Arial"/>
                <w:color w:val="000080"/>
                <w:sz w:val="18"/>
                <w:szCs w:val="18"/>
              </w:rPr>
              <w:t>Solicitamos que se incluya en el apartado de características diferenciales de erlotinib la indicación en pacientes sin mutación EGFR 2L, según ficha técnica:</w:t>
            </w:r>
          </w:p>
          <w:p w:rsidR="00DD1521" w:rsidRPr="004F6972" w:rsidRDefault="00DD1521" w:rsidP="004F6972">
            <w:pPr>
              <w:spacing w:after="0" w:line="240" w:lineRule="auto"/>
              <w:rPr>
                <w:rFonts w:ascii="Arial" w:hAnsi="Arial" w:cs="Arial"/>
                <w:color w:val="000080"/>
                <w:sz w:val="18"/>
                <w:szCs w:val="18"/>
              </w:rPr>
            </w:pPr>
          </w:p>
          <w:p w:rsidR="00DD1521" w:rsidRPr="004F6972" w:rsidRDefault="00DD1521" w:rsidP="004F6972">
            <w:pPr>
              <w:spacing w:after="0" w:line="240" w:lineRule="auto"/>
              <w:rPr>
                <w:rFonts w:ascii="Arial" w:hAnsi="Arial" w:cs="Arial"/>
                <w:i/>
                <w:color w:val="000080"/>
                <w:sz w:val="18"/>
                <w:szCs w:val="18"/>
              </w:rPr>
            </w:pPr>
            <w:r w:rsidRPr="004F6972">
              <w:rPr>
                <w:rFonts w:ascii="Arial" w:hAnsi="Arial" w:cs="Arial"/>
                <w:i/>
                <w:color w:val="000080"/>
                <w:sz w:val="18"/>
                <w:szCs w:val="18"/>
              </w:rPr>
              <w:lastRenderedPageBreak/>
              <w:t>Tarceva también está indicado en el tratamiento de pacientes con CPNM localmente avanzado o metastásico tras fallo, al menos, a un tratamiento quimioterápico anterior. En pacientes con tumores sin mutaciones activadoras de EGFR, Tarceva está indicado cuando otras opciones de tratamiento no se consideran adecuadas.</w:t>
            </w:r>
          </w:p>
          <w:p w:rsidR="00DD1521" w:rsidRPr="004F6972" w:rsidRDefault="00DD1521" w:rsidP="004F6972">
            <w:pPr>
              <w:spacing w:after="0" w:line="240" w:lineRule="auto"/>
              <w:rPr>
                <w:rFonts w:ascii="Arial" w:hAnsi="Arial" w:cs="Arial"/>
                <w:i/>
                <w:color w:val="000080"/>
                <w:sz w:val="18"/>
                <w:szCs w:val="18"/>
              </w:rPr>
            </w:pPr>
          </w:p>
          <w:p w:rsidR="00DD1521" w:rsidRPr="004F6972" w:rsidRDefault="00DD1521" w:rsidP="004F6972">
            <w:pPr>
              <w:spacing w:after="0" w:line="240" w:lineRule="auto"/>
              <w:rPr>
                <w:rFonts w:ascii="Arial" w:hAnsi="Arial" w:cs="Arial"/>
                <w:color w:val="000080"/>
                <w:sz w:val="18"/>
                <w:szCs w:val="18"/>
              </w:rPr>
            </w:pPr>
            <w:r w:rsidRPr="004F6972">
              <w:rPr>
                <w:rFonts w:ascii="Arial" w:hAnsi="Arial" w:cs="Arial"/>
                <w:i/>
                <w:color w:val="000080"/>
                <w:sz w:val="18"/>
                <w:szCs w:val="18"/>
              </w:rPr>
              <w:t>Ficha técnica Tarceva</w:t>
            </w:r>
          </w:p>
        </w:tc>
        <w:tc>
          <w:tcPr>
            <w:tcW w:w="1440" w:type="dxa"/>
          </w:tcPr>
          <w:p w:rsidR="00DD1521" w:rsidRPr="006F027A" w:rsidRDefault="00DD1521" w:rsidP="006F027A">
            <w:pPr>
              <w:spacing w:after="0" w:line="240" w:lineRule="auto"/>
              <w:rPr>
                <w:rFonts w:ascii="Arial" w:hAnsi="Arial" w:cs="Arial"/>
                <w:color w:val="000080"/>
                <w:sz w:val="18"/>
                <w:szCs w:val="18"/>
              </w:rPr>
            </w:pPr>
            <w:r>
              <w:rPr>
                <w:rFonts w:ascii="Arial" w:hAnsi="Arial" w:cs="Arial"/>
                <w:color w:val="000080"/>
                <w:sz w:val="18"/>
                <w:szCs w:val="18"/>
              </w:rPr>
              <w:lastRenderedPageBreak/>
              <w:t>Aceptada</w:t>
            </w:r>
          </w:p>
        </w:tc>
      </w:tr>
      <w:tr w:rsidR="00DD1521" w:rsidRPr="00E74110" w:rsidTr="004F6972">
        <w:tc>
          <w:tcPr>
            <w:tcW w:w="1080" w:type="dxa"/>
          </w:tcPr>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lastRenderedPageBreak/>
              <w:t>Dpto. Médico</w:t>
            </w:r>
          </w:p>
        </w:tc>
        <w:tc>
          <w:tcPr>
            <w:tcW w:w="8100" w:type="dxa"/>
          </w:tcPr>
          <w:p w:rsidR="00DD1521" w:rsidRPr="004F6972" w:rsidRDefault="00DD1521" w:rsidP="004F6972">
            <w:pPr>
              <w:spacing w:after="0" w:line="240" w:lineRule="auto"/>
              <w:jc w:val="both"/>
              <w:rPr>
                <w:rFonts w:ascii="Arial" w:hAnsi="Arial" w:cs="Arial"/>
                <w:b/>
                <w:bCs/>
                <w:i/>
                <w:iCs/>
                <w:color w:val="000080"/>
                <w:sz w:val="18"/>
                <w:szCs w:val="18"/>
              </w:rPr>
            </w:pPr>
            <w:r w:rsidRPr="004F6972">
              <w:rPr>
                <w:rFonts w:ascii="Arial" w:hAnsi="Arial" w:cs="Arial"/>
                <w:b/>
                <w:color w:val="000080"/>
                <w:sz w:val="18"/>
                <w:szCs w:val="18"/>
              </w:rPr>
              <w:t xml:space="preserve">Pág. 23. </w:t>
            </w:r>
            <w:r w:rsidRPr="004F6972">
              <w:rPr>
                <w:rFonts w:ascii="Arial" w:hAnsi="Arial" w:cs="Arial"/>
                <w:b/>
                <w:bCs/>
                <w:i/>
                <w:iCs/>
                <w:color w:val="000080"/>
                <w:sz w:val="18"/>
                <w:szCs w:val="18"/>
              </w:rPr>
              <w:t xml:space="preserve">5.3.b.1 Comparaciones indirectas de elaboración propia </w:t>
            </w:r>
          </w:p>
          <w:p w:rsidR="00DD1521" w:rsidRPr="004F6972" w:rsidRDefault="00DD1521" w:rsidP="004F6972">
            <w:pPr>
              <w:spacing w:after="0" w:line="240" w:lineRule="auto"/>
              <w:jc w:val="both"/>
              <w:rPr>
                <w:rFonts w:ascii="Arial" w:hAnsi="Arial" w:cs="Arial"/>
                <w:b/>
                <w:bCs/>
                <w:iCs/>
                <w:color w:val="000080"/>
                <w:sz w:val="18"/>
                <w:szCs w:val="18"/>
              </w:rPr>
            </w:pPr>
            <w:r w:rsidRPr="004F6972">
              <w:rPr>
                <w:rFonts w:ascii="Arial" w:hAnsi="Arial" w:cs="Arial"/>
                <w:b/>
                <w:bCs/>
                <w:iCs/>
                <w:color w:val="000080"/>
                <w:sz w:val="18"/>
                <w:szCs w:val="18"/>
              </w:rPr>
              <w:t>Tabla 9, tabla 10</w:t>
            </w:r>
          </w:p>
          <w:p w:rsidR="00DD1521" w:rsidRPr="004F6972" w:rsidRDefault="00DD1521" w:rsidP="004F6972">
            <w:pPr>
              <w:spacing w:after="0" w:line="240" w:lineRule="auto"/>
              <w:jc w:val="both"/>
              <w:rPr>
                <w:rFonts w:ascii="Arial" w:hAnsi="Arial" w:cs="Arial"/>
                <w:b/>
                <w:bCs/>
                <w:iCs/>
                <w:color w:val="000080"/>
                <w:sz w:val="18"/>
                <w:szCs w:val="18"/>
              </w:rPr>
            </w:pPr>
          </w:p>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 xml:space="preserve">Solicitamos la modificación del dato de SLP 9,7 meses (evaluada por el CRI) en la columna de grupo control del estudio FLAURA, ya que la SLP evaluada por el investigador es el objetivo principal del estudio y es de 10,2 meses. </w:t>
            </w:r>
          </w:p>
          <w:p w:rsidR="00DD1521" w:rsidRPr="004F6972" w:rsidRDefault="00DD1521" w:rsidP="004F6972">
            <w:pPr>
              <w:spacing w:after="0" w:line="240" w:lineRule="auto"/>
              <w:jc w:val="both"/>
              <w:rPr>
                <w:rFonts w:ascii="Arial" w:hAnsi="Arial" w:cs="Arial"/>
                <w:color w:val="000080"/>
                <w:sz w:val="18"/>
                <w:szCs w:val="18"/>
              </w:rPr>
            </w:pPr>
          </w:p>
          <w:p w:rsidR="00DD1521" w:rsidRPr="004F6972" w:rsidRDefault="00DD1521" w:rsidP="004F6972">
            <w:pPr>
              <w:spacing w:after="0" w:line="240" w:lineRule="auto"/>
              <w:jc w:val="both"/>
              <w:rPr>
                <w:rFonts w:ascii="Arial" w:hAnsi="Arial" w:cs="Arial"/>
                <w:i/>
                <w:sz w:val="18"/>
                <w:szCs w:val="18"/>
                <w:lang w:eastAsia="zh-CN"/>
              </w:rPr>
            </w:pPr>
            <w:r w:rsidRPr="004F6972">
              <w:rPr>
                <w:rFonts w:ascii="Arial" w:hAnsi="Arial" w:cs="Arial"/>
                <w:i/>
                <w:color w:val="000080"/>
                <w:sz w:val="18"/>
                <w:szCs w:val="18"/>
              </w:rPr>
              <w:t>FLAURA Soria JC et al. N Engl J Med. 2018;378:113-125</w:t>
            </w:r>
          </w:p>
        </w:tc>
        <w:tc>
          <w:tcPr>
            <w:tcW w:w="1440" w:type="dxa"/>
          </w:tcPr>
          <w:p w:rsidR="00DD1521" w:rsidRPr="00E74110" w:rsidRDefault="00DD1521" w:rsidP="006F027A">
            <w:pPr>
              <w:spacing w:after="0" w:line="240" w:lineRule="auto"/>
              <w:rPr>
                <w:rFonts w:ascii="Arial" w:hAnsi="Arial" w:cs="Arial"/>
                <w:sz w:val="20"/>
                <w:szCs w:val="20"/>
              </w:rPr>
            </w:pPr>
            <w:r>
              <w:rPr>
                <w:rFonts w:ascii="Arial" w:hAnsi="Arial" w:cs="Arial"/>
                <w:color w:val="000080"/>
                <w:sz w:val="18"/>
                <w:szCs w:val="18"/>
              </w:rPr>
              <w:t xml:space="preserve">Se añade en el texto el resultado de la comparación si se utilizara los HR reportados por el investigador: </w:t>
            </w:r>
            <w:r w:rsidRPr="00E74110">
              <w:rPr>
                <w:rFonts w:ascii="Arial" w:hAnsi="Arial" w:cs="Arial"/>
                <w:color w:val="000080"/>
                <w:sz w:val="18"/>
                <w:szCs w:val="18"/>
              </w:rPr>
              <w:t>“Si realizamos la misma comparación con los resultados registrados por el investigador el HR (IC95%) calculado es similar (0,74 (0,54 – 1,01).”</w:t>
            </w:r>
          </w:p>
        </w:tc>
      </w:tr>
      <w:tr w:rsidR="00DD1521" w:rsidRPr="004F6972" w:rsidTr="004F6972">
        <w:tc>
          <w:tcPr>
            <w:tcW w:w="1080" w:type="dxa"/>
          </w:tcPr>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Dpto. Médico</w:t>
            </w:r>
          </w:p>
        </w:tc>
        <w:tc>
          <w:tcPr>
            <w:tcW w:w="8100" w:type="dxa"/>
          </w:tcPr>
          <w:p w:rsidR="00DD1521" w:rsidRPr="004F6972" w:rsidRDefault="00DD1521" w:rsidP="004F6972">
            <w:pPr>
              <w:spacing w:after="0" w:line="240" w:lineRule="auto"/>
              <w:jc w:val="both"/>
              <w:rPr>
                <w:rFonts w:ascii="Arial" w:hAnsi="Arial" w:cs="Arial"/>
                <w:b/>
                <w:color w:val="000080"/>
                <w:sz w:val="18"/>
                <w:szCs w:val="18"/>
              </w:rPr>
            </w:pPr>
            <w:r w:rsidRPr="004F6972">
              <w:rPr>
                <w:rFonts w:ascii="Arial" w:hAnsi="Arial" w:cs="Arial"/>
                <w:b/>
                <w:color w:val="000080"/>
                <w:sz w:val="18"/>
                <w:szCs w:val="18"/>
              </w:rPr>
              <w:t xml:space="preserve">Pag. 28 6.1.b Descripción de los efectos adversos más significativos. </w:t>
            </w:r>
          </w:p>
          <w:p w:rsidR="00DD1521" w:rsidRPr="004F6972" w:rsidRDefault="00DD1521" w:rsidP="004F6972">
            <w:pPr>
              <w:spacing w:after="0" w:line="240" w:lineRule="auto"/>
              <w:jc w:val="both"/>
              <w:rPr>
                <w:rFonts w:ascii="Arial" w:hAnsi="Arial" w:cs="Arial"/>
                <w:b/>
                <w:color w:val="000080"/>
                <w:sz w:val="18"/>
                <w:szCs w:val="18"/>
              </w:rPr>
            </w:pPr>
          </w:p>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Solicitamos que se revisen los datos de los efectos adversos en sequedad de piel según el estudio FLAURA el % de sequedad de piel es de 36% en ambos grupos.</w:t>
            </w:r>
          </w:p>
          <w:p w:rsidR="00DD1521" w:rsidRPr="004F6972" w:rsidRDefault="00DD1521" w:rsidP="004F6972">
            <w:pPr>
              <w:spacing w:after="0" w:line="240" w:lineRule="auto"/>
              <w:jc w:val="both"/>
              <w:rPr>
                <w:rFonts w:ascii="Arial" w:hAnsi="Arial" w:cs="Arial"/>
                <w:color w:val="000080"/>
                <w:sz w:val="18"/>
                <w:szCs w:val="18"/>
              </w:rPr>
            </w:pPr>
          </w:p>
          <w:p w:rsidR="00DD1521" w:rsidRPr="004F6972" w:rsidRDefault="00DD1521" w:rsidP="004F6972">
            <w:pPr>
              <w:spacing w:after="0" w:line="240" w:lineRule="auto"/>
              <w:jc w:val="both"/>
              <w:rPr>
                <w:rFonts w:ascii="Arial" w:hAnsi="Arial" w:cs="Arial"/>
                <w:color w:val="000080"/>
                <w:sz w:val="18"/>
                <w:szCs w:val="18"/>
              </w:rPr>
            </w:pPr>
            <w:r w:rsidRPr="004F6972">
              <w:rPr>
                <w:rFonts w:ascii="Arial" w:hAnsi="Arial" w:cs="Arial"/>
                <w:color w:val="000080"/>
                <w:sz w:val="18"/>
                <w:szCs w:val="18"/>
              </w:rPr>
              <w:t xml:space="preserve">Los efectos adversos más frecuentes en el brazo de tratamiento de osimertinib y del ITK estándar fueron diarrea (58,1% en ambos grupos), </w:t>
            </w:r>
            <w:r w:rsidRPr="004F6972">
              <w:rPr>
                <w:rFonts w:ascii="Arial" w:hAnsi="Arial" w:cs="Arial"/>
                <w:b/>
                <w:color w:val="000080"/>
                <w:sz w:val="18"/>
                <w:szCs w:val="18"/>
              </w:rPr>
              <w:t>sequedad de piel (31,5% vs 32,5%, respectivamente)</w:t>
            </w:r>
            <w:r w:rsidRPr="004F6972">
              <w:rPr>
                <w:rFonts w:ascii="Arial" w:hAnsi="Arial" w:cs="Arial"/>
                <w:color w:val="000080"/>
                <w:sz w:val="18"/>
                <w:szCs w:val="18"/>
              </w:rPr>
              <w:t>, paroniquia (29,4% vs 29,6%), estomatitis (28,7% vs 20,2%), dermatitis acneiforme (25,4% vs 48,4%) y disminución del apetito (22,2% vs 20,2%).</w:t>
            </w:r>
          </w:p>
          <w:p w:rsidR="00DD1521" w:rsidRPr="004F6972" w:rsidRDefault="00DD1521" w:rsidP="004F6972">
            <w:pPr>
              <w:spacing w:after="0" w:line="240" w:lineRule="auto"/>
              <w:jc w:val="both"/>
              <w:rPr>
                <w:rFonts w:ascii="Arial" w:hAnsi="Arial" w:cs="Arial"/>
                <w:color w:val="000080"/>
                <w:sz w:val="18"/>
                <w:szCs w:val="18"/>
              </w:rPr>
            </w:pPr>
          </w:p>
          <w:p w:rsidR="00DD1521" w:rsidRPr="004F6972" w:rsidRDefault="00DD1521" w:rsidP="004F6972">
            <w:pPr>
              <w:spacing w:after="0" w:line="240" w:lineRule="auto"/>
              <w:jc w:val="both"/>
              <w:rPr>
                <w:rFonts w:ascii="Arial" w:hAnsi="Arial" w:cs="Arial"/>
                <w:i/>
                <w:color w:val="000080"/>
                <w:sz w:val="18"/>
                <w:szCs w:val="18"/>
              </w:rPr>
            </w:pPr>
            <w:r w:rsidRPr="004F6972">
              <w:rPr>
                <w:rFonts w:ascii="Arial" w:hAnsi="Arial" w:cs="Arial"/>
                <w:i/>
                <w:color w:val="000080"/>
                <w:sz w:val="18"/>
                <w:szCs w:val="18"/>
              </w:rPr>
              <w:t>FLAURA Soria JC et al. N Engl J Med. 2018;378:113-125</w:t>
            </w:r>
          </w:p>
        </w:tc>
        <w:tc>
          <w:tcPr>
            <w:tcW w:w="1440" w:type="dxa"/>
          </w:tcPr>
          <w:p w:rsidR="00DD1521" w:rsidRPr="004F6972" w:rsidRDefault="00DD1521" w:rsidP="004F6972">
            <w:pPr>
              <w:spacing w:after="0" w:line="240" w:lineRule="auto"/>
              <w:jc w:val="both"/>
              <w:rPr>
                <w:rFonts w:ascii="Arial" w:hAnsi="Arial" w:cs="Arial"/>
                <w:color w:val="000080"/>
                <w:sz w:val="18"/>
                <w:szCs w:val="18"/>
              </w:rPr>
            </w:pPr>
            <w:r>
              <w:rPr>
                <w:rFonts w:ascii="Arial" w:hAnsi="Arial" w:cs="Arial"/>
                <w:color w:val="000080"/>
                <w:sz w:val="18"/>
                <w:szCs w:val="18"/>
              </w:rPr>
              <w:t>Aceptada. Se rectifica.</w:t>
            </w:r>
          </w:p>
        </w:tc>
      </w:tr>
    </w:tbl>
    <w:p w:rsidR="00DD1521" w:rsidRPr="009D2B38" w:rsidRDefault="00DD1521">
      <w:pPr>
        <w:tabs>
          <w:tab w:val="left" w:pos="1880"/>
        </w:tabs>
        <w:spacing w:after="0" w:line="240" w:lineRule="auto"/>
        <w:rPr>
          <w:rFonts w:ascii="Arial" w:hAnsi="Arial" w:cs="Arial"/>
          <w:sz w:val="20"/>
          <w:szCs w:val="20"/>
        </w:rPr>
      </w:pPr>
    </w:p>
    <w:sectPr w:rsidR="00DD1521" w:rsidRPr="009D2B38" w:rsidSect="00F65116">
      <w:headerReference w:type="default" r:id="rId40"/>
      <w:pgSz w:w="11906" w:h="16838"/>
      <w:pgMar w:top="1417" w:right="1466"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46C" w:rsidRDefault="00CB346C">
      <w:pPr>
        <w:spacing w:after="0" w:line="240" w:lineRule="auto"/>
      </w:pPr>
      <w:r>
        <w:separator/>
      </w:r>
    </w:p>
  </w:endnote>
  <w:endnote w:type="continuationSeparator" w:id="0">
    <w:p w:rsidR="00CB346C" w:rsidRDefault="00CB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ZYYKLI+TimesTen-Roman">
    <w:altName w:val="Times New Roman"/>
    <w:charset w:val="00"/>
    <w:family w:val="roman"/>
    <w:pitch w:val="default"/>
    <w:sig w:usb0="00000000"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NBIQZG+HelveticaNeue-Light">
    <w:altName w:val="Helvetica Neue"/>
    <w:charset w:val="00"/>
    <w:family w:val="swiss"/>
    <w:pitch w:val="default"/>
    <w:sig w:usb0="00000000" w:usb1="00000000" w:usb2="00000000" w:usb3="00000000" w:csb0="00000001" w:csb1="00000000"/>
  </w:font>
  <w:font w:name="GNQAFU+HelveticaNeue-Black">
    <w:altName w:val="Helvetica Neue"/>
    <w:charset w:val="00"/>
    <w:family w:val="swiss"/>
    <w:pitch w:val="default"/>
    <w:sig w:usb0="00000000" w:usb1="00000000" w:usb2="00000000" w:usb3="00000000" w:csb0="00000001" w:csb1="00000000"/>
  </w:font>
  <w:font w:name="DZMIPA+HelveticaNeue-Medium">
    <w:altName w:val="Helvetica Neue"/>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Jacques Francois Shadow">
    <w:altName w:val="Times New Roman"/>
    <w:charset w:val="00"/>
    <w:family w:val="auto"/>
    <w:pitch w:val="default"/>
    <w:sig w:usb0="00000000" w:usb1="00000000" w:usb2="00000000" w:usb3="00000000" w:csb0="00000001" w:csb1="00000000"/>
  </w:font>
  <w:font w:name="TimesNewRoman">
    <w:charset w:val="80"/>
    <w:family w:val="auto"/>
    <w:pitch w:val="default"/>
    <w:sig w:usb0="00000000" w:usb1="0000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46C" w:rsidRDefault="00CB346C">
      <w:pPr>
        <w:spacing w:after="0" w:line="240" w:lineRule="auto"/>
      </w:pPr>
      <w:r>
        <w:separator/>
      </w:r>
    </w:p>
  </w:footnote>
  <w:footnote w:type="continuationSeparator" w:id="0">
    <w:p w:rsidR="00CB346C" w:rsidRDefault="00CB346C">
      <w:pPr>
        <w:spacing w:after="0" w:line="240" w:lineRule="auto"/>
      </w:pPr>
      <w:r>
        <w:continuationSeparator/>
      </w:r>
    </w:p>
  </w:footnote>
  <w:footnote w:id="1">
    <w:p w:rsidR="000766E9" w:rsidRDefault="000766E9" w:rsidP="000F201F">
      <w:pPr>
        <w:widowControl w:val="0"/>
        <w:suppressAutoHyphens/>
        <w:spacing w:after="120" w:line="240" w:lineRule="auto"/>
        <w:jc w:val="both"/>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Marín R, Puigventós F, Fraga MD, Ortega A, López-Briz E, Arocas V, Santos B.</w:t>
      </w:r>
      <w:r>
        <w:rPr>
          <w:rFonts w:ascii="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footnote>
  <w:footnote w:id="2">
    <w:p w:rsidR="000766E9" w:rsidRDefault="000766E9" w:rsidP="000F201F">
      <w:pPr>
        <w:spacing w:after="120" w:line="240" w:lineRule="auto"/>
        <w:jc w:val="both"/>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Ortega Eslava A, Marín Gil R, Fraga Fuentes MD, López-Briz E, Puigventós Latorre F (GENESIS-SEFH</w:t>
      </w:r>
      <w:r>
        <w:rPr>
          <w:rFonts w:ascii="Arial" w:hAnsi="Arial" w:cs="Arial"/>
          <w:sz w:val="16"/>
          <w:szCs w:val="16"/>
        </w:rPr>
        <w:t xml:space="preserve">). Guía de evaluación económica e impacto presupuestario en los informes de evaluación de medicamentos. Guía práctica asociada al programa MADRE v4.0. Madrid: SEFH (e.), 2016 ISBN: 978-84-617-6757-1. Disponible en: </w:t>
      </w:r>
      <w:hyperlink r:id="rId2" w:history="1">
        <w:r w:rsidRPr="0029622F">
          <w:rPr>
            <w:rStyle w:val="Hipervnculo"/>
            <w:rFonts w:ascii="Arial" w:hAnsi="Arial" w:cs="Arial"/>
            <w:sz w:val="16"/>
            <w:szCs w:val="16"/>
          </w:rPr>
          <w:t>http://gruposdetrabajo.sefh.es/genesis</w:t>
        </w:r>
      </w:hyperlink>
      <w:r>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68" w:type="dxa"/>
      <w:tblLayout w:type="fixed"/>
      <w:tblCellMar>
        <w:left w:w="70" w:type="dxa"/>
        <w:right w:w="70" w:type="dxa"/>
      </w:tblCellMar>
      <w:tblLook w:val="00A0" w:firstRow="1" w:lastRow="0" w:firstColumn="1" w:lastColumn="0" w:noHBand="0" w:noVBand="0"/>
    </w:tblPr>
    <w:tblGrid>
      <w:gridCol w:w="6300"/>
      <w:gridCol w:w="1080"/>
      <w:gridCol w:w="1440"/>
    </w:tblGrid>
    <w:tr w:rsidR="000766E9">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rsidR="000766E9" w:rsidRPr="00BA51E1" w:rsidRDefault="000766E9">
          <w:pPr>
            <w:pStyle w:val="Encabezado"/>
            <w:spacing w:after="0" w:line="240" w:lineRule="auto"/>
            <w:rPr>
              <w:rFonts w:ascii="Arial" w:hAnsi="Arial" w:cs="Arial"/>
              <w:color w:val="FFFFFF"/>
              <w:sz w:val="20"/>
            </w:rPr>
          </w:pPr>
          <w:r w:rsidRPr="00BA51E1">
            <w:rPr>
              <w:rFonts w:ascii="Arial" w:hAnsi="Arial" w:cs="Arial"/>
              <w:color w:val="FFFFFF"/>
              <w:sz w:val="20"/>
            </w:rPr>
            <w:t>GENESIS-SEFH</w:t>
          </w:r>
        </w:p>
        <w:p w:rsidR="000766E9" w:rsidRPr="00BA51E1" w:rsidRDefault="000766E9">
          <w:pPr>
            <w:pStyle w:val="Encabezado"/>
            <w:spacing w:after="0" w:line="240" w:lineRule="auto"/>
            <w:jc w:val="right"/>
            <w:rPr>
              <w:rFonts w:ascii="Arial" w:hAnsi="Arial" w:cs="Arial"/>
              <w:color w:val="FFFFFF"/>
              <w:sz w:val="20"/>
            </w:rPr>
          </w:pPr>
          <w:r w:rsidRPr="00BA51E1">
            <w:rPr>
              <w:rFonts w:ascii="Arial" w:hAnsi="Arial" w:cs="Arial"/>
              <w:color w:val="FFFFFF"/>
              <w:sz w:val="20"/>
            </w:rPr>
            <w:t xml:space="preserve">Programa MADRE versión 4.1  </w:t>
          </w:r>
        </w:p>
        <w:p w:rsidR="000766E9" w:rsidRPr="00BA51E1" w:rsidRDefault="000766E9">
          <w:pPr>
            <w:pStyle w:val="Encabezado"/>
            <w:spacing w:after="0" w:line="240" w:lineRule="auto"/>
            <w:jc w:val="right"/>
            <w:rPr>
              <w:rFonts w:ascii="Arial" w:hAnsi="Arial" w:cs="Arial"/>
              <w:b/>
              <w:bCs/>
              <w:color w:val="FFFFFF"/>
              <w:szCs w:val="24"/>
            </w:rPr>
          </w:pPr>
          <w:r w:rsidRPr="00BA51E1">
            <w:rPr>
              <w:rFonts w:ascii="Arial" w:hAnsi="Arial" w:cs="Arial"/>
              <w:color w:val="FFFFFF"/>
              <w:sz w:val="20"/>
            </w:rPr>
            <w:t xml:space="preserve">Informe base actualizado 2017 </w:t>
          </w:r>
          <w:r w:rsidRPr="00BA51E1">
            <w:rPr>
              <w:rFonts w:ascii="Arial" w:hAnsi="Arial" w:cs="Arial"/>
              <w:b/>
              <w:bCs/>
              <w:color w:val="FFFFFF"/>
              <w:sz w:val="22"/>
              <w:szCs w:val="22"/>
            </w:rPr>
            <w:t xml:space="preserve">  </w:t>
          </w:r>
        </w:p>
      </w:tc>
      <w:tc>
        <w:tcPr>
          <w:tcW w:w="1080" w:type="dxa"/>
          <w:tcBorders>
            <w:top w:val="single" w:sz="4" w:space="0" w:color="auto"/>
            <w:left w:val="nil"/>
          </w:tcBorders>
          <w:shd w:val="clear" w:color="auto" w:fill="000080"/>
        </w:tcPr>
        <w:p w:rsidR="000766E9" w:rsidRPr="00BA51E1" w:rsidRDefault="000766E9">
          <w:pPr>
            <w:pStyle w:val="Encabezado"/>
            <w:spacing w:after="0" w:line="240" w:lineRule="auto"/>
            <w:rPr>
              <w:rFonts w:ascii="Arial" w:hAnsi="Arial" w:cs="Arial"/>
              <w:color w:val="FFFFFF"/>
              <w:sz w:val="18"/>
              <w:szCs w:val="18"/>
            </w:rPr>
          </w:pPr>
          <w:r w:rsidRPr="00BA51E1">
            <w:rPr>
              <w:rFonts w:ascii="Arial" w:hAnsi="Arial" w:cs="Arial"/>
              <w:color w:val="FFFFFF"/>
              <w:sz w:val="18"/>
              <w:szCs w:val="18"/>
            </w:rPr>
            <w:t>Versión:</w:t>
          </w:r>
        </w:p>
      </w:tc>
      <w:tc>
        <w:tcPr>
          <w:tcW w:w="1440" w:type="dxa"/>
          <w:tcBorders>
            <w:top w:val="single" w:sz="4" w:space="0" w:color="auto"/>
            <w:right w:val="single" w:sz="4" w:space="0" w:color="auto"/>
          </w:tcBorders>
          <w:shd w:val="clear" w:color="auto" w:fill="000080"/>
          <w:vAlign w:val="bottom"/>
        </w:tcPr>
        <w:p w:rsidR="000766E9" w:rsidRPr="00BA51E1" w:rsidRDefault="000766E9">
          <w:pPr>
            <w:pStyle w:val="Encabezado"/>
            <w:tabs>
              <w:tab w:val="left" w:pos="1206"/>
            </w:tabs>
            <w:spacing w:after="0" w:line="240" w:lineRule="auto"/>
            <w:ind w:right="71"/>
            <w:jc w:val="right"/>
            <w:rPr>
              <w:rFonts w:ascii="Arial" w:hAnsi="Arial" w:cs="Arial"/>
              <w:color w:val="FFFFFF"/>
              <w:sz w:val="18"/>
              <w:szCs w:val="18"/>
            </w:rPr>
          </w:pPr>
          <w:r w:rsidRPr="00BA51E1">
            <w:rPr>
              <w:rFonts w:ascii="Arial" w:hAnsi="Arial" w:cs="Arial"/>
              <w:color w:val="FFFFFF"/>
              <w:sz w:val="18"/>
              <w:szCs w:val="18"/>
            </w:rPr>
            <w:t>4.1</w:t>
          </w:r>
        </w:p>
      </w:tc>
    </w:tr>
    <w:tr w:rsidR="000766E9">
      <w:trPr>
        <w:cantSplit/>
        <w:trHeight w:val="240"/>
      </w:trPr>
      <w:tc>
        <w:tcPr>
          <w:tcW w:w="6300" w:type="dxa"/>
          <w:vMerge/>
          <w:tcBorders>
            <w:left w:val="single" w:sz="4" w:space="0" w:color="auto"/>
            <w:right w:val="single" w:sz="4" w:space="0" w:color="auto"/>
          </w:tcBorders>
          <w:shd w:val="clear" w:color="auto" w:fill="000080"/>
          <w:vAlign w:val="center"/>
        </w:tcPr>
        <w:p w:rsidR="000766E9" w:rsidRPr="00BA51E1" w:rsidRDefault="000766E9">
          <w:pPr>
            <w:pStyle w:val="Encabezado"/>
            <w:spacing w:after="0" w:line="240" w:lineRule="auto"/>
            <w:jc w:val="center"/>
            <w:rPr>
              <w:rFonts w:ascii="Arial" w:hAnsi="Arial" w:cs="Arial"/>
              <w:b/>
              <w:bCs/>
              <w:color w:val="FFFFFF"/>
              <w:szCs w:val="24"/>
            </w:rPr>
          </w:pPr>
        </w:p>
      </w:tc>
      <w:tc>
        <w:tcPr>
          <w:tcW w:w="1080" w:type="dxa"/>
          <w:tcBorders>
            <w:left w:val="nil"/>
          </w:tcBorders>
          <w:shd w:val="clear" w:color="auto" w:fill="000080"/>
        </w:tcPr>
        <w:p w:rsidR="000766E9" w:rsidRPr="00BA51E1" w:rsidRDefault="000766E9">
          <w:pPr>
            <w:pStyle w:val="Encabezado"/>
            <w:spacing w:after="0" w:line="240" w:lineRule="auto"/>
            <w:rPr>
              <w:rFonts w:ascii="Arial" w:hAnsi="Arial" w:cs="Arial"/>
              <w:color w:val="FFFFFF"/>
              <w:sz w:val="18"/>
              <w:szCs w:val="18"/>
            </w:rPr>
          </w:pPr>
          <w:r w:rsidRPr="00BA51E1">
            <w:rPr>
              <w:rFonts w:ascii="Arial" w:hAnsi="Arial" w:cs="Arial"/>
              <w:color w:val="FFFFFF"/>
              <w:sz w:val="18"/>
              <w:szCs w:val="18"/>
            </w:rPr>
            <w:t>Fecha:</w:t>
          </w:r>
        </w:p>
      </w:tc>
      <w:tc>
        <w:tcPr>
          <w:tcW w:w="1440" w:type="dxa"/>
          <w:tcBorders>
            <w:right w:val="single" w:sz="4" w:space="0" w:color="auto"/>
          </w:tcBorders>
          <w:shd w:val="clear" w:color="auto" w:fill="000080"/>
          <w:vAlign w:val="bottom"/>
        </w:tcPr>
        <w:p w:rsidR="000766E9" w:rsidRPr="00BA51E1" w:rsidRDefault="000766E9">
          <w:pPr>
            <w:pStyle w:val="Encabezado"/>
            <w:tabs>
              <w:tab w:val="left" w:pos="1206"/>
            </w:tabs>
            <w:spacing w:after="0" w:line="240" w:lineRule="auto"/>
            <w:ind w:right="71"/>
            <w:jc w:val="right"/>
            <w:rPr>
              <w:rFonts w:ascii="Arial" w:hAnsi="Arial" w:cs="Arial"/>
              <w:color w:val="FFFFFF"/>
              <w:sz w:val="18"/>
              <w:szCs w:val="18"/>
            </w:rPr>
          </w:pPr>
          <w:r w:rsidRPr="00BA51E1">
            <w:rPr>
              <w:rFonts w:ascii="Arial" w:hAnsi="Arial" w:cs="Arial"/>
              <w:color w:val="FFFFFF"/>
              <w:sz w:val="18"/>
              <w:szCs w:val="18"/>
            </w:rPr>
            <w:t>19-01-2017</w:t>
          </w:r>
        </w:p>
      </w:tc>
    </w:tr>
    <w:tr w:rsidR="000766E9">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rsidR="000766E9" w:rsidRPr="00BA51E1" w:rsidRDefault="000766E9">
          <w:pPr>
            <w:pStyle w:val="Encabezado"/>
            <w:spacing w:after="0" w:line="240" w:lineRule="auto"/>
            <w:jc w:val="center"/>
            <w:rPr>
              <w:rFonts w:ascii="Arial" w:hAnsi="Arial" w:cs="Arial"/>
              <w:b/>
              <w:bCs/>
              <w:color w:val="FFFFFF"/>
              <w:szCs w:val="24"/>
            </w:rPr>
          </w:pPr>
        </w:p>
      </w:tc>
      <w:tc>
        <w:tcPr>
          <w:tcW w:w="1080" w:type="dxa"/>
          <w:tcBorders>
            <w:left w:val="nil"/>
            <w:bottom w:val="single" w:sz="4" w:space="0" w:color="auto"/>
          </w:tcBorders>
          <w:shd w:val="clear" w:color="auto" w:fill="000080"/>
        </w:tcPr>
        <w:p w:rsidR="000766E9" w:rsidRPr="00BA51E1" w:rsidRDefault="000766E9">
          <w:pPr>
            <w:pStyle w:val="Encabezado"/>
            <w:spacing w:after="0" w:line="240" w:lineRule="auto"/>
            <w:rPr>
              <w:rFonts w:ascii="Arial" w:hAnsi="Arial" w:cs="Arial"/>
              <w:color w:val="FFFFFF"/>
              <w:sz w:val="18"/>
              <w:szCs w:val="18"/>
            </w:rPr>
          </w:pPr>
          <w:r w:rsidRPr="00BA51E1">
            <w:rPr>
              <w:rFonts w:ascii="Arial" w:hAnsi="Arial" w:cs="Arial"/>
              <w:color w:val="FFFFFF"/>
              <w:sz w:val="18"/>
              <w:szCs w:val="18"/>
            </w:rPr>
            <w:t>Página:</w:t>
          </w:r>
        </w:p>
      </w:tc>
      <w:tc>
        <w:tcPr>
          <w:tcW w:w="1440" w:type="dxa"/>
          <w:tcBorders>
            <w:bottom w:val="single" w:sz="4" w:space="0" w:color="auto"/>
            <w:right w:val="single" w:sz="4" w:space="0" w:color="auto"/>
          </w:tcBorders>
          <w:shd w:val="clear" w:color="auto" w:fill="000080"/>
          <w:vAlign w:val="bottom"/>
        </w:tcPr>
        <w:p w:rsidR="000766E9" w:rsidRPr="00BA51E1" w:rsidRDefault="000766E9">
          <w:pPr>
            <w:pStyle w:val="Encabezado"/>
            <w:tabs>
              <w:tab w:val="left" w:pos="1206"/>
            </w:tabs>
            <w:spacing w:after="0" w:line="240" w:lineRule="auto"/>
            <w:ind w:right="71"/>
            <w:jc w:val="right"/>
            <w:rPr>
              <w:rFonts w:ascii="Arial" w:hAnsi="Arial" w:cs="Arial"/>
              <w:color w:val="FFFFFF"/>
              <w:sz w:val="18"/>
              <w:szCs w:val="18"/>
            </w:rPr>
          </w:pPr>
          <w:r w:rsidRPr="00BA51E1">
            <w:rPr>
              <w:rStyle w:val="Nmerodepgina"/>
              <w:rFonts w:ascii="Arial" w:hAnsi="Arial" w:cs="Arial"/>
              <w:color w:val="FFFFFF"/>
              <w:sz w:val="18"/>
              <w:szCs w:val="18"/>
            </w:rPr>
            <w:fldChar w:fldCharType="begin"/>
          </w:r>
          <w:r w:rsidRPr="00BA51E1">
            <w:rPr>
              <w:rStyle w:val="Nmerodepgina"/>
              <w:rFonts w:ascii="Arial" w:hAnsi="Arial" w:cs="Arial"/>
              <w:color w:val="FFFFFF"/>
              <w:sz w:val="18"/>
              <w:szCs w:val="18"/>
            </w:rPr>
            <w:instrText xml:space="preserve"> PAGE </w:instrText>
          </w:r>
          <w:r w:rsidRPr="00BA51E1">
            <w:rPr>
              <w:rStyle w:val="Nmerodepgina"/>
              <w:rFonts w:ascii="Arial" w:hAnsi="Arial" w:cs="Arial"/>
              <w:color w:val="FFFFFF"/>
              <w:sz w:val="18"/>
              <w:szCs w:val="18"/>
            </w:rPr>
            <w:fldChar w:fldCharType="separate"/>
          </w:r>
          <w:r w:rsidR="00622025">
            <w:rPr>
              <w:rStyle w:val="Nmerodepgina"/>
              <w:rFonts w:ascii="Arial" w:hAnsi="Arial" w:cs="Arial"/>
              <w:noProof/>
              <w:color w:val="FFFFFF"/>
              <w:sz w:val="18"/>
              <w:szCs w:val="18"/>
            </w:rPr>
            <w:t>1</w:t>
          </w:r>
          <w:r w:rsidRPr="00BA51E1">
            <w:rPr>
              <w:rStyle w:val="Nmerodepgina"/>
              <w:rFonts w:ascii="Arial" w:hAnsi="Arial" w:cs="Arial"/>
              <w:color w:val="FFFFFF"/>
              <w:sz w:val="18"/>
              <w:szCs w:val="18"/>
            </w:rPr>
            <w:fldChar w:fldCharType="end"/>
          </w:r>
        </w:p>
      </w:tc>
    </w:tr>
  </w:tbl>
  <w:p w:rsidR="000766E9" w:rsidRDefault="000766E9">
    <w:pPr>
      <w:pStyle w:val="Encabezado"/>
      <w:rPr>
        <w:color w:va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lvl w:ilvl="0">
      <w:start w:val="10"/>
      <w:numFmt w:val="bullet"/>
      <w:lvlText w:val="-"/>
      <w:lvlJc w:val="left"/>
      <w:pPr>
        <w:ind w:left="720" w:hanging="360"/>
      </w:pPr>
      <w:rPr>
        <w:rFonts w:ascii="Arial" w:eastAsia="Times New Roman" w:hAnsi="Arial" w:hint="default"/>
        <w:sz w:val="20"/>
      </w:rPr>
    </w:lvl>
  </w:abstractNum>
  <w:abstractNum w:abstractNumId="1" w15:restartNumberingAfterBreak="0">
    <w:nsid w:val="00000011"/>
    <w:multiLevelType w:val="singleLevel"/>
    <w:tmpl w:val="00000011"/>
    <w:lvl w:ilvl="0">
      <w:start w:val="1"/>
      <w:numFmt w:val="bullet"/>
      <w:lvlText w:val=""/>
      <w:lvlJc w:val="left"/>
      <w:pPr>
        <w:tabs>
          <w:tab w:val="left" w:pos="0"/>
        </w:tabs>
        <w:ind w:left="720" w:hanging="360"/>
      </w:pPr>
      <w:rPr>
        <w:rFonts w:ascii="Wingdings" w:hAnsi="Wingdings"/>
      </w:rPr>
    </w:lvl>
  </w:abstractNum>
  <w:abstractNum w:abstractNumId="2" w15:restartNumberingAfterBreak="0">
    <w:nsid w:val="066A3AA9"/>
    <w:multiLevelType w:val="hybridMultilevel"/>
    <w:tmpl w:val="4B86DCC6"/>
    <w:lvl w:ilvl="0" w:tplc="F41EC0AE">
      <w:start w:val="1"/>
      <w:numFmt w:val="decimal"/>
      <w:lvlText w:val="%1."/>
      <w:lvlJc w:val="left"/>
      <w:pPr>
        <w:ind w:left="720" w:hanging="360"/>
      </w:pPr>
      <w:rPr>
        <w:rFonts w:cs="Times New Roman" w:hint="default"/>
        <w:sz w:val="16"/>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082512AD"/>
    <w:multiLevelType w:val="multilevel"/>
    <w:tmpl w:val="082512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216AAA"/>
    <w:multiLevelType w:val="hybridMultilevel"/>
    <w:tmpl w:val="B4B4FE44"/>
    <w:lvl w:ilvl="0" w:tplc="596E303E">
      <w:start w:val="1"/>
      <w:numFmt w:val="decimal"/>
      <w:lvlText w:val="%1."/>
      <w:lvlJc w:val="left"/>
      <w:pPr>
        <w:ind w:left="720" w:hanging="360"/>
      </w:pPr>
      <w:rPr>
        <w:rFonts w:cs="Times New Roman" w:hint="default"/>
        <w:sz w:val="16"/>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157F6B67"/>
    <w:multiLevelType w:val="multilevel"/>
    <w:tmpl w:val="157F6B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0E0220"/>
    <w:multiLevelType w:val="multilevel"/>
    <w:tmpl w:val="180E02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743963"/>
    <w:multiLevelType w:val="multilevel"/>
    <w:tmpl w:val="197439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C67FDB"/>
    <w:multiLevelType w:val="multilevel"/>
    <w:tmpl w:val="20C67F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F85B13"/>
    <w:multiLevelType w:val="multilevel"/>
    <w:tmpl w:val="25F85B13"/>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26FD7367"/>
    <w:multiLevelType w:val="multilevel"/>
    <w:tmpl w:val="26FD73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4331AF"/>
    <w:multiLevelType w:val="hybridMultilevel"/>
    <w:tmpl w:val="DA66F410"/>
    <w:lvl w:ilvl="0" w:tplc="CB40139E">
      <w:start w:val="1"/>
      <w:numFmt w:val="decimal"/>
      <w:lvlText w:val="%1."/>
      <w:lvlJc w:val="left"/>
      <w:pPr>
        <w:ind w:left="720" w:hanging="360"/>
      </w:pPr>
      <w:rPr>
        <w:rFonts w:cs="Times New Roman" w:hint="default"/>
        <w:sz w:val="16"/>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2D3204FC"/>
    <w:multiLevelType w:val="multilevel"/>
    <w:tmpl w:val="2D3204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424965"/>
    <w:multiLevelType w:val="hybridMultilevel"/>
    <w:tmpl w:val="CEAAF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A214976"/>
    <w:multiLevelType w:val="multilevel"/>
    <w:tmpl w:val="3A214976"/>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3D6462A3"/>
    <w:multiLevelType w:val="multilevel"/>
    <w:tmpl w:val="3D6462A3"/>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6" w15:restartNumberingAfterBreak="0">
    <w:nsid w:val="3D8D1CE4"/>
    <w:multiLevelType w:val="multilevel"/>
    <w:tmpl w:val="3D8D1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A45B19"/>
    <w:multiLevelType w:val="hybridMultilevel"/>
    <w:tmpl w:val="E6E6B6D0"/>
    <w:lvl w:ilvl="0" w:tplc="63C29790">
      <w:start w:val="1"/>
      <w:numFmt w:val="decimal"/>
      <w:lvlText w:val="%1."/>
      <w:lvlJc w:val="left"/>
      <w:pPr>
        <w:ind w:left="720" w:hanging="360"/>
      </w:pPr>
      <w:rPr>
        <w:rFonts w:cs="Times New Roman" w:hint="default"/>
        <w:sz w:val="16"/>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15:restartNumberingAfterBreak="0">
    <w:nsid w:val="4F33304D"/>
    <w:multiLevelType w:val="hybridMultilevel"/>
    <w:tmpl w:val="83AE1B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30211A"/>
    <w:multiLevelType w:val="hybridMultilevel"/>
    <w:tmpl w:val="9A9CE664"/>
    <w:lvl w:ilvl="0" w:tplc="A71C5B50">
      <w:start w:val="1"/>
      <w:numFmt w:val="decimal"/>
      <w:lvlText w:val="%1."/>
      <w:lvlJc w:val="left"/>
      <w:pPr>
        <w:ind w:left="1780" w:hanging="360"/>
      </w:pPr>
      <w:rPr>
        <w:rFonts w:hint="default"/>
      </w:rPr>
    </w:lvl>
    <w:lvl w:ilvl="1" w:tplc="040A0019" w:tentative="1">
      <w:start w:val="1"/>
      <w:numFmt w:val="lowerLetter"/>
      <w:lvlText w:val="%2."/>
      <w:lvlJc w:val="left"/>
      <w:pPr>
        <w:ind w:left="2500" w:hanging="360"/>
      </w:pPr>
    </w:lvl>
    <w:lvl w:ilvl="2" w:tplc="040A001B" w:tentative="1">
      <w:start w:val="1"/>
      <w:numFmt w:val="lowerRoman"/>
      <w:lvlText w:val="%3."/>
      <w:lvlJc w:val="right"/>
      <w:pPr>
        <w:ind w:left="3220" w:hanging="180"/>
      </w:pPr>
    </w:lvl>
    <w:lvl w:ilvl="3" w:tplc="040A000F" w:tentative="1">
      <w:start w:val="1"/>
      <w:numFmt w:val="decimal"/>
      <w:lvlText w:val="%4."/>
      <w:lvlJc w:val="left"/>
      <w:pPr>
        <w:ind w:left="3940" w:hanging="360"/>
      </w:pPr>
    </w:lvl>
    <w:lvl w:ilvl="4" w:tplc="040A0019" w:tentative="1">
      <w:start w:val="1"/>
      <w:numFmt w:val="lowerLetter"/>
      <w:lvlText w:val="%5."/>
      <w:lvlJc w:val="left"/>
      <w:pPr>
        <w:ind w:left="4660" w:hanging="360"/>
      </w:pPr>
    </w:lvl>
    <w:lvl w:ilvl="5" w:tplc="040A001B" w:tentative="1">
      <w:start w:val="1"/>
      <w:numFmt w:val="lowerRoman"/>
      <w:lvlText w:val="%6."/>
      <w:lvlJc w:val="right"/>
      <w:pPr>
        <w:ind w:left="5380" w:hanging="180"/>
      </w:pPr>
    </w:lvl>
    <w:lvl w:ilvl="6" w:tplc="040A000F" w:tentative="1">
      <w:start w:val="1"/>
      <w:numFmt w:val="decimal"/>
      <w:lvlText w:val="%7."/>
      <w:lvlJc w:val="left"/>
      <w:pPr>
        <w:ind w:left="6100" w:hanging="360"/>
      </w:pPr>
    </w:lvl>
    <w:lvl w:ilvl="7" w:tplc="040A0019" w:tentative="1">
      <w:start w:val="1"/>
      <w:numFmt w:val="lowerLetter"/>
      <w:lvlText w:val="%8."/>
      <w:lvlJc w:val="left"/>
      <w:pPr>
        <w:ind w:left="6820" w:hanging="360"/>
      </w:pPr>
    </w:lvl>
    <w:lvl w:ilvl="8" w:tplc="040A001B" w:tentative="1">
      <w:start w:val="1"/>
      <w:numFmt w:val="lowerRoman"/>
      <w:lvlText w:val="%9."/>
      <w:lvlJc w:val="right"/>
      <w:pPr>
        <w:ind w:left="7540" w:hanging="180"/>
      </w:pPr>
    </w:lvl>
  </w:abstractNum>
  <w:abstractNum w:abstractNumId="20" w15:restartNumberingAfterBreak="0">
    <w:nsid w:val="57477B89"/>
    <w:multiLevelType w:val="multilevel"/>
    <w:tmpl w:val="57477B89"/>
    <w:lvl w:ilvl="0">
      <w:start w:val="10"/>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BB4D4D"/>
    <w:multiLevelType w:val="multilevel"/>
    <w:tmpl w:val="58BB4D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9805D4F"/>
    <w:multiLevelType w:val="hybridMultilevel"/>
    <w:tmpl w:val="EA80DAD4"/>
    <w:lvl w:ilvl="0" w:tplc="6CFA344C">
      <w:start w:val="1"/>
      <w:numFmt w:val="decimal"/>
      <w:lvlText w:val="%1."/>
      <w:lvlJc w:val="left"/>
      <w:pPr>
        <w:ind w:left="720" w:hanging="360"/>
      </w:pPr>
      <w:rPr>
        <w:rFonts w:cs="Times New Roman" w:hint="default"/>
        <w:sz w:val="16"/>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5B5E7280"/>
    <w:multiLevelType w:val="hybridMultilevel"/>
    <w:tmpl w:val="EF7E6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BE77C0F"/>
    <w:multiLevelType w:val="multilevel"/>
    <w:tmpl w:val="5BE77C0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5C10FA"/>
    <w:multiLevelType w:val="hybridMultilevel"/>
    <w:tmpl w:val="BF687E4E"/>
    <w:lvl w:ilvl="0" w:tplc="73CAAFA4">
      <w:start w:val="1"/>
      <w:numFmt w:val="decimal"/>
      <w:lvlText w:val="%1."/>
      <w:lvlJc w:val="left"/>
      <w:pPr>
        <w:ind w:left="720" w:hanging="360"/>
      </w:pPr>
      <w:rPr>
        <w:rFonts w:cs="Times New Roman" w:hint="default"/>
        <w:sz w:val="16"/>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6" w15:restartNumberingAfterBreak="0">
    <w:nsid w:val="61816B88"/>
    <w:multiLevelType w:val="multilevel"/>
    <w:tmpl w:val="61816B88"/>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5B2266B"/>
    <w:multiLevelType w:val="multilevel"/>
    <w:tmpl w:val="65B2266B"/>
    <w:lvl w:ilvl="0">
      <w:start w:val="1"/>
      <w:numFmt w:val="bullet"/>
      <w:lvlText w:val="-"/>
      <w:lvlJc w:val="left"/>
      <w:pPr>
        <w:ind w:left="720" w:hanging="360"/>
      </w:pPr>
      <w:rPr>
        <w:rFonts w:ascii="Times New Roman" w:hAnsi="Times New Roman"/>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62B26B1"/>
    <w:multiLevelType w:val="multilevel"/>
    <w:tmpl w:val="762B26B1"/>
    <w:lvl w:ilvl="0">
      <w:start w:val="1"/>
      <w:numFmt w:val="bullet"/>
      <w:lvlText w:val="●"/>
      <w:lvlJc w:val="left"/>
      <w:pPr>
        <w:ind w:left="360" w:hanging="360"/>
      </w:pPr>
      <w:rPr>
        <w:rFonts w:ascii="Noto Sans Symbols" w:eastAsia="Times New Roman" w:hAnsi="Noto Sans Symbols"/>
        <w:sz w:val="12"/>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15:restartNumberingAfterBreak="0">
    <w:nsid w:val="77000240"/>
    <w:multiLevelType w:val="multilevel"/>
    <w:tmpl w:val="770002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D027B70"/>
    <w:multiLevelType w:val="hybridMultilevel"/>
    <w:tmpl w:val="E93C36A0"/>
    <w:lvl w:ilvl="0" w:tplc="C69ABF80">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0"/>
  </w:num>
  <w:num w:numId="3">
    <w:abstractNumId w:val="5"/>
  </w:num>
  <w:num w:numId="4">
    <w:abstractNumId w:val="0"/>
  </w:num>
  <w:num w:numId="5">
    <w:abstractNumId w:val="15"/>
  </w:num>
  <w:num w:numId="6">
    <w:abstractNumId w:val="24"/>
  </w:num>
  <w:num w:numId="7">
    <w:abstractNumId w:val="27"/>
  </w:num>
  <w:num w:numId="8">
    <w:abstractNumId w:val="3"/>
  </w:num>
  <w:num w:numId="9">
    <w:abstractNumId w:val="7"/>
  </w:num>
  <w:num w:numId="10">
    <w:abstractNumId w:val="1"/>
  </w:num>
  <w:num w:numId="11">
    <w:abstractNumId w:val="16"/>
  </w:num>
  <w:num w:numId="12">
    <w:abstractNumId w:val="10"/>
  </w:num>
  <w:num w:numId="13">
    <w:abstractNumId w:val="28"/>
  </w:num>
  <w:num w:numId="14">
    <w:abstractNumId w:val="14"/>
  </w:num>
  <w:num w:numId="15">
    <w:abstractNumId w:val="6"/>
  </w:num>
  <w:num w:numId="16">
    <w:abstractNumId w:val="29"/>
  </w:num>
  <w:num w:numId="17">
    <w:abstractNumId w:val="9"/>
  </w:num>
  <w:num w:numId="18">
    <w:abstractNumId w:val="12"/>
  </w:num>
  <w:num w:numId="19">
    <w:abstractNumId w:val="21"/>
  </w:num>
  <w:num w:numId="20">
    <w:abstractNumId w:val="26"/>
  </w:num>
  <w:num w:numId="21">
    <w:abstractNumId w:val="13"/>
  </w:num>
  <w:num w:numId="22">
    <w:abstractNumId w:val="2"/>
  </w:num>
  <w:num w:numId="23">
    <w:abstractNumId w:val="11"/>
  </w:num>
  <w:num w:numId="24">
    <w:abstractNumId w:val="25"/>
  </w:num>
  <w:num w:numId="25">
    <w:abstractNumId w:val="4"/>
  </w:num>
  <w:num w:numId="26">
    <w:abstractNumId w:val="22"/>
  </w:num>
  <w:num w:numId="27">
    <w:abstractNumId w:val="17"/>
  </w:num>
  <w:num w:numId="28">
    <w:abstractNumId w:val="30"/>
  </w:num>
  <w:num w:numId="29">
    <w:abstractNumId w:val="19"/>
  </w:num>
  <w:num w:numId="30">
    <w:abstractNumId w:val="2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CE"/>
    <w:rsid w:val="00000C88"/>
    <w:rsid w:val="00003B99"/>
    <w:rsid w:val="00005D39"/>
    <w:rsid w:val="000060DB"/>
    <w:rsid w:val="000105AD"/>
    <w:rsid w:val="00011677"/>
    <w:rsid w:val="0001434C"/>
    <w:rsid w:val="000164CD"/>
    <w:rsid w:val="000173D0"/>
    <w:rsid w:val="000260D6"/>
    <w:rsid w:val="00030D90"/>
    <w:rsid w:val="00032BE5"/>
    <w:rsid w:val="00034D6E"/>
    <w:rsid w:val="00036479"/>
    <w:rsid w:val="00037AE7"/>
    <w:rsid w:val="00040CE0"/>
    <w:rsid w:val="0004198C"/>
    <w:rsid w:val="000423BA"/>
    <w:rsid w:val="00042DAA"/>
    <w:rsid w:val="00043852"/>
    <w:rsid w:val="000447FB"/>
    <w:rsid w:val="000504B0"/>
    <w:rsid w:val="000538C6"/>
    <w:rsid w:val="00055DAD"/>
    <w:rsid w:val="00055FDD"/>
    <w:rsid w:val="00056678"/>
    <w:rsid w:val="00060AE7"/>
    <w:rsid w:val="00064990"/>
    <w:rsid w:val="000675D5"/>
    <w:rsid w:val="000711F3"/>
    <w:rsid w:val="00071F94"/>
    <w:rsid w:val="000731C6"/>
    <w:rsid w:val="0007643D"/>
    <w:rsid w:val="000766E9"/>
    <w:rsid w:val="00077B77"/>
    <w:rsid w:val="00077C48"/>
    <w:rsid w:val="00081E1F"/>
    <w:rsid w:val="00083EA9"/>
    <w:rsid w:val="0008503E"/>
    <w:rsid w:val="00085205"/>
    <w:rsid w:val="00085DBB"/>
    <w:rsid w:val="00091F57"/>
    <w:rsid w:val="00092001"/>
    <w:rsid w:val="00092424"/>
    <w:rsid w:val="000929E9"/>
    <w:rsid w:val="00094FC6"/>
    <w:rsid w:val="00097066"/>
    <w:rsid w:val="000A32F5"/>
    <w:rsid w:val="000A3BDB"/>
    <w:rsid w:val="000A513E"/>
    <w:rsid w:val="000B0E61"/>
    <w:rsid w:val="000B12E0"/>
    <w:rsid w:val="000B5258"/>
    <w:rsid w:val="000C049B"/>
    <w:rsid w:val="000C049F"/>
    <w:rsid w:val="000C0569"/>
    <w:rsid w:val="000C07AF"/>
    <w:rsid w:val="000C0C13"/>
    <w:rsid w:val="000C1BEF"/>
    <w:rsid w:val="000C2460"/>
    <w:rsid w:val="000C4057"/>
    <w:rsid w:val="000C59F7"/>
    <w:rsid w:val="000D207D"/>
    <w:rsid w:val="000D3A89"/>
    <w:rsid w:val="000D5372"/>
    <w:rsid w:val="000E194E"/>
    <w:rsid w:val="000E24AE"/>
    <w:rsid w:val="000E5CC9"/>
    <w:rsid w:val="000E7EE0"/>
    <w:rsid w:val="000F0341"/>
    <w:rsid w:val="000F0CEA"/>
    <w:rsid w:val="000F201F"/>
    <w:rsid w:val="000F32A3"/>
    <w:rsid w:val="000F3529"/>
    <w:rsid w:val="000F4D9C"/>
    <w:rsid w:val="000F4DA7"/>
    <w:rsid w:val="000F5241"/>
    <w:rsid w:val="000F5691"/>
    <w:rsid w:val="000F6467"/>
    <w:rsid w:val="000F72E1"/>
    <w:rsid w:val="00100874"/>
    <w:rsid w:val="00101F70"/>
    <w:rsid w:val="00103D28"/>
    <w:rsid w:val="001050FF"/>
    <w:rsid w:val="00107F30"/>
    <w:rsid w:val="001122F1"/>
    <w:rsid w:val="00114C50"/>
    <w:rsid w:val="00115A17"/>
    <w:rsid w:val="00115E3B"/>
    <w:rsid w:val="0011780D"/>
    <w:rsid w:val="00117945"/>
    <w:rsid w:val="0012064F"/>
    <w:rsid w:val="00127501"/>
    <w:rsid w:val="00131645"/>
    <w:rsid w:val="00137696"/>
    <w:rsid w:val="00142272"/>
    <w:rsid w:val="00142891"/>
    <w:rsid w:val="00146031"/>
    <w:rsid w:val="00146141"/>
    <w:rsid w:val="00150894"/>
    <w:rsid w:val="00151929"/>
    <w:rsid w:val="00153932"/>
    <w:rsid w:val="001707A2"/>
    <w:rsid w:val="00171D1D"/>
    <w:rsid w:val="001725D9"/>
    <w:rsid w:val="00173D7A"/>
    <w:rsid w:val="001761B2"/>
    <w:rsid w:val="00177133"/>
    <w:rsid w:val="0018106C"/>
    <w:rsid w:val="00191BD0"/>
    <w:rsid w:val="0019510C"/>
    <w:rsid w:val="00195E3A"/>
    <w:rsid w:val="0019708E"/>
    <w:rsid w:val="001A011B"/>
    <w:rsid w:val="001A087F"/>
    <w:rsid w:val="001A0FAE"/>
    <w:rsid w:val="001A2625"/>
    <w:rsid w:val="001A29EC"/>
    <w:rsid w:val="001A430D"/>
    <w:rsid w:val="001A4D92"/>
    <w:rsid w:val="001A5819"/>
    <w:rsid w:val="001A58D1"/>
    <w:rsid w:val="001A64E5"/>
    <w:rsid w:val="001A7E6F"/>
    <w:rsid w:val="001B0EA9"/>
    <w:rsid w:val="001B2E5A"/>
    <w:rsid w:val="001B54A8"/>
    <w:rsid w:val="001B6160"/>
    <w:rsid w:val="001C05F8"/>
    <w:rsid w:val="001C1E7B"/>
    <w:rsid w:val="001C3ADE"/>
    <w:rsid w:val="001C41C6"/>
    <w:rsid w:val="001C5A3F"/>
    <w:rsid w:val="001C73C5"/>
    <w:rsid w:val="001C75F6"/>
    <w:rsid w:val="001D0836"/>
    <w:rsid w:val="001D256D"/>
    <w:rsid w:val="001D4A65"/>
    <w:rsid w:val="001D4D08"/>
    <w:rsid w:val="001D5724"/>
    <w:rsid w:val="001D6093"/>
    <w:rsid w:val="001D63D0"/>
    <w:rsid w:val="001D66AF"/>
    <w:rsid w:val="001D6CD8"/>
    <w:rsid w:val="001D7ED5"/>
    <w:rsid w:val="001E2650"/>
    <w:rsid w:val="001E4C93"/>
    <w:rsid w:val="001E77ED"/>
    <w:rsid w:val="001E7C66"/>
    <w:rsid w:val="001F0599"/>
    <w:rsid w:val="001F2D13"/>
    <w:rsid w:val="001F36DE"/>
    <w:rsid w:val="001F6130"/>
    <w:rsid w:val="00202864"/>
    <w:rsid w:val="002136E0"/>
    <w:rsid w:val="00216A11"/>
    <w:rsid w:val="00220278"/>
    <w:rsid w:val="0022339E"/>
    <w:rsid w:val="0022455A"/>
    <w:rsid w:val="002261FB"/>
    <w:rsid w:val="00227446"/>
    <w:rsid w:val="0023048A"/>
    <w:rsid w:val="00231604"/>
    <w:rsid w:val="00231801"/>
    <w:rsid w:val="00233997"/>
    <w:rsid w:val="00234834"/>
    <w:rsid w:val="00237DEA"/>
    <w:rsid w:val="00240213"/>
    <w:rsid w:val="00241751"/>
    <w:rsid w:val="002428B3"/>
    <w:rsid w:val="00242C7C"/>
    <w:rsid w:val="0024468C"/>
    <w:rsid w:val="00244EBF"/>
    <w:rsid w:val="00250032"/>
    <w:rsid w:val="00253E64"/>
    <w:rsid w:val="00254C36"/>
    <w:rsid w:val="0026688D"/>
    <w:rsid w:val="00266A59"/>
    <w:rsid w:val="00271E5E"/>
    <w:rsid w:val="0027268F"/>
    <w:rsid w:val="00272AD7"/>
    <w:rsid w:val="0027308B"/>
    <w:rsid w:val="00274A6A"/>
    <w:rsid w:val="00275149"/>
    <w:rsid w:val="0027520B"/>
    <w:rsid w:val="00276944"/>
    <w:rsid w:val="002770E3"/>
    <w:rsid w:val="00281DF5"/>
    <w:rsid w:val="00282C19"/>
    <w:rsid w:val="00284E61"/>
    <w:rsid w:val="00285A73"/>
    <w:rsid w:val="0028603B"/>
    <w:rsid w:val="00286636"/>
    <w:rsid w:val="0028758A"/>
    <w:rsid w:val="00287CD7"/>
    <w:rsid w:val="00290575"/>
    <w:rsid w:val="00291C71"/>
    <w:rsid w:val="002923EF"/>
    <w:rsid w:val="0029361E"/>
    <w:rsid w:val="002951CE"/>
    <w:rsid w:val="0029554E"/>
    <w:rsid w:val="0029622F"/>
    <w:rsid w:val="00297C0B"/>
    <w:rsid w:val="002A26DC"/>
    <w:rsid w:val="002A29EE"/>
    <w:rsid w:val="002A3632"/>
    <w:rsid w:val="002A40D0"/>
    <w:rsid w:val="002A4898"/>
    <w:rsid w:val="002A5A82"/>
    <w:rsid w:val="002A7959"/>
    <w:rsid w:val="002B0486"/>
    <w:rsid w:val="002B452C"/>
    <w:rsid w:val="002B4A3C"/>
    <w:rsid w:val="002B575C"/>
    <w:rsid w:val="002B5C02"/>
    <w:rsid w:val="002C1B21"/>
    <w:rsid w:val="002C1F90"/>
    <w:rsid w:val="002C322A"/>
    <w:rsid w:val="002C3AC8"/>
    <w:rsid w:val="002C4B36"/>
    <w:rsid w:val="002C5B84"/>
    <w:rsid w:val="002C6AB1"/>
    <w:rsid w:val="002D56C9"/>
    <w:rsid w:val="002D7371"/>
    <w:rsid w:val="002D7BD0"/>
    <w:rsid w:val="002E0A36"/>
    <w:rsid w:val="002E21E5"/>
    <w:rsid w:val="002E593C"/>
    <w:rsid w:val="002F01E7"/>
    <w:rsid w:val="002F0E8F"/>
    <w:rsid w:val="002F2200"/>
    <w:rsid w:val="002F3307"/>
    <w:rsid w:val="002F4972"/>
    <w:rsid w:val="002F5394"/>
    <w:rsid w:val="002F61A9"/>
    <w:rsid w:val="002F731E"/>
    <w:rsid w:val="002F7F81"/>
    <w:rsid w:val="00303273"/>
    <w:rsid w:val="00303AFE"/>
    <w:rsid w:val="00304474"/>
    <w:rsid w:val="00305D51"/>
    <w:rsid w:val="00305D73"/>
    <w:rsid w:val="00306A2D"/>
    <w:rsid w:val="00307595"/>
    <w:rsid w:val="00307E52"/>
    <w:rsid w:val="0031035A"/>
    <w:rsid w:val="00312938"/>
    <w:rsid w:val="003132E6"/>
    <w:rsid w:val="00313395"/>
    <w:rsid w:val="00317E66"/>
    <w:rsid w:val="0032019C"/>
    <w:rsid w:val="00321E65"/>
    <w:rsid w:val="00322419"/>
    <w:rsid w:val="00322E17"/>
    <w:rsid w:val="00323F50"/>
    <w:rsid w:val="00325251"/>
    <w:rsid w:val="0032592E"/>
    <w:rsid w:val="003278E8"/>
    <w:rsid w:val="00330EA1"/>
    <w:rsid w:val="00331798"/>
    <w:rsid w:val="0033284C"/>
    <w:rsid w:val="00333189"/>
    <w:rsid w:val="00333347"/>
    <w:rsid w:val="003400D3"/>
    <w:rsid w:val="003410EF"/>
    <w:rsid w:val="00341933"/>
    <w:rsid w:val="00341C7F"/>
    <w:rsid w:val="00343359"/>
    <w:rsid w:val="00343DA3"/>
    <w:rsid w:val="003441A6"/>
    <w:rsid w:val="003443A6"/>
    <w:rsid w:val="00344D6F"/>
    <w:rsid w:val="00350137"/>
    <w:rsid w:val="00351370"/>
    <w:rsid w:val="003560A0"/>
    <w:rsid w:val="00361CFB"/>
    <w:rsid w:val="00363D82"/>
    <w:rsid w:val="00364C7D"/>
    <w:rsid w:val="00366067"/>
    <w:rsid w:val="00370E74"/>
    <w:rsid w:val="00375954"/>
    <w:rsid w:val="0037679E"/>
    <w:rsid w:val="00376DC6"/>
    <w:rsid w:val="00382A6C"/>
    <w:rsid w:val="00383A25"/>
    <w:rsid w:val="00384203"/>
    <w:rsid w:val="003853FF"/>
    <w:rsid w:val="00391A86"/>
    <w:rsid w:val="00392489"/>
    <w:rsid w:val="00393086"/>
    <w:rsid w:val="003938FE"/>
    <w:rsid w:val="00394302"/>
    <w:rsid w:val="00394B3D"/>
    <w:rsid w:val="00397423"/>
    <w:rsid w:val="003A2693"/>
    <w:rsid w:val="003A4FF7"/>
    <w:rsid w:val="003B1D75"/>
    <w:rsid w:val="003B2606"/>
    <w:rsid w:val="003B70FB"/>
    <w:rsid w:val="003C2CDB"/>
    <w:rsid w:val="003C440A"/>
    <w:rsid w:val="003C4DB7"/>
    <w:rsid w:val="003C5915"/>
    <w:rsid w:val="003C69AC"/>
    <w:rsid w:val="003D10E1"/>
    <w:rsid w:val="003D1D9E"/>
    <w:rsid w:val="003D5A89"/>
    <w:rsid w:val="003D6E00"/>
    <w:rsid w:val="003D6F6A"/>
    <w:rsid w:val="003D6FCD"/>
    <w:rsid w:val="003E2355"/>
    <w:rsid w:val="003E2F17"/>
    <w:rsid w:val="003E4C20"/>
    <w:rsid w:val="003E74E4"/>
    <w:rsid w:val="003E7DFD"/>
    <w:rsid w:val="003F1B59"/>
    <w:rsid w:val="003F1D05"/>
    <w:rsid w:val="003F345D"/>
    <w:rsid w:val="003F4DBC"/>
    <w:rsid w:val="003F6473"/>
    <w:rsid w:val="003F64E5"/>
    <w:rsid w:val="00404F83"/>
    <w:rsid w:val="0041095A"/>
    <w:rsid w:val="004124A0"/>
    <w:rsid w:val="004230A4"/>
    <w:rsid w:val="00436A4E"/>
    <w:rsid w:val="00437060"/>
    <w:rsid w:val="00440743"/>
    <w:rsid w:val="00443687"/>
    <w:rsid w:val="00444E10"/>
    <w:rsid w:val="00445372"/>
    <w:rsid w:val="00446DC3"/>
    <w:rsid w:val="00450B54"/>
    <w:rsid w:val="00450FB2"/>
    <w:rsid w:val="004541DC"/>
    <w:rsid w:val="00455830"/>
    <w:rsid w:val="0046058B"/>
    <w:rsid w:val="00461A1B"/>
    <w:rsid w:val="004620D7"/>
    <w:rsid w:val="004658FB"/>
    <w:rsid w:val="004677DB"/>
    <w:rsid w:val="00467EFC"/>
    <w:rsid w:val="00471438"/>
    <w:rsid w:val="00471A41"/>
    <w:rsid w:val="004722B7"/>
    <w:rsid w:val="00473C80"/>
    <w:rsid w:val="00475B53"/>
    <w:rsid w:val="00480AE5"/>
    <w:rsid w:val="00482595"/>
    <w:rsid w:val="0048500F"/>
    <w:rsid w:val="0048570C"/>
    <w:rsid w:val="0048622F"/>
    <w:rsid w:val="00490D7F"/>
    <w:rsid w:val="00492032"/>
    <w:rsid w:val="004923FC"/>
    <w:rsid w:val="00492883"/>
    <w:rsid w:val="00494B9B"/>
    <w:rsid w:val="00495F7C"/>
    <w:rsid w:val="004A031B"/>
    <w:rsid w:val="004A09AE"/>
    <w:rsid w:val="004A1730"/>
    <w:rsid w:val="004A3BC3"/>
    <w:rsid w:val="004A4198"/>
    <w:rsid w:val="004A7768"/>
    <w:rsid w:val="004B1BD3"/>
    <w:rsid w:val="004C0E59"/>
    <w:rsid w:val="004C1AAF"/>
    <w:rsid w:val="004C6113"/>
    <w:rsid w:val="004C72D4"/>
    <w:rsid w:val="004D01E0"/>
    <w:rsid w:val="004D27B6"/>
    <w:rsid w:val="004D5D4D"/>
    <w:rsid w:val="004D7A65"/>
    <w:rsid w:val="004D7F18"/>
    <w:rsid w:val="004E1156"/>
    <w:rsid w:val="004E1436"/>
    <w:rsid w:val="004E20C4"/>
    <w:rsid w:val="004E2566"/>
    <w:rsid w:val="004E256C"/>
    <w:rsid w:val="004E26EB"/>
    <w:rsid w:val="004E3DA2"/>
    <w:rsid w:val="004E62CF"/>
    <w:rsid w:val="004E69BC"/>
    <w:rsid w:val="004F4DC7"/>
    <w:rsid w:val="004F5172"/>
    <w:rsid w:val="004F6972"/>
    <w:rsid w:val="00501583"/>
    <w:rsid w:val="00503773"/>
    <w:rsid w:val="00503CD5"/>
    <w:rsid w:val="00504E4C"/>
    <w:rsid w:val="00506282"/>
    <w:rsid w:val="00511F11"/>
    <w:rsid w:val="00512C98"/>
    <w:rsid w:val="00513E63"/>
    <w:rsid w:val="0051451F"/>
    <w:rsid w:val="00520218"/>
    <w:rsid w:val="00520AC5"/>
    <w:rsid w:val="00521123"/>
    <w:rsid w:val="00522E61"/>
    <w:rsid w:val="00524D02"/>
    <w:rsid w:val="00525F57"/>
    <w:rsid w:val="0052728B"/>
    <w:rsid w:val="0053072D"/>
    <w:rsid w:val="0053301D"/>
    <w:rsid w:val="005348BB"/>
    <w:rsid w:val="00535B6C"/>
    <w:rsid w:val="00535DBB"/>
    <w:rsid w:val="00535FE3"/>
    <w:rsid w:val="00536169"/>
    <w:rsid w:val="005402E8"/>
    <w:rsid w:val="00540E4E"/>
    <w:rsid w:val="00541E2B"/>
    <w:rsid w:val="00542EFC"/>
    <w:rsid w:val="00543C3E"/>
    <w:rsid w:val="005443D8"/>
    <w:rsid w:val="00544BAC"/>
    <w:rsid w:val="00545BD6"/>
    <w:rsid w:val="00550EA8"/>
    <w:rsid w:val="00550FAA"/>
    <w:rsid w:val="005532AD"/>
    <w:rsid w:val="00554ADF"/>
    <w:rsid w:val="00561459"/>
    <w:rsid w:val="00562C1D"/>
    <w:rsid w:val="00563D05"/>
    <w:rsid w:val="00566465"/>
    <w:rsid w:val="00571E19"/>
    <w:rsid w:val="00581AE4"/>
    <w:rsid w:val="00581F4C"/>
    <w:rsid w:val="00582103"/>
    <w:rsid w:val="0058236F"/>
    <w:rsid w:val="00582F1D"/>
    <w:rsid w:val="00584AB9"/>
    <w:rsid w:val="005862D7"/>
    <w:rsid w:val="00590BD5"/>
    <w:rsid w:val="00592B1E"/>
    <w:rsid w:val="00593F5D"/>
    <w:rsid w:val="00597409"/>
    <w:rsid w:val="005A23D9"/>
    <w:rsid w:val="005A444A"/>
    <w:rsid w:val="005A7932"/>
    <w:rsid w:val="005A7E42"/>
    <w:rsid w:val="005B092B"/>
    <w:rsid w:val="005B1D05"/>
    <w:rsid w:val="005B245C"/>
    <w:rsid w:val="005B45B8"/>
    <w:rsid w:val="005B4CD2"/>
    <w:rsid w:val="005B5C44"/>
    <w:rsid w:val="005B6340"/>
    <w:rsid w:val="005B6F77"/>
    <w:rsid w:val="005B708F"/>
    <w:rsid w:val="005C0A47"/>
    <w:rsid w:val="005C4E8A"/>
    <w:rsid w:val="005D1809"/>
    <w:rsid w:val="005D3FA5"/>
    <w:rsid w:val="005D55F7"/>
    <w:rsid w:val="005D7469"/>
    <w:rsid w:val="005D7726"/>
    <w:rsid w:val="005E19BC"/>
    <w:rsid w:val="005E2E26"/>
    <w:rsid w:val="005E389C"/>
    <w:rsid w:val="005E575A"/>
    <w:rsid w:val="005E7528"/>
    <w:rsid w:val="005E76B2"/>
    <w:rsid w:val="005F02CD"/>
    <w:rsid w:val="005F08D3"/>
    <w:rsid w:val="005F2188"/>
    <w:rsid w:val="005F23A9"/>
    <w:rsid w:val="005F7DB8"/>
    <w:rsid w:val="0060028D"/>
    <w:rsid w:val="00604A4B"/>
    <w:rsid w:val="00605512"/>
    <w:rsid w:val="006113B9"/>
    <w:rsid w:val="0061165C"/>
    <w:rsid w:val="006143C3"/>
    <w:rsid w:val="00615A44"/>
    <w:rsid w:val="00616A31"/>
    <w:rsid w:val="0061794F"/>
    <w:rsid w:val="00617A2B"/>
    <w:rsid w:val="00622025"/>
    <w:rsid w:val="00627A43"/>
    <w:rsid w:val="00635C65"/>
    <w:rsid w:val="00635F3A"/>
    <w:rsid w:val="00636029"/>
    <w:rsid w:val="00636943"/>
    <w:rsid w:val="00641001"/>
    <w:rsid w:val="006413EC"/>
    <w:rsid w:val="006438E2"/>
    <w:rsid w:val="00643E9E"/>
    <w:rsid w:val="00644031"/>
    <w:rsid w:val="006455E6"/>
    <w:rsid w:val="006506F7"/>
    <w:rsid w:val="00650B14"/>
    <w:rsid w:val="00650F37"/>
    <w:rsid w:val="00651D22"/>
    <w:rsid w:val="00652907"/>
    <w:rsid w:val="00652A73"/>
    <w:rsid w:val="0065365C"/>
    <w:rsid w:val="00653D05"/>
    <w:rsid w:val="00655D85"/>
    <w:rsid w:val="00656D2F"/>
    <w:rsid w:val="00657B03"/>
    <w:rsid w:val="00660B9B"/>
    <w:rsid w:val="006614F4"/>
    <w:rsid w:val="006622B9"/>
    <w:rsid w:val="006635F9"/>
    <w:rsid w:val="00664C79"/>
    <w:rsid w:val="00670208"/>
    <w:rsid w:val="0067027C"/>
    <w:rsid w:val="006702FE"/>
    <w:rsid w:val="0067159D"/>
    <w:rsid w:val="006731CA"/>
    <w:rsid w:val="006731F5"/>
    <w:rsid w:val="0067423F"/>
    <w:rsid w:val="00674615"/>
    <w:rsid w:val="0067539B"/>
    <w:rsid w:val="00677294"/>
    <w:rsid w:val="00677731"/>
    <w:rsid w:val="00683928"/>
    <w:rsid w:val="00684095"/>
    <w:rsid w:val="00686D56"/>
    <w:rsid w:val="00691073"/>
    <w:rsid w:val="00691ED5"/>
    <w:rsid w:val="006920E6"/>
    <w:rsid w:val="0069230D"/>
    <w:rsid w:val="00693264"/>
    <w:rsid w:val="00693B24"/>
    <w:rsid w:val="00695CA5"/>
    <w:rsid w:val="00695FF6"/>
    <w:rsid w:val="00697484"/>
    <w:rsid w:val="00697A90"/>
    <w:rsid w:val="00697FA4"/>
    <w:rsid w:val="006A1811"/>
    <w:rsid w:val="006A2DDD"/>
    <w:rsid w:val="006A33B3"/>
    <w:rsid w:val="006A5533"/>
    <w:rsid w:val="006A58BC"/>
    <w:rsid w:val="006A5EC0"/>
    <w:rsid w:val="006B233B"/>
    <w:rsid w:val="006B2F83"/>
    <w:rsid w:val="006B31A7"/>
    <w:rsid w:val="006B3458"/>
    <w:rsid w:val="006B4F5F"/>
    <w:rsid w:val="006B5CC3"/>
    <w:rsid w:val="006B652B"/>
    <w:rsid w:val="006B6779"/>
    <w:rsid w:val="006B7B3B"/>
    <w:rsid w:val="006B7DC7"/>
    <w:rsid w:val="006C07D2"/>
    <w:rsid w:val="006C306A"/>
    <w:rsid w:val="006C3682"/>
    <w:rsid w:val="006C697B"/>
    <w:rsid w:val="006C6EAA"/>
    <w:rsid w:val="006D11BE"/>
    <w:rsid w:val="006D1FF5"/>
    <w:rsid w:val="006D2C55"/>
    <w:rsid w:val="006D30F5"/>
    <w:rsid w:val="006D40C1"/>
    <w:rsid w:val="006D5C82"/>
    <w:rsid w:val="006D759D"/>
    <w:rsid w:val="006E08A8"/>
    <w:rsid w:val="006E1092"/>
    <w:rsid w:val="006E1262"/>
    <w:rsid w:val="006E2D41"/>
    <w:rsid w:val="006E30F4"/>
    <w:rsid w:val="006E3B59"/>
    <w:rsid w:val="006E4DC1"/>
    <w:rsid w:val="006E4DEB"/>
    <w:rsid w:val="006E68B7"/>
    <w:rsid w:val="006F027A"/>
    <w:rsid w:val="006F116B"/>
    <w:rsid w:val="006F2FA5"/>
    <w:rsid w:val="006F377A"/>
    <w:rsid w:val="006F6ABB"/>
    <w:rsid w:val="00700B27"/>
    <w:rsid w:val="00700B3E"/>
    <w:rsid w:val="007037DF"/>
    <w:rsid w:val="00703D89"/>
    <w:rsid w:val="00707D72"/>
    <w:rsid w:val="00710736"/>
    <w:rsid w:val="00710ECA"/>
    <w:rsid w:val="00712E2A"/>
    <w:rsid w:val="007148EA"/>
    <w:rsid w:val="00714E38"/>
    <w:rsid w:val="00715A9C"/>
    <w:rsid w:val="0071661C"/>
    <w:rsid w:val="00724222"/>
    <w:rsid w:val="0072498F"/>
    <w:rsid w:val="007249A2"/>
    <w:rsid w:val="00731896"/>
    <w:rsid w:val="007322F6"/>
    <w:rsid w:val="007339C0"/>
    <w:rsid w:val="007340E6"/>
    <w:rsid w:val="00734590"/>
    <w:rsid w:val="0073761E"/>
    <w:rsid w:val="0074124E"/>
    <w:rsid w:val="00743647"/>
    <w:rsid w:val="00744486"/>
    <w:rsid w:val="00744A83"/>
    <w:rsid w:val="00744C1E"/>
    <w:rsid w:val="00746BF0"/>
    <w:rsid w:val="00751617"/>
    <w:rsid w:val="007536AE"/>
    <w:rsid w:val="00756E8A"/>
    <w:rsid w:val="00761F65"/>
    <w:rsid w:val="007637AC"/>
    <w:rsid w:val="007648CA"/>
    <w:rsid w:val="00764C0B"/>
    <w:rsid w:val="00771BF3"/>
    <w:rsid w:val="00776B47"/>
    <w:rsid w:val="0078252F"/>
    <w:rsid w:val="007835BB"/>
    <w:rsid w:val="00783DA1"/>
    <w:rsid w:val="00783ECF"/>
    <w:rsid w:val="00786EFD"/>
    <w:rsid w:val="00787D68"/>
    <w:rsid w:val="00787FA8"/>
    <w:rsid w:val="00795FC0"/>
    <w:rsid w:val="00796310"/>
    <w:rsid w:val="007968A9"/>
    <w:rsid w:val="0079730D"/>
    <w:rsid w:val="007A1526"/>
    <w:rsid w:val="007A1878"/>
    <w:rsid w:val="007A1F3D"/>
    <w:rsid w:val="007A2BCB"/>
    <w:rsid w:val="007A2E88"/>
    <w:rsid w:val="007A6026"/>
    <w:rsid w:val="007B1C15"/>
    <w:rsid w:val="007B2297"/>
    <w:rsid w:val="007B5761"/>
    <w:rsid w:val="007B59A0"/>
    <w:rsid w:val="007B62FE"/>
    <w:rsid w:val="007C05B5"/>
    <w:rsid w:val="007C3F13"/>
    <w:rsid w:val="007C46D2"/>
    <w:rsid w:val="007C7CF5"/>
    <w:rsid w:val="007D0665"/>
    <w:rsid w:val="007D25F5"/>
    <w:rsid w:val="007D380B"/>
    <w:rsid w:val="007D7AFB"/>
    <w:rsid w:val="007D7C53"/>
    <w:rsid w:val="007E1145"/>
    <w:rsid w:val="007E26DC"/>
    <w:rsid w:val="007E34E7"/>
    <w:rsid w:val="007F0FDE"/>
    <w:rsid w:val="007F2D28"/>
    <w:rsid w:val="007F31D7"/>
    <w:rsid w:val="007F6D5A"/>
    <w:rsid w:val="0080000A"/>
    <w:rsid w:val="00802B13"/>
    <w:rsid w:val="00804E48"/>
    <w:rsid w:val="008050CA"/>
    <w:rsid w:val="00810487"/>
    <w:rsid w:val="0081396F"/>
    <w:rsid w:val="00813F24"/>
    <w:rsid w:val="008177CD"/>
    <w:rsid w:val="00817CA9"/>
    <w:rsid w:val="00822B0C"/>
    <w:rsid w:val="00824D01"/>
    <w:rsid w:val="0082659E"/>
    <w:rsid w:val="00826B6E"/>
    <w:rsid w:val="00826E0B"/>
    <w:rsid w:val="00827C5C"/>
    <w:rsid w:val="0083180C"/>
    <w:rsid w:val="008343AC"/>
    <w:rsid w:val="008362ED"/>
    <w:rsid w:val="00836BC8"/>
    <w:rsid w:val="0083757A"/>
    <w:rsid w:val="00843C26"/>
    <w:rsid w:val="008476E2"/>
    <w:rsid w:val="00855DEA"/>
    <w:rsid w:val="00857BB4"/>
    <w:rsid w:val="00860CB0"/>
    <w:rsid w:val="00861074"/>
    <w:rsid w:val="00861523"/>
    <w:rsid w:val="00862809"/>
    <w:rsid w:val="00862DAA"/>
    <w:rsid w:val="008638F5"/>
    <w:rsid w:val="008641AF"/>
    <w:rsid w:val="00865C54"/>
    <w:rsid w:val="00871D3A"/>
    <w:rsid w:val="00872E93"/>
    <w:rsid w:val="00872F81"/>
    <w:rsid w:val="008737D5"/>
    <w:rsid w:val="0087511B"/>
    <w:rsid w:val="008752E4"/>
    <w:rsid w:val="00876AF9"/>
    <w:rsid w:val="00880BA1"/>
    <w:rsid w:val="00881A0E"/>
    <w:rsid w:val="00881A91"/>
    <w:rsid w:val="00881C87"/>
    <w:rsid w:val="00884A10"/>
    <w:rsid w:val="00886243"/>
    <w:rsid w:val="00890EED"/>
    <w:rsid w:val="00893CD6"/>
    <w:rsid w:val="008940D1"/>
    <w:rsid w:val="00897B8F"/>
    <w:rsid w:val="008A0D2E"/>
    <w:rsid w:val="008A1878"/>
    <w:rsid w:val="008A2749"/>
    <w:rsid w:val="008A2DA8"/>
    <w:rsid w:val="008B10A5"/>
    <w:rsid w:val="008B1224"/>
    <w:rsid w:val="008B73E2"/>
    <w:rsid w:val="008C049C"/>
    <w:rsid w:val="008C4A65"/>
    <w:rsid w:val="008D004A"/>
    <w:rsid w:val="008D25F6"/>
    <w:rsid w:val="008D2A3D"/>
    <w:rsid w:val="008D74AA"/>
    <w:rsid w:val="008E0329"/>
    <w:rsid w:val="008E12EB"/>
    <w:rsid w:val="008E1E41"/>
    <w:rsid w:val="008E26F6"/>
    <w:rsid w:val="008E583C"/>
    <w:rsid w:val="008E7DDE"/>
    <w:rsid w:val="008F107F"/>
    <w:rsid w:val="008F2597"/>
    <w:rsid w:val="008F274C"/>
    <w:rsid w:val="008F2D44"/>
    <w:rsid w:val="008F2F7B"/>
    <w:rsid w:val="008F5178"/>
    <w:rsid w:val="0090151F"/>
    <w:rsid w:val="00902B9B"/>
    <w:rsid w:val="00902FF9"/>
    <w:rsid w:val="00910E74"/>
    <w:rsid w:val="009148EA"/>
    <w:rsid w:val="009155D8"/>
    <w:rsid w:val="0091752B"/>
    <w:rsid w:val="00917F69"/>
    <w:rsid w:val="00921905"/>
    <w:rsid w:val="009240D2"/>
    <w:rsid w:val="00927BE1"/>
    <w:rsid w:val="00931836"/>
    <w:rsid w:val="00934D6E"/>
    <w:rsid w:val="00940A73"/>
    <w:rsid w:val="00942A19"/>
    <w:rsid w:val="00942DCB"/>
    <w:rsid w:val="0094676A"/>
    <w:rsid w:val="009476C2"/>
    <w:rsid w:val="00947F27"/>
    <w:rsid w:val="009518BD"/>
    <w:rsid w:val="00953891"/>
    <w:rsid w:val="00953A18"/>
    <w:rsid w:val="00954F9B"/>
    <w:rsid w:val="009566A4"/>
    <w:rsid w:val="00957D85"/>
    <w:rsid w:val="00960171"/>
    <w:rsid w:val="00960332"/>
    <w:rsid w:val="0096264B"/>
    <w:rsid w:val="00963035"/>
    <w:rsid w:val="0096673E"/>
    <w:rsid w:val="00966A1E"/>
    <w:rsid w:val="00967395"/>
    <w:rsid w:val="009675EA"/>
    <w:rsid w:val="009708A4"/>
    <w:rsid w:val="00972104"/>
    <w:rsid w:val="009731C6"/>
    <w:rsid w:val="009752AE"/>
    <w:rsid w:val="00976B78"/>
    <w:rsid w:val="009772ED"/>
    <w:rsid w:val="00977465"/>
    <w:rsid w:val="00977637"/>
    <w:rsid w:val="00982B79"/>
    <w:rsid w:val="00982C44"/>
    <w:rsid w:val="009838F9"/>
    <w:rsid w:val="0098420D"/>
    <w:rsid w:val="00987F40"/>
    <w:rsid w:val="009935F1"/>
    <w:rsid w:val="00994CB6"/>
    <w:rsid w:val="009955C6"/>
    <w:rsid w:val="009A3274"/>
    <w:rsid w:val="009A328E"/>
    <w:rsid w:val="009A48CA"/>
    <w:rsid w:val="009A6865"/>
    <w:rsid w:val="009B15B0"/>
    <w:rsid w:val="009B1EC0"/>
    <w:rsid w:val="009B3761"/>
    <w:rsid w:val="009C181C"/>
    <w:rsid w:val="009C1967"/>
    <w:rsid w:val="009C5C4A"/>
    <w:rsid w:val="009C6314"/>
    <w:rsid w:val="009D0ECA"/>
    <w:rsid w:val="009D1A1A"/>
    <w:rsid w:val="009D2804"/>
    <w:rsid w:val="009D2A07"/>
    <w:rsid w:val="009D2B38"/>
    <w:rsid w:val="009D4948"/>
    <w:rsid w:val="009D626A"/>
    <w:rsid w:val="009D7668"/>
    <w:rsid w:val="009D7A20"/>
    <w:rsid w:val="009D7CC0"/>
    <w:rsid w:val="009E0FC8"/>
    <w:rsid w:val="009E1590"/>
    <w:rsid w:val="009E1745"/>
    <w:rsid w:val="009E26CA"/>
    <w:rsid w:val="009E2F7D"/>
    <w:rsid w:val="009E5916"/>
    <w:rsid w:val="009E7255"/>
    <w:rsid w:val="009F0433"/>
    <w:rsid w:val="009F2977"/>
    <w:rsid w:val="009F3D3F"/>
    <w:rsid w:val="009F71ED"/>
    <w:rsid w:val="009F7A20"/>
    <w:rsid w:val="00A03192"/>
    <w:rsid w:val="00A033AE"/>
    <w:rsid w:val="00A048AC"/>
    <w:rsid w:val="00A10048"/>
    <w:rsid w:val="00A121D9"/>
    <w:rsid w:val="00A1348B"/>
    <w:rsid w:val="00A13AF2"/>
    <w:rsid w:val="00A17809"/>
    <w:rsid w:val="00A17913"/>
    <w:rsid w:val="00A21D54"/>
    <w:rsid w:val="00A22238"/>
    <w:rsid w:val="00A23746"/>
    <w:rsid w:val="00A258DE"/>
    <w:rsid w:val="00A25F69"/>
    <w:rsid w:val="00A26F15"/>
    <w:rsid w:val="00A26F8F"/>
    <w:rsid w:val="00A2769A"/>
    <w:rsid w:val="00A3021C"/>
    <w:rsid w:val="00A33872"/>
    <w:rsid w:val="00A35207"/>
    <w:rsid w:val="00A35225"/>
    <w:rsid w:val="00A35B0B"/>
    <w:rsid w:val="00A379A0"/>
    <w:rsid w:val="00A40965"/>
    <w:rsid w:val="00A46DA1"/>
    <w:rsid w:val="00A46F74"/>
    <w:rsid w:val="00A50136"/>
    <w:rsid w:val="00A50D3F"/>
    <w:rsid w:val="00A52296"/>
    <w:rsid w:val="00A52E54"/>
    <w:rsid w:val="00A53892"/>
    <w:rsid w:val="00A54144"/>
    <w:rsid w:val="00A55858"/>
    <w:rsid w:val="00A61474"/>
    <w:rsid w:val="00A641AF"/>
    <w:rsid w:val="00A652FF"/>
    <w:rsid w:val="00A657ED"/>
    <w:rsid w:val="00A66246"/>
    <w:rsid w:val="00A7119D"/>
    <w:rsid w:val="00A71F60"/>
    <w:rsid w:val="00A730D0"/>
    <w:rsid w:val="00A735AF"/>
    <w:rsid w:val="00A73768"/>
    <w:rsid w:val="00A76134"/>
    <w:rsid w:val="00A7666F"/>
    <w:rsid w:val="00A769DD"/>
    <w:rsid w:val="00A82D17"/>
    <w:rsid w:val="00A833BD"/>
    <w:rsid w:val="00A83408"/>
    <w:rsid w:val="00A84106"/>
    <w:rsid w:val="00A84549"/>
    <w:rsid w:val="00A87A2A"/>
    <w:rsid w:val="00A92409"/>
    <w:rsid w:val="00A92DBA"/>
    <w:rsid w:val="00A93E29"/>
    <w:rsid w:val="00AA1640"/>
    <w:rsid w:val="00AA1B0E"/>
    <w:rsid w:val="00AA21CD"/>
    <w:rsid w:val="00AA5249"/>
    <w:rsid w:val="00AA5472"/>
    <w:rsid w:val="00AA7ED3"/>
    <w:rsid w:val="00AB010D"/>
    <w:rsid w:val="00AB33FF"/>
    <w:rsid w:val="00AB3718"/>
    <w:rsid w:val="00AB655F"/>
    <w:rsid w:val="00AB75AF"/>
    <w:rsid w:val="00AC17B9"/>
    <w:rsid w:val="00AC1C10"/>
    <w:rsid w:val="00AC20BA"/>
    <w:rsid w:val="00AC24C9"/>
    <w:rsid w:val="00AC576B"/>
    <w:rsid w:val="00AC6495"/>
    <w:rsid w:val="00AD026E"/>
    <w:rsid w:val="00AD3D31"/>
    <w:rsid w:val="00AD50F4"/>
    <w:rsid w:val="00AD51E1"/>
    <w:rsid w:val="00AD5C21"/>
    <w:rsid w:val="00AD6F11"/>
    <w:rsid w:val="00AD724B"/>
    <w:rsid w:val="00AD75CC"/>
    <w:rsid w:val="00AD7CD1"/>
    <w:rsid w:val="00AE1966"/>
    <w:rsid w:val="00AE3B3A"/>
    <w:rsid w:val="00AF2224"/>
    <w:rsid w:val="00AF2751"/>
    <w:rsid w:val="00AF4861"/>
    <w:rsid w:val="00AF4BEA"/>
    <w:rsid w:val="00AF76F8"/>
    <w:rsid w:val="00B0076E"/>
    <w:rsid w:val="00B030AF"/>
    <w:rsid w:val="00B0362E"/>
    <w:rsid w:val="00B10513"/>
    <w:rsid w:val="00B12F54"/>
    <w:rsid w:val="00B14CDA"/>
    <w:rsid w:val="00B15793"/>
    <w:rsid w:val="00B225F8"/>
    <w:rsid w:val="00B233A8"/>
    <w:rsid w:val="00B23CFC"/>
    <w:rsid w:val="00B25B3B"/>
    <w:rsid w:val="00B2763D"/>
    <w:rsid w:val="00B33621"/>
    <w:rsid w:val="00B336D5"/>
    <w:rsid w:val="00B35A86"/>
    <w:rsid w:val="00B36D41"/>
    <w:rsid w:val="00B411CA"/>
    <w:rsid w:val="00B44EAA"/>
    <w:rsid w:val="00B46B4D"/>
    <w:rsid w:val="00B5014D"/>
    <w:rsid w:val="00B51937"/>
    <w:rsid w:val="00B524A0"/>
    <w:rsid w:val="00B53FD3"/>
    <w:rsid w:val="00B5422D"/>
    <w:rsid w:val="00B54888"/>
    <w:rsid w:val="00B562AE"/>
    <w:rsid w:val="00B60C4D"/>
    <w:rsid w:val="00B61FA4"/>
    <w:rsid w:val="00B63DF8"/>
    <w:rsid w:val="00B6461E"/>
    <w:rsid w:val="00B64900"/>
    <w:rsid w:val="00B66DEB"/>
    <w:rsid w:val="00B7228D"/>
    <w:rsid w:val="00B72602"/>
    <w:rsid w:val="00B731FB"/>
    <w:rsid w:val="00B73EF8"/>
    <w:rsid w:val="00B74341"/>
    <w:rsid w:val="00B74403"/>
    <w:rsid w:val="00B756A2"/>
    <w:rsid w:val="00B84B78"/>
    <w:rsid w:val="00B8529F"/>
    <w:rsid w:val="00B85537"/>
    <w:rsid w:val="00B8663A"/>
    <w:rsid w:val="00B871EE"/>
    <w:rsid w:val="00B8772D"/>
    <w:rsid w:val="00B926DB"/>
    <w:rsid w:val="00B93AD2"/>
    <w:rsid w:val="00B94F98"/>
    <w:rsid w:val="00BA0D48"/>
    <w:rsid w:val="00BA1223"/>
    <w:rsid w:val="00BA1BB6"/>
    <w:rsid w:val="00BA24C2"/>
    <w:rsid w:val="00BA3B05"/>
    <w:rsid w:val="00BA48DB"/>
    <w:rsid w:val="00BA51E1"/>
    <w:rsid w:val="00BA6748"/>
    <w:rsid w:val="00BB168A"/>
    <w:rsid w:val="00BB4F9A"/>
    <w:rsid w:val="00BB63E4"/>
    <w:rsid w:val="00BB7E17"/>
    <w:rsid w:val="00BC0A25"/>
    <w:rsid w:val="00BC16D4"/>
    <w:rsid w:val="00BC1A0B"/>
    <w:rsid w:val="00BC3AFD"/>
    <w:rsid w:val="00BC3E8E"/>
    <w:rsid w:val="00BC4503"/>
    <w:rsid w:val="00BC499E"/>
    <w:rsid w:val="00BC52B1"/>
    <w:rsid w:val="00BC60F2"/>
    <w:rsid w:val="00BC73A5"/>
    <w:rsid w:val="00BD16B7"/>
    <w:rsid w:val="00BD1F19"/>
    <w:rsid w:val="00BD5040"/>
    <w:rsid w:val="00BD7B33"/>
    <w:rsid w:val="00BE3C83"/>
    <w:rsid w:val="00BE5FC4"/>
    <w:rsid w:val="00BE764D"/>
    <w:rsid w:val="00C026A9"/>
    <w:rsid w:val="00C027D7"/>
    <w:rsid w:val="00C04454"/>
    <w:rsid w:val="00C05F67"/>
    <w:rsid w:val="00C063E5"/>
    <w:rsid w:val="00C0709B"/>
    <w:rsid w:val="00C11ABC"/>
    <w:rsid w:val="00C11C26"/>
    <w:rsid w:val="00C11F33"/>
    <w:rsid w:val="00C161B7"/>
    <w:rsid w:val="00C177F2"/>
    <w:rsid w:val="00C20D6E"/>
    <w:rsid w:val="00C2117F"/>
    <w:rsid w:val="00C239D0"/>
    <w:rsid w:val="00C23DF5"/>
    <w:rsid w:val="00C24A37"/>
    <w:rsid w:val="00C24CCF"/>
    <w:rsid w:val="00C24DFA"/>
    <w:rsid w:val="00C250F4"/>
    <w:rsid w:val="00C2547D"/>
    <w:rsid w:val="00C25BDF"/>
    <w:rsid w:val="00C25C19"/>
    <w:rsid w:val="00C26104"/>
    <w:rsid w:val="00C268FB"/>
    <w:rsid w:val="00C26BD0"/>
    <w:rsid w:val="00C33309"/>
    <w:rsid w:val="00C34472"/>
    <w:rsid w:val="00C361CB"/>
    <w:rsid w:val="00C36AD9"/>
    <w:rsid w:val="00C37AF8"/>
    <w:rsid w:val="00C40CD5"/>
    <w:rsid w:val="00C40E96"/>
    <w:rsid w:val="00C427B0"/>
    <w:rsid w:val="00C43A26"/>
    <w:rsid w:val="00C44A39"/>
    <w:rsid w:val="00C50164"/>
    <w:rsid w:val="00C502FC"/>
    <w:rsid w:val="00C51F0A"/>
    <w:rsid w:val="00C53D02"/>
    <w:rsid w:val="00C54F1B"/>
    <w:rsid w:val="00C56DF0"/>
    <w:rsid w:val="00C571B4"/>
    <w:rsid w:val="00C5772E"/>
    <w:rsid w:val="00C57D97"/>
    <w:rsid w:val="00C60470"/>
    <w:rsid w:val="00C6439B"/>
    <w:rsid w:val="00C649F9"/>
    <w:rsid w:val="00C6533E"/>
    <w:rsid w:val="00C67DF8"/>
    <w:rsid w:val="00C7010F"/>
    <w:rsid w:val="00C7394C"/>
    <w:rsid w:val="00C74B89"/>
    <w:rsid w:val="00C75839"/>
    <w:rsid w:val="00C75B73"/>
    <w:rsid w:val="00C8078D"/>
    <w:rsid w:val="00C8252E"/>
    <w:rsid w:val="00C845C0"/>
    <w:rsid w:val="00C84920"/>
    <w:rsid w:val="00C90AB8"/>
    <w:rsid w:val="00C960C2"/>
    <w:rsid w:val="00C963C4"/>
    <w:rsid w:val="00CA0906"/>
    <w:rsid w:val="00CA0E55"/>
    <w:rsid w:val="00CA2593"/>
    <w:rsid w:val="00CA303A"/>
    <w:rsid w:val="00CA38BF"/>
    <w:rsid w:val="00CA395F"/>
    <w:rsid w:val="00CA4D96"/>
    <w:rsid w:val="00CA61DF"/>
    <w:rsid w:val="00CA66B2"/>
    <w:rsid w:val="00CA6CFD"/>
    <w:rsid w:val="00CA7B6F"/>
    <w:rsid w:val="00CB1B19"/>
    <w:rsid w:val="00CB346C"/>
    <w:rsid w:val="00CB4F45"/>
    <w:rsid w:val="00CC0713"/>
    <w:rsid w:val="00CC213E"/>
    <w:rsid w:val="00CC448C"/>
    <w:rsid w:val="00CC505C"/>
    <w:rsid w:val="00CD2858"/>
    <w:rsid w:val="00CD4241"/>
    <w:rsid w:val="00CD5684"/>
    <w:rsid w:val="00CE13D7"/>
    <w:rsid w:val="00CE7444"/>
    <w:rsid w:val="00CF055B"/>
    <w:rsid w:val="00CF0F45"/>
    <w:rsid w:val="00CF248C"/>
    <w:rsid w:val="00CF38FA"/>
    <w:rsid w:val="00D00DA4"/>
    <w:rsid w:val="00D041F6"/>
    <w:rsid w:val="00D048CE"/>
    <w:rsid w:val="00D04A21"/>
    <w:rsid w:val="00D05BD7"/>
    <w:rsid w:val="00D12606"/>
    <w:rsid w:val="00D159E0"/>
    <w:rsid w:val="00D16B5A"/>
    <w:rsid w:val="00D2116C"/>
    <w:rsid w:val="00D233AF"/>
    <w:rsid w:val="00D25980"/>
    <w:rsid w:val="00D2691F"/>
    <w:rsid w:val="00D27123"/>
    <w:rsid w:val="00D27796"/>
    <w:rsid w:val="00D31278"/>
    <w:rsid w:val="00D31F50"/>
    <w:rsid w:val="00D3204F"/>
    <w:rsid w:val="00D35BC5"/>
    <w:rsid w:val="00D41B7D"/>
    <w:rsid w:val="00D422EA"/>
    <w:rsid w:val="00D430F3"/>
    <w:rsid w:val="00D43217"/>
    <w:rsid w:val="00D438C6"/>
    <w:rsid w:val="00D46A56"/>
    <w:rsid w:val="00D46B8D"/>
    <w:rsid w:val="00D47EE1"/>
    <w:rsid w:val="00D52A47"/>
    <w:rsid w:val="00D53D8C"/>
    <w:rsid w:val="00D543B5"/>
    <w:rsid w:val="00D549C4"/>
    <w:rsid w:val="00D57993"/>
    <w:rsid w:val="00D607AA"/>
    <w:rsid w:val="00D63E06"/>
    <w:rsid w:val="00D6480C"/>
    <w:rsid w:val="00D64A48"/>
    <w:rsid w:val="00D650D0"/>
    <w:rsid w:val="00D65D5A"/>
    <w:rsid w:val="00D678E5"/>
    <w:rsid w:val="00D7255A"/>
    <w:rsid w:val="00D72D61"/>
    <w:rsid w:val="00D75B2E"/>
    <w:rsid w:val="00D77F91"/>
    <w:rsid w:val="00D80822"/>
    <w:rsid w:val="00D828F1"/>
    <w:rsid w:val="00D8379F"/>
    <w:rsid w:val="00D83FDB"/>
    <w:rsid w:val="00D87F1C"/>
    <w:rsid w:val="00D908E7"/>
    <w:rsid w:val="00D93FB7"/>
    <w:rsid w:val="00D95494"/>
    <w:rsid w:val="00DA2D13"/>
    <w:rsid w:val="00DA38F3"/>
    <w:rsid w:val="00DA4C64"/>
    <w:rsid w:val="00DA54FC"/>
    <w:rsid w:val="00DA730B"/>
    <w:rsid w:val="00DB08A8"/>
    <w:rsid w:val="00DB113D"/>
    <w:rsid w:val="00DB20BE"/>
    <w:rsid w:val="00DB34D9"/>
    <w:rsid w:val="00DB3FB7"/>
    <w:rsid w:val="00DB4644"/>
    <w:rsid w:val="00DB4689"/>
    <w:rsid w:val="00DC1837"/>
    <w:rsid w:val="00DC5D7D"/>
    <w:rsid w:val="00DD019D"/>
    <w:rsid w:val="00DD11A7"/>
    <w:rsid w:val="00DD1521"/>
    <w:rsid w:val="00DD3F67"/>
    <w:rsid w:val="00DD3F8B"/>
    <w:rsid w:val="00DD7B8E"/>
    <w:rsid w:val="00DE0E4D"/>
    <w:rsid w:val="00DE1380"/>
    <w:rsid w:val="00DE40C1"/>
    <w:rsid w:val="00DE46BB"/>
    <w:rsid w:val="00DE47D6"/>
    <w:rsid w:val="00DE4F4B"/>
    <w:rsid w:val="00DE5359"/>
    <w:rsid w:val="00DF09A6"/>
    <w:rsid w:val="00DF0A71"/>
    <w:rsid w:val="00DF1A97"/>
    <w:rsid w:val="00DF2E2D"/>
    <w:rsid w:val="00DF60FD"/>
    <w:rsid w:val="00DF67A3"/>
    <w:rsid w:val="00E00E2B"/>
    <w:rsid w:val="00E00FE6"/>
    <w:rsid w:val="00E027E7"/>
    <w:rsid w:val="00E032D0"/>
    <w:rsid w:val="00E03E3A"/>
    <w:rsid w:val="00E045E0"/>
    <w:rsid w:val="00E05373"/>
    <w:rsid w:val="00E13C60"/>
    <w:rsid w:val="00E1460C"/>
    <w:rsid w:val="00E1505F"/>
    <w:rsid w:val="00E172A8"/>
    <w:rsid w:val="00E20295"/>
    <w:rsid w:val="00E20FCD"/>
    <w:rsid w:val="00E21C0F"/>
    <w:rsid w:val="00E22FF1"/>
    <w:rsid w:val="00E23829"/>
    <w:rsid w:val="00E23D29"/>
    <w:rsid w:val="00E31199"/>
    <w:rsid w:val="00E31522"/>
    <w:rsid w:val="00E3472F"/>
    <w:rsid w:val="00E34964"/>
    <w:rsid w:val="00E3550A"/>
    <w:rsid w:val="00E373E0"/>
    <w:rsid w:val="00E37F53"/>
    <w:rsid w:val="00E409E4"/>
    <w:rsid w:val="00E417FD"/>
    <w:rsid w:val="00E42733"/>
    <w:rsid w:val="00E43722"/>
    <w:rsid w:val="00E43FC3"/>
    <w:rsid w:val="00E446DB"/>
    <w:rsid w:val="00E458AF"/>
    <w:rsid w:val="00E47614"/>
    <w:rsid w:val="00E55FD9"/>
    <w:rsid w:val="00E565CF"/>
    <w:rsid w:val="00E64BD4"/>
    <w:rsid w:val="00E6630C"/>
    <w:rsid w:val="00E70990"/>
    <w:rsid w:val="00E70B73"/>
    <w:rsid w:val="00E711A4"/>
    <w:rsid w:val="00E722A9"/>
    <w:rsid w:val="00E7289F"/>
    <w:rsid w:val="00E74110"/>
    <w:rsid w:val="00E750B6"/>
    <w:rsid w:val="00E770E5"/>
    <w:rsid w:val="00E77C23"/>
    <w:rsid w:val="00E816E0"/>
    <w:rsid w:val="00E81713"/>
    <w:rsid w:val="00E84EC0"/>
    <w:rsid w:val="00E86E94"/>
    <w:rsid w:val="00E87B23"/>
    <w:rsid w:val="00E87E23"/>
    <w:rsid w:val="00E91B42"/>
    <w:rsid w:val="00E9253D"/>
    <w:rsid w:val="00E92E68"/>
    <w:rsid w:val="00E93189"/>
    <w:rsid w:val="00E95743"/>
    <w:rsid w:val="00EA0C2B"/>
    <w:rsid w:val="00EA1802"/>
    <w:rsid w:val="00EA3894"/>
    <w:rsid w:val="00EA3938"/>
    <w:rsid w:val="00EA57F5"/>
    <w:rsid w:val="00EA7032"/>
    <w:rsid w:val="00EB00F5"/>
    <w:rsid w:val="00EB4000"/>
    <w:rsid w:val="00EB45D1"/>
    <w:rsid w:val="00EB55B5"/>
    <w:rsid w:val="00EB6138"/>
    <w:rsid w:val="00EB63BE"/>
    <w:rsid w:val="00EB7AE6"/>
    <w:rsid w:val="00EC047B"/>
    <w:rsid w:val="00EC2A7A"/>
    <w:rsid w:val="00EC2EE9"/>
    <w:rsid w:val="00EC6271"/>
    <w:rsid w:val="00EC69B7"/>
    <w:rsid w:val="00EC7F9A"/>
    <w:rsid w:val="00ED0B8B"/>
    <w:rsid w:val="00ED3F61"/>
    <w:rsid w:val="00ED5956"/>
    <w:rsid w:val="00ED5A12"/>
    <w:rsid w:val="00EE0064"/>
    <w:rsid w:val="00EE2676"/>
    <w:rsid w:val="00EE2E78"/>
    <w:rsid w:val="00EE3EB9"/>
    <w:rsid w:val="00EE44B8"/>
    <w:rsid w:val="00EE4DF4"/>
    <w:rsid w:val="00EE5048"/>
    <w:rsid w:val="00EE5A2A"/>
    <w:rsid w:val="00EE6275"/>
    <w:rsid w:val="00EF03C5"/>
    <w:rsid w:val="00EF110E"/>
    <w:rsid w:val="00EF4C14"/>
    <w:rsid w:val="00EF5936"/>
    <w:rsid w:val="00EF7F76"/>
    <w:rsid w:val="00F005DA"/>
    <w:rsid w:val="00F00622"/>
    <w:rsid w:val="00F036E9"/>
    <w:rsid w:val="00F03B67"/>
    <w:rsid w:val="00F0475A"/>
    <w:rsid w:val="00F05EB1"/>
    <w:rsid w:val="00F06E7B"/>
    <w:rsid w:val="00F112F1"/>
    <w:rsid w:val="00F1201F"/>
    <w:rsid w:val="00F15E37"/>
    <w:rsid w:val="00F160F0"/>
    <w:rsid w:val="00F20172"/>
    <w:rsid w:val="00F215A3"/>
    <w:rsid w:val="00F22023"/>
    <w:rsid w:val="00F220A6"/>
    <w:rsid w:val="00F249CD"/>
    <w:rsid w:val="00F26D88"/>
    <w:rsid w:val="00F27F0A"/>
    <w:rsid w:val="00F304AE"/>
    <w:rsid w:val="00F3150A"/>
    <w:rsid w:val="00F31EC7"/>
    <w:rsid w:val="00F32268"/>
    <w:rsid w:val="00F34BED"/>
    <w:rsid w:val="00F41D13"/>
    <w:rsid w:val="00F42146"/>
    <w:rsid w:val="00F4375F"/>
    <w:rsid w:val="00F44582"/>
    <w:rsid w:val="00F44666"/>
    <w:rsid w:val="00F4496B"/>
    <w:rsid w:val="00F4516E"/>
    <w:rsid w:val="00F46573"/>
    <w:rsid w:val="00F51810"/>
    <w:rsid w:val="00F52183"/>
    <w:rsid w:val="00F525C8"/>
    <w:rsid w:val="00F52A3A"/>
    <w:rsid w:val="00F553D9"/>
    <w:rsid w:val="00F5626F"/>
    <w:rsid w:val="00F56413"/>
    <w:rsid w:val="00F56CD3"/>
    <w:rsid w:val="00F62568"/>
    <w:rsid w:val="00F63B62"/>
    <w:rsid w:val="00F65116"/>
    <w:rsid w:val="00F66BE1"/>
    <w:rsid w:val="00F67D91"/>
    <w:rsid w:val="00F70239"/>
    <w:rsid w:val="00F703B5"/>
    <w:rsid w:val="00F7049B"/>
    <w:rsid w:val="00F70FF1"/>
    <w:rsid w:val="00F71507"/>
    <w:rsid w:val="00F72653"/>
    <w:rsid w:val="00F745B2"/>
    <w:rsid w:val="00F77C77"/>
    <w:rsid w:val="00F80D13"/>
    <w:rsid w:val="00F812E3"/>
    <w:rsid w:val="00F82007"/>
    <w:rsid w:val="00F823C9"/>
    <w:rsid w:val="00F82C88"/>
    <w:rsid w:val="00F83E21"/>
    <w:rsid w:val="00F92E23"/>
    <w:rsid w:val="00F943FB"/>
    <w:rsid w:val="00F9582B"/>
    <w:rsid w:val="00F959D4"/>
    <w:rsid w:val="00F97234"/>
    <w:rsid w:val="00F979D8"/>
    <w:rsid w:val="00FA5879"/>
    <w:rsid w:val="00FB35DE"/>
    <w:rsid w:val="00FB3B9C"/>
    <w:rsid w:val="00FB6E92"/>
    <w:rsid w:val="00FC1330"/>
    <w:rsid w:val="00FC2ECF"/>
    <w:rsid w:val="00FC3620"/>
    <w:rsid w:val="00FC6CF5"/>
    <w:rsid w:val="00FC7AEE"/>
    <w:rsid w:val="00FD2BEB"/>
    <w:rsid w:val="00FD3B18"/>
    <w:rsid w:val="00FD4877"/>
    <w:rsid w:val="00FE051F"/>
    <w:rsid w:val="00FE0F77"/>
    <w:rsid w:val="00FE1BA6"/>
    <w:rsid w:val="00FF367A"/>
    <w:rsid w:val="00FF3ACD"/>
    <w:rsid w:val="00FF4128"/>
    <w:rsid w:val="00FF5AFD"/>
    <w:rsid w:val="00FF62A5"/>
    <w:rsid w:val="00FF6DDE"/>
    <w:rsid w:val="00FF7EFA"/>
    <w:rsid w:val="066A5764"/>
    <w:rsid w:val="11A56CA6"/>
    <w:rsid w:val="35B24057"/>
    <w:rsid w:val="41D30C61"/>
    <w:rsid w:val="5ECA6B13"/>
    <w:rsid w:val="78822B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9380A2"/>
  <w15:docId w15:val="{98A45438-5FC1-4F5D-8DB3-BF551B97E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274"/>
    <w:pPr>
      <w:spacing w:after="200" w:line="276" w:lineRule="auto"/>
    </w:pPr>
    <w:rPr>
      <w:sz w:val="24"/>
      <w:szCs w:val="24"/>
    </w:rPr>
  </w:style>
  <w:style w:type="paragraph" w:styleId="Ttulo1">
    <w:name w:val="heading 1"/>
    <w:basedOn w:val="Normal"/>
    <w:next w:val="Normal"/>
    <w:link w:val="Ttulo1Car"/>
    <w:uiPriority w:val="99"/>
    <w:qFormat/>
    <w:rsid w:val="009A3274"/>
    <w:pPr>
      <w:keepNext/>
      <w:autoSpaceDE w:val="0"/>
      <w:autoSpaceDN w:val="0"/>
      <w:adjustRightInd w:val="0"/>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9A3274"/>
    <w:pPr>
      <w:keepNext/>
      <w:shd w:val="clear" w:color="auto" w:fill="FFFFFF"/>
      <w:jc w:val="both"/>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9A3274"/>
    <w:pPr>
      <w:keepNext/>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9A3274"/>
    <w:pPr>
      <w:keepNext/>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9A3274"/>
    <w:pPr>
      <w:keepNext/>
      <w:shd w:val="clear" w:color="auto" w:fill="FFCC99"/>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9A3274"/>
    <w:pPr>
      <w:keepNext/>
      <w:autoSpaceDE w:val="0"/>
      <w:autoSpaceDN w:val="0"/>
      <w:adjustRightInd w:val="0"/>
      <w:outlineLvl w:val="5"/>
    </w:pPr>
    <w:rPr>
      <w:rFonts w:ascii="Calibri" w:hAnsi="Calibri" w:cs="Calibri"/>
      <w:b/>
      <w:bCs/>
      <w:sz w:val="22"/>
      <w:szCs w:val="22"/>
    </w:rPr>
  </w:style>
  <w:style w:type="paragraph" w:styleId="Ttulo7">
    <w:name w:val="heading 7"/>
    <w:basedOn w:val="Normal"/>
    <w:next w:val="Normal"/>
    <w:link w:val="Ttulo7Car"/>
    <w:uiPriority w:val="99"/>
    <w:qFormat/>
    <w:rsid w:val="009A3274"/>
    <w:pPr>
      <w:keepNext/>
      <w:tabs>
        <w:tab w:val="left" w:pos="1673"/>
      </w:tabs>
      <w:jc w:val="center"/>
      <w:outlineLvl w:val="6"/>
    </w:pPr>
    <w:rPr>
      <w:rFonts w:ascii="Calibri" w:hAnsi="Calibri" w:cs="Calibri"/>
    </w:rPr>
  </w:style>
  <w:style w:type="paragraph" w:styleId="Ttulo8">
    <w:name w:val="heading 8"/>
    <w:basedOn w:val="Normal"/>
    <w:next w:val="Normal"/>
    <w:link w:val="Ttulo8Car"/>
    <w:uiPriority w:val="99"/>
    <w:qFormat/>
    <w:rsid w:val="009A3274"/>
    <w:pPr>
      <w:keepNext/>
      <w:jc w:val="both"/>
      <w:outlineLvl w:val="7"/>
    </w:pPr>
    <w:rPr>
      <w:rFonts w:ascii="Calibri" w:hAnsi="Calibri" w:cs="Calibri"/>
      <w:i/>
      <w:iCs/>
    </w:rPr>
  </w:style>
  <w:style w:type="paragraph" w:styleId="Ttulo9">
    <w:name w:val="heading 9"/>
    <w:basedOn w:val="Normal"/>
    <w:next w:val="Normal"/>
    <w:link w:val="Ttulo9Car"/>
    <w:uiPriority w:val="99"/>
    <w:qFormat/>
    <w:rsid w:val="009A3274"/>
    <w:pPr>
      <w:keepNext/>
      <w:jc w:val="both"/>
      <w:outlineLvl w:val="8"/>
    </w:pPr>
    <w:rPr>
      <w:rFonts w:ascii="Cambria" w:hAnsi="Cambria" w:cs="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9A3274"/>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9A3274"/>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9A3274"/>
    <w:rPr>
      <w:rFonts w:ascii="Cambria" w:hAnsi="Cambria" w:cs="Cambria"/>
      <w:b/>
      <w:bCs/>
      <w:sz w:val="26"/>
      <w:szCs w:val="26"/>
    </w:rPr>
  </w:style>
  <w:style w:type="character" w:customStyle="1" w:styleId="Ttulo4Car">
    <w:name w:val="Título 4 Car"/>
    <w:basedOn w:val="Fuentedeprrafopredeter"/>
    <w:link w:val="Ttulo4"/>
    <w:uiPriority w:val="99"/>
    <w:semiHidden/>
    <w:locked/>
    <w:rsid w:val="009A3274"/>
    <w:rPr>
      <w:rFonts w:ascii="Calibri" w:hAnsi="Calibri" w:cs="Calibri"/>
      <w:b/>
      <w:bCs/>
      <w:sz w:val="28"/>
      <w:szCs w:val="28"/>
    </w:rPr>
  </w:style>
  <w:style w:type="character" w:customStyle="1" w:styleId="Ttulo5Car">
    <w:name w:val="Título 5 Car"/>
    <w:basedOn w:val="Fuentedeprrafopredeter"/>
    <w:link w:val="Ttulo5"/>
    <w:uiPriority w:val="99"/>
    <w:semiHidden/>
    <w:locked/>
    <w:rsid w:val="009A3274"/>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9A3274"/>
    <w:rPr>
      <w:rFonts w:ascii="Calibri" w:hAnsi="Calibri" w:cs="Calibri"/>
      <w:b/>
      <w:bCs/>
      <w:sz w:val="22"/>
      <w:szCs w:val="22"/>
    </w:rPr>
  </w:style>
  <w:style w:type="character" w:customStyle="1" w:styleId="Ttulo7Car">
    <w:name w:val="Título 7 Car"/>
    <w:basedOn w:val="Fuentedeprrafopredeter"/>
    <w:link w:val="Ttulo7"/>
    <w:uiPriority w:val="99"/>
    <w:semiHidden/>
    <w:locked/>
    <w:rsid w:val="009A3274"/>
    <w:rPr>
      <w:rFonts w:ascii="Calibri" w:hAnsi="Calibri" w:cs="Calibri"/>
      <w:sz w:val="24"/>
      <w:szCs w:val="24"/>
    </w:rPr>
  </w:style>
  <w:style w:type="character" w:customStyle="1" w:styleId="Ttulo8Car">
    <w:name w:val="Título 8 Car"/>
    <w:basedOn w:val="Fuentedeprrafopredeter"/>
    <w:link w:val="Ttulo8"/>
    <w:uiPriority w:val="99"/>
    <w:semiHidden/>
    <w:locked/>
    <w:rsid w:val="009A3274"/>
    <w:rPr>
      <w:rFonts w:ascii="Calibri" w:hAnsi="Calibri" w:cs="Calibri"/>
      <w:i/>
      <w:iCs/>
      <w:sz w:val="24"/>
      <w:szCs w:val="24"/>
    </w:rPr>
  </w:style>
  <w:style w:type="character" w:customStyle="1" w:styleId="Ttulo9Car">
    <w:name w:val="Título 9 Car"/>
    <w:basedOn w:val="Fuentedeprrafopredeter"/>
    <w:link w:val="Ttulo9"/>
    <w:uiPriority w:val="99"/>
    <w:semiHidden/>
    <w:locked/>
    <w:rsid w:val="009A3274"/>
    <w:rPr>
      <w:rFonts w:ascii="Cambria" w:hAnsi="Cambria" w:cs="Cambria"/>
      <w:sz w:val="22"/>
      <w:szCs w:val="22"/>
    </w:rPr>
  </w:style>
  <w:style w:type="paragraph" w:styleId="Textodeglobo">
    <w:name w:val="Balloon Text"/>
    <w:basedOn w:val="Normal"/>
    <w:link w:val="TextodegloboCar"/>
    <w:uiPriority w:val="99"/>
    <w:semiHidden/>
    <w:rsid w:val="009A3274"/>
    <w:rPr>
      <w:sz w:val="20"/>
      <w:szCs w:val="20"/>
    </w:rPr>
  </w:style>
  <w:style w:type="character" w:customStyle="1" w:styleId="TextodegloboCar">
    <w:name w:val="Texto de globo Car"/>
    <w:basedOn w:val="Fuentedeprrafopredeter"/>
    <w:link w:val="Textodeglobo"/>
    <w:uiPriority w:val="99"/>
    <w:semiHidden/>
    <w:locked/>
    <w:rsid w:val="009A3274"/>
    <w:rPr>
      <w:rFonts w:cs="Times New Roman"/>
      <w:sz w:val="2"/>
      <w:szCs w:val="2"/>
      <w:lang w:val="es-ES" w:eastAsia="es-ES"/>
    </w:rPr>
  </w:style>
  <w:style w:type="paragraph" w:styleId="Textoindependiente">
    <w:name w:val="Body Text"/>
    <w:basedOn w:val="Normal"/>
    <w:link w:val="TextoindependienteCar"/>
    <w:uiPriority w:val="99"/>
    <w:semiHidden/>
    <w:rsid w:val="009A3274"/>
  </w:style>
  <w:style w:type="character" w:customStyle="1" w:styleId="TextoindependienteCar">
    <w:name w:val="Texto independiente Car"/>
    <w:basedOn w:val="Fuentedeprrafopredeter"/>
    <w:link w:val="Textoindependiente"/>
    <w:uiPriority w:val="99"/>
    <w:semiHidden/>
    <w:locked/>
    <w:rsid w:val="009A3274"/>
    <w:rPr>
      <w:rFonts w:cs="Times New Roman"/>
      <w:sz w:val="24"/>
      <w:szCs w:val="24"/>
    </w:rPr>
  </w:style>
  <w:style w:type="paragraph" w:styleId="Textoindependiente2">
    <w:name w:val="Body Text 2"/>
    <w:basedOn w:val="Normal"/>
    <w:link w:val="Textoindependiente2Car"/>
    <w:uiPriority w:val="99"/>
    <w:semiHidden/>
    <w:rsid w:val="009A3274"/>
    <w:pPr>
      <w:autoSpaceDE w:val="0"/>
      <w:autoSpaceDN w:val="0"/>
      <w:adjustRightInd w:val="0"/>
      <w:jc w:val="center"/>
    </w:pPr>
  </w:style>
  <w:style w:type="character" w:customStyle="1" w:styleId="Textoindependiente2Car">
    <w:name w:val="Texto independiente 2 Car"/>
    <w:basedOn w:val="Fuentedeprrafopredeter"/>
    <w:link w:val="Textoindependiente2"/>
    <w:uiPriority w:val="99"/>
    <w:semiHidden/>
    <w:locked/>
    <w:rsid w:val="009A3274"/>
    <w:rPr>
      <w:rFonts w:cs="Times New Roman"/>
      <w:sz w:val="24"/>
      <w:szCs w:val="24"/>
    </w:rPr>
  </w:style>
  <w:style w:type="paragraph" w:styleId="Textoindependiente3">
    <w:name w:val="Body Text 3"/>
    <w:basedOn w:val="Normal"/>
    <w:link w:val="Textoindependiente3Car"/>
    <w:uiPriority w:val="99"/>
    <w:semiHidden/>
    <w:rsid w:val="009A3274"/>
    <w:rPr>
      <w:sz w:val="16"/>
      <w:szCs w:val="16"/>
    </w:rPr>
  </w:style>
  <w:style w:type="character" w:customStyle="1" w:styleId="Textoindependiente3Car">
    <w:name w:val="Texto independiente 3 Car"/>
    <w:basedOn w:val="Fuentedeprrafopredeter"/>
    <w:link w:val="Textoindependiente3"/>
    <w:uiPriority w:val="99"/>
    <w:semiHidden/>
    <w:locked/>
    <w:rsid w:val="009A3274"/>
    <w:rPr>
      <w:rFonts w:cs="Times New Roman"/>
      <w:sz w:val="16"/>
      <w:szCs w:val="16"/>
    </w:rPr>
  </w:style>
  <w:style w:type="paragraph" w:styleId="Sangradetextonormal">
    <w:name w:val="Body Text Indent"/>
    <w:basedOn w:val="Normal"/>
    <w:link w:val="SangradetextonormalCar"/>
    <w:uiPriority w:val="99"/>
    <w:semiHidden/>
    <w:rsid w:val="009A3274"/>
    <w:pPr>
      <w:shd w:val="clear" w:color="auto" w:fill="FFFFFF"/>
      <w:ind w:left="708"/>
      <w:jc w:val="both"/>
    </w:pPr>
  </w:style>
  <w:style w:type="character" w:customStyle="1" w:styleId="SangradetextonormalCar">
    <w:name w:val="Sangría de texto normal Car"/>
    <w:basedOn w:val="Fuentedeprrafopredeter"/>
    <w:link w:val="Sangradetextonormal"/>
    <w:uiPriority w:val="99"/>
    <w:semiHidden/>
    <w:locked/>
    <w:rsid w:val="009A3274"/>
    <w:rPr>
      <w:rFonts w:cs="Times New Roman"/>
      <w:sz w:val="24"/>
      <w:szCs w:val="24"/>
    </w:rPr>
  </w:style>
  <w:style w:type="paragraph" w:styleId="Sangra2detindependiente">
    <w:name w:val="Body Text Indent 2"/>
    <w:basedOn w:val="Normal"/>
    <w:link w:val="Sangra2detindependienteCar"/>
    <w:uiPriority w:val="99"/>
    <w:rsid w:val="009A327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9A3274"/>
    <w:rPr>
      <w:rFonts w:cs="Times New Roman"/>
      <w:sz w:val="24"/>
      <w:szCs w:val="24"/>
    </w:rPr>
  </w:style>
  <w:style w:type="paragraph" w:styleId="Sangra3detindependiente">
    <w:name w:val="Body Text Indent 3"/>
    <w:basedOn w:val="Normal"/>
    <w:link w:val="Sangra3detindependienteCar"/>
    <w:uiPriority w:val="99"/>
    <w:semiHidden/>
    <w:rsid w:val="009A3274"/>
    <w:pPr>
      <w:ind w:left="708"/>
      <w:jc w:val="both"/>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9A3274"/>
    <w:rPr>
      <w:rFonts w:cs="Times New Roman"/>
      <w:sz w:val="16"/>
      <w:szCs w:val="16"/>
    </w:rPr>
  </w:style>
  <w:style w:type="paragraph" w:styleId="Descripcin">
    <w:name w:val="caption"/>
    <w:basedOn w:val="Normal"/>
    <w:next w:val="Normal"/>
    <w:uiPriority w:val="99"/>
    <w:qFormat/>
    <w:rsid w:val="009A3274"/>
    <w:rPr>
      <w:b/>
      <w:bCs/>
      <w:sz w:val="20"/>
      <w:szCs w:val="20"/>
    </w:rPr>
  </w:style>
  <w:style w:type="paragraph" w:styleId="Textocomentario">
    <w:name w:val="annotation text"/>
    <w:basedOn w:val="Normal"/>
    <w:link w:val="TextocomentarioCar"/>
    <w:uiPriority w:val="99"/>
    <w:semiHidden/>
    <w:rsid w:val="009A3274"/>
    <w:rPr>
      <w:sz w:val="20"/>
      <w:szCs w:val="20"/>
    </w:rPr>
  </w:style>
  <w:style w:type="character" w:customStyle="1" w:styleId="TextocomentarioCar">
    <w:name w:val="Texto comentario Car"/>
    <w:basedOn w:val="Fuentedeprrafopredeter"/>
    <w:link w:val="Textocomentario"/>
    <w:uiPriority w:val="99"/>
    <w:semiHidden/>
    <w:locked/>
    <w:rsid w:val="009A3274"/>
    <w:rPr>
      <w:rFonts w:cs="Times New Roman"/>
      <w:sz w:val="20"/>
      <w:szCs w:val="20"/>
    </w:rPr>
  </w:style>
  <w:style w:type="paragraph" w:styleId="Asuntodelcomentario">
    <w:name w:val="annotation subject"/>
    <w:basedOn w:val="Textocomentario"/>
    <w:next w:val="Textocomentario"/>
    <w:link w:val="AsuntodelcomentarioCar"/>
    <w:uiPriority w:val="99"/>
    <w:semiHidden/>
    <w:rsid w:val="009A3274"/>
    <w:rPr>
      <w:b/>
      <w:bCs/>
    </w:rPr>
  </w:style>
  <w:style w:type="character" w:customStyle="1" w:styleId="AsuntodelcomentarioCar">
    <w:name w:val="Asunto del comentario Car"/>
    <w:basedOn w:val="TextocomentarioCar"/>
    <w:link w:val="Asuntodelcomentario"/>
    <w:uiPriority w:val="99"/>
    <w:semiHidden/>
    <w:locked/>
    <w:rsid w:val="009A3274"/>
    <w:rPr>
      <w:rFonts w:cs="Times New Roman"/>
      <w:b/>
      <w:bCs/>
      <w:sz w:val="20"/>
      <w:szCs w:val="20"/>
    </w:rPr>
  </w:style>
  <w:style w:type="paragraph" w:styleId="Textonotaalfinal">
    <w:name w:val="endnote text"/>
    <w:basedOn w:val="Normal"/>
    <w:link w:val="TextonotaalfinalCar"/>
    <w:uiPriority w:val="99"/>
    <w:semiHidden/>
    <w:rsid w:val="009A3274"/>
    <w:rPr>
      <w:sz w:val="20"/>
      <w:szCs w:val="20"/>
    </w:rPr>
  </w:style>
  <w:style w:type="character" w:customStyle="1" w:styleId="TextonotaalfinalCar">
    <w:name w:val="Texto nota al final Car"/>
    <w:basedOn w:val="Fuentedeprrafopredeter"/>
    <w:link w:val="Textonotaalfinal"/>
    <w:uiPriority w:val="99"/>
    <w:semiHidden/>
    <w:locked/>
    <w:rsid w:val="009A3274"/>
    <w:rPr>
      <w:rFonts w:cs="Times New Roman"/>
      <w:sz w:val="20"/>
      <w:szCs w:val="20"/>
    </w:rPr>
  </w:style>
  <w:style w:type="paragraph" w:styleId="Piedepgina">
    <w:name w:val="footer"/>
    <w:basedOn w:val="Normal"/>
    <w:link w:val="PiedepginaCar"/>
    <w:uiPriority w:val="99"/>
    <w:rsid w:val="009A3274"/>
    <w:pPr>
      <w:tabs>
        <w:tab w:val="center" w:pos="4252"/>
        <w:tab w:val="right" w:pos="8504"/>
      </w:tabs>
    </w:pPr>
  </w:style>
  <w:style w:type="character" w:customStyle="1" w:styleId="PiedepginaCar">
    <w:name w:val="Pie de página Car"/>
    <w:basedOn w:val="Fuentedeprrafopredeter"/>
    <w:link w:val="Piedepgina"/>
    <w:uiPriority w:val="99"/>
    <w:locked/>
    <w:rsid w:val="009A3274"/>
    <w:rPr>
      <w:rFonts w:cs="Times New Roman"/>
      <w:sz w:val="24"/>
      <w:szCs w:val="24"/>
    </w:rPr>
  </w:style>
  <w:style w:type="paragraph" w:styleId="Textonotapie">
    <w:name w:val="footnote text"/>
    <w:basedOn w:val="Normal"/>
    <w:link w:val="TextonotapieCar"/>
    <w:semiHidden/>
    <w:rsid w:val="009A3274"/>
    <w:rPr>
      <w:sz w:val="20"/>
      <w:szCs w:val="20"/>
    </w:rPr>
  </w:style>
  <w:style w:type="character" w:customStyle="1" w:styleId="TextonotapieCar">
    <w:name w:val="Texto nota pie Car"/>
    <w:basedOn w:val="Fuentedeprrafopredeter"/>
    <w:link w:val="Textonotapie"/>
    <w:uiPriority w:val="99"/>
    <w:semiHidden/>
    <w:locked/>
    <w:rsid w:val="009A3274"/>
    <w:rPr>
      <w:rFonts w:cs="Times New Roman"/>
      <w:sz w:val="20"/>
      <w:szCs w:val="20"/>
    </w:rPr>
  </w:style>
  <w:style w:type="paragraph" w:styleId="Encabezado">
    <w:name w:val="header"/>
    <w:basedOn w:val="Normal"/>
    <w:link w:val="EncabezadoCar"/>
    <w:uiPriority w:val="99"/>
    <w:rsid w:val="009A3274"/>
    <w:pPr>
      <w:tabs>
        <w:tab w:val="center" w:pos="4252"/>
        <w:tab w:val="right" w:pos="8504"/>
      </w:tabs>
    </w:pPr>
    <w:rPr>
      <w:szCs w:val="20"/>
    </w:rPr>
  </w:style>
  <w:style w:type="character" w:customStyle="1" w:styleId="HeaderChar">
    <w:name w:val="Header Char"/>
    <w:basedOn w:val="Fuentedeprrafopredeter"/>
    <w:uiPriority w:val="99"/>
    <w:semiHidden/>
    <w:locked/>
    <w:rsid w:val="009A3274"/>
    <w:rPr>
      <w:rFonts w:cs="Times New Roman"/>
      <w:sz w:val="24"/>
      <w:szCs w:val="24"/>
    </w:rPr>
  </w:style>
  <w:style w:type="paragraph" w:styleId="HTMLconformatoprevio">
    <w:name w:val="HTML Preformatted"/>
    <w:basedOn w:val="Normal"/>
    <w:link w:val="HTMLconformatoprevioCar"/>
    <w:uiPriority w:val="99"/>
    <w:semiHidden/>
    <w:rsid w:val="009A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9A3274"/>
    <w:rPr>
      <w:rFonts w:ascii="Courier New" w:hAnsi="Courier New" w:cs="Courier New"/>
      <w:sz w:val="20"/>
      <w:szCs w:val="20"/>
    </w:rPr>
  </w:style>
  <w:style w:type="paragraph" w:styleId="NormalWeb">
    <w:name w:val="Normal (Web)"/>
    <w:basedOn w:val="Normal"/>
    <w:uiPriority w:val="99"/>
    <w:rsid w:val="009A3274"/>
    <w:pPr>
      <w:spacing w:before="100" w:beforeAutospacing="1" w:after="100" w:afterAutospacing="1"/>
    </w:pPr>
  </w:style>
  <w:style w:type="paragraph" w:styleId="Textosinformato">
    <w:name w:val="Plain Text"/>
    <w:basedOn w:val="Normal"/>
    <w:link w:val="TextosinformatoCar"/>
    <w:uiPriority w:val="99"/>
    <w:semiHidden/>
    <w:rsid w:val="009A3274"/>
    <w:rPr>
      <w:rFonts w:ascii="Courier New" w:hAnsi="Courier New" w:cs="Courier New"/>
      <w:sz w:val="20"/>
      <w:szCs w:val="20"/>
    </w:rPr>
  </w:style>
  <w:style w:type="character" w:customStyle="1" w:styleId="TextosinformatoCar">
    <w:name w:val="Texto sin formato Car"/>
    <w:basedOn w:val="Fuentedeprrafopredeter"/>
    <w:link w:val="Textosinformato"/>
    <w:uiPriority w:val="99"/>
    <w:semiHidden/>
    <w:locked/>
    <w:rsid w:val="009A3274"/>
    <w:rPr>
      <w:rFonts w:ascii="Courier New" w:hAnsi="Courier New" w:cs="Courier New"/>
    </w:rPr>
  </w:style>
  <w:style w:type="paragraph" w:styleId="Ttulo">
    <w:name w:val="Title"/>
    <w:basedOn w:val="Normal"/>
    <w:link w:val="TtuloCar"/>
    <w:uiPriority w:val="99"/>
    <w:qFormat/>
    <w:rsid w:val="009A3274"/>
    <w:pPr>
      <w:autoSpaceDE w:val="0"/>
      <w:autoSpaceDN w:val="0"/>
      <w:adjustRightInd w:val="0"/>
      <w:jc w:val="center"/>
    </w:pPr>
    <w:rPr>
      <w:rFonts w:ascii="Cambria" w:hAnsi="Cambria" w:cs="Cambria"/>
      <w:b/>
      <w:bCs/>
      <w:kern w:val="28"/>
      <w:sz w:val="32"/>
      <w:szCs w:val="32"/>
    </w:rPr>
  </w:style>
  <w:style w:type="character" w:customStyle="1" w:styleId="TtuloCar">
    <w:name w:val="Título Car"/>
    <w:basedOn w:val="Fuentedeprrafopredeter"/>
    <w:link w:val="Ttulo"/>
    <w:uiPriority w:val="99"/>
    <w:locked/>
    <w:rsid w:val="009A3274"/>
    <w:rPr>
      <w:rFonts w:ascii="Cambria" w:hAnsi="Cambria" w:cs="Cambria"/>
      <w:b/>
      <w:bCs/>
      <w:kern w:val="28"/>
      <w:sz w:val="32"/>
      <w:szCs w:val="32"/>
    </w:rPr>
  </w:style>
  <w:style w:type="paragraph" w:styleId="TDC1">
    <w:name w:val="toc 1"/>
    <w:basedOn w:val="Normal"/>
    <w:next w:val="Normal"/>
    <w:autoRedefine/>
    <w:uiPriority w:val="99"/>
    <w:semiHidden/>
    <w:rsid w:val="009A3274"/>
  </w:style>
  <w:style w:type="paragraph" w:styleId="TDC2">
    <w:name w:val="toc 2"/>
    <w:basedOn w:val="Normal"/>
    <w:next w:val="Normal"/>
    <w:autoRedefine/>
    <w:uiPriority w:val="99"/>
    <w:semiHidden/>
    <w:rsid w:val="0001434C"/>
    <w:pPr>
      <w:tabs>
        <w:tab w:val="right" w:leader="dot" w:pos="8729"/>
      </w:tabs>
      <w:spacing w:after="0" w:line="240" w:lineRule="auto"/>
      <w:ind w:left="240"/>
    </w:pPr>
    <w:rPr>
      <w:rFonts w:ascii="Arial" w:hAnsi="Arial" w:cs="Arial"/>
      <w:bCs/>
      <w:noProof/>
      <w:sz w:val="18"/>
      <w:szCs w:val="18"/>
      <w:lang w:val="zh-CN" w:eastAsia="zh-CN"/>
    </w:rPr>
  </w:style>
  <w:style w:type="paragraph" w:styleId="TDC3">
    <w:name w:val="toc 3"/>
    <w:basedOn w:val="Normal"/>
    <w:next w:val="Normal"/>
    <w:autoRedefine/>
    <w:uiPriority w:val="99"/>
    <w:semiHidden/>
    <w:rsid w:val="009A3274"/>
    <w:pPr>
      <w:ind w:left="480"/>
    </w:pPr>
  </w:style>
  <w:style w:type="character" w:styleId="Refdecomentario">
    <w:name w:val="annotation reference"/>
    <w:basedOn w:val="Fuentedeprrafopredeter"/>
    <w:uiPriority w:val="99"/>
    <w:semiHidden/>
    <w:rsid w:val="009A3274"/>
    <w:rPr>
      <w:rFonts w:cs="Times New Roman"/>
      <w:sz w:val="16"/>
      <w:szCs w:val="16"/>
    </w:rPr>
  </w:style>
  <w:style w:type="character" w:styleId="nfasis">
    <w:name w:val="Emphasis"/>
    <w:basedOn w:val="Fuentedeprrafopredeter"/>
    <w:uiPriority w:val="99"/>
    <w:qFormat/>
    <w:rsid w:val="009A3274"/>
    <w:rPr>
      <w:rFonts w:cs="Times New Roman"/>
      <w:i/>
      <w:iCs/>
    </w:rPr>
  </w:style>
  <w:style w:type="character" w:styleId="Refdenotaalfinal">
    <w:name w:val="endnote reference"/>
    <w:basedOn w:val="Fuentedeprrafopredeter"/>
    <w:uiPriority w:val="99"/>
    <w:semiHidden/>
    <w:rsid w:val="009A3274"/>
    <w:rPr>
      <w:rFonts w:cs="Times New Roman"/>
      <w:vertAlign w:val="superscript"/>
    </w:rPr>
  </w:style>
  <w:style w:type="character" w:styleId="Hipervnculovisitado">
    <w:name w:val="FollowedHyperlink"/>
    <w:basedOn w:val="Fuentedeprrafopredeter"/>
    <w:uiPriority w:val="99"/>
    <w:semiHidden/>
    <w:rsid w:val="009A3274"/>
    <w:rPr>
      <w:rFonts w:cs="Times New Roman"/>
      <w:color w:val="800080"/>
      <w:u w:val="single"/>
    </w:rPr>
  </w:style>
  <w:style w:type="character" w:styleId="Refdenotaalpie">
    <w:name w:val="footnote reference"/>
    <w:basedOn w:val="Fuentedeprrafopredeter"/>
    <w:rsid w:val="009A3274"/>
    <w:rPr>
      <w:rFonts w:cs="Times New Roman"/>
      <w:vertAlign w:val="superscript"/>
    </w:rPr>
  </w:style>
  <w:style w:type="character" w:styleId="CitaHTML">
    <w:name w:val="HTML Cite"/>
    <w:basedOn w:val="Fuentedeprrafopredeter"/>
    <w:uiPriority w:val="99"/>
    <w:rsid w:val="009A3274"/>
    <w:rPr>
      <w:rFonts w:cs="Times New Roman"/>
      <w:color w:val="auto"/>
    </w:rPr>
  </w:style>
  <w:style w:type="character" w:styleId="Hipervnculo">
    <w:name w:val="Hyperlink"/>
    <w:basedOn w:val="Fuentedeprrafopredeter"/>
    <w:uiPriority w:val="99"/>
    <w:rsid w:val="009A3274"/>
    <w:rPr>
      <w:rFonts w:cs="Times New Roman"/>
      <w:color w:val="0000FF"/>
      <w:u w:val="single"/>
    </w:rPr>
  </w:style>
  <w:style w:type="character" w:styleId="Nmerodepgina">
    <w:name w:val="page number"/>
    <w:basedOn w:val="Fuentedeprrafopredeter"/>
    <w:uiPriority w:val="99"/>
    <w:semiHidden/>
    <w:rsid w:val="009A3274"/>
    <w:rPr>
      <w:rFonts w:cs="Times New Roman"/>
    </w:rPr>
  </w:style>
  <w:style w:type="character" w:styleId="Textoennegrita">
    <w:name w:val="Strong"/>
    <w:basedOn w:val="Fuentedeprrafopredeter"/>
    <w:uiPriority w:val="99"/>
    <w:qFormat/>
    <w:rsid w:val="009A3274"/>
    <w:rPr>
      <w:rFonts w:cs="Times New Roman"/>
      <w:b/>
      <w:bCs/>
    </w:rPr>
  </w:style>
  <w:style w:type="table" w:styleId="Tablaconcuadrcula">
    <w:name w:val="Table Grid"/>
    <w:basedOn w:val="Tablanormal"/>
    <w:uiPriority w:val="99"/>
    <w:rsid w:val="009A327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locked/>
    <w:rsid w:val="009A3274"/>
    <w:rPr>
      <w:sz w:val="24"/>
    </w:rPr>
  </w:style>
  <w:style w:type="paragraph" w:customStyle="1" w:styleId="Authors">
    <w:name w:val="Authors"/>
    <w:basedOn w:val="Normal"/>
    <w:uiPriority w:val="99"/>
    <w:rsid w:val="009A3274"/>
    <w:pPr>
      <w:keepNext/>
      <w:spacing w:before="240"/>
    </w:pPr>
    <w:rPr>
      <w:rFonts w:ascii="Arial" w:hAnsi="Arial" w:cs="Arial"/>
      <w:color w:val="000000"/>
      <w:sz w:val="22"/>
      <w:szCs w:val="22"/>
      <w:lang w:val="en-US" w:eastAsia="en-US"/>
    </w:rPr>
  </w:style>
  <w:style w:type="paragraph" w:customStyle="1" w:styleId="Encabezadobase">
    <w:name w:val="Encabezado base"/>
    <w:basedOn w:val="Normal"/>
    <w:uiPriority w:val="99"/>
    <w:rsid w:val="009A3274"/>
    <w:pPr>
      <w:keepLines/>
      <w:tabs>
        <w:tab w:val="center" w:pos="4320"/>
        <w:tab w:val="right" w:pos="8640"/>
      </w:tabs>
      <w:spacing w:after="240"/>
      <w:ind w:firstLine="709"/>
      <w:jc w:val="both"/>
    </w:pPr>
    <w:rPr>
      <w:rFonts w:ascii="Arial" w:hAnsi="Arial" w:cs="Arial"/>
      <w:spacing w:val="-4"/>
    </w:rPr>
  </w:style>
  <w:style w:type="character" w:customStyle="1" w:styleId="t101">
    <w:name w:val="t101"/>
    <w:uiPriority w:val="99"/>
    <w:rsid w:val="009A3274"/>
    <w:rPr>
      <w:rFonts w:ascii="Arial" w:hAnsi="Arial"/>
      <w:sz w:val="24"/>
    </w:rPr>
  </w:style>
  <w:style w:type="character" w:customStyle="1" w:styleId="para1">
    <w:name w:val="para1"/>
    <w:uiPriority w:val="99"/>
    <w:rsid w:val="009A3274"/>
    <w:rPr>
      <w:rFonts w:ascii="Arial" w:hAnsi="Arial"/>
      <w:sz w:val="19"/>
    </w:rPr>
  </w:style>
  <w:style w:type="paragraph" w:customStyle="1" w:styleId="z-Principiodelformulario1">
    <w:name w:val="z-Principio del formulario1"/>
    <w:basedOn w:val="Normal"/>
    <w:next w:val="Normal"/>
    <w:link w:val="z-PrincipiodelformularioCar"/>
    <w:uiPriority w:val="99"/>
    <w:rsid w:val="009A3274"/>
    <w:pPr>
      <w:pBdr>
        <w:bottom w:val="single" w:sz="6" w:space="1" w:color="auto"/>
      </w:pBdr>
      <w:jc w:val="center"/>
    </w:pPr>
    <w:rPr>
      <w:rFonts w:ascii="Arial" w:hAnsi="Arial"/>
      <w:vanish/>
      <w:sz w:val="16"/>
      <w:szCs w:val="20"/>
    </w:rPr>
  </w:style>
  <w:style w:type="character" w:customStyle="1" w:styleId="z-PrincipiodelformularioCar">
    <w:name w:val="z-Principio del formulario Car"/>
    <w:link w:val="z-Principiodelformulario1"/>
    <w:uiPriority w:val="99"/>
    <w:semiHidden/>
    <w:locked/>
    <w:rsid w:val="009A3274"/>
    <w:rPr>
      <w:rFonts w:ascii="Arial" w:hAnsi="Arial"/>
      <w:vanish/>
      <w:sz w:val="16"/>
    </w:rPr>
  </w:style>
  <w:style w:type="paragraph" w:customStyle="1" w:styleId="Textoindependiente31">
    <w:name w:val="Texto independiente 31"/>
    <w:basedOn w:val="Normal"/>
    <w:uiPriority w:val="99"/>
    <w:rsid w:val="009A3274"/>
    <w:pPr>
      <w:widowControl w:val="0"/>
      <w:suppressAutoHyphens/>
    </w:pPr>
    <w:rPr>
      <w:color w:val="0000FF"/>
      <w:kern w:val="1"/>
      <w:sz w:val="48"/>
      <w:szCs w:val="48"/>
    </w:rPr>
  </w:style>
  <w:style w:type="paragraph" w:customStyle="1" w:styleId="Default">
    <w:name w:val="Default"/>
    <w:uiPriority w:val="99"/>
    <w:rsid w:val="009A3274"/>
    <w:pPr>
      <w:autoSpaceDE w:val="0"/>
      <w:autoSpaceDN w:val="0"/>
      <w:adjustRightInd w:val="0"/>
      <w:spacing w:after="200" w:line="276" w:lineRule="auto"/>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uiPriority w:val="99"/>
    <w:rsid w:val="009A3274"/>
    <w:pPr>
      <w:spacing w:line="240" w:lineRule="atLeast"/>
    </w:pPr>
    <w:rPr>
      <w:color w:val="auto"/>
    </w:rPr>
  </w:style>
  <w:style w:type="paragraph" w:customStyle="1" w:styleId="Pa50">
    <w:name w:val="Pa50"/>
    <w:basedOn w:val="Default"/>
    <w:next w:val="Default"/>
    <w:uiPriority w:val="99"/>
    <w:rsid w:val="009A3274"/>
    <w:pPr>
      <w:spacing w:line="240" w:lineRule="atLeast"/>
    </w:pPr>
    <w:rPr>
      <w:color w:val="auto"/>
    </w:rPr>
  </w:style>
  <w:style w:type="paragraph" w:customStyle="1" w:styleId="Pa51">
    <w:name w:val="Pa51"/>
    <w:basedOn w:val="Default"/>
    <w:next w:val="Default"/>
    <w:uiPriority w:val="99"/>
    <w:rsid w:val="009A3274"/>
    <w:pPr>
      <w:spacing w:line="240" w:lineRule="atLeast"/>
    </w:pPr>
    <w:rPr>
      <w:color w:val="auto"/>
    </w:rPr>
  </w:style>
  <w:style w:type="paragraph" w:customStyle="1" w:styleId="Pa53">
    <w:name w:val="Pa53"/>
    <w:basedOn w:val="Default"/>
    <w:next w:val="Default"/>
    <w:uiPriority w:val="99"/>
    <w:rsid w:val="009A3274"/>
    <w:pPr>
      <w:spacing w:line="240" w:lineRule="atLeast"/>
    </w:pPr>
    <w:rPr>
      <w:color w:val="auto"/>
    </w:rPr>
  </w:style>
  <w:style w:type="paragraph" w:customStyle="1" w:styleId="Pa14">
    <w:name w:val="Pa14"/>
    <w:basedOn w:val="Default"/>
    <w:next w:val="Default"/>
    <w:uiPriority w:val="99"/>
    <w:rsid w:val="009A3274"/>
    <w:pPr>
      <w:spacing w:line="240" w:lineRule="atLeast"/>
    </w:pPr>
    <w:rPr>
      <w:color w:val="auto"/>
    </w:rPr>
  </w:style>
  <w:style w:type="paragraph" w:customStyle="1" w:styleId="Sombreadoclaro-nfasis21">
    <w:name w:val="Sombreado claro - Énfasis 21"/>
    <w:basedOn w:val="Normal"/>
    <w:next w:val="Normal"/>
    <w:link w:val="Sombreadoclaro-nfasis2Car"/>
    <w:uiPriority w:val="99"/>
    <w:rsid w:val="009A3274"/>
    <w:pPr>
      <w:pBdr>
        <w:bottom w:val="single" w:sz="4" w:space="4" w:color="4F81BD"/>
      </w:pBdr>
      <w:spacing w:before="200" w:after="280"/>
      <w:ind w:left="936" w:right="936"/>
    </w:pPr>
    <w:rPr>
      <w:b/>
      <w:i/>
      <w:color w:val="4F81BD"/>
      <w:szCs w:val="20"/>
    </w:rPr>
  </w:style>
  <w:style w:type="character" w:customStyle="1" w:styleId="Sombreadoclaro-nfasis2Car">
    <w:name w:val="Sombreado claro - Énfasis 2 Car"/>
    <w:link w:val="Sombreadoclaro-nfasis21"/>
    <w:uiPriority w:val="99"/>
    <w:locked/>
    <w:rsid w:val="009A3274"/>
    <w:rPr>
      <w:b/>
      <w:i/>
      <w:color w:val="4F81BD"/>
      <w:sz w:val="24"/>
      <w:lang w:val="es-ES" w:eastAsia="es-ES"/>
    </w:rPr>
  </w:style>
  <w:style w:type="character" w:customStyle="1" w:styleId="st1">
    <w:name w:val="st1"/>
    <w:basedOn w:val="Fuentedeprrafopredeter"/>
    <w:uiPriority w:val="99"/>
    <w:rsid w:val="009A3274"/>
    <w:rPr>
      <w:rFonts w:cs="Times New Roman"/>
    </w:rPr>
  </w:style>
  <w:style w:type="paragraph" w:customStyle="1" w:styleId="Pa54">
    <w:name w:val="Pa54"/>
    <w:basedOn w:val="Normal"/>
    <w:next w:val="Normal"/>
    <w:uiPriority w:val="99"/>
    <w:rsid w:val="009A3274"/>
    <w:pPr>
      <w:autoSpaceDE w:val="0"/>
      <w:autoSpaceDN w:val="0"/>
      <w:adjustRightInd w:val="0"/>
      <w:spacing w:line="240" w:lineRule="atLeast"/>
    </w:pPr>
    <w:rPr>
      <w:rFonts w:ascii="NBIQZG+HelveticaNeue-Light" w:hAnsi="NBIQZG+HelveticaNeue-Light" w:cs="NBIQZG+HelveticaNeue-Light"/>
    </w:rPr>
  </w:style>
  <w:style w:type="character" w:customStyle="1" w:styleId="A6">
    <w:name w:val="A6"/>
    <w:uiPriority w:val="99"/>
    <w:rsid w:val="009A3274"/>
    <w:rPr>
      <w:color w:val="000000"/>
      <w:sz w:val="18"/>
    </w:rPr>
  </w:style>
  <w:style w:type="character" w:customStyle="1" w:styleId="sel1348427992542">
    <w:name w:val="sel_1348427992542"/>
    <w:basedOn w:val="Fuentedeprrafopredeter"/>
    <w:uiPriority w:val="99"/>
    <w:rsid w:val="009A3274"/>
    <w:rPr>
      <w:rFonts w:cs="Times New Roman"/>
    </w:rPr>
  </w:style>
  <w:style w:type="character" w:customStyle="1" w:styleId="yiv1702884738149114909-15062012">
    <w:name w:val="yiv1702884738149114909-15062012"/>
    <w:basedOn w:val="Fuentedeprrafopredeter"/>
    <w:uiPriority w:val="99"/>
    <w:rsid w:val="009A3274"/>
    <w:rPr>
      <w:rFonts w:cs="Times New Roman"/>
    </w:rPr>
  </w:style>
  <w:style w:type="paragraph" w:customStyle="1" w:styleId="yiv1702884738msonormal">
    <w:name w:val="yiv1702884738msonormal"/>
    <w:basedOn w:val="Normal"/>
    <w:uiPriority w:val="99"/>
    <w:rsid w:val="009A3274"/>
    <w:pPr>
      <w:spacing w:before="100" w:beforeAutospacing="1" w:after="100" w:afterAutospacing="1"/>
    </w:pPr>
  </w:style>
  <w:style w:type="paragraph" w:customStyle="1" w:styleId="Listamulticolor-nfasis11">
    <w:name w:val="Lista multicolor - Énfasis 11"/>
    <w:basedOn w:val="Normal"/>
    <w:uiPriority w:val="99"/>
    <w:rsid w:val="009A3274"/>
    <w:pPr>
      <w:ind w:left="708"/>
    </w:pPr>
  </w:style>
  <w:style w:type="character" w:customStyle="1" w:styleId="highlight">
    <w:name w:val="highlight"/>
    <w:basedOn w:val="Fuentedeprrafopredeter"/>
    <w:uiPriority w:val="99"/>
    <w:rsid w:val="009A3274"/>
    <w:rPr>
      <w:rFonts w:cs="Times New Roman"/>
    </w:rPr>
  </w:style>
  <w:style w:type="paragraph" w:customStyle="1" w:styleId="Pa7">
    <w:name w:val="Pa7"/>
    <w:basedOn w:val="Default"/>
    <w:next w:val="Default"/>
    <w:uiPriority w:val="99"/>
    <w:rsid w:val="009A3274"/>
    <w:pPr>
      <w:spacing w:line="240" w:lineRule="atLeast"/>
    </w:pPr>
    <w:rPr>
      <w:rFonts w:ascii="GNQAFU+HelveticaNeue-Black" w:eastAsia="Times New Roman" w:hAnsi="GNQAFU+HelveticaNeue-Black" w:cs="GNQAFU+HelveticaNeue-Black"/>
      <w:color w:val="auto"/>
      <w:lang w:eastAsia="es-ES"/>
    </w:rPr>
  </w:style>
  <w:style w:type="paragraph" w:customStyle="1" w:styleId="Pa24">
    <w:name w:val="Pa24"/>
    <w:basedOn w:val="Default"/>
    <w:next w:val="Default"/>
    <w:uiPriority w:val="99"/>
    <w:rsid w:val="009A3274"/>
    <w:pPr>
      <w:spacing w:line="240" w:lineRule="atLeast"/>
    </w:pPr>
    <w:rPr>
      <w:rFonts w:ascii="GNQAFU+HelveticaNeue-Black" w:eastAsia="Times New Roman" w:hAnsi="GNQAFU+HelveticaNeue-Black" w:cs="GNQAFU+HelveticaNeue-Black"/>
      <w:color w:val="auto"/>
      <w:lang w:eastAsia="es-ES"/>
    </w:rPr>
  </w:style>
  <w:style w:type="paragraph" w:customStyle="1" w:styleId="Pa4">
    <w:name w:val="Pa4"/>
    <w:basedOn w:val="Default"/>
    <w:next w:val="Default"/>
    <w:uiPriority w:val="99"/>
    <w:rsid w:val="009A3274"/>
    <w:pPr>
      <w:spacing w:line="240" w:lineRule="atLeast"/>
    </w:pPr>
    <w:rPr>
      <w:rFonts w:ascii="GNQAFU+HelveticaNeue-Black" w:eastAsia="Times New Roman" w:hAnsi="GNQAFU+HelveticaNeue-Black" w:cs="GNQAFU+HelveticaNeue-Black"/>
      <w:color w:val="auto"/>
      <w:lang w:eastAsia="es-ES"/>
    </w:rPr>
  </w:style>
  <w:style w:type="paragraph" w:customStyle="1" w:styleId="Pa1">
    <w:name w:val="Pa1"/>
    <w:basedOn w:val="Default"/>
    <w:next w:val="Default"/>
    <w:uiPriority w:val="99"/>
    <w:rsid w:val="009A3274"/>
    <w:pPr>
      <w:spacing w:line="240" w:lineRule="atLeast"/>
    </w:pPr>
    <w:rPr>
      <w:rFonts w:ascii="GNQAFU+HelveticaNeue-Black" w:eastAsia="Times New Roman" w:hAnsi="GNQAFU+HelveticaNeue-Black" w:cs="GNQAFU+HelveticaNeue-Black"/>
      <w:color w:val="auto"/>
      <w:lang w:eastAsia="es-ES"/>
    </w:rPr>
  </w:style>
  <w:style w:type="character" w:customStyle="1" w:styleId="CarCar22">
    <w:name w:val="Car Car22"/>
    <w:uiPriority w:val="99"/>
    <w:locked/>
    <w:rsid w:val="009A3274"/>
    <w:rPr>
      <w:rFonts w:ascii="Cambria" w:hAnsi="Cambria"/>
      <w:b/>
      <w:kern w:val="32"/>
      <w:sz w:val="32"/>
    </w:rPr>
  </w:style>
  <w:style w:type="character" w:customStyle="1" w:styleId="A2">
    <w:name w:val="A2"/>
    <w:uiPriority w:val="99"/>
    <w:rsid w:val="009A3274"/>
    <w:rPr>
      <w:rFonts w:ascii="DZMIPA+HelveticaNeue-Medium" w:hAnsi="DZMIPA+HelveticaNeue-Medium"/>
      <w:color w:val="000000"/>
      <w:sz w:val="16"/>
    </w:rPr>
  </w:style>
  <w:style w:type="character" w:customStyle="1" w:styleId="longtext">
    <w:name w:val="long_text"/>
    <w:basedOn w:val="Fuentedeprrafopredeter"/>
    <w:uiPriority w:val="99"/>
    <w:rsid w:val="009A3274"/>
    <w:rPr>
      <w:rFonts w:cs="Times New Roman"/>
    </w:rPr>
  </w:style>
  <w:style w:type="character" w:customStyle="1" w:styleId="hps">
    <w:name w:val="hps"/>
    <w:basedOn w:val="Fuentedeprrafopredeter"/>
    <w:uiPriority w:val="99"/>
    <w:rsid w:val="009A3274"/>
    <w:rPr>
      <w:rFonts w:cs="Times New Roman"/>
    </w:rPr>
  </w:style>
  <w:style w:type="character" w:customStyle="1" w:styleId="hpsatn">
    <w:name w:val="hps atn"/>
    <w:basedOn w:val="Fuentedeprrafopredeter"/>
    <w:uiPriority w:val="99"/>
    <w:rsid w:val="009A3274"/>
    <w:rPr>
      <w:rFonts w:cs="Times New Roman"/>
    </w:rPr>
  </w:style>
  <w:style w:type="character" w:customStyle="1" w:styleId="A7">
    <w:name w:val="A7"/>
    <w:uiPriority w:val="99"/>
    <w:rsid w:val="009A3274"/>
    <w:rPr>
      <w:color w:val="auto"/>
      <w:sz w:val="16"/>
    </w:rPr>
  </w:style>
  <w:style w:type="character" w:customStyle="1" w:styleId="apple-converted-space">
    <w:name w:val="apple-converted-space"/>
    <w:uiPriority w:val="99"/>
    <w:rsid w:val="009A3274"/>
  </w:style>
  <w:style w:type="paragraph" w:customStyle="1" w:styleId="Bibliografa1">
    <w:name w:val="Bibliografía1"/>
    <w:basedOn w:val="Normal"/>
    <w:uiPriority w:val="99"/>
    <w:rsid w:val="009A3274"/>
    <w:pPr>
      <w:tabs>
        <w:tab w:val="left" w:pos="500"/>
      </w:tabs>
      <w:spacing w:after="240"/>
      <w:ind w:left="504" w:hanging="504"/>
    </w:pPr>
    <w:rPr>
      <w:rFonts w:ascii="Arial" w:hAnsi="Arial" w:cs="Arial"/>
      <w:sz w:val="20"/>
      <w:szCs w:val="20"/>
    </w:rPr>
  </w:style>
  <w:style w:type="paragraph" w:customStyle="1" w:styleId="TtulodeTDC1">
    <w:name w:val="Título de TDC1"/>
    <w:basedOn w:val="Ttulo1"/>
    <w:next w:val="Normal"/>
    <w:uiPriority w:val="99"/>
    <w:rsid w:val="009A3274"/>
    <w:pPr>
      <w:keepLines/>
      <w:autoSpaceDE/>
      <w:autoSpaceDN/>
      <w:adjustRightInd/>
      <w:spacing w:before="240" w:line="259" w:lineRule="auto"/>
      <w:outlineLvl w:val="9"/>
    </w:pPr>
    <w:rPr>
      <w:rFonts w:ascii="Calibri" w:eastAsia="MS Gothic" w:hAnsi="Calibri" w:cs="Calibri"/>
      <w:b w:val="0"/>
      <w:bCs w:val="0"/>
      <w:color w:val="365F91"/>
      <w:kern w:val="0"/>
    </w:rPr>
  </w:style>
  <w:style w:type="character" w:customStyle="1" w:styleId="apple-tab-span">
    <w:name w:val="apple-tab-span"/>
    <w:basedOn w:val="Fuentedeprrafopredeter"/>
    <w:uiPriority w:val="99"/>
    <w:rsid w:val="009A3274"/>
    <w:rPr>
      <w:rFonts w:cs="Times New Roman"/>
    </w:rPr>
  </w:style>
  <w:style w:type="paragraph" w:customStyle="1" w:styleId="Normal1">
    <w:name w:val="Normal1"/>
    <w:uiPriority w:val="99"/>
    <w:rsid w:val="009A3274"/>
    <w:pPr>
      <w:spacing w:after="200" w:line="276" w:lineRule="auto"/>
    </w:pPr>
    <w:rPr>
      <w:sz w:val="24"/>
      <w:szCs w:val="24"/>
    </w:rPr>
  </w:style>
  <w:style w:type="paragraph" w:styleId="Prrafodelista">
    <w:name w:val="List Paragraph"/>
    <w:basedOn w:val="Normal"/>
    <w:uiPriority w:val="99"/>
    <w:qFormat/>
    <w:rsid w:val="009A3274"/>
    <w:pPr>
      <w:ind w:left="720"/>
    </w:pPr>
  </w:style>
  <w:style w:type="paragraph" w:customStyle="1" w:styleId="Textoindependiente32">
    <w:name w:val="Texto independiente 32"/>
    <w:basedOn w:val="Normal"/>
    <w:uiPriority w:val="99"/>
    <w:rsid w:val="009A3274"/>
    <w:pPr>
      <w:suppressAutoHyphens/>
    </w:pPr>
    <w:rPr>
      <w:rFonts w:ascii="Arial" w:hAnsi="Arial" w:cs="Arial"/>
      <w:sz w:val="36"/>
      <w:szCs w:val="36"/>
      <w:lang w:eastAsia="zh-CN"/>
    </w:rPr>
  </w:style>
  <w:style w:type="paragraph" w:customStyle="1" w:styleId="Revisin1">
    <w:name w:val="Revisión1"/>
    <w:hidden/>
    <w:uiPriority w:val="99"/>
    <w:semiHidden/>
    <w:rsid w:val="009A3274"/>
    <w:pPr>
      <w:spacing w:after="160" w:line="259" w:lineRule="auto"/>
    </w:pPr>
    <w:rPr>
      <w:sz w:val="24"/>
      <w:szCs w:val="24"/>
    </w:rPr>
  </w:style>
  <w:style w:type="paragraph" w:customStyle="1" w:styleId="Revisin2">
    <w:name w:val="Revisión2"/>
    <w:hidden/>
    <w:uiPriority w:val="99"/>
    <w:semiHidden/>
    <w:rsid w:val="009A3274"/>
    <w:rPr>
      <w:sz w:val="24"/>
      <w:szCs w:val="24"/>
    </w:rPr>
  </w:style>
  <w:style w:type="character" w:customStyle="1" w:styleId="referenceChar">
    <w:name w:val="reference Char"/>
    <w:link w:val="reference"/>
    <w:uiPriority w:val="99"/>
    <w:locked/>
    <w:rsid w:val="00550EA8"/>
    <w:rPr>
      <w:rFonts w:ascii="Arial" w:hAnsi="Arial"/>
      <w:sz w:val="21"/>
      <w:lang w:val="en-US" w:eastAsia="en-US"/>
    </w:rPr>
  </w:style>
  <w:style w:type="paragraph" w:customStyle="1" w:styleId="reference">
    <w:name w:val="reference"/>
    <w:basedOn w:val="Normal"/>
    <w:link w:val="referenceChar"/>
    <w:uiPriority w:val="99"/>
    <w:rsid w:val="00550EA8"/>
    <w:pPr>
      <w:keepLines/>
      <w:snapToGrid w:val="0"/>
      <w:spacing w:after="240" w:line="240" w:lineRule="auto"/>
      <w:ind w:left="360" w:hanging="360"/>
    </w:pPr>
    <w:rPr>
      <w:rFonts w:ascii="Arial" w:hAnsi="Arial"/>
      <w:sz w:val="21"/>
      <w:szCs w:val="20"/>
      <w:lang w:val="en-US" w:eastAsia="en-US"/>
    </w:rPr>
  </w:style>
  <w:style w:type="character" w:customStyle="1" w:styleId="tlid-translationtranslation">
    <w:name w:val="tlid-translation translation"/>
    <w:basedOn w:val="Fuentedeprrafopredeter"/>
    <w:uiPriority w:val="99"/>
    <w:rsid w:val="00C026A9"/>
    <w:rPr>
      <w:rFonts w:cs="Times New Roman"/>
    </w:rPr>
  </w:style>
  <w:style w:type="character" w:customStyle="1" w:styleId="CarCar7">
    <w:name w:val="Car Car7"/>
    <w:uiPriority w:val="99"/>
    <w:semiHidden/>
    <w:locked/>
    <w:rsid w:val="00303273"/>
    <w:rPr>
      <w:sz w:val="24"/>
    </w:rPr>
  </w:style>
  <w:style w:type="paragraph" w:customStyle="1" w:styleId="Encabezado2">
    <w:name w:val="Encabezado 2"/>
    <w:basedOn w:val="Normal"/>
    <w:next w:val="Normal"/>
    <w:link w:val="Ttulo2Car1"/>
    <w:uiPriority w:val="99"/>
    <w:rsid w:val="005D7726"/>
    <w:pPr>
      <w:keepNext/>
      <w:shd w:val="clear" w:color="auto" w:fill="FFFFFF"/>
      <w:tabs>
        <w:tab w:val="left" w:pos="0"/>
      </w:tabs>
      <w:suppressAutoHyphens/>
      <w:spacing w:after="0" w:line="240" w:lineRule="auto"/>
      <w:ind w:left="576" w:hanging="576"/>
      <w:jc w:val="both"/>
      <w:outlineLvl w:val="1"/>
    </w:pPr>
    <w:rPr>
      <w:rFonts w:ascii="Cambria" w:hAnsi="Cambria"/>
      <w:b/>
      <w:bCs/>
      <w:i/>
      <w:iCs/>
      <w:sz w:val="28"/>
      <w:szCs w:val="28"/>
      <w:lang w:eastAsia="zh-CN"/>
    </w:rPr>
  </w:style>
  <w:style w:type="character" w:customStyle="1" w:styleId="Ttulo2Car1">
    <w:name w:val="Título 2 Car1"/>
    <w:link w:val="Encabezado2"/>
    <w:uiPriority w:val="99"/>
    <w:semiHidden/>
    <w:locked/>
    <w:rsid w:val="005D7726"/>
    <w:rPr>
      <w:rFonts w:ascii="Cambria" w:hAnsi="Cambria"/>
      <w:b/>
      <w:i/>
      <w:sz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aimfa.es/wp-content/uploads/2018/06/omakase-lab-3-2018-burden-of-cancer-in-spain.pdf" TargetMode="External"/><Relationship Id="rId26" Type="http://schemas.openxmlformats.org/officeDocument/2006/relationships/image" Target="media/image7.emf"/><Relationship Id="rId39" Type="http://schemas.openxmlformats.org/officeDocument/2006/relationships/image" Target="media/image10.png"/><Relationship Id="rId21" Type="http://schemas.openxmlformats.org/officeDocument/2006/relationships/hyperlink" Target="https://www.ncbi.nlm.nih.gov/pubmed/27287210" TargetMode="External"/><Relationship Id="rId34" Type="http://schemas.openxmlformats.org/officeDocument/2006/relationships/hyperlink" Target="https://clinicaltrials.gov/ct2/show/NCT02296125" TargetMode="External"/><Relationship Id="rId42" Type="http://schemas.openxmlformats.org/officeDocument/2006/relationships/theme" Target="theme/theme1.xml"/><Relationship Id="rId7" Type="http://schemas.openxmlformats.org/officeDocument/2006/relationships/hyperlink" Target="http://gruposdetrabajo.sefh.es/genesis/genesis/Enlaces/InformesHosp_abc.htm" TargetMode="External"/><Relationship Id="rId2" Type="http://schemas.openxmlformats.org/officeDocument/2006/relationships/styles" Target="styles.xml"/><Relationship Id="rId16" Type="http://schemas.openxmlformats.org/officeDocument/2006/relationships/hyperlink" Target="http://www.ine.es/" TargetMode="External"/><Relationship Id="rId20" Type="http://schemas.openxmlformats.org/officeDocument/2006/relationships/hyperlink" Target="https://www.uptodate.com/contents/overview-of-the-initial-treatment-and-prognosis-of-lung-cancer?search=lung%20cancer&amp;source=search_result&amp;selectedTitle=3~150&amp;usage_type=default&amp;display_rank=3" TargetMode="External"/><Relationship Id="rId29" Type="http://schemas.openxmlformats.org/officeDocument/2006/relationships/hyperlink" Target="http://www.ine.es/jaxi/Tabla.htm?path=/t20/p278/p02/2018-2033/pob/l0/&amp;file=02000.p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hyperlink" Target="http://dx.doi.org/10.1097/MD.0000000000011569"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cbi.nlm.nih.gov/pubmed/30429004" TargetMode="External"/><Relationship Id="rId23" Type="http://schemas.openxmlformats.org/officeDocument/2006/relationships/oleObject" Target="embeddings/oleObject1.bin"/><Relationship Id="rId28" Type="http://schemas.openxmlformats.org/officeDocument/2006/relationships/hyperlink" Target="https://www.zorginstituutnederland.nl/publicaties/adviezen/2018/11/07/pakketadvies-sluisgeneesmiddel-osimertinib-tagrisso-bij-de-eerstelijnsbehandeling-van-patienten-met-gevorderde-of-gemetastaseerde-niet-kleincellige-longkanker-nsclc-met-activerende-egfr-mutaties" TargetMode="External"/><Relationship Id="rId36" Type="http://schemas.openxmlformats.org/officeDocument/2006/relationships/hyperlink" Target="https://www.esmo.org/Guidelines/Lung-and-Chest-Tumours/Metastatic-Non-Small-Cell-Lung-Cancer" TargetMode="External"/><Relationship Id="rId10" Type="http://schemas.openxmlformats.org/officeDocument/2006/relationships/hyperlink" Target="https://www.aimfa.es/wp-content/uploads/2018/06/omakase-lab-3-2018-burden-of-cancer-in-spain.pdf" TargetMode="External"/><Relationship Id="rId19" Type="http://schemas.openxmlformats.org/officeDocument/2006/relationships/hyperlink" Target="https://www.esmo.org/Guidelines/Lung-and-Chest-Tumours/Metastatic-Non-Small-Cell-Lung-Cancer" TargetMode="External"/><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s://seom.org/seomcms/images/stories/recursos/Las_Cifras_del_cancer_en_Espana2018.pdf" TargetMode="External"/><Relationship Id="rId14" Type="http://schemas.openxmlformats.org/officeDocument/2006/relationships/image" Target="media/image4.emf"/><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8.emf"/><Relationship Id="rId35" Type="http://schemas.openxmlformats.org/officeDocument/2006/relationships/hyperlink" Target="https://www.ema.europa.eu/en/documents/smop-initial/chmp-summary-positive-opinion-giotrif_en.pdf" TargetMode="External"/><Relationship Id="rId8" Type="http://schemas.openxmlformats.org/officeDocument/2006/relationships/hyperlink" Target="http://gruposdetrabajo.sefh.es/genesis/" TargetMode="Externa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aemps.gob.es/medicamentosUsoHumano/informesPublicos/docs/IPT-osimertinib-Tagrisso-cancer-pulmon-NM-MT790.pdf" TargetMode="External"/><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hyperlink" Target="https://www.esmo.org/Guidelines/Lung-and-Chest-Tumours/Metastatic-Non-Small-Cell-Lung-Cance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gruposdetrabajo.sefh.es/genesis" TargetMode="External"/><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53298</Words>
  <Characters>293140</Characters>
  <Application>Microsoft Office Word</Application>
  <DocSecurity>0</DocSecurity>
  <Lines>2442</Lines>
  <Paragraphs>691</Paragraphs>
  <ScaleCrop>false</ScaleCrop>
  <HeadingPairs>
    <vt:vector size="2" baseType="variant">
      <vt:variant>
        <vt:lpstr>Título</vt:lpstr>
      </vt:variant>
      <vt:variant>
        <vt:i4>1</vt:i4>
      </vt:variant>
    </vt:vector>
  </HeadingPairs>
  <TitlesOfParts>
    <vt:vector size="1" baseType="lpstr">
      <vt:lpstr>NOMBRE DEL FÁRMACO</vt:lpstr>
    </vt:vector>
  </TitlesOfParts>
  <Company>FPL</Company>
  <LinksUpToDate>false</LinksUpToDate>
  <CharactersWithSpaces>345747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FÁRMACO</dc:title>
  <dc:creator>usuario</dc:creator>
  <cp:lastModifiedBy>luciavelascoroces@outlook.es</cp:lastModifiedBy>
  <cp:revision>3</cp:revision>
  <cp:lastPrinted>2019-04-10T12:46:00Z</cp:lastPrinted>
  <dcterms:created xsi:type="dcterms:W3CDTF">2020-10-24T08:35:00Z</dcterms:created>
  <dcterms:modified xsi:type="dcterms:W3CDTF">2020-11-01T09:24:00Z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id="2CTxKzO4"/&gt;&lt;style id="http://www.zotero.org/styles/vancouver"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y fmtid="{D5CDD505-2E9C-101B-9397-08002B2CF9AE}" pid="4" name="KSOProductBuildVer">
    <vt:lpwstr>1033-10.2.0.5838</vt:lpwstr>
  </property>
</Properties>
</file>