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AC7E45" w14:paraId="6B00F0A9" w14:textId="77777777">
        <w:tc>
          <w:tcPr>
            <w:tcW w:w="8890" w:type="dxa"/>
            <w:shd w:val="clear" w:color="auto" w:fill="FFCC99"/>
          </w:tcPr>
          <w:p w14:paraId="3561C43E" w14:textId="77777777" w:rsidR="00AC7E45" w:rsidRPr="00CF083A" w:rsidRDefault="00AC7E45" w:rsidP="00AE3263">
            <w:pPr>
              <w:pStyle w:val="Textodeglobo"/>
            </w:pPr>
          </w:p>
          <w:p w14:paraId="02B24EED" w14:textId="4B202091" w:rsidR="00AC7E45" w:rsidRDefault="00D87D77">
            <w:pPr>
              <w:jc w:val="center"/>
              <w:rPr>
                <w:rFonts w:ascii="Arial" w:hAnsi="Arial" w:cs="Arial"/>
                <w:b/>
                <w:bCs/>
                <w:sz w:val="40"/>
                <w:szCs w:val="40"/>
              </w:rPr>
            </w:pPr>
            <w:r>
              <w:rPr>
                <w:rFonts w:ascii="Arial" w:hAnsi="Arial" w:cs="Arial"/>
                <w:b/>
                <w:bCs/>
                <w:sz w:val="40"/>
                <w:szCs w:val="40"/>
              </w:rPr>
              <w:t>ONASEMNOGEN</w:t>
            </w:r>
            <w:r w:rsidR="004771C4">
              <w:rPr>
                <w:rFonts w:ascii="Arial" w:hAnsi="Arial" w:cs="Arial"/>
                <w:b/>
                <w:bCs/>
                <w:sz w:val="40"/>
                <w:szCs w:val="40"/>
              </w:rPr>
              <w:t xml:space="preserve"> ABEPARVOVEC</w:t>
            </w:r>
          </w:p>
          <w:p w14:paraId="0D8A89C1" w14:textId="673C322C" w:rsidR="00AC7E45" w:rsidRDefault="00AC7E45">
            <w:pPr>
              <w:jc w:val="center"/>
              <w:rPr>
                <w:rFonts w:ascii="Arial" w:hAnsi="Arial" w:cs="Arial"/>
                <w:b/>
                <w:bCs/>
                <w:sz w:val="40"/>
                <w:szCs w:val="40"/>
              </w:rPr>
            </w:pPr>
            <w:r>
              <w:rPr>
                <w:rFonts w:ascii="Arial" w:hAnsi="Arial" w:cs="Arial"/>
                <w:b/>
                <w:bCs/>
                <w:sz w:val="40"/>
                <w:szCs w:val="40"/>
              </w:rPr>
              <w:t xml:space="preserve">En </w:t>
            </w:r>
            <w:r w:rsidR="004771C4">
              <w:rPr>
                <w:rFonts w:ascii="Arial" w:hAnsi="Arial" w:cs="Arial"/>
                <w:b/>
                <w:bCs/>
                <w:sz w:val="40"/>
                <w:szCs w:val="40"/>
              </w:rPr>
              <w:t>atrofia muscular espinal tipo I y en mutación bialélica del gen SMN1 y hasta 3 copias del SMN2</w:t>
            </w:r>
          </w:p>
          <w:p w14:paraId="16D378AD" w14:textId="77777777" w:rsidR="00AC7E45" w:rsidRDefault="00AC7E45">
            <w:pPr>
              <w:jc w:val="center"/>
              <w:rPr>
                <w:rFonts w:ascii="Arial" w:hAnsi="Arial" w:cs="Arial"/>
                <w:b/>
                <w:bCs/>
              </w:rPr>
            </w:pPr>
            <w:r>
              <w:rPr>
                <w:rFonts w:ascii="Arial" w:hAnsi="Arial" w:cs="Arial"/>
                <w:b/>
                <w:bCs/>
                <w:sz w:val="22"/>
                <w:szCs w:val="22"/>
              </w:rPr>
              <w:t>Informe GENESIS-SEFH</w:t>
            </w:r>
          </w:p>
          <w:p w14:paraId="49C93ADF" w14:textId="77777777" w:rsidR="00AC7E45" w:rsidRDefault="00AC7E45">
            <w:pPr>
              <w:keepNext/>
              <w:jc w:val="center"/>
              <w:outlineLvl w:val="2"/>
              <w:rPr>
                <w:rFonts w:ascii="Arial" w:hAnsi="Arial" w:cs="Arial"/>
              </w:rPr>
            </w:pPr>
          </w:p>
          <w:p w14:paraId="47E4556D" w14:textId="77777777" w:rsidR="00AC7E45" w:rsidRDefault="00AC7E45">
            <w:pPr>
              <w:jc w:val="center"/>
              <w:rPr>
                <w:rFonts w:ascii="Arial" w:hAnsi="Arial" w:cs="Arial"/>
              </w:rPr>
            </w:pPr>
            <w:bookmarkStart w:id="0" w:name="_Toc503978942"/>
            <w:r>
              <w:rPr>
                <w:rFonts w:ascii="Arial" w:hAnsi="Arial" w:cs="Arial"/>
                <w:sz w:val="22"/>
                <w:szCs w:val="22"/>
              </w:rPr>
              <w:t>Informe para el grupo GENESIS elaborado según el método y procedimientos de evaluación compartida establecidos por este grupo de trabajo de la SEFH</w:t>
            </w:r>
            <w:bookmarkEnd w:id="0"/>
          </w:p>
          <w:p w14:paraId="1DAE1D54" w14:textId="49344C22" w:rsidR="00AC7E45" w:rsidRDefault="00AC7E45">
            <w:pPr>
              <w:jc w:val="center"/>
            </w:pPr>
            <w:r>
              <w:rPr>
                <w:rFonts w:ascii="Arial" w:hAnsi="Arial" w:cs="Arial"/>
                <w:b/>
                <w:bCs/>
                <w:sz w:val="20"/>
                <w:szCs w:val="20"/>
                <w:lang w:eastAsia="en-US"/>
              </w:rPr>
              <w:t>Fecha redacción informe:</w:t>
            </w:r>
            <w:r>
              <w:rPr>
                <w:rFonts w:ascii="Arial" w:hAnsi="Arial" w:cs="Arial"/>
                <w:b/>
                <w:bCs/>
                <w:lang w:eastAsia="en-US"/>
              </w:rPr>
              <w:t xml:space="preserve"> </w:t>
            </w:r>
            <w:r w:rsidR="004771C4">
              <w:rPr>
                <w:rFonts w:ascii="Arial" w:hAnsi="Arial" w:cs="Arial"/>
                <w:b/>
                <w:bCs/>
                <w:sz w:val="20"/>
                <w:szCs w:val="20"/>
                <w:lang w:eastAsia="en-US"/>
              </w:rPr>
              <w:t>julio 2020</w:t>
            </w:r>
          </w:p>
          <w:p w14:paraId="30814A02" w14:textId="77777777" w:rsidR="00AC7E45" w:rsidRDefault="00AC7E45" w:rsidP="004771C4">
            <w:pPr>
              <w:jc w:val="center"/>
              <w:rPr>
                <w:rFonts w:ascii="Arial" w:hAnsi="Arial" w:cs="Arial"/>
                <w:color w:val="0000FF"/>
              </w:rPr>
            </w:pPr>
          </w:p>
        </w:tc>
      </w:tr>
    </w:tbl>
    <w:p w14:paraId="1E1D7D9B" w14:textId="77777777" w:rsidR="00AC7E45" w:rsidRDefault="00AC7E45">
      <w:pPr>
        <w:rPr>
          <w:rFonts w:ascii="Arial" w:hAnsi="Arial" w:cs="Arial"/>
          <w:b/>
          <w:bCs/>
          <w:sz w:val="20"/>
          <w:szCs w:val="20"/>
        </w:rPr>
      </w:pPr>
    </w:p>
    <w:p w14:paraId="0F0322DD" w14:textId="77777777" w:rsidR="00AB032C" w:rsidRDefault="00AC7E45" w:rsidP="001F6887">
      <w:pPr>
        <w:rPr>
          <w:rFonts w:ascii="Arial" w:hAnsi="Arial" w:cs="Arial"/>
          <w:b/>
          <w:bCs/>
          <w:sz w:val="20"/>
          <w:szCs w:val="20"/>
        </w:rPr>
      </w:pPr>
      <w:r>
        <w:rPr>
          <w:rFonts w:ascii="Arial" w:hAnsi="Arial" w:cs="Arial"/>
          <w:b/>
          <w:bCs/>
          <w:sz w:val="20"/>
          <w:szCs w:val="20"/>
        </w:rPr>
        <w:t>ÍNDICE:</w:t>
      </w:r>
    </w:p>
    <w:p w14:paraId="74101078" w14:textId="065D3954" w:rsidR="001F6887" w:rsidRDefault="0024270B" w:rsidP="001F6887">
      <w:r w:rsidRPr="00CE3105">
        <w:fldChar w:fldCharType="begin"/>
      </w:r>
      <w:r w:rsidR="00CE3105" w:rsidRPr="00CE3105">
        <w:instrText xml:space="preserve"> INDEX \c "1" \z "3082" </w:instrText>
      </w:r>
      <w:r w:rsidRPr="00CE3105">
        <w:fldChar w:fldCharType="separate"/>
      </w:r>
    </w:p>
    <w:p w14:paraId="1F0E101C" w14:textId="78D294E2" w:rsidR="00CE3105" w:rsidRDefault="001F6887"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1</w:t>
      </w:r>
      <w:r w:rsidR="00CE3105" w:rsidRPr="00CE3105">
        <w:rPr>
          <w:rStyle w:val="Hipervnculo"/>
          <w:rFonts w:ascii="Arial" w:eastAsia="Times New Roman" w:hAnsi="Arial" w:cs="Arial"/>
          <w:color w:val="auto"/>
          <w:sz w:val="20"/>
          <w:szCs w:val="20"/>
          <w:u w:val="none"/>
        </w:rPr>
        <w:t xml:space="preserve">.- </w:t>
      </w:r>
      <w:r w:rsidRPr="00CE3105">
        <w:rPr>
          <w:rStyle w:val="Hipervnculo"/>
          <w:rFonts w:ascii="Arial" w:eastAsia="Times New Roman" w:hAnsi="Arial" w:cs="Arial"/>
          <w:color w:val="auto"/>
          <w:sz w:val="20"/>
          <w:szCs w:val="20"/>
          <w:u w:val="none"/>
        </w:rPr>
        <w:t>IDENTIFICACIÓN DEL FÁRMACO Y AUTORES DEL INFORME</w:t>
      </w:r>
      <w:r w:rsidR="00CE3105" w:rsidRPr="00CE3105">
        <w:rPr>
          <w:rStyle w:val="Hipervnculo"/>
          <w:rFonts w:ascii="Arial" w:eastAsia="Times New Roman" w:hAnsi="Arial" w:cs="Arial"/>
          <w:color w:val="auto"/>
          <w:sz w:val="20"/>
          <w:szCs w:val="20"/>
          <w:u w:val="none"/>
        </w:rPr>
        <w:tab/>
      </w:r>
      <w:r w:rsidR="00D07158">
        <w:rPr>
          <w:rStyle w:val="Hipervnculo"/>
          <w:rFonts w:ascii="Arial" w:eastAsia="Times New Roman" w:hAnsi="Arial" w:cs="Arial"/>
          <w:color w:val="auto"/>
          <w:sz w:val="20"/>
          <w:szCs w:val="20"/>
          <w:u w:val="none"/>
        </w:rPr>
        <w:t>3</w:t>
      </w:r>
    </w:p>
    <w:p w14:paraId="0C9FE779" w14:textId="77777777" w:rsidR="001F6887" w:rsidRDefault="001F6887"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2.- SOLICITUD Y D</w:t>
      </w:r>
      <w:r>
        <w:rPr>
          <w:rStyle w:val="Hipervnculo"/>
          <w:rFonts w:ascii="Arial" w:eastAsia="Times New Roman" w:hAnsi="Arial" w:cs="Arial"/>
          <w:color w:val="auto"/>
          <w:sz w:val="20"/>
          <w:szCs w:val="20"/>
          <w:u w:val="none"/>
        </w:rPr>
        <w:t>ATOS DEL PROCESO DE EVALUACIÓN,</w:t>
      </w:r>
      <w:r w:rsidRPr="00CE3105">
        <w:rPr>
          <w:rStyle w:val="Hipervnculo"/>
          <w:rFonts w:ascii="Arial" w:eastAsia="Times New Roman" w:hAnsi="Arial" w:cs="Arial"/>
          <w:color w:val="auto"/>
          <w:sz w:val="20"/>
          <w:szCs w:val="20"/>
          <w:u w:val="none"/>
        </w:rPr>
        <w:tab/>
      </w:r>
      <w:r>
        <w:rPr>
          <w:rStyle w:val="Hipervnculo"/>
          <w:rFonts w:ascii="Arial" w:eastAsia="Times New Roman" w:hAnsi="Arial" w:cs="Arial"/>
          <w:color w:val="auto"/>
          <w:sz w:val="20"/>
          <w:szCs w:val="20"/>
          <w:u w:val="none"/>
        </w:rPr>
        <w:t>3</w:t>
      </w:r>
    </w:p>
    <w:p w14:paraId="798CC827" w14:textId="2C08F39F"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3.- AREA DESCRIPTIVA DEL MEDICAMENTO Y DEL PROBLEMA DE SALUD, </w:t>
      </w:r>
      <w:r w:rsidRPr="00CE3105">
        <w:rPr>
          <w:rStyle w:val="Hipervnculo"/>
          <w:rFonts w:ascii="Arial" w:eastAsia="Times New Roman" w:hAnsi="Arial" w:cs="Arial"/>
          <w:color w:val="auto"/>
          <w:sz w:val="20"/>
          <w:szCs w:val="20"/>
          <w:u w:val="none"/>
        </w:rPr>
        <w:tab/>
      </w:r>
      <w:r w:rsidR="00D07158">
        <w:rPr>
          <w:rStyle w:val="Hipervnculo"/>
          <w:rFonts w:ascii="Arial" w:eastAsia="Times New Roman" w:hAnsi="Arial" w:cs="Arial"/>
          <w:color w:val="auto"/>
          <w:sz w:val="20"/>
          <w:szCs w:val="20"/>
          <w:u w:val="none"/>
        </w:rPr>
        <w:t>3</w:t>
      </w:r>
    </w:p>
    <w:p w14:paraId="28E77309" w14:textId="6E76F426"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3.1 Área descriptiva del medicamento, </w:t>
      </w:r>
      <w:r w:rsidRPr="00CE3105">
        <w:rPr>
          <w:rStyle w:val="Hipervnculo"/>
          <w:rFonts w:ascii="Arial" w:eastAsia="Times New Roman" w:hAnsi="Arial" w:cs="Arial"/>
          <w:color w:val="auto"/>
          <w:sz w:val="20"/>
          <w:szCs w:val="20"/>
          <w:u w:val="none"/>
        </w:rPr>
        <w:tab/>
      </w:r>
      <w:r w:rsidR="00D07158">
        <w:rPr>
          <w:rStyle w:val="Hipervnculo"/>
          <w:rFonts w:ascii="Arial" w:eastAsia="Times New Roman" w:hAnsi="Arial" w:cs="Arial"/>
          <w:color w:val="auto"/>
          <w:sz w:val="20"/>
          <w:szCs w:val="20"/>
          <w:u w:val="none"/>
        </w:rPr>
        <w:t>3</w:t>
      </w:r>
    </w:p>
    <w:p w14:paraId="5234E547" w14:textId="64814A64"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3.2 Área descriptiva del problema de salud, </w:t>
      </w:r>
      <w:r w:rsidRPr="00CE3105">
        <w:rPr>
          <w:rStyle w:val="Hipervnculo"/>
          <w:rFonts w:ascii="Arial" w:eastAsia="Times New Roman" w:hAnsi="Arial" w:cs="Arial"/>
          <w:color w:val="auto"/>
          <w:sz w:val="20"/>
          <w:szCs w:val="20"/>
          <w:u w:val="none"/>
        </w:rPr>
        <w:tab/>
      </w:r>
      <w:r w:rsidR="00D07158">
        <w:rPr>
          <w:rStyle w:val="Hipervnculo"/>
          <w:rFonts w:ascii="Arial" w:eastAsia="Times New Roman" w:hAnsi="Arial" w:cs="Arial"/>
          <w:color w:val="auto"/>
          <w:sz w:val="20"/>
          <w:szCs w:val="20"/>
          <w:u w:val="none"/>
        </w:rPr>
        <w:t>4</w:t>
      </w:r>
    </w:p>
    <w:p w14:paraId="524CB9CC" w14:textId="4F0FD071"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3.2.a Descripción estructurada del problema de salud, </w:t>
      </w:r>
      <w:r w:rsidRPr="00CE3105">
        <w:rPr>
          <w:rStyle w:val="Hipervnculo"/>
          <w:rFonts w:ascii="Arial" w:eastAsia="Times New Roman" w:hAnsi="Arial" w:cs="Arial"/>
          <w:color w:val="auto"/>
          <w:sz w:val="20"/>
          <w:szCs w:val="20"/>
          <w:u w:val="none"/>
        </w:rPr>
        <w:tab/>
      </w:r>
      <w:r w:rsidR="00D07158">
        <w:rPr>
          <w:rStyle w:val="Hipervnculo"/>
          <w:rFonts w:ascii="Arial" w:eastAsia="Times New Roman" w:hAnsi="Arial" w:cs="Arial"/>
          <w:color w:val="auto"/>
          <w:sz w:val="20"/>
          <w:szCs w:val="20"/>
          <w:u w:val="none"/>
        </w:rPr>
        <w:t>4</w:t>
      </w:r>
    </w:p>
    <w:p w14:paraId="64809B40" w14:textId="2CBC7165"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3.2.b Tratamiento actual de la enfermedad: evidencias,</w:t>
      </w:r>
      <w:r w:rsidRPr="00CE3105">
        <w:rPr>
          <w:rStyle w:val="Hipervnculo"/>
          <w:rFonts w:ascii="Arial" w:eastAsia="Times New Roman" w:hAnsi="Arial" w:cs="Arial"/>
          <w:color w:val="auto"/>
          <w:sz w:val="20"/>
          <w:szCs w:val="20"/>
          <w:u w:val="none"/>
        </w:rPr>
        <w:tab/>
      </w:r>
      <w:r w:rsidR="00D07158">
        <w:rPr>
          <w:rStyle w:val="Hipervnculo"/>
          <w:rFonts w:ascii="Arial" w:eastAsia="Times New Roman" w:hAnsi="Arial" w:cs="Arial"/>
          <w:color w:val="auto"/>
          <w:sz w:val="20"/>
          <w:szCs w:val="20"/>
          <w:u w:val="none"/>
        </w:rPr>
        <w:t>6</w:t>
      </w:r>
      <w:r w:rsidRPr="00CE3105">
        <w:rPr>
          <w:rStyle w:val="Hipervnculo"/>
          <w:rFonts w:ascii="Arial" w:eastAsia="Times New Roman" w:hAnsi="Arial" w:cs="Arial"/>
          <w:color w:val="auto"/>
          <w:sz w:val="20"/>
          <w:szCs w:val="20"/>
          <w:u w:val="none"/>
        </w:rPr>
        <w:t xml:space="preserve"> </w:t>
      </w:r>
    </w:p>
    <w:p w14:paraId="34D0E5C7" w14:textId="5456EA36"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3.3 Características comparadas con otras alternativas similares,</w:t>
      </w:r>
      <w:r w:rsidRPr="00CE3105">
        <w:rPr>
          <w:rStyle w:val="Hipervnculo"/>
          <w:rFonts w:ascii="Arial" w:eastAsia="Times New Roman" w:hAnsi="Arial" w:cs="Arial"/>
          <w:color w:val="auto"/>
          <w:sz w:val="20"/>
          <w:szCs w:val="20"/>
          <w:u w:val="none"/>
        </w:rPr>
        <w:tab/>
      </w:r>
      <w:r w:rsidR="00D07158">
        <w:rPr>
          <w:rStyle w:val="Hipervnculo"/>
          <w:rFonts w:ascii="Arial" w:eastAsia="Times New Roman" w:hAnsi="Arial" w:cs="Arial"/>
          <w:color w:val="auto"/>
          <w:sz w:val="20"/>
          <w:szCs w:val="20"/>
          <w:u w:val="none"/>
        </w:rPr>
        <w:t>7</w:t>
      </w:r>
      <w:r w:rsidRPr="00CE3105">
        <w:rPr>
          <w:rStyle w:val="Hipervnculo"/>
          <w:rFonts w:ascii="Arial" w:eastAsia="Times New Roman" w:hAnsi="Arial" w:cs="Arial"/>
          <w:color w:val="auto"/>
          <w:sz w:val="20"/>
          <w:szCs w:val="20"/>
          <w:u w:val="none"/>
        </w:rPr>
        <w:t xml:space="preserve"> </w:t>
      </w:r>
    </w:p>
    <w:p w14:paraId="4D0BE2FA" w14:textId="2563EE23"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4.- AREA DE ACCIÓN FARMACOLÓGICA., </w:t>
      </w:r>
      <w:r w:rsidRPr="00CE3105">
        <w:rPr>
          <w:rStyle w:val="Hipervnculo"/>
          <w:rFonts w:ascii="Arial" w:eastAsia="Times New Roman" w:hAnsi="Arial" w:cs="Arial"/>
          <w:color w:val="auto"/>
          <w:sz w:val="20"/>
          <w:szCs w:val="20"/>
          <w:u w:val="none"/>
        </w:rPr>
        <w:tab/>
      </w:r>
      <w:r w:rsidR="00D07158">
        <w:rPr>
          <w:rStyle w:val="Hipervnculo"/>
          <w:rFonts w:ascii="Arial" w:eastAsia="Times New Roman" w:hAnsi="Arial" w:cs="Arial"/>
          <w:color w:val="auto"/>
          <w:sz w:val="20"/>
          <w:szCs w:val="20"/>
          <w:u w:val="none"/>
        </w:rPr>
        <w:t>8</w:t>
      </w:r>
    </w:p>
    <w:p w14:paraId="5C0F68EF" w14:textId="05B38A5D"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4.1 Mecanismo de acción, </w:t>
      </w:r>
      <w:r w:rsidRPr="00CE3105">
        <w:rPr>
          <w:rStyle w:val="Hipervnculo"/>
          <w:rFonts w:ascii="Arial" w:eastAsia="Times New Roman" w:hAnsi="Arial" w:cs="Arial"/>
          <w:color w:val="auto"/>
          <w:sz w:val="20"/>
          <w:szCs w:val="20"/>
          <w:u w:val="none"/>
        </w:rPr>
        <w:tab/>
      </w:r>
      <w:r w:rsidR="00D07158">
        <w:rPr>
          <w:rStyle w:val="Hipervnculo"/>
          <w:rFonts w:ascii="Arial" w:eastAsia="Times New Roman" w:hAnsi="Arial" w:cs="Arial"/>
          <w:color w:val="auto"/>
          <w:sz w:val="20"/>
          <w:szCs w:val="20"/>
          <w:u w:val="none"/>
        </w:rPr>
        <w:t>8</w:t>
      </w:r>
    </w:p>
    <w:p w14:paraId="56398A0A" w14:textId="28C9F51A"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4.2 Indicaciones clínicas formalmente aprobadas y fecha de aprobación.,</w:t>
      </w:r>
      <w:r w:rsidRPr="00CE3105">
        <w:rPr>
          <w:rStyle w:val="Hipervnculo"/>
          <w:rFonts w:ascii="Arial" w:eastAsia="Times New Roman" w:hAnsi="Arial" w:cs="Arial"/>
          <w:color w:val="auto"/>
          <w:sz w:val="20"/>
          <w:szCs w:val="20"/>
          <w:u w:val="none"/>
        </w:rPr>
        <w:tab/>
      </w:r>
      <w:r w:rsidR="00B6649B">
        <w:rPr>
          <w:rStyle w:val="Hipervnculo"/>
          <w:rFonts w:ascii="Arial" w:eastAsia="Times New Roman" w:hAnsi="Arial" w:cs="Arial"/>
          <w:color w:val="auto"/>
          <w:sz w:val="20"/>
          <w:szCs w:val="20"/>
          <w:u w:val="none"/>
        </w:rPr>
        <w:t>8</w:t>
      </w:r>
      <w:r w:rsidRPr="00CE3105">
        <w:rPr>
          <w:rStyle w:val="Hipervnculo"/>
          <w:rFonts w:ascii="Arial" w:eastAsia="Times New Roman" w:hAnsi="Arial" w:cs="Arial"/>
          <w:color w:val="auto"/>
          <w:sz w:val="20"/>
          <w:szCs w:val="20"/>
          <w:u w:val="none"/>
        </w:rPr>
        <w:t xml:space="preserve"> </w:t>
      </w:r>
    </w:p>
    <w:p w14:paraId="78718D14" w14:textId="3E5A49B2"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4.3 Posología, forma de preparación y administración, </w:t>
      </w:r>
      <w:r w:rsidRPr="00CE3105">
        <w:rPr>
          <w:rStyle w:val="Hipervnculo"/>
          <w:rFonts w:ascii="Arial" w:eastAsia="Times New Roman" w:hAnsi="Arial" w:cs="Arial"/>
          <w:color w:val="auto"/>
          <w:sz w:val="20"/>
          <w:szCs w:val="20"/>
          <w:u w:val="none"/>
        </w:rPr>
        <w:tab/>
      </w:r>
      <w:r w:rsidR="00B6649B">
        <w:rPr>
          <w:rStyle w:val="Hipervnculo"/>
          <w:rFonts w:ascii="Arial" w:eastAsia="Times New Roman" w:hAnsi="Arial" w:cs="Arial"/>
          <w:color w:val="auto"/>
          <w:sz w:val="20"/>
          <w:szCs w:val="20"/>
          <w:u w:val="none"/>
        </w:rPr>
        <w:t>8</w:t>
      </w:r>
    </w:p>
    <w:p w14:paraId="373E243D" w14:textId="5A064A39" w:rsidR="00CE3105" w:rsidRP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4.4 Utilización en poblaciones especiales, </w:t>
      </w:r>
      <w:r w:rsidRPr="00CE3105">
        <w:rPr>
          <w:rStyle w:val="Hipervnculo"/>
          <w:rFonts w:ascii="Arial" w:eastAsia="Times New Roman" w:hAnsi="Arial" w:cs="Arial"/>
          <w:color w:val="auto"/>
          <w:sz w:val="20"/>
          <w:szCs w:val="20"/>
          <w:u w:val="none"/>
        </w:rPr>
        <w:tab/>
      </w:r>
      <w:r w:rsidR="00B6649B">
        <w:rPr>
          <w:rStyle w:val="Hipervnculo"/>
          <w:rFonts w:ascii="Arial" w:eastAsia="Times New Roman" w:hAnsi="Arial" w:cs="Arial"/>
          <w:color w:val="auto"/>
          <w:sz w:val="20"/>
          <w:szCs w:val="20"/>
          <w:u w:val="none"/>
        </w:rPr>
        <w:t>10</w:t>
      </w:r>
    </w:p>
    <w:p w14:paraId="4BA98FF4" w14:textId="04193269" w:rsidR="00CE3105" w:rsidRDefault="00CE3105"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4.5 Farmacocinética,</w:t>
      </w:r>
      <w:r w:rsidRPr="00CE3105">
        <w:rPr>
          <w:rStyle w:val="Hipervnculo"/>
          <w:rFonts w:ascii="Arial" w:eastAsia="Times New Roman" w:hAnsi="Arial" w:cs="Arial"/>
          <w:color w:val="auto"/>
          <w:sz w:val="20"/>
          <w:szCs w:val="20"/>
          <w:u w:val="none"/>
        </w:rPr>
        <w:tab/>
      </w:r>
      <w:r w:rsidR="00B6649B">
        <w:rPr>
          <w:rStyle w:val="Hipervnculo"/>
          <w:rFonts w:ascii="Arial" w:eastAsia="Times New Roman" w:hAnsi="Arial" w:cs="Arial"/>
          <w:color w:val="auto"/>
          <w:sz w:val="20"/>
          <w:szCs w:val="20"/>
          <w:u w:val="none"/>
        </w:rPr>
        <w:t>10</w:t>
      </w:r>
      <w:r w:rsidRPr="00CE3105">
        <w:rPr>
          <w:rStyle w:val="Hipervnculo"/>
          <w:rFonts w:ascii="Arial" w:eastAsia="Times New Roman" w:hAnsi="Arial" w:cs="Arial"/>
          <w:color w:val="auto"/>
          <w:sz w:val="20"/>
          <w:szCs w:val="20"/>
          <w:u w:val="none"/>
        </w:rPr>
        <w:t xml:space="preserve"> </w:t>
      </w:r>
    </w:p>
    <w:p w14:paraId="3EA51739" w14:textId="39297301"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w:t>
      </w:r>
      <w:r w:rsidR="00B6649B">
        <w:rPr>
          <w:rStyle w:val="Hipervnculo"/>
          <w:rFonts w:ascii="Arial" w:eastAsia="Times New Roman" w:hAnsi="Arial" w:cs="Arial"/>
          <w:color w:val="auto"/>
          <w:sz w:val="20"/>
          <w:szCs w:val="20"/>
          <w:u w:val="none"/>
        </w:rPr>
        <w:t xml:space="preserve"> EVALUACIÓN DE LA EFICACIA., </w:t>
      </w:r>
      <w:r w:rsidR="00B6649B">
        <w:rPr>
          <w:rStyle w:val="Hipervnculo"/>
          <w:rFonts w:ascii="Arial" w:eastAsia="Times New Roman" w:hAnsi="Arial" w:cs="Arial"/>
          <w:color w:val="auto"/>
          <w:sz w:val="20"/>
          <w:szCs w:val="20"/>
          <w:u w:val="none"/>
        </w:rPr>
        <w:tab/>
        <w:t>11</w:t>
      </w:r>
    </w:p>
    <w:p w14:paraId="5E78BB93" w14:textId="31BA4622"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5.1.a Ensayos clínicos disponibles para la </w:t>
      </w:r>
      <w:r w:rsidR="00B6649B">
        <w:rPr>
          <w:rStyle w:val="Hipervnculo"/>
          <w:rFonts w:ascii="Arial" w:eastAsia="Times New Roman" w:hAnsi="Arial" w:cs="Arial"/>
          <w:color w:val="auto"/>
          <w:sz w:val="20"/>
          <w:szCs w:val="20"/>
          <w:u w:val="none"/>
        </w:rPr>
        <w:t>indicación clínica evaluada,</w:t>
      </w:r>
      <w:r w:rsidR="00B6649B">
        <w:rPr>
          <w:rStyle w:val="Hipervnculo"/>
          <w:rFonts w:ascii="Arial" w:eastAsia="Times New Roman" w:hAnsi="Arial" w:cs="Arial"/>
          <w:color w:val="auto"/>
          <w:sz w:val="20"/>
          <w:szCs w:val="20"/>
          <w:u w:val="none"/>
        </w:rPr>
        <w:tab/>
        <w:t xml:space="preserve"> 11</w:t>
      </w:r>
    </w:p>
    <w:p w14:paraId="58C0D662" w14:textId="5F14567B"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5.1.b Variable</w:t>
      </w:r>
      <w:r w:rsidR="00B6649B">
        <w:rPr>
          <w:rStyle w:val="Hipervnculo"/>
          <w:rFonts w:ascii="Arial" w:eastAsia="Times New Roman" w:hAnsi="Arial" w:cs="Arial"/>
          <w:color w:val="auto"/>
          <w:sz w:val="20"/>
          <w:szCs w:val="20"/>
          <w:u w:val="none"/>
        </w:rPr>
        <w:t xml:space="preserve">s utilizadas en los ensayos, </w:t>
      </w:r>
      <w:r w:rsidR="00B6649B">
        <w:rPr>
          <w:rStyle w:val="Hipervnculo"/>
          <w:rFonts w:ascii="Arial" w:eastAsia="Times New Roman" w:hAnsi="Arial" w:cs="Arial"/>
          <w:color w:val="auto"/>
          <w:sz w:val="20"/>
          <w:szCs w:val="20"/>
          <w:u w:val="none"/>
        </w:rPr>
        <w:tab/>
        <w:t>11</w:t>
      </w:r>
    </w:p>
    <w:p w14:paraId="78ED6196" w14:textId="56DCFBC0"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5.2.a Resulta</w:t>
      </w:r>
      <w:r w:rsidR="00B6649B">
        <w:rPr>
          <w:rStyle w:val="Hipervnculo"/>
          <w:rFonts w:ascii="Arial" w:eastAsia="Times New Roman" w:hAnsi="Arial" w:cs="Arial"/>
          <w:color w:val="auto"/>
          <w:sz w:val="20"/>
          <w:szCs w:val="20"/>
          <w:u w:val="none"/>
        </w:rPr>
        <w:t>dos de los ensayos clínicos,</w:t>
      </w:r>
      <w:r w:rsidR="00B6649B">
        <w:rPr>
          <w:rStyle w:val="Hipervnculo"/>
          <w:rFonts w:ascii="Arial" w:eastAsia="Times New Roman" w:hAnsi="Arial" w:cs="Arial"/>
          <w:color w:val="auto"/>
          <w:sz w:val="20"/>
          <w:szCs w:val="20"/>
          <w:u w:val="none"/>
        </w:rPr>
        <w:tab/>
        <w:t xml:space="preserve"> 12</w:t>
      </w:r>
    </w:p>
    <w:p w14:paraId="45C5BE96" w14:textId="7C3961B8"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5.2.b Evaluación de la validez y de la utilidad</w:t>
      </w:r>
      <w:r w:rsidR="00B6649B">
        <w:rPr>
          <w:rStyle w:val="Hipervnculo"/>
          <w:rFonts w:ascii="Arial" w:eastAsia="Times New Roman" w:hAnsi="Arial" w:cs="Arial"/>
          <w:color w:val="auto"/>
          <w:sz w:val="20"/>
          <w:szCs w:val="20"/>
          <w:u w:val="none"/>
        </w:rPr>
        <w:t xml:space="preserve"> práctica de los resultados,</w:t>
      </w:r>
      <w:r w:rsidR="00B6649B">
        <w:rPr>
          <w:rStyle w:val="Hipervnculo"/>
          <w:rFonts w:ascii="Arial" w:eastAsia="Times New Roman" w:hAnsi="Arial" w:cs="Arial"/>
          <w:color w:val="auto"/>
          <w:sz w:val="20"/>
          <w:szCs w:val="20"/>
          <w:u w:val="none"/>
        </w:rPr>
        <w:tab/>
        <w:t xml:space="preserve"> 15</w:t>
      </w:r>
    </w:p>
    <w:p w14:paraId="4E2D6D83" w14:textId="4422F405"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5.2.c Evaluación de las pr</w:t>
      </w:r>
      <w:r w:rsidR="00B6649B">
        <w:rPr>
          <w:rStyle w:val="Hipervnculo"/>
          <w:rFonts w:ascii="Arial" w:eastAsia="Times New Roman" w:hAnsi="Arial" w:cs="Arial"/>
          <w:color w:val="auto"/>
          <w:sz w:val="20"/>
          <w:szCs w:val="20"/>
          <w:u w:val="none"/>
        </w:rPr>
        <w:t xml:space="preserve">uebas de cribado utilizadas, </w:t>
      </w:r>
      <w:r w:rsidR="00B6649B">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19</w:t>
      </w:r>
    </w:p>
    <w:p w14:paraId="3FCF1F72" w14:textId="25D6C953" w:rsidR="00CF430A"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5.3.</w:t>
      </w:r>
      <w:r w:rsidR="004D5D35">
        <w:rPr>
          <w:rStyle w:val="Hipervnculo"/>
          <w:rFonts w:ascii="Arial" w:eastAsia="Times New Roman" w:hAnsi="Arial" w:cs="Arial"/>
          <w:color w:val="auto"/>
          <w:sz w:val="20"/>
          <w:szCs w:val="20"/>
          <w:u w:val="none"/>
        </w:rPr>
        <w:t>Revi</w:t>
      </w:r>
      <w:r w:rsidR="00301EB6">
        <w:rPr>
          <w:rStyle w:val="Hipervnculo"/>
          <w:rFonts w:ascii="Arial" w:eastAsia="Times New Roman" w:hAnsi="Arial" w:cs="Arial"/>
          <w:color w:val="auto"/>
          <w:sz w:val="20"/>
          <w:szCs w:val="20"/>
          <w:u w:val="none"/>
        </w:rPr>
        <w:t>s</w:t>
      </w:r>
      <w:r w:rsidR="004D5D35">
        <w:rPr>
          <w:rStyle w:val="Hipervnculo"/>
          <w:rFonts w:ascii="Arial" w:eastAsia="Times New Roman" w:hAnsi="Arial" w:cs="Arial"/>
          <w:color w:val="auto"/>
          <w:sz w:val="20"/>
          <w:szCs w:val="20"/>
          <w:u w:val="none"/>
        </w:rPr>
        <w:t>iones sistemáticas publicadas, comparaciones ind</w:t>
      </w:r>
      <w:r w:rsidR="00301EB6">
        <w:rPr>
          <w:rStyle w:val="Hipervnculo"/>
          <w:rFonts w:ascii="Arial" w:eastAsia="Times New Roman" w:hAnsi="Arial" w:cs="Arial"/>
          <w:color w:val="auto"/>
          <w:sz w:val="20"/>
          <w:szCs w:val="20"/>
          <w:u w:val="none"/>
        </w:rPr>
        <w:t>i</w:t>
      </w:r>
      <w:r w:rsidR="004D5D35">
        <w:rPr>
          <w:rStyle w:val="Hipervnculo"/>
          <w:rFonts w:ascii="Arial" w:eastAsia="Times New Roman" w:hAnsi="Arial" w:cs="Arial"/>
          <w:color w:val="auto"/>
          <w:sz w:val="20"/>
          <w:szCs w:val="20"/>
          <w:u w:val="none"/>
        </w:rPr>
        <w:t>rectas y sus conclusiones</w:t>
      </w:r>
      <w:r w:rsidR="00B6649B">
        <w:rPr>
          <w:rStyle w:val="Hipervnculo"/>
          <w:rFonts w:ascii="Arial" w:eastAsia="Times New Roman" w:hAnsi="Arial" w:cs="Arial"/>
          <w:color w:val="auto"/>
          <w:sz w:val="20"/>
          <w:szCs w:val="20"/>
          <w:u w:val="none"/>
        </w:rPr>
        <w:t xml:space="preserve">, </w:t>
      </w:r>
      <w:r w:rsidR="00B6649B">
        <w:rPr>
          <w:rStyle w:val="Hipervnculo"/>
          <w:rFonts w:ascii="Arial" w:eastAsia="Times New Roman" w:hAnsi="Arial" w:cs="Arial"/>
          <w:color w:val="auto"/>
          <w:sz w:val="20"/>
          <w:szCs w:val="20"/>
          <w:u w:val="none"/>
        </w:rPr>
        <w:tab/>
      </w:r>
      <w:r w:rsidR="00301EB6">
        <w:rPr>
          <w:rStyle w:val="Hipervnculo"/>
          <w:rFonts w:ascii="Arial" w:eastAsia="Times New Roman" w:hAnsi="Arial" w:cs="Arial"/>
          <w:color w:val="auto"/>
          <w:sz w:val="20"/>
          <w:szCs w:val="20"/>
          <w:u w:val="none"/>
        </w:rPr>
        <w:t>1</w:t>
      </w:r>
      <w:r w:rsidR="00666536">
        <w:rPr>
          <w:rStyle w:val="Hipervnculo"/>
          <w:rFonts w:ascii="Arial" w:eastAsia="Times New Roman" w:hAnsi="Arial" w:cs="Arial"/>
          <w:color w:val="auto"/>
          <w:sz w:val="20"/>
          <w:szCs w:val="20"/>
          <w:u w:val="none"/>
        </w:rPr>
        <w:t>9</w:t>
      </w:r>
    </w:p>
    <w:p w14:paraId="412523AC" w14:textId="3BF62CE6" w:rsidR="00C7430B" w:rsidRDefault="00C7430B"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5.3.</w:t>
      </w:r>
      <w:r w:rsidRPr="00C7430B">
        <w:rPr>
          <w:rStyle w:val="Hipervnculo"/>
          <w:rFonts w:ascii="Arial" w:eastAsia="Times New Roman" w:hAnsi="Arial" w:cs="Arial"/>
          <w:color w:val="auto"/>
          <w:sz w:val="20"/>
          <w:szCs w:val="20"/>
          <w:u w:val="none"/>
        </w:rPr>
        <w:t>a Revisiones sistemáticas publicada</w:t>
      </w:r>
      <w:r w:rsidR="005B05EB">
        <w:rPr>
          <w:rStyle w:val="Hipervnculo"/>
          <w:rFonts w:ascii="Arial" w:eastAsia="Times New Roman" w:hAnsi="Arial" w:cs="Arial"/>
          <w:color w:val="auto"/>
          <w:sz w:val="20"/>
          <w:szCs w:val="20"/>
          <w:u w:val="none"/>
        </w:rPr>
        <w:t xml:space="preserve">s </w:t>
      </w:r>
      <w:r w:rsidR="005B05EB">
        <w:rPr>
          <w:rStyle w:val="Hipervnculo"/>
          <w:rFonts w:ascii="Arial" w:eastAsia="Times New Roman" w:hAnsi="Arial" w:cs="Arial"/>
          <w:color w:val="auto"/>
          <w:sz w:val="20"/>
          <w:szCs w:val="20"/>
          <w:u w:val="none"/>
        </w:rPr>
        <w:tab/>
        <w:t>1</w:t>
      </w:r>
      <w:r w:rsidR="00666536">
        <w:rPr>
          <w:rStyle w:val="Hipervnculo"/>
          <w:rFonts w:ascii="Arial" w:eastAsia="Times New Roman" w:hAnsi="Arial" w:cs="Arial"/>
          <w:color w:val="auto"/>
          <w:sz w:val="20"/>
          <w:szCs w:val="20"/>
          <w:u w:val="none"/>
        </w:rPr>
        <w:t>9</w:t>
      </w:r>
    </w:p>
    <w:p w14:paraId="2B1F9C7E" w14:textId="0D6CEEE6" w:rsidR="00C7430B" w:rsidRDefault="00C7430B"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5.3.</w:t>
      </w:r>
      <w:r w:rsidRPr="00C7430B">
        <w:rPr>
          <w:rStyle w:val="Hipervnculo"/>
          <w:rFonts w:ascii="Arial" w:eastAsia="Times New Roman" w:hAnsi="Arial" w:cs="Arial"/>
          <w:color w:val="auto"/>
          <w:sz w:val="20"/>
          <w:szCs w:val="20"/>
          <w:u w:val="none"/>
        </w:rPr>
        <w:t xml:space="preserve"> </w:t>
      </w:r>
      <w:r w:rsidRPr="00301EB6">
        <w:rPr>
          <w:rStyle w:val="Hipervnculo"/>
          <w:rFonts w:ascii="Arial" w:eastAsia="Times New Roman" w:hAnsi="Arial" w:cs="Arial"/>
          <w:color w:val="auto"/>
          <w:sz w:val="20"/>
          <w:szCs w:val="20"/>
          <w:u w:val="none"/>
        </w:rPr>
        <w:t>b Comparaciones indirectas (CCII)</w:t>
      </w:r>
      <w:r w:rsidR="00B95B55">
        <w:rPr>
          <w:rStyle w:val="Hipervnculo"/>
          <w:rFonts w:ascii="Arial" w:eastAsia="Times New Roman" w:hAnsi="Arial" w:cs="Arial"/>
          <w:color w:val="auto"/>
          <w:sz w:val="20"/>
          <w:szCs w:val="20"/>
          <w:u w:val="none"/>
        </w:rPr>
        <w:tab/>
        <w:t>19</w:t>
      </w:r>
    </w:p>
    <w:p w14:paraId="3A64FA3B" w14:textId="30835EB7" w:rsidR="00C7430B" w:rsidRDefault="00C7430B"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5.3.</w:t>
      </w:r>
      <w:r w:rsidRPr="00C7430B">
        <w:rPr>
          <w:rStyle w:val="Hipervnculo"/>
          <w:rFonts w:ascii="Arial" w:eastAsia="Times New Roman" w:hAnsi="Arial" w:cs="Arial"/>
          <w:color w:val="auto"/>
          <w:sz w:val="20"/>
          <w:szCs w:val="20"/>
          <w:u w:val="none"/>
        </w:rPr>
        <w:t xml:space="preserve"> </w:t>
      </w:r>
      <w:r w:rsidRPr="00301EB6">
        <w:rPr>
          <w:rStyle w:val="Hipervnculo"/>
          <w:rFonts w:ascii="Arial" w:eastAsia="Times New Roman" w:hAnsi="Arial" w:cs="Arial"/>
          <w:color w:val="auto"/>
          <w:sz w:val="20"/>
          <w:szCs w:val="20"/>
          <w:u w:val="none"/>
        </w:rPr>
        <w:t>b</w:t>
      </w:r>
      <w:r>
        <w:rPr>
          <w:rStyle w:val="Hipervnculo"/>
          <w:rFonts w:ascii="Arial" w:eastAsia="Times New Roman" w:hAnsi="Arial" w:cs="Arial"/>
          <w:color w:val="auto"/>
          <w:sz w:val="20"/>
          <w:szCs w:val="20"/>
          <w:u w:val="none"/>
        </w:rPr>
        <w:t>.</w:t>
      </w:r>
      <w:r w:rsidRPr="00301EB6">
        <w:rPr>
          <w:rStyle w:val="Hipervnculo"/>
          <w:rFonts w:ascii="Arial" w:eastAsia="Times New Roman" w:hAnsi="Arial" w:cs="Arial"/>
          <w:color w:val="auto"/>
          <w:sz w:val="20"/>
          <w:szCs w:val="20"/>
          <w:u w:val="none"/>
        </w:rPr>
        <w:t>1 Comparaciones Indirectas publicadas</w:t>
      </w:r>
      <w:r w:rsidR="00B95B55">
        <w:rPr>
          <w:rStyle w:val="Hipervnculo"/>
          <w:rFonts w:ascii="Arial" w:eastAsia="Times New Roman" w:hAnsi="Arial" w:cs="Arial"/>
          <w:color w:val="auto"/>
          <w:sz w:val="20"/>
          <w:szCs w:val="20"/>
          <w:u w:val="none"/>
        </w:rPr>
        <w:tab/>
        <w:t>19</w:t>
      </w:r>
    </w:p>
    <w:p w14:paraId="07BF5CDA" w14:textId="6EF43C49" w:rsidR="00C7430B" w:rsidRDefault="00C7430B"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5.3.</w:t>
      </w:r>
      <w:r w:rsidRPr="00C7430B">
        <w:rPr>
          <w:rStyle w:val="Hipervnculo"/>
          <w:rFonts w:ascii="Arial" w:eastAsia="Times New Roman" w:hAnsi="Arial" w:cs="Arial"/>
          <w:color w:val="auto"/>
          <w:sz w:val="20"/>
          <w:szCs w:val="20"/>
          <w:u w:val="none"/>
        </w:rPr>
        <w:t xml:space="preserve"> </w:t>
      </w:r>
      <w:r w:rsidRPr="00301EB6">
        <w:rPr>
          <w:rStyle w:val="Hipervnculo"/>
          <w:rFonts w:ascii="Arial" w:eastAsia="Times New Roman" w:hAnsi="Arial" w:cs="Arial"/>
          <w:color w:val="auto"/>
          <w:sz w:val="20"/>
          <w:szCs w:val="20"/>
          <w:u w:val="none"/>
        </w:rPr>
        <w:t>b</w:t>
      </w:r>
      <w:r>
        <w:rPr>
          <w:rStyle w:val="Hipervnculo"/>
          <w:rFonts w:ascii="Arial" w:eastAsia="Times New Roman" w:hAnsi="Arial" w:cs="Arial"/>
          <w:color w:val="auto"/>
          <w:sz w:val="20"/>
          <w:szCs w:val="20"/>
          <w:u w:val="none"/>
        </w:rPr>
        <w:t>.</w:t>
      </w:r>
      <w:r w:rsidRPr="00301EB6">
        <w:rPr>
          <w:rStyle w:val="Hipervnculo"/>
          <w:rFonts w:ascii="Arial" w:eastAsia="Times New Roman" w:hAnsi="Arial" w:cs="Arial"/>
          <w:color w:val="auto"/>
          <w:sz w:val="20"/>
          <w:szCs w:val="20"/>
          <w:u w:val="none"/>
        </w:rPr>
        <w:t>2 Comparaciones indirectas de elaboración propia</w:t>
      </w:r>
      <w:r w:rsidR="00B95B55">
        <w:rPr>
          <w:rStyle w:val="Hipervnculo"/>
          <w:rFonts w:ascii="Arial" w:eastAsia="Times New Roman" w:hAnsi="Arial" w:cs="Arial"/>
          <w:color w:val="auto"/>
          <w:sz w:val="20"/>
          <w:szCs w:val="20"/>
          <w:u w:val="none"/>
        </w:rPr>
        <w:tab/>
        <w:t>20</w:t>
      </w:r>
    </w:p>
    <w:p w14:paraId="07F61EA0" w14:textId="507BB6F0"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5.4 Evalua</w:t>
      </w:r>
      <w:r w:rsidR="00B6649B">
        <w:rPr>
          <w:rStyle w:val="Hipervnculo"/>
          <w:rFonts w:ascii="Arial" w:eastAsia="Times New Roman" w:hAnsi="Arial" w:cs="Arial"/>
          <w:color w:val="auto"/>
          <w:sz w:val="20"/>
          <w:szCs w:val="20"/>
          <w:u w:val="none"/>
        </w:rPr>
        <w:t xml:space="preserve">ción de fuentes secundarias, </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20</w:t>
      </w:r>
    </w:p>
    <w:p w14:paraId="08019B2C" w14:textId="659D1280"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5.4.1 Guías de Práctica clínic</w:t>
      </w:r>
      <w:r w:rsidR="00B6649B">
        <w:rPr>
          <w:rStyle w:val="Hipervnculo"/>
          <w:rFonts w:ascii="Arial" w:eastAsia="Times New Roman" w:hAnsi="Arial" w:cs="Arial"/>
          <w:color w:val="auto"/>
          <w:sz w:val="20"/>
          <w:szCs w:val="20"/>
          <w:u w:val="none"/>
        </w:rPr>
        <w:t xml:space="preserve">a, </w:t>
      </w:r>
      <w:r w:rsidR="00B6649B">
        <w:rPr>
          <w:rStyle w:val="Hipervnculo"/>
          <w:rFonts w:ascii="Arial" w:eastAsia="Times New Roman" w:hAnsi="Arial" w:cs="Arial"/>
          <w:color w:val="auto"/>
          <w:sz w:val="20"/>
          <w:szCs w:val="20"/>
          <w:u w:val="none"/>
        </w:rPr>
        <w:tab/>
      </w:r>
      <w:r w:rsidR="003E1266">
        <w:rPr>
          <w:rStyle w:val="Hipervnculo"/>
          <w:rFonts w:ascii="Arial" w:eastAsia="Times New Roman" w:hAnsi="Arial" w:cs="Arial"/>
          <w:color w:val="auto"/>
          <w:sz w:val="20"/>
          <w:szCs w:val="20"/>
          <w:u w:val="none"/>
        </w:rPr>
        <w:t>20</w:t>
      </w:r>
    </w:p>
    <w:p w14:paraId="40AA9F8E" w14:textId="0CB28E18"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5.4.2 Evaluaciones previas po</w:t>
      </w:r>
      <w:r w:rsidR="00B6649B">
        <w:rPr>
          <w:rStyle w:val="Hipervnculo"/>
          <w:rFonts w:ascii="Arial" w:eastAsia="Times New Roman" w:hAnsi="Arial" w:cs="Arial"/>
          <w:color w:val="auto"/>
          <w:sz w:val="20"/>
          <w:szCs w:val="20"/>
          <w:u w:val="none"/>
        </w:rPr>
        <w:t>r organismos independientes,</w:t>
      </w:r>
      <w:r w:rsidR="00B6649B">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21</w:t>
      </w:r>
      <w:r w:rsidR="00B6649B">
        <w:rPr>
          <w:rStyle w:val="Hipervnculo"/>
          <w:rFonts w:ascii="Arial" w:eastAsia="Times New Roman" w:hAnsi="Arial" w:cs="Arial"/>
          <w:color w:val="auto"/>
          <w:sz w:val="20"/>
          <w:szCs w:val="20"/>
          <w:u w:val="none"/>
        </w:rPr>
        <w:t xml:space="preserve"> </w:t>
      </w:r>
    </w:p>
    <w:p w14:paraId="6CB7E9BE" w14:textId="70E75AC6" w:rsidR="00CF430A" w:rsidRPr="00CE3105" w:rsidRDefault="00B6649B"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 xml:space="preserve">5.4.3 Opiniones de expertos, </w:t>
      </w:r>
      <w:r>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21</w:t>
      </w:r>
    </w:p>
    <w:p w14:paraId="668F1216" w14:textId="58371721" w:rsidR="00CF430A" w:rsidRPr="00CE3105" w:rsidRDefault="00B6649B"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 xml:space="preserve">5.4.4 Otras fuentes., </w:t>
      </w:r>
      <w:r>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22</w:t>
      </w:r>
    </w:p>
    <w:p w14:paraId="19B5BDC5" w14:textId="30BEC643"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6. </w:t>
      </w:r>
      <w:r w:rsidR="00B6649B">
        <w:rPr>
          <w:rStyle w:val="Hipervnculo"/>
          <w:rFonts w:ascii="Arial" w:eastAsia="Times New Roman" w:hAnsi="Arial" w:cs="Arial"/>
          <w:color w:val="auto"/>
          <w:sz w:val="20"/>
          <w:szCs w:val="20"/>
          <w:u w:val="none"/>
        </w:rPr>
        <w:t xml:space="preserve">EVALUACIÓN DE LA SEGURIDAD., </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23</w:t>
      </w:r>
    </w:p>
    <w:p w14:paraId="6C3DF7FE" w14:textId="0F19308F"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6.1.a Descripción d</w:t>
      </w:r>
      <w:r w:rsidR="00B6649B">
        <w:rPr>
          <w:rStyle w:val="Hipervnculo"/>
          <w:rFonts w:ascii="Arial" w:eastAsia="Times New Roman" w:hAnsi="Arial" w:cs="Arial"/>
          <w:color w:val="auto"/>
          <w:sz w:val="20"/>
          <w:szCs w:val="20"/>
          <w:u w:val="none"/>
        </w:rPr>
        <w:t xml:space="preserve">e la búsqueda bibliográfica, </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23</w:t>
      </w:r>
    </w:p>
    <w:p w14:paraId="205FCBC7" w14:textId="497D5D37"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6.1.b Descripción de los efectos adverso</w:t>
      </w:r>
      <w:r w:rsidR="00B6649B">
        <w:rPr>
          <w:rStyle w:val="Hipervnculo"/>
          <w:rFonts w:ascii="Arial" w:eastAsia="Times New Roman" w:hAnsi="Arial" w:cs="Arial"/>
          <w:color w:val="auto"/>
          <w:sz w:val="20"/>
          <w:szCs w:val="20"/>
          <w:u w:val="none"/>
        </w:rPr>
        <w:t xml:space="preserve">s más significativos, </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23</w:t>
      </w:r>
    </w:p>
    <w:p w14:paraId="1619588D" w14:textId="241F5A8C"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6.2 En</w:t>
      </w:r>
      <w:r w:rsidR="00B6649B">
        <w:rPr>
          <w:rStyle w:val="Hipervnculo"/>
          <w:rFonts w:ascii="Arial" w:eastAsia="Times New Roman" w:hAnsi="Arial" w:cs="Arial"/>
          <w:color w:val="auto"/>
          <w:sz w:val="20"/>
          <w:szCs w:val="20"/>
          <w:u w:val="none"/>
        </w:rPr>
        <w:t>sayos Clínicos comparativos,</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24</w:t>
      </w:r>
      <w:r w:rsidR="00B6649B">
        <w:rPr>
          <w:rStyle w:val="Hipervnculo"/>
          <w:rFonts w:ascii="Arial" w:eastAsia="Times New Roman" w:hAnsi="Arial" w:cs="Arial"/>
          <w:color w:val="auto"/>
          <w:sz w:val="20"/>
          <w:szCs w:val="20"/>
          <w:u w:val="none"/>
        </w:rPr>
        <w:t xml:space="preserve"> </w:t>
      </w:r>
    </w:p>
    <w:p w14:paraId="6566E918" w14:textId="372098D6"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6.3 Fuentes </w:t>
      </w:r>
      <w:r w:rsidR="00B6649B">
        <w:rPr>
          <w:rStyle w:val="Hipervnculo"/>
          <w:rFonts w:ascii="Arial" w:eastAsia="Times New Roman" w:hAnsi="Arial" w:cs="Arial"/>
          <w:color w:val="auto"/>
          <w:sz w:val="20"/>
          <w:szCs w:val="20"/>
          <w:u w:val="none"/>
        </w:rPr>
        <w:t>secundarias sobre seguridad,</w:t>
      </w:r>
      <w:r w:rsidR="00B6649B">
        <w:rPr>
          <w:rStyle w:val="Hipervnculo"/>
          <w:rFonts w:ascii="Arial" w:eastAsia="Times New Roman" w:hAnsi="Arial" w:cs="Arial"/>
          <w:color w:val="auto"/>
          <w:sz w:val="20"/>
          <w:szCs w:val="20"/>
          <w:u w:val="none"/>
        </w:rPr>
        <w:tab/>
      </w:r>
      <w:r w:rsidR="003E1266">
        <w:rPr>
          <w:rStyle w:val="Hipervnculo"/>
          <w:rFonts w:ascii="Arial" w:eastAsia="Times New Roman" w:hAnsi="Arial" w:cs="Arial"/>
          <w:color w:val="auto"/>
          <w:sz w:val="20"/>
          <w:szCs w:val="20"/>
          <w:u w:val="none"/>
        </w:rPr>
        <w:t>25</w:t>
      </w:r>
      <w:r w:rsidR="00B6649B">
        <w:rPr>
          <w:rStyle w:val="Hipervnculo"/>
          <w:rFonts w:ascii="Arial" w:eastAsia="Times New Roman" w:hAnsi="Arial" w:cs="Arial"/>
          <w:color w:val="auto"/>
          <w:sz w:val="20"/>
          <w:szCs w:val="20"/>
          <w:u w:val="none"/>
        </w:rPr>
        <w:t xml:space="preserve"> </w:t>
      </w:r>
    </w:p>
    <w:p w14:paraId="38092FAF" w14:textId="276A0345"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6.4 Precauciones de</w:t>
      </w:r>
      <w:r w:rsidR="00B6649B">
        <w:rPr>
          <w:rStyle w:val="Hipervnculo"/>
          <w:rFonts w:ascii="Arial" w:eastAsia="Times New Roman" w:hAnsi="Arial" w:cs="Arial"/>
          <w:color w:val="auto"/>
          <w:sz w:val="20"/>
          <w:szCs w:val="20"/>
          <w:u w:val="none"/>
        </w:rPr>
        <w:t xml:space="preserve"> empleo en casos especiales,</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25</w:t>
      </w:r>
      <w:r w:rsidR="00B6649B">
        <w:rPr>
          <w:rStyle w:val="Hipervnculo"/>
          <w:rFonts w:ascii="Arial" w:eastAsia="Times New Roman" w:hAnsi="Arial" w:cs="Arial"/>
          <w:color w:val="auto"/>
          <w:sz w:val="20"/>
          <w:szCs w:val="20"/>
          <w:u w:val="none"/>
        </w:rPr>
        <w:t xml:space="preserve"> </w:t>
      </w:r>
    </w:p>
    <w:p w14:paraId="537730FA" w14:textId="226DBCB5" w:rsidR="00CF430A" w:rsidRPr="00CE3105" w:rsidRDefault="00B6649B"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 xml:space="preserve">7. AREA ECONÓMICA, </w:t>
      </w:r>
      <w:r>
        <w:rPr>
          <w:rStyle w:val="Hipervnculo"/>
          <w:rFonts w:ascii="Arial" w:eastAsia="Times New Roman" w:hAnsi="Arial" w:cs="Arial"/>
          <w:color w:val="auto"/>
          <w:sz w:val="20"/>
          <w:szCs w:val="20"/>
          <w:u w:val="none"/>
        </w:rPr>
        <w:tab/>
      </w:r>
      <w:r w:rsidR="003E1266">
        <w:rPr>
          <w:rStyle w:val="Hipervnculo"/>
          <w:rFonts w:ascii="Arial" w:eastAsia="Times New Roman" w:hAnsi="Arial" w:cs="Arial"/>
          <w:color w:val="auto"/>
          <w:sz w:val="20"/>
          <w:szCs w:val="20"/>
          <w:u w:val="none"/>
        </w:rPr>
        <w:t>26</w:t>
      </w:r>
    </w:p>
    <w:p w14:paraId="1E9ECFF2" w14:textId="7F3E7D45"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w:t>
      </w:r>
      <w:r w:rsidR="00B6649B">
        <w:rPr>
          <w:rStyle w:val="Hipervnculo"/>
          <w:rFonts w:ascii="Arial" w:eastAsia="Times New Roman" w:hAnsi="Arial" w:cs="Arial"/>
          <w:color w:val="auto"/>
          <w:sz w:val="20"/>
          <w:szCs w:val="20"/>
          <w:u w:val="none"/>
        </w:rPr>
        <w:t>1 Costes. Coste incremental,</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26</w:t>
      </w:r>
      <w:r w:rsidR="00B6649B">
        <w:rPr>
          <w:rStyle w:val="Hipervnculo"/>
          <w:rFonts w:ascii="Arial" w:eastAsia="Times New Roman" w:hAnsi="Arial" w:cs="Arial"/>
          <w:color w:val="auto"/>
          <w:sz w:val="20"/>
          <w:szCs w:val="20"/>
          <w:u w:val="none"/>
        </w:rPr>
        <w:t xml:space="preserve"> </w:t>
      </w:r>
    </w:p>
    <w:p w14:paraId="4D9C4AAF" w14:textId="51488CA5"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7.2 Evaluaciones económicas publicad</w:t>
      </w:r>
      <w:r w:rsidR="00B6649B">
        <w:rPr>
          <w:rStyle w:val="Hipervnculo"/>
          <w:rFonts w:ascii="Arial" w:eastAsia="Times New Roman" w:hAnsi="Arial" w:cs="Arial"/>
          <w:color w:val="auto"/>
          <w:sz w:val="20"/>
          <w:szCs w:val="20"/>
          <w:u w:val="none"/>
        </w:rPr>
        <w:t>as,</w:t>
      </w:r>
      <w:r w:rsidR="00B6649B">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27</w:t>
      </w:r>
      <w:r w:rsidR="00B6649B">
        <w:rPr>
          <w:rStyle w:val="Hipervnculo"/>
          <w:rFonts w:ascii="Arial" w:eastAsia="Times New Roman" w:hAnsi="Arial" w:cs="Arial"/>
          <w:color w:val="auto"/>
          <w:sz w:val="20"/>
          <w:szCs w:val="20"/>
          <w:u w:val="none"/>
        </w:rPr>
        <w:t xml:space="preserve"> </w:t>
      </w:r>
    </w:p>
    <w:p w14:paraId="7FE9F842" w14:textId="75031271"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7.2.a Búsqueda de evaluac</w:t>
      </w:r>
      <w:r w:rsidR="00B6649B">
        <w:rPr>
          <w:rStyle w:val="Hipervnculo"/>
          <w:rFonts w:ascii="Arial" w:eastAsia="Times New Roman" w:hAnsi="Arial" w:cs="Arial"/>
          <w:color w:val="auto"/>
          <w:sz w:val="20"/>
          <w:szCs w:val="20"/>
          <w:u w:val="none"/>
        </w:rPr>
        <w:t xml:space="preserve">iones económicas publicadas, </w:t>
      </w:r>
      <w:r w:rsidR="00B6649B">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27</w:t>
      </w:r>
    </w:p>
    <w:p w14:paraId="4DE5F044" w14:textId="60235042"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lastRenderedPageBreak/>
        <w:t>7.2.b Extracción de datos de las evaluac</w:t>
      </w:r>
      <w:r w:rsidR="00B6649B">
        <w:rPr>
          <w:rStyle w:val="Hipervnculo"/>
          <w:rFonts w:ascii="Arial" w:eastAsia="Times New Roman" w:hAnsi="Arial" w:cs="Arial"/>
          <w:color w:val="auto"/>
          <w:sz w:val="20"/>
          <w:szCs w:val="20"/>
          <w:u w:val="none"/>
        </w:rPr>
        <w:t xml:space="preserve">iones económicas publicadas, </w:t>
      </w:r>
      <w:r w:rsidR="00B6649B">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28</w:t>
      </w:r>
    </w:p>
    <w:p w14:paraId="093F36F3" w14:textId="07118ECE"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7.3 Evaluación econ</w:t>
      </w:r>
      <w:r w:rsidR="00B6649B">
        <w:rPr>
          <w:rStyle w:val="Hipervnculo"/>
          <w:rFonts w:ascii="Arial" w:eastAsia="Times New Roman" w:hAnsi="Arial" w:cs="Arial"/>
          <w:color w:val="auto"/>
          <w:sz w:val="20"/>
          <w:szCs w:val="20"/>
          <w:u w:val="none"/>
        </w:rPr>
        <w:t>ómica de elaboración propia,</w:t>
      </w:r>
      <w:r w:rsidR="00B6649B">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32</w:t>
      </w:r>
      <w:r w:rsidR="00B6649B">
        <w:rPr>
          <w:rStyle w:val="Hipervnculo"/>
          <w:rFonts w:ascii="Arial" w:eastAsia="Times New Roman" w:hAnsi="Arial" w:cs="Arial"/>
          <w:color w:val="auto"/>
          <w:sz w:val="20"/>
          <w:szCs w:val="20"/>
          <w:u w:val="none"/>
        </w:rPr>
        <w:t xml:space="preserve"> </w:t>
      </w:r>
    </w:p>
    <w:p w14:paraId="54807C23" w14:textId="1FB191B3" w:rsidR="00ED67ED" w:rsidRPr="00CE3105" w:rsidRDefault="00ED67ED" w:rsidP="00ED67ED">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7.3</w:t>
      </w:r>
      <w:r>
        <w:rPr>
          <w:rStyle w:val="Hipervnculo"/>
          <w:rFonts w:ascii="Arial" w:eastAsia="Times New Roman" w:hAnsi="Arial" w:cs="Arial"/>
          <w:color w:val="auto"/>
          <w:sz w:val="20"/>
          <w:szCs w:val="20"/>
          <w:u w:val="none"/>
        </w:rPr>
        <w:t>.0</w:t>
      </w:r>
      <w:r w:rsidRPr="00CE3105">
        <w:rPr>
          <w:rStyle w:val="Hipervnculo"/>
          <w:rFonts w:ascii="Arial" w:eastAsia="Times New Roman" w:hAnsi="Arial" w:cs="Arial"/>
          <w:color w:val="auto"/>
          <w:sz w:val="20"/>
          <w:szCs w:val="20"/>
          <w:u w:val="none"/>
        </w:rPr>
        <w:t xml:space="preserve"> </w:t>
      </w:r>
      <w:r w:rsidR="00C168CC" w:rsidRPr="00C168CC">
        <w:rPr>
          <w:rStyle w:val="Hipervnculo"/>
          <w:rFonts w:ascii="Arial" w:eastAsia="Times New Roman" w:hAnsi="Arial" w:cs="Arial"/>
          <w:color w:val="auto"/>
          <w:sz w:val="20"/>
          <w:szCs w:val="20"/>
          <w:u w:val="none"/>
        </w:rPr>
        <w:t>Consideraciones generales y selección del tipo de evaluación económica</w:t>
      </w:r>
      <w:r>
        <w:rPr>
          <w:rStyle w:val="Hipervnculo"/>
          <w:rFonts w:ascii="Arial" w:eastAsia="Times New Roman" w:hAnsi="Arial" w:cs="Arial"/>
          <w:color w:val="auto"/>
          <w:sz w:val="20"/>
          <w:szCs w:val="20"/>
          <w:u w:val="none"/>
        </w:rPr>
        <w:t>,</w:t>
      </w:r>
      <w:r>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32</w:t>
      </w:r>
      <w:r>
        <w:rPr>
          <w:rStyle w:val="Hipervnculo"/>
          <w:rFonts w:ascii="Arial" w:eastAsia="Times New Roman" w:hAnsi="Arial" w:cs="Arial"/>
          <w:color w:val="auto"/>
          <w:sz w:val="20"/>
          <w:szCs w:val="20"/>
          <w:u w:val="none"/>
        </w:rPr>
        <w:t xml:space="preserve"> </w:t>
      </w:r>
    </w:p>
    <w:p w14:paraId="602739D5" w14:textId="3F823330" w:rsidR="00ED67ED" w:rsidRPr="00CE3105" w:rsidRDefault="00ED67ED" w:rsidP="00ED67ED">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7.3</w:t>
      </w:r>
      <w:r>
        <w:rPr>
          <w:rStyle w:val="Hipervnculo"/>
          <w:rFonts w:ascii="Arial" w:eastAsia="Times New Roman" w:hAnsi="Arial" w:cs="Arial"/>
          <w:color w:val="auto"/>
          <w:sz w:val="20"/>
          <w:szCs w:val="20"/>
          <w:u w:val="none"/>
        </w:rPr>
        <w:t>.1</w:t>
      </w:r>
      <w:r w:rsidRPr="00CE3105">
        <w:rPr>
          <w:rStyle w:val="Hipervnculo"/>
          <w:rFonts w:ascii="Arial" w:eastAsia="Times New Roman" w:hAnsi="Arial" w:cs="Arial"/>
          <w:color w:val="auto"/>
          <w:sz w:val="20"/>
          <w:szCs w:val="20"/>
          <w:u w:val="none"/>
        </w:rPr>
        <w:t xml:space="preserve"> </w:t>
      </w:r>
      <w:r w:rsidR="00C168CC" w:rsidRPr="00C168CC">
        <w:rPr>
          <w:rStyle w:val="Hipervnculo"/>
          <w:rFonts w:ascii="Arial" w:eastAsia="Times New Roman" w:hAnsi="Arial" w:cs="Arial"/>
          <w:color w:val="auto"/>
          <w:sz w:val="20"/>
          <w:szCs w:val="20"/>
          <w:u w:val="none"/>
        </w:rPr>
        <w:t>Análisis de minimización de costes. Estudios propios</w:t>
      </w:r>
      <w:r w:rsidR="00B86596">
        <w:rPr>
          <w:rStyle w:val="Hipervnculo"/>
          <w:rFonts w:ascii="Arial" w:eastAsia="Times New Roman" w:hAnsi="Arial" w:cs="Arial"/>
          <w:color w:val="auto"/>
          <w:sz w:val="20"/>
          <w:szCs w:val="20"/>
          <w:u w:val="none"/>
        </w:rPr>
        <w:t>,</w:t>
      </w:r>
      <w:r w:rsidR="00B86596">
        <w:rPr>
          <w:rStyle w:val="Hipervnculo"/>
          <w:rFonts w:ascii="Arial" w:eastAsia="Times New Roman" w:hAnsi="Arial" w:cs="Arial"/>
          <w:color w:val="auto"/>
          <w:sz w:val="20"/>
          <w:szCs w:val="20"/>
          <w:u w:val="none"/>
        </w:rPr>
        <w:tab/>
        <w:t>32</w:t>
      </w:r>
      <w:r>
        <w:rPr>
          <w:rStyle w:val="Hipervnculo"/>
          <w:rFonts w:ascii="Arial" w:eastAsia="Times New Roman" w:hAnsi="Arial" w:cs="Arial"/>
          <w:color w:val="auto"/>
          <w:sz w:val="20"/>
          <w:szCs w:val="20"/>
          <w:u w:val="none"/>
        </w:rPr>
        <w:t xml:space="preserve"> </w:t>
      </w:r>
    </w:p>
    <w:p w14:paraId="5BE28887" w14:textId="76526EE8" w:rsidR="00ED67ED" w:rsidRPr="00CE3105" w:rsidRDefault="00ED67ED" w:rsidP="00ED67ED">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7.3</w:t>
      </w:r>
      <w:r>
        <w:rPr>
          <w:rStyle w:val="Hipervnculo"/>
          <w:rFonts w:ascii="Arial" w:eastAsia="Times New Roman" w:hAnsi="Arial" w:cs="Arial"/>
          <w:color w:val="auto"/>
          <w:sz w:val="20"/>
          <w:szCs w:val="20"/>
          <w:u w:val="none"/>
        </w:rPr>
        <w:t>.2</w:t>
      </w:r>
      <w:r w:rsidRPr="00CE3105">
        <w:rPr>
          <w:rStyle w:val="Hipervnculo"/>
          <w:rFonts w:ascii="Arial" w:eastAsia="Times New Roman" w:hAnsi="Arial" w:cs="Arial"/>
          <w:color w:val="auto"/>
          <w:sz w:val="20"/>
          <w:szCs w:val="20"/>
          <w:u w:val="none"/>
        </w:rPr>
        <w:t xml:space="preserve"> </w:t>
      </w:r>
      <w:r w:rsidR="00C168CC" w:rsidRPr="00C168CC">
        <w:rPr>
          <w:rStyle w:val="Hipervnculo"/>
          <w:rFonts w:ascii="Arial" w:eastAsia="Times New Roman" w:hAnsi="Arial" w:cs="Arial"/>
          <w:color w:val="auto"/>
          <w:sz w:val="20"/>
          <w:szCs w:val="20"/>
          <w:u w:val="none"/>
        </w:rPr>
        <w:t>Coste-efectividad. Estudios propios</w:t>
      </w:r>
      <w:r>
        <w:rPr>
          <w:rStyle w:val="Hipervnculo"/>
          <w:rFonts w:ascii="Arial" w:eastAsia="Times New Roman" w:hAnsi="Arial" w:cs="Arial"/>
          <w:color w:val="auto"/>
          <w:sz w:val="20"/>
          <w:szCs w:val="20"/>
          <w:u w:val="none"/>
        </w:rPr>
        <w:t>,</w:t>
      </w:r>
      <w:r>
        <w:rPr>
          <w:rStyle w:val="Hipervnculo"/>
          <w:rFonts w:ascii="Arial" w:eastAsia="Times New Roman" w:hAnsi="Arial" w:cs="Arial"/>
          <w:color w:val="auto"/>
          <w:sz w:val="20"/>
          <w:szCs w:val="20"/>
          <w:u w:val="none"/>
        </w:rPr>
        <w:tab/>
        <w:t>3</w:t>
      </w:r>
      <w:r w:rsidR="00B86596">
        <w:rPr>
          <w:rStyle w:val="Hipervnculo"/>
          <w:rFonts w:ascii="Arial" w:eastAsia="Times New Roman" w:hAnsi="Arial" w:cs="Arial"/>
          <w:color w:val="auto"/>
          <w:sz w:val="20"/>
          <w:szCs w:val="20"/>
          <w:u w:val="none"/>
        </w:rPr>
        <w:t>2</w:t>
      </w:r>
      <w:r>
        <w:rPr>
          <w:rStyle w:val="Hipervnculo"/>
          <w:rFonts w:ascii="Arial" w:eastAsia="Times New Roman" w:hAnsi="Arial" w:cs="Arial"/>
          <w:color w:val="auto"/>
          <w:sz w:val="20"/>
          <w:szCs w:val="20"/>
          <w:u w:val="none"/>
        </w:rPr>
        <w:t xml:space="preserve"> </w:t>
      </w:r>
    </w:p>
    <w:p w14:paraId="1C9C8F51" w14:textId="65C186D9" w:rsidR="00ED67ED" w:rsidRPr="00CE3105" w:rsidRDefault="00ED67ED" w:rsidP="00ED67ED">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7.3</w:t>
      </w:r>
      <w:r>
        <w:rPr>
          <w:rStyle w:val="Hipervnculo"/>
          <w:rFonts w:ascii="Arial" w:eastAsia="Times New Roman" w:hAnsi="Arial" w:cs="Arial"/>
          <w:color w:val="auto"/>
          <w:sz w:val="20"/>
          <w:szCs w:val="20"/>
          <w:u w:val="none"/>
        </w:rPr>
        <w:t>.3</w:t>
      </w:r>
      <w:r w:rsidRPr="00CE3105">
        <w:rPr>
          <w:rStyle w:val="Hipervnculo"/>
          <w:rFonts w:ascii="Arial" w:eastAsia="Times New Roman" w:hAnsi="Arial" w:cs="Arial"/>
          <w:color w:val="auto"/>
          <w:sz w:val="20"/>
          <w:szCs w:val="20"/>
          <w:u w:val="none"/>
        </w:rPr>
        <w:t xml:space="preserve"> </w:t>
      </w:r>
      <w:r w:rsidR="00C168CC" w:rsidRPr="00C168CC">
        <w:rPr>
          <w:rStyle w:val="Hipervnculo"/>
          <w:rFonts w:ascii="Arial" w:eastAsia="Times New Roman" w:hAnsi="Arial" w:cs="Arial"/>
          <w:color w:val="auto"/>
          <w:sz w:val="20"/>
          <w:szCs w:val="20"/>
          <w:u w:val="none"/>
        </w:rPr>
        <w:t>Coste-</w:t>
      </w:r>
      <w:r w:rsidR="00C168CC">
        <w:rPr>
          <w:rStyle w:val="Hipervnculo"/>
          <w:rFonts w:ascii="Arial" w:eastAsia="Times New Roman" w:hAnsi="Arial" w:cs="Arial"/>
          <w:color w:val="auto"/>
          <w:sz w:val="20"/>
          <w:szCs w:val="20"/>
          <w:u w:val="none"/>
        </w:rPr>
        <w:t>utilidad</w:t>
      </w:r>
      <w:r w:rsidR="00C168CC" w:rsidRPr="00C168CC">
        <w:rPr>
          <w:rStyle w:val="Hipervnculo"/>
          <w:rFonts w:ascii="Arial" w:eastAsia="Times New Roman" w:hAnsi="Arial" w:cs="Arial"/>
          <w:color w:val="auto"/>
          <w:sz w:val="20"/>
          <w:szCs w:val="20"/>
          <w:u w:val="none"/>
        </w:rPr>
        <w:t>. Estudios propios</w:t>
      </w:r>
      <w:r>
        <w:rPr>
          <w:rStyle w:val="Hipervnculo"/>
          <w:rFonts w:ascii="Arial" w:eastAsia="Times New Roman" w:hAnsi="Arial" w:cs="Arial"/>
          <w:color w:val="auto"/>
          <w:sz w:val="20"/>
          <w:szCs w:val="20"/>
          <w:u w:val="none"/>
        </w:rPr>
        <w:t>,</w:t>
      </w:r>
      <w:r>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33</w:t>
      </w:r>
      <w:r>
        <w:rPr>
          <w:rStyle w:val="Hipervnculo"/>
          <w:rFonts w:ascii="Arial" w:eastAsia="Times New Roman" w:hAnsi="Arial" w:cs="Arial"/>
          <w:color w:val="auto"/>
          <w:sz w:val="20"/>
          <w:szCs w:val="20"/>
          <w:u w:val="none"/>
        </w:rPr>
        <w:t xml:space="preserve"> </w:t>
      </w:r>
    </w:p>
    <w:p w14:paraId="592BBE60" w14:textId="56B2F295"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7.3.</w:t>
      </w:r>
      <w:r w:rsidR="00B6649B">
        <w:rPr>
          <w:rStyle w:val="Hipervnculo"/>
          <w:rFonts w:ascii="Arial" w:eastAsia="Times New Roman" w:hAnsi="Arial" w:cs="Arial"/>
          <w:color w:val="auto"/>
          <w:sz w:val="20"/>
          <w:szCs w:val="20"/>
          <w:u w:val="none"/>
        </w:rPr>
        <w:t xml:space="preserve">4. Análisis de sensibilidad, </w:t>
      </w:r>
      <w:r w:rsidR="00B6649B">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34</w:t>
      </w:r>
    </w:p>
    <w:p w14:paraId="7E334841" w14:textId="6C305E01"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7.4. Estimación del impacto presupuestario y de los be</w:t>
      </w:r>
      <w:r w:rsidR="00B6649B">
        <w:rPr>
          <w:rStyle w:val="Hipervnculo"/>
          <w:rFonts w:ascii="Arial" w:eastAsia="Times New Roman" w:hAnsi="Arial" w:cs="Arial"/>
          <w:color w:val="auto"/>
          <w:sz w:val="20"/>
          <w:szCs w:val="20"/>
          <w:u w:val="none"/>
        </w:rPr>
        <w:t>neficios esperados en salud,</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3</w:t>
      </w:r>
      <w:r w:rsidR="00B86596">
        <w:rPr>
          <w:rStyle w:val="Hipervnculo"/>
          <w:rFonts w:ascii="Arial" w:eastAsia="Times New Roman" w:hAnsi="Arial" w:cs="Arial"/>
          <w:color w:val="auto"/>
          <w:sz w:val="20"/>
          <w:szCs w:val="20"/>
          <w:u w:val="none"/>
        </w:rPr>
        <w:t>5</w:t>
      </w:r>
      <w:r w:rsidR="00B6649B">
        <w:rPr>
          <w:rStyle w:val="Hipervnculo"/>
          <w:rFonts w:ascii="Arial" w:eastAsia="Times New Roman" w:hAnsi="Arial" w:cs="Arial"/>
          <w:color w:val="auto"/>
          <w:sz w:val="20"/>
          <w:szCs w:val="20"/>
          <w:u w:val="none"/>
        </w:rPr>
        <w:t xml:space="preserve"> </w:t>
      </w:r>
    </w:p>
    <w:p w14:paraId="1067EE96" w14:textId="2BF2E82A"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7.4.1 Estim</w:t>
      </w:r>
      <w:r w:rsidR="00B6649B">
        <w:rPr>
          <w:rStyle w:val="Hipervnculo"/>
          <w:rFonts w:ascii="Arial" w:eastAsia="Times New Roman" w:hAnsi="Arial" w:cs="Arial"/>
          <w:color w:val="auto"/>
          <w:sz w:val="20"/>
          <w:szCs w:val="20"/>
          <w:u w:val="none"/>
        </w:rPr>
        <w:t xml:space="preserve">ación de la población diana, </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3</w:t>
      </w:r>
      <w:r w:rsidR="00B86596">
        <w:rPr>
          <w:rStyle w:val="Hipervnculo"/>
          <w:rFonts w:ascii="Arial" w:eastAsia="Times New Roman" w:hAnsi="Arial" w:cs="Arial"/>
          <w:color w:val="auto"/>
          <w:sz w:val="20"/>
          <w:szCs w:val="20"/>
          <w:u w:val="none"/>
        </w:rPr>
        <w:t>5</w:t>
      </w:r>
    </w:p>
    <w:p w14:paraId="7E38A577" w14:textId="37410CBB"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7.4.2 Estudios publicado</w:t>
      </w:r>
      <w:r w:rsidR="00B6649B">
        <w:rPr>
          <w:rStyle w:val="Hipervnculo"/>
          <w:rFonts w:ascii="Arial" w:eastAsia="Times New Roman" w:hAnsi="Arial" w:cs="Arial"/>
          <w:color w:val="auto"/>
          <w:sz w:val="20"/>
          <w:szCs w:val="20"/>
          <w:u w:val="none"/>
        </w:rPr>
        <w:t>s de impacto presupuestario,</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3</w:t>
      </w:r>
      <w:r w:rsidR="00B86596">
        <w:rPr>
          <w:rStyle w:val="Hipervnculo"/>
          <w:rFonts w:ascii="Arial" w:eastAsia="Times New Roman" w:hAnsi="Arial" w:cs="Arial"/>
          <w:color w:val="auto"/>
          <w:sz w:val="20"/>
          <w:szCs w:val="20"/>
          <w:u w:val="none"/>
        </w:rPr>
        <w:t>6</w:t>
      </w:r>
      <w:r w:rsidR="00B6649B">
        <w:rPr>
          <w:rStyle w:val="Hipervnculo"/>
          <w:rFonts w:ascii="Arial" w:eastAsia="Times New Roman" w:hAnsi="Arial" w:cs="Arial"/>
          <w:color w:val="auto"/>
          <w:sz w:val="20"/>
          <w:szCs w:val="20"/>
          <w:u w:val="none"/>
        </w:rPr>
        <w:t xml:space="preserve"> </w:t>
      </w:r>
    </w:p>
    <w:p w14:paraId="5E30B02D" w14:textId="62EFB06C"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7.4.3 Estimación propia de impacto presupuestario y benefici</w:t>
      </w:r>
      <w:r w:rsidR="00B6649B">
        <w:rPr>
          <w:rStyle w:val="Hipervnculo"/>
          <w:rFonts w:ascii="Arial" w:eastAsia="Times New Roman" w:hAnsi="Arial" w:cs="Arial"/>
          <w:color w:val="auto"/>
          <w:sz w:val="20"/>
          <w:szCs w:val="20"/>
          <w:u w:val="none"/>
        </w:rPr>
        <w:t>os en salud a nivel estatal,</w:t>
      </w:r>
      <w:r w:rsidR="00B6649B">
        <w:rPr>
          <w:rStyle w:val="Hipervnculo"/>
          <w:rFonts w:ascii="Arial" w:eastAsia="Times New Roman" w:hAnsi="Arial" w:cs="Arial"/>
          <w:color w:val="auto"/>
          <w:sz w:val="20"/>
          <w:szCs w:val="20"/>
          <w:u w:val="none"/>
        </w:rPr>
        <w:tab/>
      </w:r>
      <w:r w:rsidR="00010B2D">
        <w:rPr>
          <w:rStyle w:val="Hipervnculo"/>
          <w:rFonts w:ascii="Arial" w:eastAsia="Times New Roman" w:hAnsi="Arial" w:cs="Arial"/>
          <w:color w:val="auto"/>
          <w:sz w:val="20"/>
          <w:szCs w:val="20"/>
          <w:u w:val="none"/>
        </w:rPr>
        <w:t>3</w:t>
      </w:r>
      <w:r w:rsidR="00B86596">
        <w:rPr>
          <w:rStyle w:val="Hipervnculo"/>
          <w:rFonts w:ascii="Arial" w:eastAsia="Times New Roman" w:hAnsi="Arial" w:cs="Arial"/>
          <w:color w:val="auto"/>
          <w:sz w:val="20"/>
          <w:szCs w:val="20"/>
          <w:u w:val="none"/>
        </w:rPr>
        <w:t>6</w:t>
      </w:r>
      <w:r w:rsidR="00B6649B">
        <w:rPr>
          <w:rStyle w:val="Hipervnculo"/>
          <w:rFonts w:ascii="Arial" w:eastAsia="Times New Roman" w:hAnsi="Arial" w:cs="Arial"/>
          <w:color w:val="auto"/>
          <w:sz w:val="20"/>
          <w:szCs w:val="20"/>
          <w:u w:val="none"/>
        </w:rPr>
        <w:t xml:space="preserve"> </w:t>
      </w:r>
    </w:p>
    <w:p w14:paraId="3A7C4F38" w14:textId="3B5A4E4D" w:rsidR="003E1266" w:rsidRDefault="005B05EB"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7.4.4 Estimación de coste de fabricación y de investig</w:t>
      </w:r>
      <w:r w:rsidR="00010B2D">
        <w:rPr>
          <w:rStyle w:val="Hipervnculo"/>
          <w:rFonts w:ascii="Arial" w:eastAsia="Times New Roman" w:hAnsi="Arial" w:cs="Arial"/>
          <w:color w:val="auto"/>
          <w:sz w:val="20"/>
          <w:szCs w:val="20"/>
          <w:u w:val="none"/>
        </w:rPr>
        <w:t>ación del medicamento</w:t>
      </w:r>
      <w:r w:rsidR="00366A96">
        <w:rPr>
          <w:rStyle w:val="Hipervnculo"/>
          <w:rFonts w:ascii="Arial" w:eastAsia="Times New Roman" w:hAnsi="Arial" w:cs="Arial"/>
          <w:color w:val="auto"/>
          <w:sz w:val="20"/>
          <w:szCs w:val="20"/>
          <w:u w:val="none"/>
        </w:rPr>
        <w:t>, ..</w:t>
      </w:r>
      <w:r w:rsidR="00010B2D">
        <w:rPr>
          <w:rStyle w:val="Hipervnculo"/>
          <w:rFonts w:ascii="Arial" w:eastAsia="Times New Roman" w:hAnsi="Arial" w:cs="Arial"/>
          <w:color w:val="auto"/>
          <w:sz w:val="20"/>
          <w:szCs w:val="20"/>
          <w:u w:val="none"/>
        </w:rPr>
        <w:t>………………….3</w:t>
      </w:r>
      <w:r w:rsidR="00B86596">
        <w:rPr>
          <w:rStyle w:val="Hipervnculo"/>
          <w:rFonts w:ascii="Arial" w:eastAsia="Times New Roman" w:hAnsi="Arial" w:cs="Arial"/>
          <w:color w:val="auto"/>
          <w:sz w:val="20"/>
          <w:szCs w:val="20"/>
          <w:u w:val="none"/>
        </w:rPr>
        <w:t>8</w:t>
      </w:r>
    </w:p>
    <w:p w14:paraId="0CE3A88F" w14:textId="0015D3CD" w:rsidR="00CF430A" w:rsidRPr="00CE3105" w:rsidRDefault="00B86596"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8. ÁREA DE CONVENIENCIA.</w:t>
      </w:r>
      <w:r>
        <w:rPr>
          <w:rStyle w:val="Hipervnculo"/>
          <w:rFonts w:ascii="Arial" w:eastAsia="Times New Roman" w:hAnsi="Arial" w:cs="Arial"/>
          <w:color w:val="auto"/>
          <w:sz w:val="20"/>
          <w:szCs w:val="20"/>
          <w:u w:val="none"/>
        </w:rPr>
        <w:tab/>
        <w:t>43</w:t>
      </w:r>
      <w:r w:rsidR="00C168CC">
        <w:rPr>
          <w:rStyle w:val="Hipervnculo"/>
          <w:rFonts w:ascii="Arial" w:eastAsia="Times New Roman" w:hAnsi="Arial" w:cs="Arial"/>
          <w:color w:val="auto"/>
          <w:sz w:val="20"/>
          <w:szCs w:val="20"/>
          <w:u w:val="none"/>
        </w:rPr>
        <w:t xml:space="preserve"> </w:t>
      </w:r>
    </w:p>
    <w:p w14:paraId="73323CE9" w14:textId="7930E24D" w:rsidR="00C168CC" w:rsidRDefault="00C168CC"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8.1</w:t>
      </w:r>
      <w:r w:rsidRPr="00C168CC">
        <w:rPr>
          <w:rStyle w:val="Hipervnculo"/>
          <w:rFonts w:ascii="Arial" w:eastAsia="Times New Roman" w:hAnsi="Arial" w:cs="Arial"/>
          <w:color w:val="auto"/>
          <w:sz w:val="20"/>
          <w:szCs w:val="20"/>
          <w:u w:val="none"/>
        </w:rPr>
        <w:t xml:space="preserve"> </w:t>
      </w:r>
      <w:r w:rsidRPr="007C62DA">
        <w:rPr>
          <w:rFonts w:ascii="Arial" w:hAnsi="Arial" w:cs="Arial"/>
          <w:sz w:val="20"/>
          <w:szCs w:val="20"/>
        </w:rPr>
        <w:t>Descripción de la conveniencia</w:t>
      </w:r>
      <w:r w:rsidR="00B86596">
        <w:rPr>
          <w:rStyle w:val="Hipervnculo"/>
          <w:rFonts w:ascii="Arial" w:eastAsia="Times New Roman" w:hAnsi="Arial" w:cs="Arial"/>
          <w:color w:val="auto"/>
          <w:sz w:val="20"/>
          <w:szCs w:val="20"/>
          <w:u w:val="none"/>
        </w:rPr>
        <w:t>,</w:t>
      </w:r>
      <w:r w:rsidR="00B86596">
        <w:rPr>
          <w:rStyle w:val="Hipervnculo"/>
          <w:rFonts w:ascii="Arial" w:eastAsia="Times New Roman" w:hAnsi="Arial" w:cs="Arial"/>
          <w:color w:val="auto"/>
          <w:sz w:val="20"/>
          <w:szCs w:val="20"/>
          <w:u w:val="none"/>
        </w:rPr>
        <w:tab/>
        <w:t>43</w:t>
      </w:r>
      <w:r w:rsidRPr="00C168CC">
        <w:rPr>
          <w:rStyle w:val="Hipervnculo"/>
          <w:rFonts w:ascii="Arial" w:eastAsia="Times New Roman" w:hAnsi="Arial" w:cs="Arial"/>
          <w:color w:val="auto"/>
          <w:sz w:val="20"/>
          <w:szCs w:val="20"/>
          <w:u w:val="none"/>
        </w:rPr>
        <w:t xml:space="preserve"> </w:t>
      </w:r>
    </w:p>
    <w:p w14:paraId="14C6333E" w14:textId="2ED7B89E" w:rsidR="00CF430A" w:rsidRPr="00CE3105" w:rsidRDefault="00B6649B"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9. AREA DE CONCLUSIONES.</w:t>
      </w:r>
      <w:r>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44</w:t>
      </w:r>
      <w:r>
        <w:rPr>
          <w:rStyle w:val="Hipervnculo"/>
          <w:rFonts w:ascii="Arial" w:eastAsia="Times New Roman" w:hAnsi="Arial" w:cs="Arial"/>
          <w:color w:val="auto"/>
          <w:sz w:val="20"/>
          <w:szCs w:val="20"/>
          <w:u w:val="none"/>
        </w:rPr>
        <w:t xml:space="preserve"> </w:t>
      </w:r>
    </w:p>
    <w:p w14:paraId="12A89B55" w14:textId="5768D5E1"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 xml:space="preserve">9.1 Resumen de los aspectos más significativos respecto a </w:t>
      </w:r>
      <w:r w:rsidR="00B6649B">
        <w:rPr>
          <w:rStyle w:val="Hipervnculo"/>
          <w:rFonts w:ascii="Arial" w:eastAsia="Times New Roman" w:hAnsi="Arial" w:cs="Arial"/>
          <w:color w:val="auto"/>
          <w:sz w:val="20"/>
          <w:szCs w:val="20"/>
          <w:u w:val="none"/>
        </w:rPr>
        <w:t xml:space="preserve">la alternativa y propuestas, </w:t>
      </w:r>
      <w:r w:rsidR="00B6649B">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44</w:t>
      </w:r>
    </w:p>
    <w:p w14:paraId="695BBC21" w14:textId="5452A7BB" w:rsidR="00CF430A" w:rsidRPr="00CE3105" w:rsidRDefault="00B6649B"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 xml:space="preserve">9.2 Decisión, </w:t>
      </w:r>
      <w:r>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46</w:t>
      </w:r>
    </w:p>
    <w:p w14:paraId="7F4D3D4A" w14:textId="50C3EE02" w:rsidR="00CF430A" w:rsidRPr="00CE3105" w:rsidRDefault="00B6649B"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 xml:space="preserve">9.3. Condiciones de uso </w:t>
      </w:r>
      <w:r>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46</w:t>
      </w:r>
    </w:p>
    <w:p w14:paraId="51353106" w14:textId="23829B77" w:rsidR="00CF430A" w:rsidRDefault="00B6649B" w:rsidP="001F6887">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 xml:space="preserve">9.4 Plan de seguimiento, </w:t>
      </w:r>
      <w:r>
        <w:rPr>
          <w:rStyle w:val="Hipervnculo"/>
          <w:rFonts w:ascii="Arial" w:eastAsia="Times New Roman" w:hAnsi="Arial" w:cs="Arial"/>
          <w:color w:val="auto"/>
          <w:sz w:val="20"/>
          <w:szCs w:val="20"/>
          <w:u w:val="none"/>
        </w:rPr>
        <w:tab/>
      </w:r>
      <w:r w:rsidR="00B86596">
        <w:rPr>
          <w:rStyle w:val="Hipervnculo"/>
          <w:rFonts w:ascii="Arial" w:eastAsia="Times New Roman" w:hAnsi="Arial" w:cs="Arial"/>
          <w:color w:val="auto"/>
          <w:sz w:val="20"/>
          <w:szCs w:val="20"/>
          <w:u w:val="none"/>
        </w:rPr>
        <w:t>46</w:t>
      </w:r>
    </w:p>
    <w:p w14:paraId="128CCE19" w14:textId="090DF0AD" w:rsidR="00EB1FB0" w:rsidRPr="00CE3105" w:rsidRDefault="00EB1FB0" w:rsidP="00EB1FB0">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A</w:t>
      </w:r>
      <w:r>
        <w:rPr>
          <w:rStyle w:val="Hipervnculo"/>
          <w:rFonts w:ascii="Arial" w:eastAsia="Times New Roman" w:hAnsi="Arial" w:cs="Arial"/>
          <w:color w:val="auto"/>
          <w:sz w:val="20"/>
          <w:szCs w:val="20"/>
          <w:u w:val="none"/>
        </w:rPr>
        <w:t>NEXO 1</w:t>
      </w:r>
      <w:r w:rsidR="00D75BEB">
        <w:rPr>
          <w:rStyle w:val="Hipervnculo"/>
          <w:rFonts w:ascii="Arial" w:eastAsia="Times New Roman" w:hAnsi="Arial" w:cs="Arial"/>
          <w:color w:val="auto"/>
          <w:sz w:val="20"/>
          <w:szCs w:val="20"/>
          <w:u w:val="none"/>
        </w:rPr>
        <w:t>. Alegaciones</w:t>
      </w:r>
      <w:r>
        <w:rPr>
          <w:rStyle w:val="Hipervnculo"/>
          <w:rFonts w:ascii="Arial" w:eastAsia="Times New Roman" w:hAnsi="Arial" w:cs="Arial"/>
          <w:color w:val="auto"/>
          <w:sz w:val="20"/>
          <w:szCs w:val="20"/>
          <w:u w:val="none"/>
        </w:rPr>
        <w:tab/>
        <w:t>4</w:t>
      </w:r>
      <w:r w:rsidR="008710EA">
        <w:rPr>
          <w:rStyle w:val="Hipervnculo"/>
          <w:rFonts w:ascii="Arial" w:eastAsia="Times New Roman" w:hAnsi="Arial" w:cs="Arial"/>
          <w:color w:val="auto"/>
          <w:sz w:val="20"/>
          <w:szCs w:val="20"/>
          <w:u w:val="none"/>
        </w:rPr>
        <w:t>8</w:t>
      </w:r>
    </w:p>
    <w:p w14:paraId="069495C5" w14:textId="41206082" w:rsidR="00EB1FB0" w:rsidRPr="00CE3105" w:rsidRDefault="00D75BEB" w:rsidP="00EB1FB0">
      <w:pPr>
        <w:pStyle w:val="TDC1"/>
        <w:rPr>
          <w:rStyle w:val="Hipervnculo"/>
          <w:rFonts w:ascii="Arial" w:eastAsia="Times New Roman" w:hAnsi="Arial" w:cs="Arial"/>
          <w:color w:val="auto"/>
          <w:sz w:val="20"/>
          <w:szCs w:val="20"/>
          <w:u w:val="none"/>
        </w:rPr>
      </w:pPr>
      <w:r>
        <w:rPr>
          <w:rStyle w:val="Hipervnculo"/>
          <w:rFonts w:ascii="Arial" w:eastAsia="Times New Roman" w:hAnsi="Arial" w:cs="Arial"/>
          <w:color w:val="auto"/>
          <w:sz w:val="20"/>
          <w:szCs w:val="20"/>
          <w:u w:val="none"/>
        </w:rPr>
        <w:t xml:space="preserve">ANEXO 2. </w:t>
      </w:r>
      <w:r w:rsidR="00EB1FB0" w:rsidRPr="00CE3105">
        <w:rPr>
          <w:rStyle w:val="Hipervnculo"/>
          <w:rFonts w:ascii="Arial" w:eastAsia="Times New Roman" w:hAnsi="Arial" w:cs="Arial"/>
          <w:color w:val="auto"/>
          <w:sz w:val="20"/>
          <w:szCs w:val="20"/>
          <w:u w:val="none"/>
        </w:rPr>
        <w:t>Formulario de declaración</w:t>
      </w:r>
      <w:r w:rsidR="00EB1FB0">
        <w:rPr>
          <w:rStyle w:val="Hipervnculo"/>
          <w:rFonts w:ascii="Arial" w:eastAsia="Times New Roman" w:hAnsi="Arial" w:cs="Arial"/>
          <w:color w:val="auto"/>
          <w:sz w:val="20"/>
          <w:szCs w:val="20"/>
          <w:u w:val="none"/>
        </w:rPr>
        <w:t xml:space="preserve"> de conflictos de intereses,</w:t>
      </w:r>
      <w:r w:rsidR="00EB1FB0">
        <w:rPr>
          <w:rStyle w:val="Hipervnculo"/>
          <w:rFonts w:ascii="Arial" w:eastAsia="Times New Roman" w:hAnsi="Arial" w:cs="Arial"/>
          <w:color w:val="auto"/>
          <w:sz w:val="20"/>
          <w:szCs w:val="20"/>
          <w:u w:val="none"/>
        </w:rPr>
        <w:tab/>
      </w:r>
      <w:r w:rsidR="008710EA">
        <w:rPr>
          <w:rStyle w:val="Hipervnculo"/>
          <w:rFonts w:ascii="Arial" w:eastAsia="Times New Roman" w:hAnsi="Arial" w:cs="Arial"/>
          <w:color w:val="auto"/>
          <w:sz w:val="20"/>
          <w:szCs w:val="20"/>
          <w:u w:val="none"/>
        </w:rPr>
        <w:t>58</w:t>
      </w:r>
      <w:r w:rsidR="00EB1FB0">
        <w:rPr>
          <w:rStyle w:val="Hipervnculo"/>
          <w:rFonts w:ascii="Arial" w:eastAsia="Times New Roman" w:hAnsi="Arial" w:cs="Arial"/>
          <w:color w:val="auto"/>
          <w:sz w:val="20"/>
          <w:szCs w:val="20"/>
          <w:u w:val="none"/>
        </w:rPr>
        <w:t xml:space="preserve"> </w:t>
      </w:r>
    </w:p>
    <w:p w14:paraId="00A697D0" w14:textId="43E5CFE0" w:rsidR="00CF430A" w:rsidRPr="00CE3105" w:rsidRDefault="00CF430A" w:rsidP="001F6887">
      <w:pPr>
        <w:pStyle w:val="TDC1"/>
        <w:rPr>
          <w:rStyle w:val="Hipervnculo"/>
          <w:rFonts w:ascii="Arial" w:eastAsia="Times New Roman" w:hAnsi="Arial" w:cs="Arial"/>
          <w:color w:val="auto"/>
          <w:sz w:val="20"/>
          <w:szCs w:val="20"/>
          <w:u w:val="none"/>
        </w:rPr>
      </w:pPr>
      <w:r w:rsidRPr="00CE3105">
        <w:rPr>
          <w:rStyle w:val="Hipervnculo"/>
          <w:rFonts w:ascii="Arial" w:eastAsia="Times New Roman" w:hAnsi="Arial" w:cs="Arial"/>
          <w:color w:val="auto"/>
          <w:sz w:val="20"/>
          <w:szCs w:val="20"/>
          <w:u w:val="none"/>
        </w:rPr>
        <w:t>10. BIBLIOGRAFÍA</w:t>
      </w:r>
      <w:r>
        <w:rPr>
          <w:rStyle w:val="Hipervnculo"/>
          <w:rFonts w:ascii="Arial" w:eastAsia="Times New Roman" w:hAnsi="Arial" w:cs="Arial"/>
          <w:color w:val="auto"/>
          <w:sz w:val="20"/>
          <w:szCs w:val="20"/>
          <w:u w:val="none"/>
        </w:rPr>
        <w:tab/>
      </w:r>
      <w:r w:rsidR="00AD61C3">
        <w:rPr>
          <w:rStyle w:val="Hipervnculo"/>
          <w:rFonts w:ascii="Arial" w:eastAsia="Times New Roman" w:hAnsi="Arial" w:cs="Arial"/>
          <w:color w:val="auto"/>
          <w:sz w:val="20"/>
          <w:szCs w:val="20"/>
          <w:u w:val="none"/>
        </w:rPr>
        <w:t>62</w:t>
      </w:r>
    </w:p>
    <w:p w14:paraId="49A60D66" w14:textId="77777777" w:rsidR="00CF430A" w:rsidRDefault="00CF430A" w:rsidP="001F6887">
      <w:pPr>
        <w:rPr>
          <w:rFonts w:ascii="Arial" w:hAnsi="Arial" w:cs="Arial"/>
          <w:b/>
          <w:bCs/>
          <w:noProof/>
          <w:sz w:val="20"/>
          <w:szCs w:val="20"/>
        </w:rPr>
      </w:pPr>
    </w:p>
    <w:p w14:paraId="1F64D2EB" w14:textId="77777777" w:rsidR="00CF083A" w:rsidRDefault="0024270B" w:rsidP="001F6887">
      <w:pPr>
        <w:rPr>
          <w:rFonts w:ascii="Arial" w:hAnsi="Arial" w:cs="Arial"/>
          <w:b/>
          <w:bCs/>
          <w:sz w:val="20"/>
          <w:szCs w:val="20"/>
        </w:rPr>
      </w:pPr>
      <w:r w:rsidRPr="00CE3105">
        <w:rPr>
          <w:rFonts w:ascii="Arial" w:hAnsi="Arial" w:cs="Arial"/>
          <w:b/>
          <w:bCs/>
          <w:sz w:val="20"/>
          <w:szCs w:val="20"/>
        </w:rPr>
        <w:fldChar w:fldCharType="end"/>
      </w:r>
    </w:p>
    <w:p w14:paraId="3B583672" w14:textId="79FC5344" w:rsidR="00AC7E45" w:rsidRDefault="00AC7E45" w:rsidP="001F6887">
      <w:pPr>
        <w:rPr>
          <w:rFonts w:ascii="Arial" w:hAnsi="Arial" w:cs="Arial"/>
          <w:b/>
          <w:bCs/>
          <w:sz w:val="20"/>
          <w:szCs w:val="20"/>
        </w:rPr>
      </w:pPr>
      <w:r>
        <w:rPr>
          <w:rFonts w:ascii="Arial" w:hAnsi="Arial" w:cs="Arial"/>
          <w:b/>
          <w:bCs/>
          <w:sz w:val="20"/>
          <w:szCs w:val="20"/>
        </w:rPr>
        <w:t xml:space="preserve">Glosario: </w:t>
      </w:r>
    </w:p>
    <w:p w14:paraId="6A4976F0" w14:textId="77777777" w:rsidR="00CF083A" w:rsidRDefault="00CF083A" w:rsidP="001F6887">
      <w:pPr>
        <w:rPr>
          <w:rFonts w:ascii="Arial" w:hAnsi="Arial" w:cs="Arial"/>
          <w:b/>
          <w:bCs/>
          <w:sz w:val="20"/>
          <w:szCs w:val="20"/>
        </w:rPr>
      </w:pPr>
    </w:p>
    <w:p w14:paraId="38F85510" w14:textId="77777777" w:rsidR="00AB502C" w:rsidRDefault="00AB502C" w:rsidP="001F6887">
      <w:pPr>
        <w:pBdr>
          <w:top w:val="single" w:sz="4" w:space="1" w:color="auto"/>
          <w:left w:val="single" w:sz="4" w:space="4" w:color="auto"/>
          <w:bottom w:val="single" w:sz="4" w:space="1" w:color="auto"/>
          <w:right w:val="single" w:sz="4" w:space="4" w:color="auto"/>
        </w:pBdr>
        <w:rPr>
          <w:rFonts w:ascii="Arial" w:hAnsi="Arial" w:cs="Arial"/>
          <w:b/>
          <w:bCs/>
          <w:sz w:val="20"/>
          <w:szCs w:val="20"/>
        </w:rPr>
      </w:pPr>
      <w:r>
        <w:rPr>
          <w:rFonts w:ascii="Arial" w:hAnsi="Arial" w:cs="Arial"/>
          <w:b/>
          <w:bCs/>
          <w:sz w:val="20"/>
          <w:szCs w:val="20"/>
        </w:rPr>
        <w:t xml:space="preserve">AME: </w:t>
      </w:r>
      <w:r w:rsidRPr="008B4B2A">
        <w:rPr>
          <w:rFonts w:ascii="Arial" w:hAnsi="Arial" w:cs="Arial"/>
          <w:bCs/>
          <w:sz w:val="20"/>
          <w:szCs w:val="20"/>
        </w:rPr>
        <w:t>Atrofia Muscular Espinal</w:t>
      </w:r>
    </w:p>
    <w:p w14:paraId="29E40CB9" w14:textId="77777777" w:rsidR="00AB502C" w:rsidRDefault="00AB502C" w:rsidP="001F6887">
      <w:pPr>
        <w:pBdr>
          <w:top w:val="single" w:sz="4" w:space="1" w:color="auto"/>
          <w:left w:val="single" w:sz="4" w:space="4" w:color="auto"/>
          <w:bottom w:val="single" w:sz="4" w:space="1" w:color="auto"/>
          <w:right w:val="single" w:sz="4" w:space="4" w:color="auto"/>
        </w:pBdr>
        <w:rPr>
          <w:rFonts w:ascii="Arial" w:hAnsi="Arial" w:cs="Arial"/>
          <w:b/>
          <w:bCs/>
          <w:sz w:val="20"/>
          <w:szCs w:val="20"/>
        </w:rPr>
      </w:pPr>
      <w:r>
        <w:rPr>
          <w:rFonts w:ascii="Arial" w:hAnsi="Arial" w:cs="Arial"/>
          <w:b/>
          <w:bCs/>
          <w:sz w:val="20"/>
          <w:szCs w:val="20"/>
        </w:rPr>
        <w:t>AV:</w:t>
      </w:r>
      <w:r w:rsidRPr="008B4B2A">
        <w:rPr>
          <w:rFonts w:ascii="Arial" w:hAnsi="Arial" w:cs="Arial"/>
          <w:bCs/>
          <w:sz w:val="20"/>
          <w:szCs w:val="20"/>
        </w:rPr>
        <w:t xml:space="preserve"> Años de vida ganados</w:t>
      </w:r>
    </w:p>
    <w:p w14:paraId="2CC8DABE" w14:textId="77777777" w:rsidR="00AB502C" w:rsidRDefault="00AB502C" w:rsidP="001F6887">
      <w:pPr>
        <w:pBdr>
          <w:top w:val="single" w:sz="4" w:space="1" w:color="auto"/>
          <w:left w:val="single" w:sz="4" w:space="4" w:color="auto"/>
          <w:bottom w:val="single" w:sz="4" w:space="1" w:color="auto"/>
          <w:right w:val="single" w:sz="4" w:space="4" w:color="auto"/>
        </w:pBdr>
        <w:rPr>
          <w:rFonts w:ascii="Arial" w:hAnsi="Arial" w:cs="Arial"/>
          <w:b/>
          <w:bCs/>
          <w:sz w:val="20"/>
          <w:szCs w:val="20"/>
        </w:rPr>
      </w:pPr>
      <w:r>
        <w:rPr>
          <w:rFonts w:ascii="Arial" w:hAnsi="Arial" w:cs="Arial"/>
          <w:b/>
          <w:bCs/>
          <w:sz w:val="20"/>
          <w:szCs w:val="20"/>
        </w:rPr>
        <w:t xml:space="preserve">AVAC: </w:t>
      </w:r>
      <w:r w:rsidRPr="008B4B2A">
        <w:rPr>
          <w:rFonts w:ascii="Arial" w:hAnsi="Arial" w:cs="Arial"/>
          <w:bCs/>
          <w:sz w:val="20"/>
          <w:szCs w:val="20"/>
        </w:rPr>
        <w:t>Años de vida ganados ajustados por calidad</w:t>
      </w:r>
    </w:p>
    <w:p w14:paraId="307C7414" w14:textId="6D28E250" w:rsidR="00AB502C" w:rsidRDefault="00AB502C" w:rsidP="001F6887">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
          <w:bCs/>
          <w:sz w:val="20"/>
          <w:szCs w:val="20"/>
        </w:rPr>
        <w:t xml:space="preserve">AVV: </w:t>
      </w:r>
      <w:r w:rsidRPr="008B4B2A">
        <w:rPr>
          <w:rFonts w:ascii="Arial" w:hAnsi="Arial" w:cs="Arial"/>
          <w:bCs/>
          <w:sz w:val="20"/>
          <w:szCs w:val="20"/>
        </w:rPr>
        <w:t xml:space="preserve">Virus </w:t>
      </w:r>
      <w:r w:rsidR="0074644A">
        <w:rPr>
          <w:rFonts w:ascii="Arial" w:hAnsi="Arial" w:cs="Arial"/>
          <w:bCs/>
          <w:sz w:val="20"/>
          <w:szCs w:val="20"/>
        </w:rPr>
        <w:t>A</w:t>
      </w:r>
      <w:r w:rsidRPr="008B4B2A">
        <w:rPr>
          <w:rFonts w:ascii="Arial" w:hAnsi="Arial" w:cs="Arial"/>
          <w:bCs/>
          <w:sz w:val="20"/>
          <w:szCs w:val="20"/>
        </w:rPr>
        <w:t>denoasociado</w:t>
      </w:r>
    </w:p>
    <w:p w14:paraId="0C62DAB9" w14:textId="15EBB7DA" w:rsidR="00896996" w:rsidRDefault="00896996" w:rsidP="001F6887">
      <w:pPr>
        <w:pBdr>
          <w:top w:val="single" w:sz="4" w:space="1" w:color="auto"/>
          <w:left w:val="single" w:sz="4" w:space="4" w:color="auto"/>
          <w:bottom w:val="single" w:sz="4" w:space="1" w:color="auto"/>
          <w:right w:val="single" w:sz="4" w:space="4" w:color="auto"/>
        </w:pBdr>
        <w:rPr>
          <w:rFonts w:ascii="Arial" w:hAnsi="Arial" w:cs="Arial"/>
          <w:b/>
          <w:bCs/>
          <w:sz w:val="20"/>
          <w:szCs w:val="20"/>
        </w:rPr>
      </w:pPr>
      <w:r>
        <w:rPr>
          <w:rFonts w:ascii="Arial" w:hAnsi="Arial" w:cs="Arial"/>
          <w:b/>
          <w:bCs/>
          <w:sz w:val="20"/>
          <w:szCs w:val="20"/>
        </w:rPr>
        <w:t xml:space="preserve">AVV9: </w:t>
      </w:r>
      <w:r w:rsidRPr="00896996">
        <w:rPr>
          <w:rFonts w:ascii="Arial" w:hAnsi="Arial" w:cs="Arial"/>
          <w:bCs/>
          <w:sz w:val="20"/>
          <w:szCs w:val="20"/>
        </w:rPr>
        <w:t>Vector Viral de Virus Adenoasociado serotipo 9</w:t>
      </w:r>
    </w:p>
    <w:p w14:paraId="2AB83200" w14:textId="06C976FC" w:rsidR="004269E9" w:rsidRDefault="004269E9" w:rsidP="004269E9">
      <w:pPr>
        <w:pBdr>
          <w:top w:val="single" w:sz="4" w:space="1" w:color="auto"/>
          <w:left w:val="single" w:sz="4" w:space="4" w:color="auto"/>
          <w:bottom w:val="single" w:sz="4" w:space="1" w:color="auto"/>
          <w:right w:val="single" w:sz="4" w:space="4" w:color="auto"/>
        </w:pBdr>
        <w:rPr>
          <w:rFonts w:ascii="Arial" w:hAnsi="Arial" w:cs="Arial"/>
          <w:b/>
          <w:bCs/>
          <w:sz w:val="20"/>
          <w:szCs w:val="20"/>
        </w:rPr>
      </w:pPr>
      <w:r>
        <w:rPr>
          <w:rFonts w:ascii="Arial" w:hAnsi="Arial" w:cs="Arial"/>
          <w:b/>
          <w:bCs/>
          <w:sz w:val="20"/>
          <w:szCs w:val="20"/>
        </w:rPr>
        <w:t>CHOP-INTEND</w:t>
      </w:r>
      <w:r w:rsidRPr="004269E9">
        <w:rPr>
          <w:rFonts w:ascii="Arial" w:hAnsi="Arial" w:cs="Arial"/>
          <w:b/>
          <w:bCs/>
          <w:sz w:val="20"/>
          <w:szCs w:val="20"/>
        </w:rPr>
        <w:t>.</w:t>
      </w:r>
      <w:r>
        <w:rPr>
          <w:rFonts w:ascii="Arial" w:hAnsi="Arial" w:cs="Arial"/>
          <w:b/>
          <w:bCs/>
          <w:sz w:val="20"/>
          <w:szCs w:val="20"/>
        </w:rPr>
        <w:t xml:space="preserve"> </w:t>
      </w:r>
      <w:r w:rsidRPr="004269E9">
        <w:rPr>
          <w:rFonts w:ascii="Arial" w:hAnsi="Arial" w:cs="Arial"/>
          <w:bCs/>
          <w:sz w:val="20"/>
          <w:szCs w:val="20"/>
        </w:rPr>
        <w:t>Escala Children´s Hospital of Philadelphia Infant Test for Neuromuscular Disease</w:t>
      </w:r>
    </w:p>
    <w:p w14:paraId="317E00ED" w14:textId="776300EA" w:rsidR="00AB502C" w:rsidRDefault="00AB502C" w:rsidP="004269E9">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
          <w:bCs/>
          <w:sz w:val="20"/>
          <w:szCs w:val="20"/>
        </w:rPr>
        <w:t xml:space="preserve">CMAP: </w:t>
      </w:r>
      <w:r w:rsidRPr="008B4B2A">
        <w:rPr>
          <w:rFonts w:ascii="Arial" w:hAnsi="Arial" w:cs="Arial"/>
          <w:bCs/>
          <w:sz w:val="20"/>
          <w:szCs w:val="20"/>
        </w:rPr>
        <w:t>Potencial de acción motor compuesto</w:t>
      </w:r>
    </w:p>
    <w:p w14:paraId="66F00E8F" w14:textId="6BB8926B" w:rsidR="00E228BE" w:rsidRPr="00FF73BC" w:rsidRDefault="00E228BE" w:rsidP="001F6887">
      <w:pPr>
        <w:pBdr>
          <w:top w:val="single" w:sz="4" w:space="1" w:color="auto"/>
          <w:left w:val="single" w:sz="4" w:space="4" w:color="auto"/>
          <w:bottom w:val="single" w:sz="4" w:space="1" w:color="auto"/>
          <w:right w:val="single" w:sz="4" w:space="4" w:color="auto"/>
        </w:pBdr>
        <w:rPr>
          <w:rFonts w:ascii="Arial" w:hAnsi="Arial" w:cs="Arial"/>
          <w:b/>
          <w:bCs/>
          <w:sz w:val="20"/>
          <w:szCs w:val="20"/>
          <w:lang w:val="en-GB"/>
        </w:rPr>
      </w:pPr>
      <w:r w:rsidRPr="00FF73BC">
        <w:rPr>
          <w:rFonts w:ascii="Arial" w:hAnsi="Arial" w:cs="Arial"/>
          <w:b/>
          <w:bCs/>
          <w:sz w:val="20"/>
          <w:szCs w:val="20"/>
          <w:lang w:val="en-GB"/>
        </w:rPr>
        <w:t>Eol:</w:t>
      </w:r>
      <w:r w:rsidRPr="00FF73BC">
        <w:rPr>
          <w:rFonts w:ascii="Arial" w:hAnsi="Arial" w:cs="Arial"/>
          <w:bCs/>
          <w:sz w:val="20"/>
          <w:szCs w:val="20"/>
          <w:lang w:val="en-GB"/>
        </w:rPr>
        <w:t xml:space="preserve"> End of life</w:t>
      </w:r>
    </w:p>
    <w:p w14:paraId="082C9F48" w14:textId="2182BEA8" w:rsidR="008B4B2A" w:rsidRPr="00FF73BC" w:rsidRDefault="008B4B2A" w:rsidP="001F6887">
      <w:pPr>
        <w:pBdr>
          <w:top w:val="single" w:sz="4" w:space="1" w:color="auto"/>
          <w:left w:val="single" w:sz="4" w:space="4" w:color="auto"/>
          <w:bottom w:val="single" w:sz="4" w:space="1" w:color="auto"/>
          <w:right w:val="single" w:sz="4" w:space="4" w:color="auto"/>
        </w:pBdr>
        <w:rPr>
          <w:rFonts w:ascii="Arial" w:hAnsi="Arial" w:cs="Arial"/>
          <w:b/>
          <w:bCs/>
          <w:sz w:val="20"/>
          <w:szCs w:val="20"/>
          <w:lang w:val="en-GB"/>
        </w:rPr>
      </w:pPr>
      <w:r w:rsidRPr="00FF73BC">
        <w:rPr>
          <w:rFonts w:ascii="Arial" w:hAnsi="Arial" w:cs="Arial"/>
          <w:b/>
          <w:sz w:val="20"/>
          <w:szCs w:val="20"/>
          <w:lang w:val="en-GB"/>
        </w:rPr>
        <w:t>FundAME</w:t>
      </w:r>
      <w:r w:rsidRPr="00FF73BC">
        <w:rPr>
          <w:rFonts w:ascii="Arial" w:hAnsi="Arial" w:cs="Arial"/>
          <w:sz w:val="20"/>
          <w:szCs w:val="20"/>
          <w:lang w:val="en-GB"/>
        </w:rPr>
        <w:t xml:space="preserve">: Fundación Atrofia Muscular Espinal </w:t>
      </w:r>
    </w:p>
    <w:p w14:paraId="040EC802" w14:textId="7BFF1ADC" w:rsidR="00C14E15" w:rsidRPr="00FF73BC" w:rsidRDefault="00C14E15" w:rsidP="001F6887">
      <w:pPr>
        <w:pBdr>
          <w:top w:val="single" w:sz="4" w:space="1" w:color="auto"/>
          <w:left w:val="single" w:sz="4" w:space="4" w:color="auto"/>
          <w:bottom w:val="single" w:sz="4" w:space="1" w:color="auto"/>
          <w:right w:val="single" w:sz="4" w:space="4" w:color="auto"/>
        </w:pBdr>
        <w:rPr>
          <w:rFonts w:ascii="Arial" w:hAnsi="Arial" w:cs="Arial"/>
          <w:b/>
          <w:bCs/>
          <w:sz w:val="20"/>
          <w:szCs w:val="20"/>
          <w:lang w:val="en-GB"/>
        </w:rPr>
      </w:pPr>
      <w:r w:rsidRPr="00FF73BC">
        <w:rPr>
          <w:rFonts w:ascii="Arial" w:hAnsi="Arial" w:cs="Arial"/>
          <w:b/>
          <w:bCs/>
          <w:sz w:val="20"/>
          <w:szCs w:val="20"/>
          <w:lang w:val="en-GB"/>
        </w:rPr>
        <w:t xml:space="preserve">HINE: </w:t>
      </w:r>
      <w:r w:rsidRPr="00FF73BC">
        <w:rPr>
          <w:rFonts w:ascii="Arial" w:hAnsi="Arial" w:cs="Arial"/>
          <w:bCs/>
          <w:sz w:val="20"/>
          <w:szCs w:val="20"/>
          <w:lang w:val="en-GB"/>
        </w:rPr>
        <w:t>Hammersmith Infant Neurological Examination</w:t>
      </w:r>
    </w:p>
    <w:p w14:paraId="6412D612" w14:textId="07B1EC6F" w:rsidR="00B923CD" w:rsidRPr="00FF73BC" w:rsidRDefault="00B923CD" w:rsidP="001F6887">
      <w:pPr>
        <w:pBdr>
          <w:top w:val="single" w:sz="4" w:space="1" w:color="auto"/>
          <w:left w:val="single" w:sz="4" w:space="4" w:color="auto"/>
          <w:bottom w:val="single" w:sz="4" w:space="1" w:color="auto"/>
          <w:right w:val="single" w:sz="4" w:space="4" w:color="auto"/>
        </w:pBdr>
        <w:rPr>
          <w:rFonts w:ascii="Arial" w:hAnsi="Arial" w:cs="Arial"/>
          <w:b/>
          <w:bCs/>
          <w:sz w:val="20"/>
          <w:szCs w:val="20"/>
          <w:lang w:val="en-GB"/>
        </w:rPr>
      </w:pPr>
      <w:r w:rsidRPr="00FF73BC">
        <w:rPr>
          <w:rFonts w:ascii="Arial" w:hAnsi="Arial" w:cs="Arial"/>
          <w:b/>
          <w:bCs/>
          <w:sz w:val="20"/>
          <w:szCs w:val="20"/>
          <w:lang w:val="en-GB"/>
        </w:rPr>
        <w:t xml:space="preserve">ICER: </w:t>
      </w:r>
      <w:r w:rsidRPr="00FF73BC">
        <w:rPr>
          <w:rFonts w:ascii="Arial" w:hAnsi="Arial" w:cs="Arial"/>
          <w:bCs/>
          <w:sz w:val="20"/>
          <w:szCs w:val="20"/>
          <w:lang w:val="en-GB"/>
        </w:rPr>
        <w:t xml:space="preserve">Institute of Clinical and Economic Review </w:t>
      </w:r>
    </w:p>
    <w:p w14:paraId="49F65FE2" w14:textId="41AB6ECB" w:rsidR="00AB502C" w:rsidRDefault="00AB502C" w:rsidP="001F6887">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
          <w:bCs/>
          <w:sz w:val="20"/>
          <w:szCs w:val="20"/>
        </w:rPr>
        <w:t xml:space="preserve">LSN: </w:t>
      </w:r>
      <w:r w:rsidRPr="008B4B2A">
        <w:rPr>
          <w:rFonts w:ascii="Arial" w:hAnsi="Arial" w:cs="Arial"/>
          <w:bCs/>
          <w:sz w:val="20"/>
          <w:szCs w:val="20"/>
        </w:rPr>
        <w:t>Límite superior normal</w:t>
      </w:r>
    </w:p>
    <w:p w14:paraId="3AF24796" w14:textId="568A357F" w:rsidR="00DD3E10" w:rsidRDefault="00DD3E10" w:rsidP="001F6887">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DD3E10">
        <w:rPr>
          <w:rFonts w:ascii="Arial" w:hAnsi="Arial" w:cs="Arial"/>
          <w:b/>
          <w:bCs/>
          <w:sz w:val="20"/>
          <w:szCs w:val="20"/>
        </w:rPr>
        <w:t>RCUI:</w:t>
      </w:r>
      <w:r>
        <w:rPr>
          <w:rFonts w:ascii="Arial" w:hAnsi="Arial" w:cs="Arial"/>
          <w:bCs/>
          <w:sz w:val="20"/>
          <w:szCs w:val="20"/>
        </w:rPr>
        <w:t xml:space="preserve"> Ratio Coste Utilidad Incremental</w:t>
      </w:r>
    </w:p>
    <w:p w14:paraId="0BC94E80" w14:textId="77777777" w:rsidR="00AB502C" w:rsidRDefault="00AB502C" w:rsidP="001F6887">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
          <w:bCs/>
          <w:sz w:val="20"/>
          <w:szCs w:val="20"/>
        </w:rPr>
        <w:t xml:space="preserve">SMN: </w:t>
      </w:r>
      <w:r w:rsidRPr="008B4B2A">
        <w:rPr>
          <w:rFonts w:ascii="Arial" w:hAnsi="Arial" w:cs="Arial"/>
          <w:bCs/>
          <w:sz w:val="20"/>
          <w:szCs w:val="20"/>
        </w:rPr>
        <w:t>Proteína de supervivencia de las motoneuronas</w:t>
      </w:r>
    </w:p>
    <w:p w14:paraId="6443C206" w14:textId="48566D75" w:rsidR="001B7104" w:rsidRDefault="001B7104" w:rsidP="001F6887">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B7104">
        <w:rPr>
          <w:rFonts w:ascii="Arial" w:hAnsi="Arial" w:cs="Arial"/>
          <w:b/>
          <w:bCs/>
          <w:sz w:val="20"/>
          <w:szCs w:val="20"/>
        </w:rPr>
        <w:t>VG</w:t>
      </w:r>
      <w:r>
        <w:rPr>
          <w:rFonts w:ascii="Arial" w:hAnsi="Arial" w:cs="Arial"/>
          <w:bCs/>
          <w:sz w:val="20"/>
          <w:szCs w:val="20"/>
        </w:rPr>
        <w:t>: Genomas Vectoriales</w:t>
      </w:r>
    </w:p>
    <w:p w14:paraId="5BA4CA85" w14:textId="635C5437" w:rsidR="00AB502C" w:rsidRDefault="00AB502C" w:rsidP="001F6887">
      <w:pPr>
        <w:pBdr>
          <w:top w:val="single" w:sz="4" w:space="1" w:color="auto"/>
          <w:left w:val="single" w:sz="4" w:space="4" w:color="auto"/>
          <w:bottom w:val="single" w:sz="4" w:space="1" w:color="auto"/>
          <w:right w:val="single" w:sz="4" w:space="4" w:color="auto"/>
        </w:pBdr>
        <w:tabs>
          <w:tab w:val="center" w:pos="4323"/>
        </w:tabs>
        <w:rPr>
          <w:rFonts w:ascii="Arial" w:hAnsi="Arial" w:cs="Arial"/>
          <w:b/>
          <w:bCs/>
          <w:sz w:val="20"/>
          <w:szCs w:val="20"/>
        </w:rPr>
      </w:pPr>
      <w:r>
        <w:rPr>
          <w:rFonts w:ascii="Arial" w:hAnsi="Arial" w:cs="Arial"/>
          <w:b/>
          <w:bCs/>
          <w:sz w:val="20"/>
          <w:szCs w:val="20"/>
        </w:rPr>
        <w:t xml:space="preserve">VRS: </w:t>
      </w:r>
      <w:r w:rsidRPr="008B4B2A">
        <w:rPr>
          <w:rFonts w:ascii="Arial" w:hAnsi="Arial" w:cs="Arial"/>
          <w:bCs/>
          <w:sz w:val="20"/>
          <w:szCs w:val="20"/>
        </w:rPr>
        <w:t>Virus Respiratorio Sincitial</w:t>
      </w:r>
      <w:r w:rsidR="00C168CC">
        <w:rPr>
          <w:rFonts w:ascii="Arial" w:hAnsi="Arial" w:cs="Arial"/>
          <w:b/>
          <w:bCs/>
          <w:sz w:val="20"/>
          <w:szCs w:val="20"/>
        </w:rPr>
        <w:tab/>
      </w:r>
    </w:p>
    <w:p w14:paraId="21F85080" w14:textId="77777777" w:rsidR="00AC7E45" w:rsidRDefault="00AC7E45" w:rsidP="001F6887">
      <w:pPr>
        <w:rPr>
          <w:rFonts w:ascii="Arial" w:hAnsi="Arial" w:cs="Arial"/>
          <w:b/>
          <w:bCs/>
          <w:sz w:val="20"/>
          <w:szCs w:val="20"/>
        </w:rPr>
      </w:pPr>
    </w:p>
    <w:p w14:paraId="4E34F1FA" w14:textId="042E9200" w:rsidR="00AC7E45" w:rsidRDefault="00AC7E45" w:rsidP="004F2163">
      <w:pPr>
        <w:jc w:val="both"/>
        <w:rPr>
          <w:rFonts w:ascii="Arial" w:hAnsi="Arial" w:cs="Arial"/>
          <w:b/>
          <w:bCs/>
          <w:sz w:val="20"/>
          <w:szCs w:val="20"/>
        </w:rPr>
      </w:pPr>
      <w:r>
        <w:rPr>
          <w:rFonts w:ascii="Arial" w:hAnsi="Arial" w:cs="Arial"/>
          <w:b/>
          <w:bCs/>
          <w:sz w:val="20"/>
          <w:szCs w:val="20"/>
        </w:rPr>
        <w:t>Citar este informe como:</w:t>
      </w:r>
      <w:r w:rsidR="004F2163">
        <w:rPr>
          <w:rFonts w:ascii="Arial" w:hAnsi="Arial" w:cs="Arial"/>
          <w:b/>
          <w:bCs/>
          <w:sz w:val="20"/>
          <w:szCs w:val="20"/>
        </w:rPr>
        <w:t xml:space="preserve"> </w:t>
      </w:r>
      <w:r w:rsidR="004F2163" w:rsidRPr="004F2163">
        <w:rPr>
          <w:rFonts w:ascii="Arial" w:hAnsi="Arial" w:cs="Arial"/>
          <w:sz w:val="20"/>
          <w:szCs w:val="20"/>
        </w:rPr>
        <w:t>Gómez Gómez</w:t>
      </w:r>
      <w:r w:rsidR="004F2163">
        <w:rPr>
          <w:rFonts w:ascii="Arial" w:hAnsi="Arial" w:cs="Arial"/>
          <w:sz w:val="20"/>
          <w:szCs w:val="20"/>
        </w:rPr>
        <w:t xml:space="preserve"> D</w:t>
      </w:r>
      <w:r w:rsidR="004F2163" w:rsidRPr="004F2163">
        <w:rPr>
          <w:rFonts w:ascii="Arial" w:hAnsi="Arial" w:cs="Arial"/>
          <w:sz w:val="20"/>
          <w:szCs w:val="20"/>
        </w:rPr>
        <w:t xml:space="preserve">, Arocas Casañ </w:t>
      </w:r>
      <w:r w:rsidR="004F2163">
        <w:rPr>
          <w:rFonts w:ascii="Arial" w:hAnsi="Arial" w:cs="Arial"/>
          <w:sz w:val="20"/>
          <w:szCs w:val="20"/>
        </w:rPr>
        <w:t>V</w:t>
      </w:r>
      <w:r w:rsidR="004F2163" w:rsidRPr="004F2163">
        <w:rPr>
          <w:rFonts w:ascii="Arial" w:hAnsi="Arial" w:cs="Arial"/>
          <w:sz w:val="20"/>
          <w:szCs w:val="20"/>
        </w:rPr>
        <w:t>, Puigventós</w:t>
      </w:r>
      <w:r w:rsidR="004F2163">
        <w:rPr>
          <w:rFonts w:ascii="Arial" w:hAnsi="Arial" w:cs="Arial"/>
          <w:sz w:val="20"/>
          <w:szCs w:val="20"/>
        </w:rPr>
        <w:t xml:space="preserve"> Latorre F</w:t>
      </w:r>
      <w:r w:rsidR="004F2163" w:rsidRPr="004F2163">
        <w:rPr>
          <w:rFonts w:ascii="Arial" w:hAnsi="Arial" w:cs="Arial"/>
          <w:sz w:val="20"/>
          <w:szCs w:val="20"/>
        </w:rPr>
        <w:t>, Ortega</w:t>
      </w:r>
      <w:r w:rsidR="008710EA">
        <w:rPr>
          <w:rFonts w:ascii="Arial" w:hAnsi="Arial" w:cs="Arial"/>
          <w:sz w:val="20"/>
          <w:szCs w:val="20"/>
        </w:rPr>
        <w:t xml:space="preserve"> Eslava A</w:t>
      </w:r>
      <w:r w:rsidR="0074644A">
        <w:rPr>
          <w:rFonts w:ascii="Arial" w:hAnsi="Arial" w:cs="Arial"/>
          <w:sz w:val="20"/>
          <w:szCs w:val="20"/>
        </w:rPr>
        <w:t>.</w:t>
      </w:r>
      <w:r w:rsidR="004F2163">
        <w:rPr>
          <w:rFonts w:ascii="Arial" w:hAnsi="Arial" w:cs="Arial"/>
          <w:sz w:val="20"/>
          <w:szCs w:val="20"/>
        </w:rPr>
        <w:t xml:space="preserve"> Onasemnog</w:t>
      </w:r>
      <w:r w:rsidR="009F365E">
        <w:rPr>
          <w:rFonts w:ascii="Arial" w:hAnsi="Arial" w:cs="Arial"/>
          <w:sz w:val="20"/>
          <w:szCs w:val="20"/>
        </w:rPr>
        <w:t>é</w:t>
      </w:r>
      <w:r w:rsidR="004F2163">
        <w:rPr>
          <w:rFonts w:ascii="Arial" w:hAnsi="Arial" w:cs="Arial"/>
          <w:sz w:val="20"/>
          <w:szCs w:val="20"/>
        </w:rPr>
        <w:t xml:space="preserve">n abeparvovec en AME. </w:t>
      </w:r>
      <w:r w:rsidR="004F2163" w:rsidRPr="004F2163">
        <w:rPr>
          <w:rFonts w:ascii="Arial" w:hAnsi="Arial" w:cs="Arial"/>
          <w:sz w:val="20"/>
        </w:rPr>
        <w:t>Informe compartido del Grupo GENESIS- SEFH (revisor). Madrid: SEFH (ed.), [20</w:t>
      </w:r>
      <w:r w:rsidR="004F2163">
        <w:rPr>
          <w:rFonts w:ascii="Arial" w:hAnsi="Arial" w:cs="Arial"/>
          <w:sz w:val="20"/>
        </w:rPr>
        <w:t>21</w:t>
      </w:r>
      <w:r w:rsidR="004F2163" w:rsidRPr="004F2163">
        <w:rPr>
          <w:rFonts w:ascii="Arial" w:hAnsi="Arial" w:cs="Arial"/>
          <w:sz w:val="20"/>
        </w:rPr>
        <w:t>]. ISBN Depósito legal</w:t>
      </w:r>
    </w:p>
    <w:p w14:paraId="601345FF" w14:textId="77777777" w:rsidR="00CF083A" w:rsidRDefault="00CF083A" w:rsidP="001F6887">
      <w:pPr>
        <w:rPr>
          <w:rFonts w:ascii="Arial" w:hAnsi="Arial" w:cs="Arial"/>
          <w:b/>
          <w:bCs/>
          <w:sz w:val="20"/>
          <w:szCs w:val="20"/>
        </w:rPr>
      </w:pPr>
    </w:p>
    <w:p w14:paraId="3745FE2A" w14:textId="77777777" w:rsidR="00CF083A" w:rsidRDefault="00CF083A" w:rsidP="001F6887">
      <w:pPr>
        <w:rPr>
          <w:rFonts w:ascii="Arial" w:hAnsi="Arial" w:cs="Arial"/>
          <w:b/>
          <w:bCs/>
          <w:sz w:val="20"/>
          <w:szCs w:val="20"/>
        </w:rPr>
      </w:pPr>
    </w:p>
    <w:p w14:paraId="133452AC" w14:textId="77777777" w:rsidR="00CF083A" w:rsidRDefault="00CF083A" w:rsidP="001F6887">
      <w:pPr>
        <w:rPr>
          <w:rFonts w:ascii="Arial" w:hAnsi="Arial" w:cs="Arial"/>
          <w:b/>
          <w:bCs/>
          <w:sz w:val="20"/>
          <w:szCs w:val="20"/>
        </w:rPr>
      </w:pPr>
    </w:p>
    <w:p w14:paraId="140A4026" w14:textId="77777777" w:rsidR="00CF083A" w:rsidRDefault="00CF083A" w:rsidP="001F6887">
      <w:pPr>
        <w:rPr>
          <w:rFonts w:ascii="Arial" w:hAnsi="Arial" w:cs="Arial"/>
          <w:b/>
          <w:bCs/>
          <w:sz w:val="20"/>
          <w:szCs w:val="20"/>
        </w:rPr>
      </w:pPr>
    </w:p>
    <w:p w14:paraId="684BB8FC" w14:textId="77777777" w:rsidR="00CF083A" w:rsidRDefault="00CF083A" w:rsidP="001F6887">
      <w:pPr>
        <w:rPr>
          <w:rFonts w:ascii="Arial" w:hAnsi="Arial" w:cs="Arial"/>
          <w:b/>
          <w:bCs/>
          <w:sz w:val="20"/>
          <w:szCs w:val="20"/>
        </w:rPr>
      </w:pPr>
    </w:p>
    <w:p w14:paraId="3C048AD1" w14:textId="77777777" w:rsidR="00CF083A" w:rsidRDefault="00CF083A" w:rsidP="001F6887">
      <w:pPr>
        <w:rPr>
          <w:rFonts w:ascii="Arial" w:hAnsi="Arial" w:cs="Arial"/>
          <w:b/>
          <w:bCs/>
          <w:sz w:val="20"/>
          <w:szCs w:val="20"/>
        </w:rPr>
      </w:pPr>
    </w:p>
    <w:p w14:paraId="154E43A7" w14:textId="77777777" w:rsidR="00CF083A" w:rsidRDefault="00CF083A" w:rsidP="001F6887">
      <w:pPr>
        <w:rPr>
          <w:rFonts w:ascii="Arial" w:hAnsi="Arial" w:cs="Arial"/>
          <w:b/>
          <w:bCs/>
          <w:sz w:val="20"/>
          <w:szCs w:val="20"/>
        </w:rPr>
      </w:pPr>
    </w:p>
    <w:p w14:paraId="76861B55" w14:textId="77777777" w:rsidR="00CF083A" w:rsidRDefault="00CF083A" w:rsidP="001F6887">
      <w:pPr>
        <w:rPr>
          <w:rFonts w:ascii="Arial" w:hAnsi="Arial" w:cs="Arial"/>
          <w:b/>
          <w:bCs/>
          <w:sz w:val="20"/>
          <w:szCs w:val="20"/>
        </w:rPr>
      </w:pPr>
    </w:p>
    <w:p w14:paraId="11D37887" w14:textId="77777777" w:rsidR="00CF083A" w:rsidRDefault="00CF083A" w:rsidP="001F6887">
      <w:pPr>
        <w:rPr>
          <w:rFonts w:ascii="Arial" w:hAnsi="Arial" w:cs="Arial"/>
          <w:b/>
          <w:bCs/>
          <w:sz w:val="20"/>
          <w:szCs w:val="20"/>
        </w:rPr>
      </w:pPr>
    </w:p>
    <w:p w14:paraId="78C39534" w14:textId="77777777" w:rsidR="00CF083A" w:rsidRDefault="00CF083A" w:rsidP="001F6887">
      <w:pPr>
        <w:rPr>
          <w:rFonts w:ascii="Arial" w:hAnsi="Arial" w:cs="Arial"/>
          <w:b/>
          <w:bCs/>
          <w:sz w:val="20"/>
          <w:szCs w:val="20"/>
        </w:rPr>
      </w:pPr>
    </w:p>
    <w:p w14:paraId="023FD4A5" w14:textId="77777777" w:rsidR="00CF083A" w:rsidRDefault="00CF083A" w:rsidP="001F6887">
      <w:pPr>
        <w:rPr>
          <w:rFonts w:ascii="Arial" w:hAnsi="Arial" w:cs="Arial"/>
          <w:b/>
          <w:bCs/>
          <w:sz w:val="20"/>
          <w:szCs w:val="20"/>
        </w:rPr>
      </w:pPr>
    </w:p>
    <w:p w14:paraId="65CD6F04" w14:textId="77777777" w:rsidR="00CF083A" w:rsidRDefault="00CF083A" w:rsidP="001F6887">
      <w:pPr>
        <w:rPr>
          <w:rFonts w:ascii="Arial" w:hAnsi="Arial" w:cs="Arial"/>
          <w:b/>
          <w:bCs/>
          <w:sz w:val="20"/>
          <w:szCs w:val="20"/>
        </w:rPr>
      </w:pPr>
    </w:p>
    <w:p w14:paraId="1528EBB0" w14:textId="77777777" w:rsidR="00CF083A" w:rsidRDefault="00CF083A" w:rsidP="001F6887">
      <w:pPr>
        <w:rPr>
          <w:rFonts w:ascii="Arial" w:hAnsi="Arial" w:cs="Arial"/>
          <w:b/>
          <w:bCs/>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AC7E45" w14:paraId="21F9ECA8" w14:textId="77777777">
        <w:trPr>
          <w:trHeight w:val="131"/>
        </w:trPr>
        <w:tc>
          <w:tcPr>
            <w:tcW w:w="8890" w:type="dxa"/>
            <w:shd w:val="clear" w:color="auto" w:fill="BFBFBF"/>
          </w:tcPr>
          <w:p w14:paraId="427BC9CF" w14:textId="4720B50D" w:rsidR="00AC7E45" w:rsidRDefault="00AC7E45" w:rsidP="001F6887">
            <w:pPr>
              <w:pStyle w:val="Ttulo1"/>
              <w:shd w:val="clear" w:color="auto" w:fill="A6A6A6"/>
              <w:rPr>
                <w:rFonts w:ascii="Arial" w:hAnsi="Arial" w:cs="Arial"/>
                <w:kern w:val="0"/>
                <w:sz w:val="20"/>
                <w:szCs w:val="20"/>
              </w:rPr>
            </w:pPr>
            <w:bookmarkStart w:id="1" w:name="_Toc344399618"/>
            <w:bookmarkStart w:id="2" w:name="_Toc348931345"/>
            <w:r>
              <w:rPr>
                <w:rFonts w:ascii="Arial" w:hAnsi="Arial" w:cs="Arial"/>
                <w:kern w:val="0"/>
                <w:sz w:val="20"/>
                <w:szCs w:val="20"/>
              </w:rPr>
              <w:lastRenderedPageBreak/>
              <w:t>1.- IDENTIFICACIÓN DEL FÁRMACO Y AUTORES DEL INFORME</w:t>
            </w:r>
            <w:bookmarkEnd w:id="1"/>
            <w:bookmarkEnd w:id="2"/>
          </w:p>
        </w:tc>
      </w:tr>
    </w:tbl>
    <w:p w14:paraId="24D3774D" w14:textId="77777777" w:rsidR="00AB502C" w:rsidRDefault="00AB502C" w:rsidP="001F6887">
      <w:pPr>
        <w:jc w:val="both"/>
        <w:rPr>
          <w:rFonts w:ascii="Arial" w:hAnsi="Arial" w:cs="Arial"/>
          <w:b/>
          <w:bCs/>
          <w:sz w:val="20"/>
          <w:szCs w:val="20"/>
        </w:rPr>
      </w:pPr>
    </w:p>
    <w:p w14:paraId="5F7B8C26" w14:textId="76C16CB1" w:rsidR="00AC7E45" w:rsidRDefault="00AC7E45" w:rsidP="001F6887">
      <w:pPr>
        <w:jc w:val="both"/>
        <w:rPr>
          <w:rFonts w:ascii="Arial" w:hAnsi="Arial" w:cs="Arial"/>
          <w:sz w:val="20"/>
          <w:szCs w:val="20"/>
        </w:rPr>
      </w:pPr>
      <w:r>
        <w:rPr>
          <w:rFonts w:ascii="Arial" w:hAnsi="Arial" w:cs="Arial"/>
          <w:b/>
          <w:bCs/>
          <w:sz w:val="20"/>
          <w:szCs w:val="20"/>
        </w:rPr>
        <w:t>Fármaco</w:t>
      </w:r>
      <w:r>
        <w:rPr>
          <w:rFonts w:ascii="Arial" w:hAnsi="Arial" w:cs="Arial"/>
          <w:sz w:val="20"/>
          <w:szCs w:val="20"/>
        </w:rPr>
        <w:t xml:space="preserve">: </w:t>
      </w:r>
      <w:r w:rsidR="000B76F5">
        <w:rPr>
          <w:rFonts w:ascii="Arial" w:hAnsi="Arial" w:cs="Arial"/>
          <w:sz w:val="20"/>
          <w:szCs w:val="20"/>
        </w:rPr>
        <w:t>Onasemnogen abeparvovec</w:t>
      </w:r>
      <w:r>
        <w:rPr>
          <w:rFonts w:ascii="Arial" w:hAnsi="Arial" w:cs="Arial"/>
          <w:sz w:val="20"/>
          <w:szCs w:val="20"/>
        </w:rPr>
        <w:t xml:space="preserve"> (</w:t>
      </w:r>
      <w:r w:rsidR="000B76F5">
        <w:rPr>
          <w:rFonts w:ascii="Arial" w:hAnsi="Arial" w:cs="Arial"/>
          <w:sz w:val="20"/>
          <w:szCs w:val="20"/>
        </w:rPr>
        <w:t>Zolgensma</w:t>
      </w:r>
      <w:r w:rsidRPr="00AB502C">
        <w:rPr>
          <w:rFonts w:ascii="Arial" w:hAnsi="Arial" w:cs="Arial"/>
          <w:sz w:val="20"/>
          <w:szCs w:val="20"/>
          <w:vertAlign w:val="superscript"/>
        </w:rPr>
        <w:t>®</w:t>
      </w:r>
      <w:r>
        <w:rPr>
          <w:rFonts w:ascii="Arial" w:hAnsi="Arial" w:cs="Arial"/>
          <w:sz w:val="20"/>
          <w:szCs w:val="20"/>
        </w:rPr>
        <w:t>)</w:t>
      </w:r>
      <w:r>
        <w:rPr>
          <w:rFonts w:ascii="Arial" w:hAnsi="Arial" w:cs="Arial"/>
          <w:sz w:val="20"/>
          <w:szCs w:val="20"/>
        </w:rPr>
        <w:tab/>
      </w:r>
    </w:p>
    <w:p w14:paraId="21BC871E" w14:textId="160C60B0" w:rsidR="00AC7E45" w:rsidRDefault="00AC7E45" w:rsidP="001F6887">
      <w:pPr>
        <w:jc w:val="both"/>
        <w:rPr>
          <w:rFonts w:ascii="Arial" w:hAnsi="Arial" w:cs="Arial"/>
          <w:sz w:val="20"/>
          <w:szCs w:val="20"/>
        </w:rPr>
      </w:pPr>
      <w:r>
        <w:rPr>
          <w:rFonts w:ascii="Arial" w:hAnsi="Arial" w:cs="Arial"/>
          <w:b/>
          <w:bCs/>
          <w:sz w:val="20"/>
          <w:szCs w:val="20"/>
        </w:rPr>
        <w:t>Indicación clínica solicitada:</w:t>
      </w:r>
      <w:r>
        <w:rPr>
          <w:rFonts w:ascii="Arial" w:hAnsi="Arial" w:cs="Arial"/>
          <w:sz w:val="20"/>
          <w:szCs w:val="20"/>
        </w:rPr>
        <w:t xml:space="preserve"> </w:t>
      </w:r>
      <w:r w:rsidR="000B76F5">
        <w:rPr>
          <w:rFonts w:ascii="Arial" w:hAnsi="Arial" w:cs="Arial"/>
          <w:sz w:val="20"/>
          <w:szCs w:val="20"/>
        </w:rPr>
        <w:t xml:space="preserve">Atrofia </w:t>
      </w:r>
      <w:r w:rsidR="00AB502C">
        <w:rPr>
          <w:rFonts w:ascii="Arial" w:hAnsi="Arial" w:cs="Arial"/>
          <w:sz w:val="20"/>
          <w:szCs w:val="20"/>
        </w:rPr>
        <w:t>Muscular E</w:t>
      </w:r>
      <w:r w:rsidR="000B76F5">
        <w:rPr>
          <w:rFonts w:ascii="Arial" w:hAnsi="Arial" w:cs="Arial"/>
          <w:sz w:val="20"/>
          <w:szCs w:val="20"/>
        </w:rPr>
        <w:t>spinal (AME) en 5q con una mutación bialélica en el gen SMN1 y un diagnóstico clínico de AME tipo I o pacientes con AME en 5q con una mutación bialélica en el gen SMN1 y hasta 3 copias del gen SMN2</w:t>
      </w:r>
    </w:p>
    <w:p w14:paraId="6AE8B36E" w14:textId="68A1FE66" w:rsidR="004F2163" w:rsidRDefault="00810DDE" w:rsidP="004F2163">
      <w:pPr>
        <w:jc w:val="both"/>
        <w:rPr>
          <w:rFonts w:ascii="Arial" w:hAnsi="Arial" w:cs="Arial"/>
          <w:sz w:val="20"/>
          <w:szCs w:val="20"/>
        </w:rPr>
      </w:pPr>
      <w:r w:rsidRPr="004F2163">
        <w:rPr>
          <w:rFonts w:ascii="Arial" w:hAnsi="Arial" w:cs="Arial"/>
          <w:b/>
          <w:bCs/>
          <w:sz w:val="20"/>
          <w:szCs w:val="20"/>
        </w:rPr>
        <w:t>Autores / Revisores:</w:t>
      </w:r>
      <w:r w:rsidR="004F2163" w:rsidRPr="004F2163">
        <w:rPr>
          <w:rFonts w:ascii="Arial" w:hAnsi="Arial" w:cs="Arial"/>
          <w:b/>
          <w:bCs/>
          <w:sz w:val="20"/>
          <w:szCs w:val="20"/>
        </w:rPr>
        <w:t xml:space="preserve"> </w:t>
      </w:r>
      <w:r w:rsidR="004F2163" w:rsidRPr="004F2163">
        <w:rPr>
          <w:rFonts w:ascii="Arial" w:hAnsi="Arial" w:cs="Arial"/>
          <w:sz w:val="20"/>
          <w:szCs w:val="20"/>
        </w:rPr>
        <w:t>David Gómez Gómez (1), Vicente Arocas Casañ (2), Francesc Puigventós</w:t>
      </w:r>
      <w:r w:rsidR="004F2163">
        <w:rPr>
          <w:rFonts w:ascii="Arial" w:hAnsi="Arial" w:cs="Arial"/>
          <w:sz w:val="20"/>
          <w:szCs w:val="20"/>
        </w:rPr>
        <w:t xml:space="preserve"> Latorre</w:t>
      </w:r>
      <w:r w:rsidR="004F2163" w:rsidRPr="004F2163">
        <w:rPr>
          <w:rFonts w:ascii="Arial" w:hAnsi="Arial" w:cs="Arial"/>
          <w:sz w:val="20"/>
          <w:szCs w:val="20"/>
        </w:rPr>
        <w:t>, Ana Ortega</w:t>
      </w:r>
      <w:r w:rsidR="004F2163">
        <w:rPr>
          <w:rFonts w:ascii="Arial" w:hAnsi="Arial" w:cs="Arial"/>
          <w:sz w:val="20"/>
          <w:szCs w:val="20"/>
        </w:rPr>
        <w:t xml:space="preserve"> Eslava (3</w:t>
      </w:r>
      <w:r w:rsidR="0074644A">
        <w:rPr>
          <w:rFonts w:ascii="Arial" w:hAnsi="Arial" w:cs="Arial"/>
          <w:sz w:val="20"/>
          <w:szCs w:val="20"/>
        </w:rPr>
        <w:t>).</w:t>
      </w:r>
    </w:p>
    <w:p w14:paraId="0A9C4000" w14:textId="0793BC70" w:rsidR="004F2163" w:rsidRPr="004F2163" w:rsidRDefault="004F2163" w:rsidP="004F2163">
      <w:pPr>
        <w:pStyle w:val="Prrafodelista"/>
        <w:numPr>
          <w:ilvl w:val="0"/>
          <w:numId w:val="39"/>
        </w:numPr>
        <w:jc w:val="both"/>
        <w:rPr>
          <w:rFonts w:ascii="Arial" w:hAnsi="Arial" w:cs="Arial"/>
          <w:sz w:val="20"/>
          <w:szCs w:val="20"/>
        </w:rPr>
      </w:pPr>
      <w:r w:rsidRPr="004F2163">
        <w:rPr>
          <w:rFonts w:ascii="Arial" w:hAnsi="Arial" w:cs="Arial"/>
          <w:sz w:val="20"/>
          <w:szCs w:val="20"/>
        </w:rPr>
        <w:t>Servicio de Farmacia, Hospital Universitario Marqués de Valdecilla (Santander)</w:t>
      </w:r>
    </w:p>
    <w:p w14:paraId="0FA85E3A" w14:textId="63BF7248" w:rsidR="004F2163" w:rsidRDefault="004F2163" w:rsidP="004F2163">
      <w:pPr>
        <w:pStyle w:val="Prrafodelista"/>
        <w:numPr>
          <w:ilvl w:val="0"/>
          <w:numId w:val="39"/>
        </w:numPr>
        <w:jc w:val="both"/>
        <w:rPr>
          <w:rFonts w:ascii="Arial" w:hAnsi="Arial" w:cs="Arial"/>
          <w:sz w:val="20"/>
          <w:szCs w:val="20"/>
        </w:rPr>
      </w:pPr>
      <w:r w:rsidRPr="004F2163">
        <w:rPr>
          <w:rFonts w:ascii="Arial" w:hAnsi="Arial" w:cs="Arial"/>
          <w:sz w:val="20"/>
          <w:szCs w:val="20"/>
        </w:rPr>
        <w:t>Consejería de Salud Región de Murcia</w:t>
      </w:r>
    </w:p>
    <w:p w14:paraId="3D318636" w14:textId="04541790" w:rsidR="004F2163" w:rsidRDefault="004F2163" w:rsidP="004F2163">
      <w:pPr>
        <w:pStyle w:val="Prrafodelista"/>
        <w:numPr>
          <w:ilvl w:val="0"/>
          <w:numId w:val="39"/>
        </w:numPr>
        <w:jc w:val="both"/>
        <w:rPr>
          <w:rFonts w:ascii="Arial" w:hAnsi="Arial" w:cs="Arial"/>
          <w:sz w:val="20"/>
          <w:szCs w:val="20"/>
        </w:rPr>
      </w:pPr>
      <w:r w:rsidRPr="004F2163">
        <w:rPr>
          <w:rFonts w:ascii="Arial" w:hAnsi="Arial" w:cs="Arial"/>
          <w:sz w:val="20"/>
          <w:szCs w:val="20"/>
        </w:rPr>
        <w:t xml:space="preserve">Servicio de Farmacia, </w:t>
      </w:r>
      <w:r>
        <w:rPr>
          <w:rFonts w:ascii="Arial" w:hAnsi="Arial" w:cs="Arial"/>
          <w:sz w:val="20"/>
          <w:szCs w:val="20"/>
        </w:rPr>
        <w:t>Clínica Universitaria de Navarra</w:t>
      </w:r>
    </w:p>
    <w:p w14:paraId="18C12E49" w14:textId="77777777" w:rsidR="00AC7E45" w:rsidRDefault="00AC7E45" w:rsidP="001F6887">
      <w:pPr>
        <w:jc w:val="both"/>
        <w:rPr>
          <w:rFonts w:ascii="Arial" w:hAnsi="Arial" w:cs="Arial"/>
          <w:b/>
          <w:bCs/>
          <w:sz w:val="20"/>
          <w:szCs w:val="20"/>
        </w:rPr>
      </w:pPr>
      <w:r>
        <w:rPr>
          <w:rFonts w:ascii="Arial" w:hAnsi="Arial" w:cs="Arial"/>
          <w:b/>
          <w:bCs/>
          <w:i/>
          <w:iCs/>
          <w:sz w:val="20"/>
          <w:szCs w:val="20"/>
        </w:rPr>
        <w:t>Revisión por el grupo Coordinador del grupo GENESIS de la SEFH.</w:t>
      </w:r>
    </w:p>
    <w:p w14:paraId="46195FEA" w14:textId="00E059CD" w:rsidR="00AC7E45" w:rsidRDefault="00AC7E45" w:rsidP="001F6887">
      <w:pPr>
        <w:jc w:val="both"/>
        <w:rPr>
          <w:rFonts w:ascii="Arial" w:hAnsi="Arial" w:cs="Arial"/>
          <w:sz w:val="20"/>
          <w:szCs w:val="20"/>
        </w:rPr>
      </w:pPr>
      <w:r>
        <w:rPr>
          <w:rFonts w:ascii="Arial" w:hAnsi="Arial" w:cs="Arial"/>
          <w:b/>
          <w:bCs/>
          <w:sz w:val="20"/>
          <w:szCs w:val="20"/>
        </w:rPr>
        <w:t xml:space="preserve">Tipo de informe: </w:t>
      </w:r>
      <w:r w:rsidR="001B731A">
        <w:rPr>
          <w:rFonts w:ascii="Arial" w:hAnsi="Arial" w:cs="Arial"/>
          <w:sz w:val="20"/>
          <w:szCs w:val="20"/>
        </w:rPr>
        <w:t>Definitivo</w:t>
      </w:r>
    </w:p>
    <w:p w14:paraId="413ED708" w14:textId="2CFD9338" w:rsidR="00AC7E45" w:rsidRPr="002F30FA" w:rsidRDefault="00AC7E45" w:rsidP="001F6887">
      <w:pPr>
        <w:jc w:val="both"/>
        <w:rPr>
          <w:rFonts w:ascii="Arial" w:hAnsi="Arial" w:cs="Arial"/>
          <w:b/>
          <w:color w:val="000080"/>
          <w:sz w:val="20"/>
          <w:szCs w:val="20"/>
        </w:rPr>
      </w:pPr>
      <w:r>
        <w:rPr>
          <w:rFonts w:ascii="Arial" w:hAnsi="Arial" w:cs="Arial"/>
          <w:b/>
          <w:bCs/>
          <w:sz w:val="20"/>
          <w:szCs w:val="20"/>
        </w:rPr>
        <w:t>Alegaciones:</w:t>
      </w:r>
      <w:r>
        <w:rPr>
          <w:rFonts w:ascii="Arial" w:hAnsi="Arial" w:cs="Arial"/>
          <w:sz w:val="20"/>
          <w:szCs w:val="20"/>
        </w:rPr>
        <w:t xml:space="preserve"> </w:t>
      </w:r>
      <w:r w:rsidR="002F30FA" w:rsidRPr="00825B58">
        <w:rPr>
          <w:rFonts w:ascii="Arial" w:hAnsi="Arial" w:cs="Arial"/>
          <w:sz w:val="20"/>
          <w:szCs w:val="20"/>
        </w:rPr>
        <w:t>Un borrador de este informe fue presentado como borrador público en la Web del grupo GENESIS de la SEFH, con la posibilidad de presentar propuestas al mismo. Se recibieron alegaciones de</w:t>
      </w:r>
      <w:r w:rsidR="002F30FA">
        <w:rPr>
          <w:rFonts w:ascii="Arial" w:hAnsi="Arial" w:cs="Arial"/>
          <w:sz w:val="20"/>
          <w:szCs w:val="20"/>
        </w:rPr>
        <w:t>:</w:t>
      </w:r>
      <w:r w:rsidR="002F30FA" w:rsidRPr="00464DD9">
        <w:rPr>
          <w:rFonts w:ascii="Arial" w:hAnsi="Arial" w:cs="Arial"/>
          <w:b/>
          <w:color w:val="000080"/>
          <w:sz w:val="20"/>
          <w:szCs w:val="20"/>
        </w:rPr>
        <w:t xml:space="preserve"> </w:t>
      </w:r>
    </w:p>
    <w:p w14:paraId="22CC2FB1" w14:textId="5A0B6048" w:rsidR="00AC7E45" w:rsidRPr="00B86596" w:rsidRDefault="00B86596" w:rsidP="004F2163">
      <w:pPr>
        <w:pStyle w:val="Prrafodelista"/>
        <w:numPr>
          <w:ilvl w:val="0"/>
          <w:numId w:val="40"/>
        </w:numPr>
        <w:jc w:val="both"/>
        <w:rPr>
          <w:rFonts w:ascii="Arial" w:hAnsi="Arial" w:cs="Arial"/>
          <w:sz w:val="20"/>
          <w:szCs w:val="20"/>
        </w:rPr>
      </w:pPr>
      <w:r w:rsidRPr="00B86596">
        <w:rPr>
          <w:rFonts w:ascii="Arial" w:hAnsi="Arial" w:cs="Arial"/>
          <w:sz w:val="20"/>
          <w:szCs w:val="20"/>
        </w:rPr>
        <w:t>Novartis Gene Therapies</w:t>
      </w:r>
    </w:p>
    <w:p w14:paraId="01798067" w14:textId="6D8A0959" w:rsidR="00B86596" w:rsidRPr="00B86596" w:rsidRDefault="00B86596" w:rsidP="004F2163">
      <w:pPr>
        <w:pStyle w:val="Prrafodelista"/>
        <w:numPr>
          <w:ilvl w:val="0"/>
          <w:numId w:val="40"/>
        </w:numPr>
        <w:jc w:val="both"/>
        <w:rPr>
          <w:rFonts w:ascii="Arial" w:hAnsi="Arial" w:cs="Arial"/>
          <w:sz w:val="20"/>
          <w:szCs w:val="20"/>
        </w:rPr>
      </w:pPr>
      <w:r w:rsidRPr="00B86596">
        <w:rPr>
          <w:rFonts w:ascii="Arial" w:hAnsi="Arial" w:cs="Arial"/>
          <w:sz w:val="20"/>
          <w:szCs w:val="20"/>
        </w:rPr>
        <w:t>Biogen</w:t>
      </w:r>
    </w:p>
    <w:p w14:paraId="7DBD9856" w14:textId="6590FB4C" w:rsidR="00B86596" w:rsidRPr="00B86596" w:rsidRDefault="00B86596" w:rsidP="004F2163">
      <w:pPr>
        <w:pStyle w:val="Prrafodelista"/>
        <w:numPr>
          <w:ilvl w:val="0"/>
          <w:numId w:val="40"/>
        </w:numPr>
        <w:jc w:val="both"/>
        <w:rPr>
          <w:rFonts w:ascii="Arial" w:hAnsi="Arial" w:cs="Arial"/>
          <w:sz w:val="20"/>
          <w:szCs w:val="20"/>
        </w:rPr>
      </w:pPr>
      <w:r w:rsidRPr="00B86596">
        <w:rPr>
          <w:rFonts w:ascii="Arial" w:hAnsi="Arial" w:cs="Arial"/>
          <w:sz w:val="20"/>
          <w:szCs w:val="20"/>
        </w:rPr>
        <w:t xml:space="preserve">FundAME </w:t>
      </w:r>
    </w:p>
    <w:p w14:paraId="2CAB30F4" w14:textId="77777777" w:rsidR="00AB502C" w:rsidRDefault="00AB502C" w:rsidP="001F6887">
      <w:pPr>
        <w:ind w:left="360"/>
        <w:jc w:val="both"/>
        <w:rPr>
          <w:rFonts w:ascii="Arial" w:hAnsi="Arial" w:cs="Arial"/>
          <w:sz w:val="20"/>
          <w:szCs w:val="20"/>
        </w:rPr>
      </w:pPr>
    </w:p>
    <w:p w14:paraId="0E4E4E5A" w14:textId="5C81BE82" w:rsidR="00AC7E45" w:rsidRDefault="00AC7E45" w:rsidP="001F6887">
      <w:pPr>
        <w:jc w:val="both"/>
        <w:rPr>
          <w:rFonts w:ascii="Arial" w:hAnsi="Arial" w:cs="Arial"/>
          <w:color w:val="0000FF"/>
          <w:sz w:val="20"/>
          <w:szCs w:val="20"/>
        </w:rPr>
      </w:pPr>
      <w:r>
        <w:rPr>
          <w:rFonts w:ascii="Arial" w:hAnsi="Arial" w:cs="Arial"/>
          <w:b/>
          <w:bCs/>
          <w:sz w:val="20"/>
          <w:szCs w:val="20"/>
        </w:rPr>
        <w:t>Declaración de conflic</w:t>
      </w:r>
      <w:r w:rsidR="00AB502C">
        <w:rPr>
          <w:rFonts w:ascii="Arial" w:hAnsi="Arial" w:cs="Arial"/>
          <w:b/>
          <w:bCs/>
          <w:sz w:val="20"/>
          <w:szCs w:val="20"/>
        </w:rPr>
        <w:t xml:space="preserve">to de Intereses de los autores: </w:t>
      </w:r>
      <w:r w:rsidR="00AB502C" w:rsidRPr="00AB502C">
        <w:rPr>
          <w:rFonts w:ascii="Arial" w:hAnsi="Arial" w:cs="Arial"/>
          <w:bCs/>
          <w:sz w:val="20"/>
          <w:szCs w:val="20"/>
        </w:rPr>
        <w:t>ver anexo 1.</w:t>
      </w:r>
    </w:p>
    <w:p w14:paraId="173D6FD4" w14:textId="0729DC4E" w:rsidR="00AC7E45" w:rsidRDefault="00AC7E45" w:rsidP="001F6887">
      <w:pPr>
        <w:tabs>
          <w:tab w:val="left" w:pos="3343"/>
        </w:tabs>
        <w:jc w:val="both"/>
        <w:rPr>
          <w:rFonts w:ascii="Arial" w:hAnsi="Arial" w:cs="Arial"/>
          <w:sz w:val="20"/>
          <w:szCs w:val="20"/>
        </w:rPr>
      </w:pPr>
      <w:r>
        <w:rPr>
          <w:rFonts w:ascii="Arial" w:hAnsi="Arial" w:cs="Arial"/>
          <w:sz w:val="20"/>
          <w:szCs w:val="20"/>
        </w:rPr>
        <w:t>Para la elaboración del informe se ha utilizado el Programa MADRE versión 4.0</w:t>
      </w:r>
      <w:r w:rsidRPr="003429EA">
        <w:rPr>
          <w:rStyle w:val="Refdenotaalpie"/>
          <w:rFonts w:ascii="Arial" w:hAnsi="Arial" w:cs="Arial"/>
          <w:sz w:val="20"/>
          <w:szCs w:val="20"/>
        </w:rPr>
        <w:footnoteReference w:id="1"/>
      </w:r>
      <w:r w:rsidRPr="00C8199F">
        <w:rPr>
          <w:rStyle w:val="Refdenotaalpie"/>
          <w:rFonts w:ascii="Arial" w:hAnsi="Arial" w:cs="Arial"/>
          <w:sz w:val="20"/>
          <w:szCs w:val="20"/>
        </w:rPr>
        <w:t xml:space="preserve"> </w:t>
      </w:r>
      <w:r w:rsidRPr="00AB502C">
        <w:rPr>
          <w:rFonts w:ascii="Arial" w:hAnsi="Arial" w:cs="Arial"/>
          <w:sz w:val="20"/>
          <w:szCs w:val="20"/>
        </w:rPr>
        <w:t>y Guía EE e IP</w:t>
      </w:r>
      <w:r w:rsidRPr="00AB502C">
        <w:rPr>
          <w:rStyle w:val="Refdenotaalpie"/>
          <w:rFonts w:ascii="Arial" w:hAnsi="Arial" w:cs="Arial"/>
          <w:sz w:val="20"/>
          <w:szCs w:val="20"/>
        </w:rPr>
        <w:footnoteReference w:id="2"/>
      </w:r>
    </w:p>
    <w:p w14:paraId="2AF7C7E5" w14:textId="77777777" w:rsidR="00AC7E45" w:rsidRDefault="00AC7E45" w:rsidP="001F6887">
      <w:pPr>
        <w:jc w:val="both"/>
        <w:rPr>
          <w:rFonts w:ascii="Arial" w:hAnsi="Arial" w:cs="Arial"/>
          <w:color w:val="0000FF"/>
          <w:sz w:val="20"/>
          <w:szCs w:val="20"/>
        </w:rPr>
      </w:pPr>
    </w:p>
    <w:p w14:paraId="3733BCD7" w14:textId="77777777" w:rsidR="00CF083A" w:rsidRDefault="00CF083A" w:rsidP="001F6887">
      <w:pPr>
        <w:jc w:val="both"/>
        <w:rPr>
          <w:rFonts w:ascii="Arial" w:hAnsi="Arial" w:cs="Arial"/>
          <w:color w:val="0000FF"/>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AC7E45" w14:paraId="1F6D7E0E" w14:textId="77777777">
        <w:trPr>
          <w:trHeight w:val="90"/>
        </w:trPr>
        <w:tc>
          <w:tcPr>
            <w:tcW w:w="8890" w:type="dxa"/>
            <w:shd w:val="clear" w:color="auto" w:fill="B3B3B3"/>
          </w:tcPr>
          <w:p w14:paraId="7EBC78A6" w14:textId="48FC186F" w:rsidR="00AC7E45" w:rsidRDefault="00AC7E45" w:rsidP="001F6887">
            <w:pPr>
              <w:pStyle w:val="Ttulo1"/>
              <w:shd w:val="clear" w:color="auto" w:fill="A6A6A6"/>
              <w:rPr>
                <w:rFonts w:ascii="Arial" w:hAnsi="Arial" w:cs="Arial"/>
                <w:kern w:val="0"/>
                <w:sz w:val="20"/>
                <w:szCs w:val="20"/>
              </w:rPr>
            </w:pPr>
            <w:bookmarkStart w:id="3" w:name="_Toc348931346"/>
            <w:bookmarkStart w:id="4" w:name="_Toc344399619"/>
            <w:r>
              <w:rPr>
                <w:rFonts w:ascii="Arial" w:hAnsi="Arial" w:cs="Arial"/>
                <w:kern w:val="0"/>
                <w:sz w:val="20"/>
                <w:szCs w:val="20"/>
              </w:rPr>
              <w:t>2.- SOLICITUD Y DATOS DEL PROCESO DE EVALUACIÓN</w:t>
            </w:r>
            <w:bookmarkEnd w:id="3"/>
            <w:bookmarkEnd w:id="4"/>
          </w:p>
        </w:tc>
      </w:tr>
    </w:tbl>
    <w:p w14:paraId="2062A834" w14:textId="77777777" w:rsidR="00AB502C" w:rsidRDefault="00AB502C" w:rsidP="001F6887">
      <w:pPr>
        <w:jc w:val="both"/>
        <w:rPr>
          <w:rFonts w:ascii="Arial" w:hAnsi="Arial" w:cs="Arial"/>
          <w:b/>
          <w:bCs/>
          <w:sz w:val="20"/>
          <w:szCs w:val="20"/>
        </w:rPr>
      </w:pPr>
    </w:p>
    <w:p w14:paraId="281BA0BA" w14:textId="77777777" w:rsidR="00AC7E45" w:rsidRDefault="00AC7E45" w:rsidP="001F6887">
      <w:pPr>
        <w:jc w:val="both"/>
        <w:rPr>
          <w:rFonts w:ascii="Arial" w:hAnsi="Arial" w:cs="Arial"/>
          <w:sz w:val="20"/>
          <w:szCs w:val="20"/>
        </w:rPr>
      </w:pPr>
      <w:r>
        <w:rPr>
          <w:rFonts w:ascii="Arial" w:hAnsi="Arial" w:cs="Arial"/>
          <w:b/>
          <w:bCs/>
          <w:sz w:val="20"/>
          <w:szCs w:val="20"/>
        </w:rPr>
        <w:t xml:space="preserve">Justificación de la solicitud: </w:t>
      </w:r>
      <w:r>
        <w:rPr>
          <w:rFonts w:ascii="Arial" w:hAnsi="Arial" w:cs="Arial"/>
          <w:sz w:val="20"/>
          <w:szCs w:val="20"/>
        </w:rPr>
        <w:t>Este informe técnico se realiza a demanda del grupo GENESIS, por tratarse de un fármaco novedoso, cuyo lugar en terapéutica precisa evaluación.</w:t>
      </w:r>
    </w:p>
    <w:p w14:paraId="46F1BF09" w14:textId="77777777" w:rsidR="00AC7E45" w:rsidRDefault="00AC7E45" w:rsidP="001F6887">
      <w:pPr>
        <w:jc w:val="both"/>
        <w:rPr>
          <w:rFonts w:ascii="Arial" w:hAnsi="Arial" w:cs="Arial"/>
          <w:b/>
          <w:bCs/>
          <w:sz w:val="20"/>
          <w:szCs w:val="20"/>
        </w:rPr>
      </w:pPr>
    </w:p>
    <w:p w14:paraId="433D95DE" w14:textId="77777777" w:rsidR="00AB502C" w:rsidRDefault="00AB502C" w:rsidP="001F6887">
      <w:pPr>
        <w:jc w:val="both"/>
        <w:rPr>
          <w:rFonts w:ascii="Arial" w:hAnsi="Arial" w:cs="Arial"/>
          <w:b/>
          <w:bCs/>
          <w:sz w:val="20"/>
          <w:szCs w:val="20"/>
        </w:rPr>
      </w:pPr>
    </w:p>
    <w:tbl>
      <w:tblPr>
        <w:tblW w:w="863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637"/>
      </w:tblGrid>
      <w:tr w:rsidR="00AC7E45" w14:paraId="38C02BCD" w14:textId="77777777">
        <w:tc>
          <w:tcPr>
            <w:tcW w:w="8637" w:type="dxa"/>
            <w:shd w:val="clear" w:color="auto" w:fill="B3B3B3"/>
          </w:tcPr>
          <w:p w14:paraId="433A9057" w14:textId="2D08E313" w:rsidR="00AC7E45" w:rsidRDefault="00AC7E45" w:rsidP="001F6887">
            <w:pPr>
              <w:pStyle w:val="Ttulo1"/>
              <w:shd w:val="clear" w:color="auto" w:fill="A6A6A6"/>
              <w:rPr>
                <w:rFonts w:ascii="Arial" w:hAnsi="Arial" w:cs="Arial"/>
                <w:kern w:val="0"/>
                <w:sz w:val="20"/>
                <w:szCs w:val="20"/>
              </w:rPr>
            </w:pPr>
            <w:bookmarkStart w:id="5" w:name="_Toc348931347"/>
            <w:bookmarkStart w:id="6" w:name="_Toc344399620"/>
            <w:r>
              <w:rPr>
                <w:rFonts w:ascii="Arial" w:hAnsi="Arial" w:cs="Arial"/>
                <w:kern w:val="0"/>
                <w:sz w:val="20"/>
                <w:szCs w:val="20"/>
              </w:rPr>
              <w:t>3.- AREA DESCRIPTIVA DEL MEDICAMENTO Y DEL PROBLEMA DE SALUD</w:t>
            </w:r>
            <w:bookmarkEnd w:id="5"/>
            <w:bookmarkEnd w:id="6"/>
          </w:p>
        </w:tc>
      </w:tr>
    </w:tbl>
    <w:p w14:paraId="3F5D3B47" w14:textId="77777777" w:rsidR="00AC7E45" w:rsidRDefault="00AC7E45" w:rsidP="001F6887">
      <w:pPr>
        <w:rPr>
          <w:rFonts w:ascii="Arial" w:hAnsi="Arial" w:cs="Arial"/>
          <w:b/>
          <w:bCs/>
          <w:sz w:val="20"/>
          <w:szCs w:val="20"/>
        </w:rPr>
      </w:pPr>
    </w:p>
    <w:p w14:paraId="76B7EA88" w14:textId="2DD362BE" w:rsidR="00AC7E45" w:rsidRPr="00FC7E58" w:rsidRDefault="00AC7E45" w:rsidP="001F6887">
      <w:pPr>
        <w:pStyle w:val="Ttulo2"/>
        <w:pBdr>
          <w:top w:val="single" w:sz="4" w:space="1" w:color="auto"/>
          <w:left w:val="single" w:sz="4" w:space="4" w:color="auto"/>
          <w:bottom w:val="single" w:sz="4" w:space="1" w:color="auto"/>
          <w:right w:val="single" w:sz="4" w:space="2" w:color="auto"/>
        </w:pBdr>
        <w:shd w:val="clear" w:color="auto" w:fill="D9D9D9"/>
        <w:rPr>
          <w:rFonts w:ascii="Arial" w:hAnsi="Arial" w:cs="Arial"/>
          <w:sz w:val="20"/>
          <w:szCs w:val="20"/>
        </w:rPr>
      </w:pPr>
      <w:bookmarkStart w:id="7" w:name="_Toc348931348"/>
      <w:bookmarkStart w:id="8" w:name="_Toc344399621"/>
      <w:r w:rsidRPr="00FC7E58">
        <w:rPr>
          <w:rFonts w:ascii="Arial" w:hAnsi="Arial" w:cs="Arial"/>
          <w:sz w:val="20"/>
          <w:szCs w:val="20"/>
        </w:rPr>
        <w:t>3.1 Área descriptiva del medicamento</w:t>
      </w:r>
      <w:bookmarkStart w:id="9" w:name="_Ref52267010"/>
      <w:bookmarkEnd w:id="7"/>
      <w:bookmarkEnd w:id="8"/>
      <w:r w:rsidR="00A8154A">
        <w:rPr>
          <w:rStyle w:val="Refdenotaalfinal"/>
          <w:rFonts w:ascii="Arial" w:hAnsi="Arial" w:cs="Arial"/>
          <w:sz w:val="20"/>
          <w:szCs w:val="20"/>
        </w:rPr>
        <w:endnoteReference w:id="1"/>
      </w:r>
      <w:bookmarkEnd w:id="9"/>
      <w:r w:rsidR="0024270B" w:rsidRPr="00FC7E58">
        <w:rPr>
          <w:rFonts w:ascii="Arial" w:hAnsi="Arial" w:cs="Arial"/>
          <w:sz w:val="20"/>
          <w:szCs w:val="20"/>
        </w:rPr>
        <w:fldChar w:fldCharType="begin"/>
      </w:r>
      <w:r w:rsidR="00553D8B" w:rsidRPr="00FC7E58">
        <w:rPr>
          <w:rFonts w:ascii="Arial" w:hAnsi="Arial" w:cs="Arial"/>
          <w:sz w:val="20"/>
          <w:szCs w:val="20"/>
        </w:rPr>
        <w:instrText xml:space="preserve"> XE "3.1 Área descriptiva del medicamento" </w:instrText>
      </w:r>
      <w:r w:rsidR="0024270B" w:rsidRPr="00FC7E58">
        <w:rPr>
          <w:rFonts w:ascii="Arial" w:hAnsi="Arial" w:cs="Arial"/>
          <w:sz w:val="20"/>
          <w:szCs w:val="20"/>
        </w:rPr>
        <w:fldChar w:fldCharType="end"/>
      </w:r>
    </w:p>
    <w:p w14:paraId="5DE67363" w14:textId="77777777" w:rsidR="00CF083A" w:rsidRDefault="00CF083A" w:rsidP="001F6887">
      <w:pPr>
        <w:rPr>
          <w:rFonts w:ascii="Arial" w:hAnsi="Arial" w:cs="Arial"/>
          <w:b/>
          <w:bCs/>
          <w:sz w:val="20"/>
          <w:szCs w:val="20"/>
        </w:rPr>
      </w:pPr>
    </w:p>
    <w:p w14:paraId="08AD5826" w14:textId="1353E481" w:rsidR="00AC7E45" w:rsidRPr="00FC7E58" w:rsidRDefault="00AC7E45" w:rsidP="001F6887">
      <w:pPr>
        <w:rPr>
          <w:rFonts w:ascii="Arial" w:hAnsi="Arial" w:cs="Arial"/>
          <w:sz w:val="20"/>
          <w:szCs w:val="20"/>
        </w:rPr>
      </w:pPr>
      <w:r w:rsidRPr="00FC7E58">
        <w:rPr>
          <w:rFonts w:ascii="Arial" w:hAnsi="Arial" w:cs="Arial"/>
          <w:b/>
          <w:bCs/>
          <w:sz w:val="20"/>
          <w:szCs w:val="20"/>
        </w:rPr>
        <w:t>Nombre genérico</w:t>
      </w:r>
      <w:r w:rsidRPr="00FC7E58">
        <w:rPr>
          <w:rFonts w:ascii="Arial" w:hAnsi="Arial" w:cs="Arial"/>
          <w:sz w:val="20"/>
          <w:szCs w:val="20"/>
        </w:rPr>
        <w:t xml:space="preserve">: </w:t>
      </w:r>
      <w:r w:rsidR="00F1065D" w:rsidRPr="00FC7E58">
        <w:rPr>
          <w:rFonts w:ascii="Arial" w:hAnsi="Arial" w:cs="Arial"/>
          <w:sz w:val="20"/>
          <w:szCs w:val="20"/>
        </w:rPr>
        <w:t>Onasemnogen abeparvovec</w:t>
      </w:r>
    </w:p>
    <w:p w14:paraId="7D1B5D47" w14:textId="28FD65F8" w:rsidR="00AC7E45" w:rsidRPr="00FC7E58" w:rsidRDefault="00AC7E45" w:rsidP="001F6887">
      <w:pPr>
        <w:rPr>
          <w:rFonts w:ascii="Arial" w:hAnsi="Arial" w:cs="Arial"/>
          <w:sz w:val="20"/>
          <w:szCs w:val="20"/>
        </w:rPr>
      </w:pPr>
      <w:r w:rsidRPr="00FC7E58">
        <w:rPr>
          <w:rFonts w:ascii="Arial" w:hAnsi="Arial" w:cs="Arial"/>
          <w:b/>
          <w:bCs/>
          <w:sz w:val="20"/>
          <w:szCs w:val="20"/>
        </w:rPr>
        <w:t>Nombre comercial</w:t>
      </w:r>
      <w:r w:rsidRPr="00FC7E58">
        <w:rPr>
          <w:rFonts w:ascii="Arial" w:hAnsi="Arial" w:cs="Arial"/>
          <w:sz w:val="20"/>
          <w:szCs w:val="20"/>
        </w:rPr>
        <w:t xml:space="preserve">: </w:t>
      </w:r>
      <w:r w:rsidR="00F1065D" w:rsidRPr="00FC7E58">
        <w:rPr>
          <w:rFonts w:ascii="Arial" w:hAnsi="Arial" w:cs="Arial"/>
          <w:sz w:val="20"/>
          <w:szCs w:val="20"/>
        </w:rPr>
        <w:t>Zolgensma</w:t>
      </w:r>
      <w:r w:rsidRPr="00FC7E58">
        <w:rPr>
          <w:rFonts w:ascii="Arial" w:hAnsi="Arial" w:cs="Arial"/>
          <w:sz w:val="20"/>
          <w:szCs w:val="20"/>
          <w:vertAlign w:val="superscript"/>
        </w:rPr>
        <w:t>®</w:t>
      </w:r>
    </w:p>
    <w:p w14:paraId="1DD664D5" w14:textId="2B2D2E43" w:rsidR="00AC7E45" w:rsidRPr="00FC7E58" w:rsidRDefault="00AC7E45" w:rsidP="001F6887">
      <w:pPr>
        <w:rPr>
          <w:rFonts w:ascii="Arial" w:hAnsi="Arial" w:cs="Arial"/>
          <w:sz w:val="20"/>
          <w:szCs w:val="20"/>
        </w:rPr>
      </w:pPr>
      <w:r w:rsidRPr="00FC7E58">
        <w:rPr>
          <w:rFonts w:ascii="Arial" w:hAnsi="Arial" w:cs="Arial"/>
          <w:b/>
          <w:bCs/>
          <w:sz w:val="20"/>
          <w:szCs w:val="20"/>
        </w:rPr>
        <w:t>Laboratorio</w:t>
      </w:r>
      <w:r w:rsidRPr="00FC7E58">
        <w:rPr>
          <w:rFonts w:ascii="Arial" w:hAnsi="Arial" w:cs="Arial"/>
          <w:sz w:val="20"/>
          <w:szCs w:val="20"/>
        </w:rPr>
        <w:t xml:space="preserve">: </w:t>
      </w:r>
      <w:r w:rsidR="00F1065D" w:rsidRPr="00FC7E58">
        <w:rPr>
          <w:rFonts w:ascii="Arial" w:hAnsi="Arial" w:cs="Arial"/>
          <w:sz w:val="20"/>
          <w:szCs w:val="20"/>
        </w:rPr>
        <w:t>Avexis EU Limited</w:t>
      </w:r>
    </w:p>
    <w:p w14:paraId="44E6F28E" w14:textId="1EA83412" w:rsidR="00AC7E45" w:rsidRPr="00FC7E58" w:rsidRDefault="00AC7E45" w:rsidP="001F6887">
      <w:pPr>
        <w:jc w:val="both"/>
        <w:rPr>
          <w:rFonts w:ascii="Arial" w:hAnsi="Arial" w:cs="Arial"/>
          <w:sz w:val="20"/>
          <w:szCs w:val="20"/>
        </w:rPr>
      </w:pPr>
      <w:r w:rsidRPr="00FC7E58">
        <w:rPr>
          <w:rFonts w:ascii="Arial" w:hAnsi="Arial" w:cs="Arial"/>
          <w:b/>
          <w:bCs/>
          <w:sz w:val="20"/>
          <w:szCs w:val="20"/>
        </w:rPr>
        <w:t>Grupo terapéutico</w:t>
      </w:r>
      <w:r w:rsidRPr="00FC7E58">
        <w:rPr>
          <w:rFonts w:ascii="Arial" w:hAnsi="Arial" w:cs="Arial"/>
          <w:sz w:val="20"/>
          <w:szCs w:val="20"/>
        </w:rPr>
        <w:t xml:space="preserve">. </w:t>
      </w:r>
      <w:r w:rsidR="00F1065D" w:rsidRPr="00FC7E58">
        <w:rPr>
          <w:rFonts w:ascii="Arial" w:hAnsi="Arial" w:cs="Arial"/>
          <w:sz w:val="20"/>
          <w:szCs w:val="20"/>
        </w:rPr>
        <w:t>Otros fármacos para trastornos del sistema musculoesquelético</w:t>
      </w:r>
      <w:r w:rsidR="00FC7E58" w:rsidRPr="00FC7E58">
        <w:rPr>
          <w:rFonts w:ascii="Arial" w:hAnsi="Arial" w:cs="Arial"/>
          <w:sz w:val="20"/>
          <w:szCs w:val="20"/>
        </w:rPr>
        <w:t xml:space="preserve">. </w:t>
      </w:r>
      <w:r w:rsidRPr="00FC7E58">
        <w:rPr>
          <w:rFonts w:ascii="Arial" w:hAnsi="Arial" w:cs="Arial"/>
          <w:b/>
          <w:sz w:val="20"/>
          <w:szCs w:val="20"/>
        </w:rPr>
        <w:t>Código ATC:</w:t>
      </w:r>
      <w:r w:rsidRPr="00FC7E58">
        <w:rPr>
          <w:rFonts w:ascii="Arial" w:hAnsi="Arial" w:cs="Arial"/>
          <w:sz w:val="20"/>
          <w:szCs w:val="20"/>
        </w:rPr>
        <w:t xml:space="preserve"> </w:t>
      </w:r>
      <w:r w:rsidR="00F1065D" w:rsidRPr="00FC7E58">
        <w:rPr>
          <w:rFonts w:ascii="Arial" w:hAnsi="Arial" w:cs="Arial"/>
          <w:sz w:val="20"/>
          <w:szCs w:val="20"/>
        </w:rPr>
        <w:t>M09AX09</w:t>
      </w:r>
    </w:p>
    <w:p w14:paraId="6AF40DBF" w14:textId="77777777" w:rsidR="00AC7E45" w:rsidRPr="00FC7E58" w:rsidRDefault="00AC7E45" w:rsidP="001F6887">
      <w:pPr>
        <w:rPr>
          <w:rFonts w:ascii="Arial" w:hAnsi="Arial" w:cs="Arial"/>
          <w:sz w:val="20"/>
          <w:szCs w:val="20"/>
        </w:rPr>
      </w:pPr>
      <w:r w:rsidRPr="00FC7E58">
        <w:rPr>
          <w:rFonts w:ascii="Arial" w:hAnsi="Arial" w:cs="Arial"/>
          <w:b/>
          <w:bCs/>
          <w:sz w:val="20"/>
          <w:szCs w:val="20"/>
        </w:rPr>
        <w:t>Vía de administración</w:t>
      </w:r>
      <w:r w:rsidRPr="00FC7E58">
        <w:rPr>
          <w:rFonts w:ascii="Arial" w:hAnsi="Arial" w:cs="Arial"/>
          <w:sz w:val="20"/>
          <w:szCs w:val="20"/>
        </w:rPr>
        <w:t>: Intravenosa</w:t>
      </w:r>
    </w:p>
    <w:p w14:paraId="2FC04243" w14:textId="4FC81ADE" w:rsidR="00AC7E45" w:rsidRPr="00FC7E58" w:rsidRDefault="00AC7E45" w:rsidP="001F6887">
      <w:pPr>
        <w:jc w:val="both"/>
        <w:rPr>
          <w:rFonts w:ascii="Arial" w:hAnsi="Arial" w:cs="Arial"/>
          <w:sz w:val="20"/>
          <w:szCs w:val="20"/>
        </w:rPr>
      </w:pPr>
      <w:r w:rsidRPr="00FC7E58">
        <w:rPr>
          <w:rFonts w:ascii="Arial" w:hAnsi="Arial" w:cs="Arial"/>
          <w:b/>
          <w:bCs/>
          <w:sz w:val="20"/>
          <w:szCs w:val="20"/>
        </w:rPr>
        <w:t>Tipo de dispensación</w:t>
      </w:r>
      <w:r w:rsidRPr="00FC7E58">
        <w:rPr>
          <w:rFonts w:ascii="Arial" w:hAnsi="Arial" w:cs="Arial"/>
          <w:sz w:val="20"/>
          <w:szCs w:val="20"/>
        </w:rPr>
        <w:t>: Uso Hospitalario (H)</w:t>
      </w:r>
      <w:r w:rsidR="00A711ED" w:rsidRPr="00FC7E58">
        <w:rPr>
          <w:rFonts w:ascii="Arial" w:hAnsi="Arial" w:cs="Arial"/>
          <w:sz w:val="20"/>
          <w:szCs w:val="20"/>
        </w:rPr>
        <w:t>. Medicamento Huérfano</w:t>
      </w:r>
      <w:r w:rsidR="00B923CD">
        <w:rPr>
          <w:rFonts w:ascii="Arial" w:hAnsi="Arial" w:cs="Arial"/>
          <w:sz w:val="20"/>
          <w:szCs w:val="20"/>
        </w:rPr>
        <w:t>.</w:t>
      </w:r>
    </w:p>
    <w:p w14:paraId="7DBAD123" w14:textId="77777777" w:rsidR="00AC7E45" w:rsidRPr="00FC7E58" w:rsidRDefault="00AC7E45" w:rsidP="001F6887">
      <w:pPr>
        <w:pStyle w:val="Encabezado"/>
        <w:tabs>
          <w:tab w:val="clear" w:pos="4252"/>
          <w:tab w:val="clear" w:pos="8504"/>
        </w:tabs>
        <w:jc w:val="both"/>
        <w:rPr>
          <w:rFonts w:ascii="Arial" w:hAnsi="Arial" w:cs="Arial"/>
          <w:sz w:val="20"/>
          <w:szCs w:val="20"/>
        </w:rPr>
      </w:pPr>
      <w:r w:rsidRPr="00FC7E58">
        <w:rPr>
          <w:rFonts w:ascii="Arial" w:hAnsi="Arial" w:cs="Arial"/>
          <w:b/>
          <w:bCs/>
          <w:sz w:val="20"/>
          <w:szCs w:val="20"/>
        </w:rPr>
        <w:t>Información de registro</w:t>
      </w:r>
      <w:r w:rsidRPr="00FC7E58">
        <w:rPr>
          <w:rFonts w:ascii="Arial" w:hAnsi="Arial" w:cs="Arial"/>
          <w:sz w:val="20"/>
          <w:szCs w:val="20"/>
        </w:rPr>
        <w:t>: Procedimiento centralizado</w:t>
      </w:r>
    </w:p>
    <w:p w14:paraId="02F632E4" w14:textId="77777777" w:rsidR="00AC7E45" w:rsidRPr="00FC7E58" w:rsidRDefault="00AC7E45" w:rsidP="001F6887">
      <w:pPr>
        <w:pStyle w:val="Encabezado"/>
        <w:tabs>
          <w:tab w:val="clear" w:pos="4252"/>
          <w:tab w:val="clear" w:pos="8504"/>
        </w:tabs>
        <w:jc w:val="both"/>
        <w:rPr>
          <w:rFonts w:ascii="Arial" w:hAnsi="Arial" w:cs="Arial"/>
          <w:sz w:val="20"/>
          <w:szCs w:val="20"/>
        </w:rPr>
      </w:pPr>
    </w:p>
    <w:tbl>
      <w:tblPr>
        <w:tblW w:w="89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977"/>
        <w:gridCol w:w="1995"/>
        <w:gridCol w:w="1995"/>
        <w:gridCol w:w="1995"/>
      </w:tblGrid>
      <w:tr w:rsidR="00AC7E45" w14:paraId="5272FF38" w14:textId="77777777">
        <w:trPr>
          <w:cantSplit/>
        </w:trPr>
        <w:tc>
          <w:tcPr>
            <w:tcW w:w="8962" w:type="dxa"/>
            <w:gridSpan w:val="4"/>
            <w:shd w:val="clear" w:color="auto" w:fill="CCFFCC"/>
          </w:tcPr>
          <w:p w14:paraId="3A0AFC04" w14:textId="4E84033F" w:rsidR="00AC7E45" w:rsidRDefault="00FC7E58" w:rsidP="001F6887">
            <w:pPr>
              <w:jc w:val="both"/>
              <w:rPr>
                <w:rFonts w:ascii="Arial" w:hAnsi="Arial" w:cs="Arial"/>
                <w:b/>
                <w:bCs/>
                <w:sz w:val="16"/>
                <w:szCs w:val="16"/>
              </w:rPr>
            </w:pPr>
            <w:r>
              <w:rPr>
                <w:rFonts w:ascii="Arial" w:hAnsi="Arial" w:cs="Arial"/>
                <w:b/>
                <w:bCs/>
                <w:sz w:val="18"/>
                <w:szCs w:val="18"/>
              </w:rPr>
              <w:t xml:space="preserve">Tabla 3.1 </w:t>
            </w:r>
            <w:r w:rsidR="00AC7E45">
              <w:rPr>
                <w:rFonts w:ascii="Arial" w:hAnsi="Arial" w:cs="Arial"/>
                <w:b/>
                <w:bCs/>
                <w:sz w:val="18"/>
                <w:szCs w:val="18"/>
              </w:rPr>
              <w:t>Presentaciones y precio</w:t>
            </w:r>
            <w:r>
              <w:rPr>
                <w:rFonts w:ascii="Arial" w:hAnsi="Arial" w:cs="Arial"/>
                <w:b/>
                <w:bCs/>
                <w:sz w:val="18"/>
                <w:szCs w:val="18"/>
              </w:rPr>
              <w:t>.</w:t>
            </w:r>
            <w:r w:rsidR="00AC7E45">
              <w:rPr>
                <w:rFonts w:ascii="Arial" w:hAnsi="Arial" w:cs="Arial"/>
                <w:b/>
                <w:bCs/>
                <w:sz w:val="18"/>
                <w:szCs w:val="18"/>
              </w:rPr>
              <w:t xml:space="preserve"> </w:t>
            </w:r>
            <w:r w:rsidR="00AC7E45">
              <w:rPr>
                <w:rFonts w:ascii="Arial" w:hAnsi="Arial" w:cs="Arial"/>
                <w:sz w:val="18"/>
                <w:szCs w:val="18"/>
              </w:rPr>
              <w:t xml:space="preserve"> </w:t>
            </w:r>
          </w:p>
        </w:tc>
      </w:tr>
      <w:tr w:rsidR="00AC7E45" w:rsidRPr="00FC7E58" w14:paraId="5FC924A1" w14:textId="77777777">
        <w:trPr>
          <w:cantSplit/>
        </w:trPr>
        <w:tc>
          <w:tcPr>
            <w:tcW w:w="2977" w:type="dxa"/>
            <w:vAlign w:val="center"/>
          </w:tcPr>
          <w:p w14:paraId="20B5E90D" w14:textId="77777777" w:rsidR="00AC7E45" w:rsidRPr="00FC7E58" w:rsidRDefault="00AC7E45" w:rsidP="001F6887">
            <w:pPr>
              <w:jc w:val="both"/>
              <w:rPr>
                <w:rFonts w:ascii="Arial" w:hAnsi="Arial" w:cs="Arial"/>
                <w:b/>
                <w:sz w:val="16"/>
                <w:szCs w:val="16"/>
              </w:rPr>
            </w:pPr>
            <w:r w:rsidRPr="00FC7E58">
              <w:rPr>
                <w:rFonts w:ascii="Arial" w:hAnsi="Arial" w:cs="Arial"/>
                <w:b/>
                <w:sz w:val="16"/>
                <w:szCs w:val="16"/>
              </w:rPr>
              <w:t>Forma farmacéutica y dosis</w:t>
            </w:r>
          </w:p>
        </w:tc>
        <w:tc>
          <w:tcPr>
            <w:tcW w:w="1995" w:type="dxa"/>
            <w:vAlign w:val="center"/>
          </w:tcPr>
          <w:p w14:paraId="7DBA6C2A" w14:textId="77777777" w:rsidR="00AC7E45" w:rsidRPr="00FC7E58" w:rsidRDefault="00AC7E45" w:rsidP="001F6887">
            <w:pPr>
              <w:jc w:val="center"/>
              <w:rPr>
                <w:rFonts w:ascii="Arial" w:hAnsi="Arial" w:cs="Arial"/>
                <w:b/>
                <w:sz w:val="16"/>
                <w:szCs w:val="16"/>
              </w:rPr>
            </w:pPr>
            <w:r w:rsidRPr="00FC7E58">
              <w:rPr>
                <w:rFonts w:ascii="Arial" w:hAnsi="Arial" w:cs="Arial"/>
                <w:b/>
                <w:sz w:val="16"/>
                <w:szCs w:val="16"/>
              </w:rPr>
              <w:t>Nº de unidades por envase</w:t>
            </w:r>
          </w:p>
        </w:tc>
        <w:tc>
          <w:tcPr>
            <w:tcW w:w="1995" w:type="dxa"/>
            <w:vAlign w:val="center"/>
          </w:tcPr>
          <w:p w14:paraId="73D47C4B" w14:textId="77777777" w:rsidR="00AC7E45" w:rsidRPr="00FC7E58" w:rsidRDefault="00AC7E45" w:rsidP="001F6887">
            <w:pPr>
              <w:jc w:val="center"/>
              <w:rPr>
                <w:rFonts w:ascii="Arial" w:hAnsi="Arial" w:cs="Arial"/>
                <w:b/>
                <w:sz w:val="16"/>
                <w:szCs w:val="16"/>
              </w:rPr>
            </w:pPr>
            <w:r w:rsidRPr="00FC7E58">
              <w:rPr>
                <w:rFonts w:ascii="Arial" w:hAnsi="Arial" w:cs="Arial"/>
                <w:b/>
                <w:sz w:val="16"/>
                <w:szCs w:val="16"/>
              </w:rPr>
              <w:t>Código</w:t>
            </w:r>
          </w:p>
        </w:tc>
        <w:tc>
          <w:tcPr>
            <w:tcW w:w="1995" w:type="dxa"/>
            <w:vAlign w:val="center"/>
          </w:tcPr>
          <w:p w14:paraId="39B13EF6" w14:textId="07F69BD1" w:rsidR="00AC7E45" w:rsidRPr="00FC7E58" w:rsidRDefault="00AC7E45" w:rsidP="001F6887">
            <w:pPr>
              <w:jc w:val="center"/>
              <w:rPr>
                <w:rFonts w:ascii="Arial" w:hAnsi="Arial" w:cs="Arial"/>
                <w:b/>
                <w:sz w:val="16"/>
                <w:szCs w:val="16"/>
              </w:rPr>
            </w:pPr>
            <w:r w:rsidRPr="00FC7E58">
              <w:rPr>
                <w:rFonts w:ascii="Arial" w:hAnsi="Arial" w:cs="Arial"/>
                <w:b/>
                <w:sz w:val="16"/>
                <w:szCs w:val="16"/>
              </w:rPr>
              <w:t>Coste por unidad PVL + IVA -RD</w:t>
            </w:r>
          </w:p>
        </w:tc>
      </w:tr>
      <w:tr w:rsidR="00AC7E45" w14:paraId="1F9CD1C3" w14:textId="77777777">
        <w:trPr>
          <w:cantSplit/>
          <w:trHeight w:val="520"/>
        </w:trPr>
        <w:tc>
          <w:tcPr>
            <w:tcW w:w="2977" w:type="dxa"/>
            <w:vAlign w:val="center"/>
          </w:tcPr>
          <w:p w14:paraId="428F1658" w14:textId="05A0BD04" w:rsidR="00AC7E45" w:rsidRPr="00A711ED" w:rsidRDefault="00A711ED" w:rsidP="001F6887">
            <w:pPr>
              <w:jc w:val="both"/>
              <w:rPr>
                <w:rFonts w:ascii="Arial" w:hAnsi="Arial" w:cs="Arial"/>
                <w:sz w:val="16"/>
                <w:szCs w:val="16"/>
              </w:rPr>
            </w:pPr>
            <w:r>
              <w:rPr>
                <w:rFonts w:ascii="Arial" w:hAnsi="Arial" w:cs="Arial"/>
                <w:sz w:val="16"/>
                <w:szCs w:val="16"/>
              </w:rPr>
              <w:t>Zolgensma 2 x 10</w:t>
            </w:r>
            <w:r>
              <w:rPr>
                <w:rFonts w:ascii="Arial" w:hAnsi="Arial" w:cs="Arial"/>
                <w:sz w:val="16"/>
                <w:szCs w:val="16"/>
                <w:vertAlign w:val="superscript"/>
              </w:rPr>
              <w:t>13</w:t>
            </w:r>
            <w:r>
              <w:rPr>
                <w:rFonts w:ascii="Arial" w:hAnsi="Arial" w:cs="Arial"/>
                <w:sz w:val="16"/>
                <w:szCs w:val="16"/>
              </w:rPr>
              <w:t xml:space="preserve"> genomas vectoriales/ml solución para perfusión</w:t>
            </w:r>
          </w:p>
        </w:tc>
        <w:tc>
          <w:tcPr>
            <w:tcW w:w="1995" w:type="dxa"/>
            <w:vAlign w:val="center"/>
          </w:tcPr>
          <w:p w14:paraId="0659105A" w14:textId="77777777" w:rsidR="00AC7E45" w:rsidRDefault="00AC7E45" w:rsidP="001F6887">
            <w:pPr>
              <w:jc w:val="center"/>
              <w:rPr>
                <w:rFonts w:ascii="Arial" w:hAnsi="Arial" w:cs="Arial"/>
                <w:sz w:val="16"/>
                <w:szCs w:val="16"/>
              </w:rPr>
            </w:pPr>
            <w:r>
              <w:rPr>
                <w:rFonts w:ascii="Arial" w:hAnsi="Arial" w:cs="Arial"/>
                <w:sz w:val="16"/>
                <w:szCs w:val="16"/>
              </w:rPr>
              <w:t>1</w:t>
            </w:r>
          </w:p>
        </w:tc>
        <w:tc>
          <w:tcPr>
            <w:tcW w:w="1995" w:type="dxa"/>
            <w:shd w:val="clear" w:color="auto" w:fill="FFFFFF"/>
            <w:vAlign w:val="center"/>
          </w:tcPr>
          <w:p w14:paraId="21D51321" w14:textId="027FF99B" w:rsidR="00AC7E45" w:rsidRDefault="00AC7E45" w:rsidP="001F6887">
            <w:pPr>
              <w:jc w:val="center"/>
              <w:rPr>
                <w:rFonts w:ascii="Arial" w:hAnsi="Arial" w:cs="Arial"/>
                <w:sz w:val="16"/>
                <w:szCs w:val="16"/>
              </w:rPr>
            </w:pPr>
          </w:p>
        </w:tc>
        <w:tc>
          <w:tcPr>
            <w:tcW w:w="1995" w:type="dxa"/>
            <w:shd w:val="clear" w:color="auto" w:fill="FFFFFF"/>
            <w:vAlign w:val="center"/>
          </w:tcPr>
          <w:p w14:paraId="064BA8F1" w14:textId="029756CD" w:rsidR="00AC7E45" w:rsidRDefault="00AC7E45" w:rsidP="001F6887">
            <w:pPr>
              <w:jc w:val="center"/>
              <w:rPr>
                <w:rFonts w:ascii="Arial" w:hAnsi="Arial" w:cs="Arial"/>
                <w:sz w:val="16"/>
                <w:szCs w:val="16"/>
              </w:rPr>
            </w:pPr>
          </w:p>
        </w:tc>
      </w:tr>
    </w:tbl>
    <w:p w14:paraId="3ABFFEFA" w14:textId="77777777" w:rsidR="00AC7E45" w:rsidRDefault="00AC7E45" w:rsidP="001F6887">
      <w:pPr>
        <w:pStyle w:val="Prrafodelista"/>
        <w:ind w:left="720"/>
        <w:rPr>
          <w:rFonts w:ascii="Arial" w:hAnsi="Arial" w:cs="Arial"/>
          <w:color w:val="0000FF"/>
          <w:sz w:val="20"/>
          <w:szCs w:val="20"/>
          <w:u w:val="single"/>
        </w:rPr>
      </w:pPr>
    </w:p>
    <w:p w14:paraId="29A983DF" w14:textId="77777777" w:rsidR="0074644A" w:rsidRDefault="0074644A" w:rsidP="001F6887">
      <w:pPr>
        <w:pStyle w:val="Prrafodelista"/>
        <w:ind w:left="720"/>
        <w:rPr>
          <w:rFonts w:ascii="Arial" w:hAnsi="Arial" w:cs="Arial"/>
          <w:color w:val="0000FF"/>
          <w:sz w:val="20"/>
          <w:szCs w:val="20"/>
          <w:u w:val="single"/>
        </w:rPr>
      </w:pPr>
    </w:p>
    <w:p w14:paraId="72A58D11" w14:textId="19ECD089" w:rsidR="00AC7E45" w:rsidRPr="00FC7E58" w:rsidRDefault="00AC7E4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10" w:name="_Toc344399622"/>
      <w:bookmarkStart w:id="11" w:name="_Toc348931349"/>
      <w:r w:rsidRPr="00FC7E58">
        <w:rPr>
          <w:rFonts w:ascii="Arial" w:hAnsi="Arial" w:cs="Arial"/>
          <w:sz w:val="20"/>
          <w:szCs w:val="20"/>
        </w:rPr>
        <w:t>3.2 Área descriptiva del problema de salud</w:t>
      </w:r>
      <w:bookmarkEnd w:id="10"/>
      <w:bookmarkEnd w:id="11"/>
    </w:p>
    <w:p w14:paraId="5421B39F" w14:textId="77777777" w:rsidR="00AC7E45" w:rsidRPr="00FC7E58" w:rsidRDefault="00AC7E45" w:rsidP="001F6887">
      <w:pPr>
        <w:jc w:val="both"/>
        <w:rPr>
          <w:rFonts w:ascii="Arial" w:hAnsi="Arial" w:cs="Arial"/>
          <w:color w:val="000080"/>
          <w:sz w:val="20"/>
          <w:szCs w:val="20"/>
        </w:rPr>
      </w:pPr>
    </w:p>
    <w:p w14:paraId="2BF4AAB6" w14:textId="1FD3C301" w:rsidR="00AC7E45" w:rsidRPr="00FC7E58" w:rsidRDefault="00AC7E4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12" w:name="_Toc348931350"/>
      <w:bookmarkStart w:id="13" w:name="_Toc344399623"/>
      <w:r w:rsidRPr="00FC7E58">
        <w:rPr>
          <w:rFonts w:ascii="Arial" w:hAnsi="Arial" w:cs="Arial"/>
          <w:sz w:val="20"/>
          <w:szCs w:val="20"/>
        </w:rPr>
        <w:t>3.2.a Descripción estructurada del problema de salud</w:t>
      </w:r>
      <w:bookmarkEnd w:id="12"/>
      <w:bookmarkEnd w:id="13"/>
    </w:p>
    <w:p w14:paraId="6445DAB0" w14:textId="77777777" w:rsidR="00AC7E45" w:rsidRPr="00FC7E58" w:rsidRDefault="00AC7E45" w:rsidP="001F6887">
      <w:pPr>
        <w:jc w:val="both"/>
        <w:rPr>
          <w:rFonts w:ascii="Arial" w:hAnsi="Arial" w:cs="Arial"/>
          <w:color w:val="000080"/>
          <w:sz w:val="20"/>
          <w:szCs w:val="20"/>
        </w:rPr>
      </w:pPr>
    </w:p>
    <w:tbl>
      <w:tblPr>
        <w:tblW w:w="893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127"/>
        <w:gridCol w:w="6804"/>
      </w:tblGrid>
      <w:tr w:rsidR="00AC7E45" w14:paraId="3EA1B7D8" w14:textId="77777777" w:rsidTr="009C07C8">
        <w:tc>
          <w:tcPr>
            <w:tcW w:w="8931" w:type="dxa"/>
            <w:gridSpan w:val="2"/>
            <w:shd w:val="clear" w:color="auto" w:fill="CCFFCC"/>
          </w:tcPr>
          <w:p w14:paraId="66E37238" w14:textId="60DF197D" w:rsidR="00AC7E45" w:rsidRDefault="00FC7E58" w:rsidP="001F6887">
            <w:pPr>
              <w:rPr>
                <w:rFonts w:ascii="Arial" w:hAnsi="Arial" w:cs="Arial"/>
                <w:b/>
                <w:bCs/>
                <w:sz w:val="18"/>
                <w:szCs w:val="18"/>
              </w:rPr>
            </w:pPr>
            <w:r>
              <w:rPr>
                <w:rFonts w:ascii="Arial" w:hAnsi="Arial" w:cs="Arial"/>
                <w:b/>
                <w:bCs/>
                <w:sz w:val="18"/>
                <w:szCs w:val="18"/>
              </w:rPr>
              <w:t xml:space="preserve">Tabla 3.2.a. </w:t>
            </w:r>
            <w:r w:rsidR="00AC7E45">
              <w:rPr>
                <w:rFonts w:ascii="Arial" w:hAnsi="Arial" w:cs="Arial"/>
                <w:b/>
                <w:bCs/>
                <w:sz w:val="18"/>
                <w:szCs w:val="18"/>
              </w:rPr>
              <w:t>Descripción del problema de salud</w:t>
            </w:r>
          </w:p>
        </w:tc>
      </w:tr>
      <w:tr w:rsidR="00AC7E45" w14:paraId="362FFEA4" w14:textId="77777777" w:rsidTr="009C07C8">
        <w:tc>
          <w:tcPr>
            <w:tcW w:w="2127" w:type="dxa"/>
            <w:shd w:val="clear" w:color="auto" w:fill="E6E6E6"/>
          </w:tcPr>
          <w:p w14:paraId="5D16A9B7" w14:textId="6FDFA80B" w:rsidR="00AC7E45" w:rsidRPr="00FC7E58" w:rsidRDefault="00AC7E45" w:rsidP="001F6887">
            <w:pPr>
              <w:jc w:val="both"/>
              <w:rPr>
                <w:rFonts w:ascii="Arial" w:hAnsi="Arial" w:cs="Arial"/>
                <w:sz w:val="20"/>
                <w:szCs w:val="16"/>
              </w:rPr>
            </w:pPr>
            <w:r w:rsidRPr="00FC7E58">
              <w:rPr>
                <w:rFonts w:ascii="Arial" w:hAnsi="Arial" w:cs="Arial"/>
                <w:sz w:val="20"/>
                <w:szCs w:val="16"/>
              </w:rPr>
              <w:t>Definición</w:t>
            </w:r>
            <w:bookmarkStart w:id="14" w:name="_Ref52263077"/>
            <w:r w:rsidR="00A8154A">
              <w:rPr>
                <w:rStyle w:val="Refdenotaalfinal"/>
                <w:rFonts w:ascii="Arial" w:hAnsi="Arial" w:cs="Arial"/>
                <w:sz w:val="20"/>
                <w:szCs w:val="16"/>
              </w:rPr>
              <w:endnoteReference w:id="2"/>
            </w:r>
            <w:bookmarkEnd w:id="14"/>
            <w:r w:rsidR="00CD1E13">
              <w:rPr>
                <w:rFonts w:ascii="Arial" w:hAnsi="Arial" w:cs="Arial"/>
                <w:sz w:val="20"/>
                <w:szCs w:val="16"/>
                <w:vertAlign w:val="superscript"/>
              </w:rPr>
              <w:t>,</w:t>
            </w:r>
            <w:bookmarkStart w:id="15" w:name="_Ref52262203"/>
            <w:r w:rsidR="00920B12">
              <w:rPr>
                <w:rStyle w:val="Refdenotaalfinal"/>
                <w:rFonts w:ascii="Arial" w:hAnsi="Arial" w:cs="Arial"/>
                <w:sz w:val="20"/>
                <w:szCs w:val="16"/>
              </w:rPr>
              <w:endnoteReference w:id="3"/>
            </w:r>
            <w:bookmarkEnd w:id="15"/>
          </w:p>
        </w:tc>
        <w:tc>
          <w:tcPr>
            <w:tcW w:w="6804" w:type="dxa"/>
          </w:tcPr>
          <w:p w14:paraId="090ADB09" w14:textId="36A9F6C2" w:rsidR="0055427F" w:rsidRPr="006C74DA" w:rsidRDefault="0055427F" w:rsidP="00367529">
            <w:pPr>
              <w:jc w:val="both"/>
              <w:rPr>
                <w:rFonts w:ascii="Arial" w:hAnsi="Arial" w:cs="Arial"/>
                <w:sz w:val="20"/>
                <w:szCs w:val="20"/>
              </w:rPr>
            </w:pPr>
            <w:r w:rsidRPr="006C74DA">
              <w:rPr>
                <w:rFonts w:ascii="Arial" w:hAnsi="Arial" w:cs="Arial"/>
                <w:sz w:val="20"/>
                <w:szCs w:val="20"/>
              </w:rPr>
              <w:t xml:space="preserve">La </w:t>
            </w:r>
            <w:r w:rsidR="00FC7E58" w:rsidRPr="006C74DA">
              <w:rPr>
                <w:rFonts w:ascii="Arial" w:hAnsi="Arial" w:cs="Arial"/>
                <w:sz w:val="20"/>
                <w:szCs w:val="20"/>
              </w:rPr>
              <w:t>AME</w:t>
            </w:r>
            <w:r w:rsidRPr="006C74DA">
              <w:rPr>
                <w:rFonts w:ascii="Arial" w:hAnsi="Arial" w:cs="Arial"/>
                <w:sz w:val="20"/>
                <w:szCs w:val="20"/>
              </w:rPr>
              <w:t xml:space="preserve"> es una enfermedad autosómica recesiva producida por degeneración de las motoneuronas del asta anterior medular que ocasionan debilidad y atrofia muscular progresiva de predominio proximal y de amplio espectro de gravedad. La causa más frecuente es debida a la alteración del gen SMN1 (Survival Motor Neuron 1), localizado en la región cromosómica 5q13, que codifica para la proteína SMN. El 95-98% de los pacientes presentan ausencia en homocigosis del gen SMN1, detectable por estudio molecular del exón 7 y que confirma genéticamente el diagnóstico de AME.</w:t>
            </w:r>
          </w:p>
          <w:p w14:paraId="44D18D8C" w14:textId="22B75CDC" w:rsidR="00F3676C" w:rsidRPr="006C74DA" w:rsidRDefault="0055427F" w:rsidP="00367529">
            <w:pPr>
              <w:spacing w:after="120"/>
              <w:jc w:val="both"/>
              <w:rPr>
                <w:rFonts w:ascii="Arial" w:hAnsi="Arial" w:cs="Arial"/>
                <w:sz w:val="20"/>
                <w:szCs w:val="20"/>
              </w:rPr>
            </w:pPr>
            <w:r w:rsidRPr="006C74DA">
              <w:rPr>
                <w:rFonts w:ascii="Arial" w:hAnsi="Arial" w:cs="Arial"/>
                <w:sz w:val="20"/>
                <w:szCs w:val="20"/>
              </w:rPr>
              <w:t xml:space="preserve">Por otro lado, el ser humano tiene un número variable de copias (de 0 a 8 copias) del gen homólogo SMN2 en la misma región, que presenta pequeñas diferencias en sus nucleótidos con respecto al SMN1. Como consecuencia de estas diferencias se suprime el ensamblaje del exón 7 en la mayoría (60-90%) de los </w:t>
            </w:r>
            <w:r w:rsidR="004D6F01" w:rsidRPr="006C74DA">
              <w:rPr>
                <w:rFonts w:ascii="Arial" w:hAnsi="Arial" w:cs="Arial"/>
                <w:sz w:val="20"/>
                <w:szCs w:val="20"/>
              </w:rPr>
              <w:t>transcritos</w:t>
            </w:r>
            <w:r w:rsidRPr="006C74DA">
              <w:rPr>
                <w:rFonts w:ascii="Arial" w:hAnsi="Arial" w:cs="Arial"/>
                <w:sz w:val="20"/>
                <w:szCs w:val="20"/>
              </w:rPr>
              <w:t xml:space="preserve"> del SMN2, por lo que se produce una proteína completa y funci</w:t>
            </w:r>
            <w:bookmarkStart w:id="16" w:name="_GoBack"/>
            <w:bookmarkEnd w:id="16"/>
            <w:r w:rsidRPr="006C74DA">
              <w:rPr>
                <w:rFonts w:ascii="Arial" w:hAnsi="Arial" w:cs="Arial"/>
                <w:sz w:val="20"/>
                <w:szCs w:val="20"/>
              </w:rPr>
              <w:t xml:space="preserve">onante sólo en bajo porcentaje (10-40%) según los distintos tejidos. El número de copias del gen SMN2 es un indicador importante (aunque no absoluto) de la gravedad de la enfermedad, de forma que los pacientes con mayor número de copias </w:t>
            </w:r>
            <w:r w:rsidR="00B64993">
              <w:rPr>
                <w:rFonts w:ascii="Arial" w:hAnsi="Arial" w:cs="Arial"/>
                <w:sz w:val="20"/>
                <w:szCs w:val="20"/>
              </w:rPr>
              <w:t xml:space="preserve">suelen </w:t>
            </w:r>
            <w:r w:rsidRPr="006C74DA">
              <w:rPr>
                <w:rFonts w:ascii="Arial" w:hAnsi="Arial" w:cs="Arial"/>
                <w:sz w:val="20"/>
                <w:szCs w:val="20"/>
              </w:rPr>
              <w:t>presentan una forma menos grave de la enfermedad al resultar en una mayor cantidad de proteína normal.</w:t>
            </w:r>
          </w:p>
        </w:tc>
      </w:tr>
      <w:tr w:rsidR="00AC7E45" w14:paraId="076F5F58" w14:textId="77777777" w:rsidTr="009C07C8">
        <w:tc>
          <w:tcPr>
            <w:tcW w:w="2127" w:type="dxa"/>
            <w:shd w:val="clear" w:color="auto" w:fill="E6E6E6"/>
          </w:tcPr>
          <w:p w14:paraId="6A4897B1" w14:textId="12E452FF" w:rsidR="00AC7E45" w:rsidRPr="00FC7E58" w:rsidRDefault="00AC7E45" w:rsidP="001F6887">
            <w:pPr>
              <w:rPr>
                <w:rFonts w:ascii="Arial" w:hAnsi="Arial" w:cs="Arial"/>
                <w:sz w:val="20"/>
                <w:szCs w:val="16"/>
              </w:rPr>
            </w:pPr>
            <w:r w:rsidRPr="00FC7E58">
              <w:rPr>
                <w:rFonts w:ascii="Arial" w:hAnsi="Arial" w:cs="Arial"/>
                <w:sz w:val="20"/>
                <w:szCs w:val="16"/>
              </w:rPr>
              <w:t>Principales manifestaciones clínicas</w:t>
            </w:r>
            <w:r w:rsidR="002D1814" w:rsidRPr="002D1814">
              <w:rPr>
                <w:rFonts w:ascii="Arial" w:hAnsi="Arial" w:cs="Arial"/>
                <w:sz w:val="20"/>
                <w:szCs w:val="16"/>
                <w:vertAlign w:val="superscript"/>
              </w:rPr>
              <w:fldChar w:fldCharType="begin"/>
            </w:r>
            <w:r w:rsidR="002D1814" w:rsidRPr="002D1814">
              <w:rPr>
                <w:rFonts w:ascii="Arial" w:hAnsi="Arial" w:cs="Arial"/>
                <w:sz w:val="20"/>
                <w:szCs w:val="16"/>
                <w:vertAlign w:val="superscript"/>
              </w:rPr>
              <w:instrText xml:space="preserve"> NOTEREF _Ref52262203 \h </w:instrText>
            </w:r>
            <w:r w:rsidR="002D1814">
              <w:rPr>
                <w:rFonts w:ascii="Arial" w:hAnsi="Arial" w:cs="Arial"/>
                <w:sz w:val="20"/>
                <w:szCs w:val="16"/>
                <w:vertAlign w:val="superscript"/>
              </w:rPr>
              <w:instrText xml:space="preserve"> \* MERGEFORMAT </w:instrText>
            </w:r>
            <w:r w:rsidR="002D1814" w:rsidRPr="002D1814">
              <w:rPr>
                <w:rFonts w:ascii="Arial" w:hAnsi="Arial" w:cs="Arial"/>
                <w:sz w:val="20"/>
                <w:szCs w:val="16"/>
                <w:vertAlign w:val="superscript"/>
              </w:rPr>
            </w:r>
            <w:r w:rsidR="002D1814" w:rsidRPr="002D1814">
              <w:rPr>
                <w:rFonts w:ascii="Arial" w:hAnsi="Arial" w:cs="Arial"/>
                <w:sz w:val="20"/>
                <w:szCs w:val="16"/>
                <w:vertAlign w:val="superscript"/>
              </w:rPr>
              <w:fldChar w:fldCharType="separate"/>
            </w:r>
            <w:r w:rsidR="00E277F2">
              <w:rPr>
                <w:rFonts w:ascii="Arial" w:hAnsi="Arial" w:cs="Arial"/>
                <w:sz w:val="20"/>
                <w:szCs w:val="16"/>
                <w:vertAlign w:val="superscript"/>
              </w:rPr>
              <w:t>3</w:t>
            </w:r>
            <w:r w:rsidR="002D1814" w:rsidRPr="002D1814">
              <w:rPr>
                <w:rFonts w:ascii="Arial" w:hAnsi="Arial" w:cs="Arial"/>
                <w:sz w:val="20"/>
                <w:szCs w:val="16"/>
                <w:vertAlign w:val="superscript"/>
              </w:rPr>
              <w:fldChar w:fldCharType="end"/>
            </w:r>
          </w:p>
        </w:tc>
        <w:tc>
          <w:tcPr>
            <w:tcW w:w="6804" w:type="dxa"/>
          </w:tcPr>
          <w:p w14:paraId="40F48742" w14:textId="53AD7F92" w:rsidR="00666A7E" w:rsidRPr="006C74DA" w:rsidRDefault="00666A7E" w:rsidP="00367529">
            <w:pPr>
              <w:jc w:val="both"/>
              <w:rPr>
                <w:rFonts w:ascii="Arial" w:hAnsi="Arial" w:cs="Arial"/>
                <w:sz w:val="20"/>
                <w:szCs w:val="20"/>
              </w:rPr>
            </w:pPr>
            <w:r w:rsidRPr="006C74DA">
              <w:rPr>
                <w:rFonts w:ascii="Arial" w:hAnsi="Arial" w:cs="Arial"/>
                <w:sz w:val="20"/>
                <w:szCs w:val="20"/>
              </w:rPr>
              <w:t>Las manifestaciones clínicas dependen del tipo de AME y la edad de aparición de la sintomatología. Puede ir desde formas leves, con ligeras dificultades para caminar, cuando aparece entre los 20-30 años de edad</w:t>
            </w:r>
            <w:r w:rsidR="00C2105B" w:rsidRPr="006C74DA">
              <w:rPr>
                <w:rFonts w:ascii="Arial" w:hAnsi="Arial" w:cs="Arial"/>
                <w:sz w:val="20"/>
                <w:szCs w:val="20"/>
              </w:rPr>
              <w:t>,</w:t>
            </w:r>
            <w:r w:rsidRPr="006C74DA">
              <w:rPr>
                <w:rFonts w:ascii="Arial" w:hAnsi="Arial" w:cs="Arial"/>
                <w:sz w:val="20"/>
                <w:szCs w:val="20"/>
              </w:rPr>
              <w:t xml:space="preserve"> a formas muy graves, que en la mayoría de </w:t>
            </w:r>
            <w:r w:rsidR="00777AC4" w:rsidRPr="006C74DA">
              <w:rPr>
                <w:rFonts w:ascii="Arial" w:hAnsi="Arial" w:cs="Arial"/>
                <w:sz w:val="20"/>
                <w:szCs w:val="20"/>
              </w:rPr>
              <w:t>las ocasiones</w:t>
            </w:r>
            <w:r w:rsidRPr="006C74DA">
              <w:rPr>
                <w:rFonts w:ascii="Arial" w:hAnsi="Arial" w:cs="Arial"/>
                <w:sz w:val="20"/>
                <w:szCs w:val="20"/>
              </w:rPr>
              <w:t xml:space="preserve"> pueden llegar a ocasionar la muerte, cuando aparece antes del primer año de vida.</w:t>
            </w:r>
          </w:p>
          <w:p w14:paraId="7DF05164" w14:textId="16AFE583" w:rsidR="00F3676C" w:rsidRPr="006C74DA" w:rsidRDefault="00666A7E" w:rsidP="00367529">
            <w:pPr>
              <w:spacing w:after="120"/>
              <w:jc w:val="both"/>
              <w:rPr>
                <w:rFonts w:ascii="Arial" w:hAnsi="Arial" w:cs="Arial"/>
                <w:sz w:val="20"/>
                <w:szCs w:val="20"/>
              </w:rPr>
            </w:pPr>
            <w:r w:rsidRPr="006C74DA">
              <w:rPr>
                <w:rFonts w:ascii="Arial" w:hAnsi="Arial" w:cs="Arial"/>
                <w:sz w:val="20"/>
                <w:szCs w:val="20"/>
              </w:rPr>
              <w:t>Las manifestaciones clínicas abarcan debilidad muscular, arreflexia e hipotonía generalizada, falta de compromiso sensitivo aparente, incapacidad para llegar a sostener la cabeza o conseguir la sedestación pasiva, complicaciones respiratorias y escoliosis.</w:t>
            </w:r>
            <w:r w:rsidR="00367529">
              <w:rPr>
                <w:rFonts w:ascii="Arial" w:hAnsi="Arial" w:cs="Arial"/>
                <w:sz w:val="20"/>
                <w:szCs w:val="20"/>
              </w:rPr>
              <w:t xml:space="preserve"> </w:t>
            </w:r>
            <w:r w:rsidR="00E277F2" w:rsidRPr="00E277F2">
              <w:rPr>
                <w:rFonts w:ascii="Arial" w:hAnsi="Arial" w:cs="Arial"/>
                <w:sz w:val="20"/>
                <w:szCs w:val="20"/>
              </w:rPr>
              <w:t>El cuadro clínico de los pacientes con AME incl</w:t>
            </w:r>
            <w:r w:rsidR="00E277F2">
              <w:rPr>
                <w:rFonts w:ascii="Arial" w:hAnsi="Arial" w:cs="Arial"/>
                <w:sz w:val="20"/>
                <w:szCs w:val="20"/>
              </w:rPr>
              <w:t xml:space="preserve">uye habitualmente contracturas y </w:t>
            </w:r>
            <w:r w:rsidR="00E277F2" w:rsidRPr="00E277F2">
              <w:rPr>
                <w:rFonts w:ascii="Arial" w:hAnsi="Arial" w:cs="Arial"/>
                <w:sz w:val="20"/>
                <w:szCs w:val="20"/>
              </w:rPr>
              <w:t>problemas respiratorios que re</w:t>
            </w:r>
            <w:r w:rsidR="00E277F2">
              <w:rPr>
                <w:rFonts w:ascii="Arial" w:hAnsi="Arial" w:cs="Arial"/>
                <w:sz w:val="20"/>
                <w:szCs w:val="20"/>
              </w:rPr>
              <w:t xml:space="preserve">quieren de soporte ventilatorio. </w:t>
            </w:r>
            <w:r w:rsidR="00E277F2" w:rsidRPr="00E277F2">
              <w:rPr>
                <w:rFonts w:ascii="Arial" w:hAnsi="Arial" w:cs="Arial"/>
                <w:sz w:val="20"/>
                <w:szCs w:val="20"/>
              </w:rPr>
              <w:t>La función respiratoria se encuentra afectada debido a la debilidad de los músculos intercostales, conservando la actividad del diafragma ocasionando una respiración paradójica. La denervación bulbar resulta en dificultad para la succión y deglución, aumentando el ri</w:t>
            </w:r>
            <w:r w:rsidR="00E277F2">
              <w:rPr>
                <w:rFonts w:ascii="Arial" w:hAnsi="Arial" w:cs="Arial"/>
                <w:sz w:val="20"/>
                <w:szCs w:val="20"/>
              </w:rPr>
              <w:t>esgo de neumonía por aspiración.</w:t>
            </w:r>
            <w:r w:rsidR="00A870AC">
              <w:rPr>
                <w:rFonts w:ascii="Arial" w:hAnsi="Arial" w:cs="Arial"/>
                <w:sz w:val="20"/>
                <w:szCs w:val="20"/>
              </w:rPr>
              <w:t xml:space="preserve"> L</w:t>
            </w:r>
            <w:r w:rsidR="00A870AC" w:rsidRPr="00A870AC">
              <w:rPr>
                <w:rFonts w:ascii="Arial" w:hAnsi="Arial" w:cs="Arial"/>
                <w:sz w:val="20"/>
                <w:szCs w:val="20"/>
              </w:rPr>
              <w:t>as formas más severas presentarán</w:t>
            </w:r>
            <w:r w:rsidR="00A870AC">
              <w:rPr>
                <w:rFonts w:ascii="Arial" w:hAnsi="Arial" w:cs="Arial"/>
                <w:sz w:val="20"/>
                <w:szCs w:val="20"/>
              </w:rPr>
              <w:t>,</w:t>
            </w:r>
            <w:r w:rsidR="00A870AC" w:rsidRPr="00A870AC">
              <w:rPr>
                <w:rFonts w:ascii="Arial" w:hAnsi="Arial" w:cs="Arial"/>
                <w:sz w:val="20"/>
                <w:szCs w:val="20"/>
              </w:rPr>
              <w:t xml:space="preserve"> además</w:t>
            </w:r>
            <w:r w:rsidR="00A870AC">
              <w:rPr>
                <w:rFonts w:ascii="Arial" w:hAnsi="Arial" w:cs="Arial"/>
                <w:sz w:val="20"/>
                <w:szCs w:val="20"/>
              </w:rPr>
              <w:t>,</w:t>
            </w:r>
            <w:r w:rsidR="00A870AC" w:rsidRPr="00A870AC">
              <w:rPr>
                <w:rFonts w:ascii="Arial" w:hAnsi="Arial" w:cs="Arial"/>
                <w:sz w:val="20"/>
                <w:szCs w:val="20"/>
              </w:rPr>
              <w:t xml:space="preserve"> afectación de otros órganos</w:t>
            </w:r>
            <w:r w:rsidR="00A870AC">
              <w:rPr>
                <w:rFonts w:ascii="Arial" w:hAnsi="Arial" w:cs="Arial"/>
                <w:sz w:val="20"/>
                <w:szCs w:val="20"/>
              </w:rPr>
              <w:t>.</w:t>
            </w:r>
          </w:p>
        </w:tc>
      </w:tr>
      <w:tr w:rsidR="00AC7E45" w14:paraId="63BDD401" w14:textId="77777777" w:rsidTr="009C07C8">
        <w:tc>
          <w:tcPr>
            <w:tcW w:w="2127" w:type="dxa"/>
            <w:shd w:val="clear" w:color="auto" w:fill="E6E6E6"/>
          </w:tcPr>
          <w:p w14:paraId="56A969BE" w14:textId="229B65DC" w:rsidR="00AC7E45" w:rsidRPr="00FC7E58" w:rsidRDefault="00AC7E45" w:rsidP="001F6887">
            <w:pPr>
              <w:rPr>
                <w:rFonts w:ascii="Arial" w:hAnsi="Arial" w:cs="Arial"/>
                <w:sz w:val="20"/>
                <w:szCs w:val="16"/>
                <w:vertAlign w:val="superscript"/>
              </w:rPr>
            </w:pPr>
            <w:r w:rsidRPr="00FC7E58">
              <w:rPr>
                <w:rFonts w:ascii="Arial" w:hAnsi="Arial" w:cs="Arial"/>
                <w:sz w:val="20"/>
                <w:szCs w:val="16"/>
              </w:rPr>
              <w:t>Incidencia y prevalencia</w:t>
            </w:r>
            <w:r w:rsidR="00834A4A" w:rsidRPr="00834A4A">
              <w:rPr>
                <w:rFonts w:ascii="Arial" w:hAnsi="Arial" w:cs="Arial"/>
                <w:sz w:val="20"/>
                <w:szCs w:val="16"/>
                <w:vertAlign w:val="superscript"/>
              </w:rPr>
              <w:fldChar w:fldCharType="begin"/>
            </w:r>
            <w:r w:rsidR="00834A4A" w:rsidRPr="00834A4A">
              <w:rPr>
                <w:rFonts w:ascii="Arial" w:hAnsi="Arial" w:cs="Arial"/>
                <w:sz w:val="20"/>
                <w:szCs w:val="16"/>
                <w:vertAlign w:val="superscript"/>
              </w:rPr>
              <w:instrText xml:space="preserve"> NOTEREF _Ref52263077 \h  \* MERGEFORMAT </w:instrText>
            </w:r>
            <w:r w:rsidR="00834A4A" w:rsidRPr="00834A4A">
              <w:rPr>
                <w:rFonts w:ascii="Arial" w:hAnsi="Arial" w:cs="Arial"/>
                <w:sz w:val="20"/>
                <w:szCs w:val="16"/>
                <w:vertAlign w:val="superscript"/>
              </w:rPr>
            </w:r>
            <w:r w:rsidR="00834A4A" w:rsidRPr="00834A4A">
              <w:rPr>
                <w:rFonts w:ascii="Arial" w:hAnsi="Arial" w:cs="Arial"/>
                <w:sz w:val="20"/>
                <w:szCs w:val="16"/>
                <w:vertAlign w:val="superscript"/>
              </w:rPr>
              <w:fldChar w:fldCharType="separate"/>
            </w:r>
            <w:r w:rsidR="00E277F2">
              <w:rPr>
                <w:rFonts w:ascii="Arial" w:hAnsi="Arial" w:cs="Arial"/>
                <w:sz w:val="20"/>
                <w:szCs w:val="16"/>
                <w:vertAlign w:val="superscript"/>
              </w:rPr>
              <w:t>2</w:t>
            </w:r>
            <w:r w:rsidR="00834A4A" w:rsidRPr="00834A4A">
              <w:rPr>
                <w:rFonts w:ascii="Arial" w:hAnsi="Arial" w:cs="Arial"/>
                <w:sz w:val="20"/>
                <w:szCs w:val="16"/>
                <w:vertAlign w:val="superscript"/>
              </w:rPr>
              <w:fldChar w:fldCharType="end"/>
            </w:r>
            <w:r w:rsidR="00834A4A" w:rsidRPr="00834A4A">
              <w:rPr>
                <w:rFonts w:ascii="Arial" w:hAnsi="Arial" w:cs="Arial"/>
                <w:sz w:val="20"/>
                <w:szCs w:val="16"/>
                <w:vertAlign w:val="superscript"/>
              </w:rPr>
              <w:t>,</w:t>
            </w:r>
            <w:r w:rsidR="00834A4A" w:rsidRPr="00834A4A">
              <w:rPr>
                <w:rStyle w:val="Refdenotaalfinal"/>
                <w:rFonts w:ascii="Arial" w:hAnsi="Arial" w:cs="Arial"/>
                <w:sz w:val="20"/>
                <w:szCs w:val="16"/>
              </w:rPr>
              <w:endnoteReference w:id="4"/>
            </w:r>
            <w:r w:rsidR="00121CDE">
              <w:rPr>
                <w:rFonts w:ascii="Arial" w:hAnsi="Arial" w:cs="Arial"/>
                <w:sz w:val="20"/>
                <w:szCs w:val="16"/>
                <w:vertAlign w:val="superscript"/>
              </w:rPr>
              <w:t>,</w:t>
            </w:r>
            <w:r w:rsidR="00121CDE">
              <w:rPr>
                <w:rStyle w:val="Refdenotaalfinal"/>
                <w:rFonts w:ascii="Arial" w:hAnsi="Arial" w:cs="Arial"/>
                <w:sz w:val="20"/>
                <w:szCs w:val="16"/>
              </w:rPr>
              <w:endnoteReference w:id="5"/>
            </w:r>
          </w:p>
        </w:tc>
        <w:tc>
          <w:tcPr>
            <w:tcW w:w="6804" w:type="dxa"/>
          </w:tcPr>
          <w:p w14:paraId="389914C0" w14:textId="3F11AB58" w:rsidR="00F3676C" w:rsidRPr="006C74DA" w:rsidRDefault="0055427F" w:rsidP="00367529">
            <w:pPr>
              <w:spacing w:after="120"/>
              <w:jc w:val="both"/>
              <w:rPr>
                <w:rFonts w:ascii="Arial" w:hAnsi="Arial" w:cs="Arial"/>
                <w:sz w:val="20"/>
                <w:szCs w:val="20"/>
              </w:rPr>
            </w:pPr>
            <w:r w:rsidRPr="006C74DA">
              <w:rPr>
                <w:rFonts w:ascii="Arial" w:hAnsi="Arial" w:cs="Arial"/>
                <w:sz w:val="20"/>
                <w:szCs w:val="20"/>
              </w:rPr>
              <w:t xml:space="preserve">Aunque la AME es una enfermedad rara, representa la causa genética más frecuente de mortalidad infantil. Afecta a ambos sexos por igual, con una incidencia aproximada </w:t>
            </w:r>
            <w:r w:rsidR="00121CDE">
              <w:rPr>
                <w:rFonts w:ascii="Arial" w:hAnsi="Arial" w:cs="Arial"/>
                <w:sz w:val="20"/>
                <w:szCs w:val="20"/>
              </w:rPr>
              <w:t xml:space="preserve">en España </w:t>
            </w:r>
            <w:r w:rsidRPr="006C74DA">
              <w:rPr>
                <w:rFonts w:ascii="Arial" w:hAnsi="Arial" w:cs="Arial"/>
                <w:sz w:val="20"/>
                <w:szCs w:val="20"/>
              </w:rPr>
              <w:t>de 1/10</w:t>
            </w:r>
            <w:r w:rsidR="008B4B2A" w:rsidRPr="006C74DA">
              <w:rPr>
                <w:rFonts w:ascii="Arial" w:hAnsi="Arial" w:cs="Arial"/>
                <w:sz w:val="20"/>
                <w:szCs w:val="20"/>
              </w:rPr>
              <w:t>.</w:t>
            </w:r>
            <w:r w:rsidRPr="006C74DA">
              <w:rPr>
                <w:rFonts w:ascii="Arial" w:hAnsi="Arial" w:cs="Arial"/>
                <w:sz w:val="20"/>
                <w:szCs w:val="20"/>
              </w:rPr>
              <w:t>000 nacidos vivos, y una frecuencia de portadores entre 1/40 a 1/60.</w:t>
            </w:r>
            <w:r w:rsidR="00367529">
              <w:rPr>
                <w:rFonts w:ascii="Arial" w:hAnsi="Arial" w:cs="Arial"/>
                <w:sz w:val="20"/>
                <w:szCs w:val="20"/>
              </w:rPr>
              <w:t xml:space="preserve"> </w:t>
            </w:r>
            <w:r w:rsidR="00C2105B" w:rsidRPr="006C74DA">
              <w:rPr>
                <w:rFonts w:ascii="Arial" w:hAnsi="Arial" w:cs="Arial"/>
                <w:sz w:val="20"/>
                <w:szCs w:val="20"/>
              </w:rPr>
              <w:t>La Fundación Atrofia Muscular Espinal (FundAME) estima que existen 1.500 familias que tienen o han tenido afectados por AME en España.</w:t>
            </w:r>
          </w:p>
        </w:tc>
      </w:tr>
      <w:tr w:rsidR="00AC7E45" w14:paraId="5BD62F42" w14:textId="77777777" w:rsidTr="009C07C8">
        <w:tc>
          <w:tcPr>
            <w:tcW w:w="2127" w:type="dxa"/>
            <w:shd w:val="clear" w:color="auto" w:fill="E6E6E6"/>
          </w:tcPr>
          <w:p w14:paraId="047B046E" w14:textId="1DAF8AAA" w:rsidR="00AC7E45" w:rsidRPr="00FC7E58" w:rsidRDefault="00AC7E45" w:rsidP="001F6887">
            <w:pPr>
              <w:rPr>
                <w:rFonts w:ascii="Arial" w:hAnsi="Arial" w:cs="Arial"/>
                <w:sz w:val="20"/>
                <w:szCs w:val="16"/>
              </w:rPr>
            </w:pPr>
            <w:r w:rsidRPr="00FC7E58">
              <w:rPr>
                <w:rFonts w:ascii="Arial" w:hAnsi="Arial" w:cs="Arial"/>
                <w:sz w:val="20"/>
                <w:szCs w:val="16"/>
              </w:rPr>
              <w:t>Evolución / Pronóstico</w:t>
            </w:r>
            <w:r w:rsidR="000774F9">
              <w:rPr>
                <w:rFonts w:ascii="Arial" w:hAnsi="Arial" w:cs="Arial"/>
                <w:sz w:val="20"/>
                <w:szCs w:val="16"/>
              </w:rPr>
              <w:t xml:space="preserve">      </w:t>
            </w:r>
            <w:r w:rsidR="000774F9" w:rsidRPr="000774F9">
              <w:rPr>
                <w:rFonts w:ascii="Arial" w:hAnsi="Arial" w:cs="Arial"/>
                <w:sz w:val="20"/>
                <w:szCs w:val="16"/>
                <w:vertAlign w:val="superscript"/>
              </w:rPr>
              <w:fldChar w:fldCharType="begin"/>
            </w:r>
            <w:r w:rsidR="000774F9" w:rsidRPr="000774F9">
              <w:rPr>
                <w:rFonts w:ascii="Arial" w:hAnsi="Arial" w:cs="Arial"/>
                <w:sz w:val="20"/>
                <w:szCs w:val="16"/>
                <w:vertAlign w:val="superscript"/>
              </w:rPr>
              <w:instrText xml:space="preserve"> NOTEREF _Ref52263077 \h </w:instrText>
            </w:r>
            <w:r w:rsidR="000774F9">
              <w:rPr>
                <w:rFonts w:ascii="Arial" w:hAnsi="Arial" w:cs="Arial"/>
                <w:sz w:val="20"/>
                <w:szCs w:val="16"/>
                <w:vertAlign w:val="superscript"/>
              </w:rPr>
              <w:instrText xml:space="preserve"> \* MERGEFORMAT </w:instrText>
            </w:r>
            <w:r w:rsidR="000774F9" w:rsidRPr="000774F9">
              <w:rPr>
                <w:rFonts w:ascii="Arial" w:hAnsi="Arial" w:cs="Arial"/>
                <w:sz w:val="20"/>
                <w:szCs w:val="16"/>
                <w:vertAlign w:val="superscript"/>
              </w:rPr>
            </w:r>
            <w:r w:rsidR="000774F9" w:rsidRPr="000774F9">
              <w:rPr>
                <w:rFonts w:ascii="Arial" w:hAnsi="Arial" w:cs="Arial"/>
                <w:sz w:val="20"/>
                <w:szCs w:val="16"/>
                <w:vertAlign w:val="superscript"/>
              </w:rPr>
              <w:fldChar w:fldCharType="separate"/>
            </w:r>
            <w:r w:rsidR="00E277F2">
              <w:rPr>
                <w:rFonts w:ascii="Arial" w:hAnsi="Arial" w:cs="Arial"/>
                <w:sz w:val="20"/>
                <w:szCs w:val="16"/>
                <w:vertAlign w:val="superscript"/>
              </w:rPr>
              <w:t>2</w:t>
            </w:r>
            <w:r w:rsidR="000774F9" w:rsidRPr="000774F9">
              <w:rPr>
                <w:rFonts w:ascii="Arial" w:hAnsi="Arial" w:cs="Arial"/>
                <w:sz w:val="20"/>
                <w:szCs w:val="16"/>
                <w:vertAlign w:val="superscript"/>
              </w:rPr>
              <w:fldChar w:fldCharType="end"/>
            </w:r>
            <w:r w:rsidR="000774F9" w:rsidRPr="000774F9">
              <w:rPr>
                <w:rFonts w:ascii="Arial" w:hAnsi="Arial" w:cs="Arial"/>
                <w:sz w:val="20"/>
                <w:szCs w:val="16"/>
                <w:vertAlign w:val="superscript"/>
              </w:rPr>
              <w:t>,</w:t>
            </w:r>
            <w:r w:rsidR="000774F9" w:rsidRPr="000774F9">
              <w:rPr>
                <w:rFonts w:ascii="Arial" w:hAnsi="Arial" w:cs="Arial"/>
                <w:sz w:val="20"/>
                <w:szCs w:val="16"/>
                <w:vertAlign w:val="superscript"/>
              </w:rPr>
              <w:fldChar w:fldCharType="begin"/>
            </w:r>
            <w:r w:rsidR="000774F9" w:rsidRPr="000774F9">
              <w:rPr>
                <w:rFonts w:ascii="Arial" w:hAnsi="Arial" w:cs="Arial"/>
                <w:sz w:val="20"/>
                <w:szCs w:val="16"/>
                <w:vertAlign w:val="superscript"/>
              </w:rPr>
              <w:instrText xml:space="preserve"> NOTEREF _Ref52262203 \h </w:instrText>
            </w:r>
            <w:r w:rsidR="000774F9">
              <w:rPr>
                <w:rFonts w:ascii="Arial" w:hAnsi="Arial" w:cs="Arial"/>
                <w:sz w:val="20"/>
                <w:szCs w:val="16"/>
                <w:vertAlign w:val="superscript"/>
              </w:rPr>
              <w:instrText xml:space="preserve"> \* MERGEFORMAT </w:instrText>
            </w:r>
            <w:r w:rsidR="000774F9" w:rsidRPr="000774F9">
              <w:rPr>
                <w:rFonts w:ascii="Arial" w:hAnsi="Arial" w:cs="Arial"/>
                <w:sz w:val="20"/>
                <w:szCs w:val="16"/>
                <w:vertAlign w:val="superscript"/>
              </w:rPr>
            </w:r>
            <w:r w:rsidR="000774F9" w:rsidRPr="000774F9">
              <w:rPr>
                <w:rFonts w:ascii="Arial" w:hAnsi="Arial" w:cs="Arial"/>
                <w:sz w:val="20"/>
                <w:szCs w:val="16"/>
                <w:vertAlign w:val="superscript"/>
              </w:rPr>
              <w:fldChar w:fldCharType="separate"/>
            </w:r>
            <w:r w:rsidR="00E277F2">
              <w:rPr>
                <w:rFonts w:ascii="Arial" w:hAnsi="Arial" w:cs="Arial"/>
                <w:sz w:val="20"/>
                <w:szCs w:val="16"/>
                <w:vertAlign w:val="superscript"/>
              </w:rPr>
              <w:t>3</w:t>
            </w:r>
            <w:r w:rsidR="000774F9" w:rsidRPr="000774F9">
              <w:rPr>
                <w:rFonts w:ascii="Arial" w:hAnsi="Arial" w:cs="Arial"/>
                <w:sz w:val="20"/>
                <w:szCs w:val="16"/>
                <w:vertAlign w:val="superscript"/>
              </w:rPr>
              <w:fldChar w:fldCharType="end"/>
            </w:r>
          </w:p>
        </w:tc>
        <w:tc>
          <w:tcPr>
            <w:tcW w:w="6804" w:type="dxa"/>
          </w:tcPr>
          <w:p w14:paraId="7890EB37" w14:textId="0C666C50" w:rsidR="00AC7E45" w:rsidRPr="006C74DA" w:rsidRDefault="00E277F2" w:rsidP="00367529">
            <w:pPr>
              <w:jc w:val="both"/>
              <w:rPr>
                <w:rFonts w:ascii="Arial" w:hAnsi="Arial" w:cs="Arial"/>
                <w:sz w:val="20"/>
                <w:szCs w:val="20"/>
              </w:rPr>
            </w:pPr>
            <w:r w:rsidRPr="00E277F2">
              <w:rPr>
                <w:rFonts w:ascii="Arial" w:hAnsi="Arial" w:cs="Arial"/>
                <w:sz w:val="20"/>
                <w:szCs w:val="20"/>
              </w:rPr>
              <w:t xml:space="preserve">La enfermedad aparece entre los 6 y los 18 meses. En general, los niños afectados tienen dificultades para sentarse de forma independiente y son incapaces de mantenerse en pie y de caminar al año. </w:t>
            </w:r>
            <w:r>
              <w:rPr>
                <w:rFonts w:ascii="Arial" w:hAnsi="Arial" w:cs="Arial"/>
                <w:sz w:val="20"/>
                <w:szCs w:val="20"/>
              </w:rPr>
              <w:t>El pronóstico v</w:t>
            </w:r>
            <w:r w:rsidR="00582A66" w:rsidRPr="006C74DA">
              <w:rPr>
                <w:rFonts w:ascii="Arial" w:hAnsi="Arial" w:cs="Arial"/>
                <w:sz w:val="20"/>
                <w:szCs w:val="20"/>
              </w:rPr>
              <w:t xml:space="preserve">iene influenciado por el tipo de AME </w:t>
            </w:r>
            <w:r w:rsidR="006E728E" w:rsidRPr="006C74DA">
              <w:rPr>
                <w:rFonts w:ascii="Arial" w:hAnsi="Arial" w:cs="Arial"/>
                <w:sz w:val="20"/>
                <w:szCs w:val="20"/>
              </w:rPr>
              <w:t>ya que, en las formas clínicas que aparecen en la edad adulta, apenas hay compromiso vital mientras que, en las formas que debutan antes de los 6 primeros meses de vida, la probabilidad de fallecer antes de los 2 años de vida es del 80%.</w:t>
            </w:r>
          </w:p>
          <w:p w14:paraId="789DE139" w14:textId="297602AF" w:rsidR="00F3676C" w:rsidRPr="006C74DA" w:rsidRDefault="006E728E" w:rsidP="00A870AC">
            <w:pPr>
              <w:spacing w:after="120"/>
              <w:jc w:val="both"/>
              <w:rPr>
                <w:rFonts w:ascii="Arial" w:hAnsi="Arial" w:cs="Arial"/>
                <w:sz w:val="20"/>
                <w:szCs w:val="20"/>
              </w:rPr>
            </w:pPr>
            <w:r w:rsidRPr="006C74DA">
              <w:rPr>
                <w:rFonts w:ascii="Arial" w:hAnsi="Arial" w:cs="Arial"/>
                <w:sz w:val="20"/>
                <w:szCs w:val="20"/>
              </w:rPr>
              <w:t xml:space="preserve">En las formas intermedias hay más </w:t>
            </w:r>
            <w:r w:rsidR="00C2105B" w:rsidRPr="006C74DA">
              <w:rPr>
                <w:rFonts w:ascii="Arial" w:hAnsi="Arial" w:cs="Arial"/>
                <w:sz w:val="20"/>
                <w:szCs w:val="20"/>
              </w:rPr>
              <w:t>variabilidad,</w:t>
            </w:r>
            <w:r w:rsidRPr="006C74DA">
              <w:rPr>
                <w:rFonts w:ascii="Arial" w:hAnsi="Arial" w:cs="Arial"/>
                <w:sz w:val="20"/>
                <w:szCs w:val="20"/>
              </w:rPr>
              <w:t xml:space="preserve"> pero cerca de dos tercios de los pa</w:t>
            </w:r>
            <w:r w:rsidR="00A870AC">
              <w:rPr>
                <w:rFonts w:ascii="Arial" w:hAnsi="Arial" w:cs="Arial"/>
                <w:sz w:val="20"/>
                <w:szCs w:val="20"/>
              </w:rPr>
              <w:t>cientes alcanzan la edad adulta. Solo en</w:t>
            </w:r>
            <w:r w:rsidRPr="006C74DA">
              <w:rPr>
                <w:rFonts w:ascii="Arial" w:hAnsi="Arial" w:cs="Arial"/>
                <w:sz w:val="20"/>
                <w:szCs w:val="20"/>
              </w:rPr>
              <w:t xml:space="preserve"> algunos casos</w:t>
            </w:r>
            <w:r w:rsidR="00A870AC">
              <w:rPr>
                <w:rFonts w:ascii="Arial" w:hAnsi="Arial" w:cs="Arial"/>
                <w:sz w:val="20"/>
                <w:szCs w:val="20"/>
              </w:rPr>
              <w:t xml:space="preserve"> (20%)</w:t>
            </w:r>
            <w:r w:rsidRPr="006C74DA">
              <w:rPr>
                <w:rFonts w:ascii="Arial" w:hAnsi="Arial" w:cs="Arial"/>
                <w:sz w:val="20"/>
                <w:szCs w:val="20"/>
              </w:rPr>
              <w:t xml:space="preserve"> no se compromete la vida del </w:t>
            </w:r>
            <w:r w:rsidR="00C2105B" w:rsidRPr="006C74DA">
              <w:rPr>
                <w:rFonts w:ascii="Arial" w:hAnsi="Arial" w:cs="Arial"/>
                <w:sz w:val="20"/>
                <w:szCs w:val="20"/>
              </w:rPr>
              <w:t>paciente,</w:t>
            </w:r>
            <w:r w:rsidRPr="006C74DA">
              <w:rPr>
                <w:rFonts w:ascii="Arial" w:hAnsi="Arial" w:cs="Arial"/>
                <w:sz w:val="20"/>
                <w:szCs w:val="20"/>
              </w:rPr>
              <w:t xml:space="preserve"> </w:t>
            </w:r>
            <w:r w:rsidR="00A870AC">
              <w:rPr>
                <w:rFonts w:ascii="Arial" w:hAnsi="Arial" w:cs="Arial"/>
                <w:sz w:val="20"/>
                <w:szCs w:val="20"/>
              </w:rPr>
              <w:t xml:space="preserve">aunque en todos los casos </w:t>
            </w:r>
            <w:r w:rsidR="00A870AC" w:rsidRPr="00A870AC">
              <w:rPr>
                <w:rFonts w:ascii="Arial" w:hAnsi="Arial" w:cs="Arial"/>
                <w:sz w:val="20"/>
                <w:szCs w:val="20"/>
              </w:rPr>
              <w:t xml:space="preserve">su calidad </w:t>
            </w:r>
            <w:r w:rsidR="00A870AC" w:rsidRPr="00A870AC">
              <w:rPr>
                <w:rFonts w:ascii="Arial" w:hAnsi="Arial" w:cs="Arial"/>
                <w:sz w:val="20"/>
                <w:szCs w:val="20"/>
              </w:rPr>
              <w:lastRenderedPageBreak/>
              <w:t xml:space="preserve">de vida </w:t>
            </w:r>
            <w:r w:rsidR="00A870AC">
              <w:rPr>
                <w:rFonts w:ascii="Arial" w:hAnsi="Arial" w:cs="Arial"/>
                <w:sz w:val="20"/>
                <w:szCs w:val="20"/>
              </w:rPr>
              <w:t xml:space="preserve">se </w:t>
            </w:r>
            <w:r w:rsidR="00A870AC" w:rsidRPr="00A870AC">
              <w:rPr>
                <w:rFonts w:ascii="Arial" w:hAnsi="Arial" w:cs="Arial"/>
                <w:sz w:val="20"/>
                <w:szCs w:val="20"/>
              </w:rPr>
              <w:t>ve empeorada dramáticamente debido a la condición degenerativa y discapacitante de la enfermedad</w:t>
            </w:r>
            <w:r w:rsidRPr="006C74DA">
              <w:rPr>
                <w:rFonts w:ascii="Arial" w:hAnsi="Arial" w:cs="Arial"/>
                <w:sz w:val="20"/>
                <w:szCs w:val="20"/>
              </w:rPr>
              <w:t>.</w:t>
            </w:r>
            <w:r w:rsidR="00E277F2">
              <w:t xml:space="preserve"> </w:t>
            </w:r>
            <w:r w:rsidR="00E277F2" w:rsidRPr="00E277F2">
              <w:rPr>
                <w:rFonts w:ascii="Arial" w:hAnsi="Arial" w:cs="Arial"/>
                <w:sz w:val="20"/>
                <w:szCs w:val="20"/>
              </w:rPr>
              <w:t>Es común la insuficiencia respiratoria, que requiere soporte ventilatorio, y la escoliosis, que suele precisar corrección quirúrgica.</w:t>
            </w:r>
          </w:p>
        </w:tc>
      </w:tr>
      <w:tr w:rsidR="00AC7E45" w14:paraId="7CB7F385" w14:textId="77777777" w:rsidTr="009C07C8">
        <w:tc>
          <w:tcPr>
            <w:tcW w:w="2127" w:type="dxa"/>
            <w:shd w:val="clear" w:color="auto" w:fill="E6E6E6"/>
          </w:tcPr>
          <w:p w14:paraId="42DFD204" w14:textId="2857B32B" w:rsidR="00AC7E45" w:rsidRPr="00FC7E58" w:rsidRDefault="00AC7E45" w:rsidP="001F6887">
            <w:pPr>
              <w:rPr>
                <w:rFonts w:ascii="Arial" w:hAnsi="Arial" w:cs="Arial"/>
                <w:sz w:val="20"/>
                <w:szCs w:val="16"/>
                <w:highlight w:val="red"/>
              </w:rPr>
            </w:pPr>
            <w:r w:rsidRPr="00FC7E58">
              <w:rPr>
                <w:rFonts w:ascii="Arial" w:hAnsi="Arial" w:cs="Arial"/>
                <w:sz w:val="20"/>
                <w:szCs w:val="16"/>
              </w:rPr>
              <w:lastRenderedPageBreak/>
              <w:t>Grados de gravedad / Estadiaje</w:t>
            </w:r>
            <w:r w:rsidR="000774F9" w:rsidRPr="000774F9">
              <w:rPr>
                <w:rFonts w:ascii="Arial" w:hAnsi="Arial" w:cs="Arial"/>
                <w:sz w:val="20"/>
                <w:szCs w:val="16"/>
                <w:vertAlign w:val="superscript"/>
              </w:rPr>
              <w:fldChar w:fldCharType="begin"/>
            </w:r>
            <w:r w:rsidR="000774F9" w:rsidRPr="000774F9">
              <w:rPr>
                <w:rFonts w:ascii="Arial" w:hAnsi="Arial" w:cs="Arial"/>
                <w:sz w:val="20"/>
                <w:szCs w:val="16"/>
                <w:vertAlign w:val="superscript"/>
              </w:rPr>
              <w:instrText xml:space="preserve"> NOTEREF _Ref52263077 \h </w:instrText>
            </w:r>
            <w:r w:rsidR="000774F9">
              <w:rPr>
                <w:rFonts w:ascii="Arial" w:hAnsi="Arial" w:cs="Arial"/>
                <w:sz w:val="20"/>
                <w:szCs w:val="16"/>
                <w:vertAlign w:val="superscript"/>
              </w:rPr>
              <w:instrText xml:space="preserve"> \* MERGEFORMAT </w:instrText>
            </w:r>
            <w:r w:rsidR="000774F9" w:rsidRPr="000774F9">
              <w:rPr>
                <w:rFonts w:ascii="Arial" w:hAnsi="Arial" w:cs="Arial"/>
                <w:sz w:val="20"/>
                <w:szCs w:val="16"/>
                <w:vertAlign w:val="superscript"/>
              </w:rPr>
            </w:r>
            <w:r w:rsidR="000774F9" w:rsidRPr="000774F9">
              <w:rPr>
                <w:rFonts w:ascii="Arial" w:hAnsi="Arial" w:cs="Arial"/>
                <w:sz w:val="20"/>
                <w:szCs w:val="16"/>
                <w:vertAlign w:val="superscript"/>
              </w:rPr>
              <w:fldChar w:fldCharType="separate"/>
            </w:r>
            <w:r w:rsidR="00E277F2">
              <w:rPr>
                <w:rFonts w:ascii="Arial" w:hAnsi="Arial" w:cs="Arial"/>
                <w:sz w:val="20"/>
                <w:szCs w:val="16"/>
                <w:vertAlign w:val="superscript"/>
              </w:rPr>
              <w:t>2</w:t>
            </w:r>
            <w:r w:rsidR="000774F9" w:rsidRPr="000774F9">
              <w:rPr>
                <w:rFonts w:ascii="Arial" w:hAnsi="Arial" w:cs="Arial"/>
                <w:sz w:val="20"/>
                <w:szCs w:val="16"/>
                <w:vertAlign w:val="superscript"/>
              </w:rPr>
              <w:fldChar w:fldCharType="end"/>
            </w:r>
            <w:r w:rsidR="000774F9" w:rsidRPr="000774F9">
              <w:rPr>
                <w:rFonts w:ascii="Arial" w:hAnsi="Arial" w:cs="Arial"/>
                <w:sz w:val="20"/>
                <w:szCs w:val="16"/>
                <w:vertAlign w:val="superscript"/>
              </w:rPr>
              <w:t>,</w:t>
            </w:r>
            <w:r w:rsidR="000774F9" w:rsidRPr="000774F9">
              <w:rPr>
                <w:rFonts w:ascii="Arial" w:hAnsi="Arial" w:cs="Arial"/>
                <w:sz w:val="20"/>
                <w:szCs w:val="16"/>
                <w:vertAlign w:val="superscript"/>
              </w:rPr>
              <w:fldChar w:fldCharType="begin"/>
            </w:r>
            <w:r w:rsidR="000774F9" w:rsidRPr="000774F9">
              <w:rPr>
                <w:rFonts w:ascii="Arial" w:hAnsi="Arial" w:cs="Arial"/>
                <w:sz w:val="20"/>
                <w:szCs w:val="16"/>
                <w:vertAlign w:val="superscript"/>
              </w:rPr>
              <w:instrText xml:space="preserve"> NOTEREF _Ref52262203 \h </w:instrText>
            </w:r>
            <w:r w:rsidR="000774F9">
              <w:rPr>
                <w:rFonts w:ascii="Arial" w:hAnsi="Arial" w:cs="Arial"/>
                <w:sz w:val="20"/>
                <w:szCs w:val="16"/>
                <w:vertAlign w:val="superscript"/>
              </w:rPr>
              <w:instrText xml:space="preserve"> \* MERGEFORMAT </w:instrText>
            </w:r>
            <w:r w:rsidR="000774F9" w:rsidRPr="000774F9">
              <w:rPr>
                <w:rFonts w:ascii="Arial" w:hAnsi="Arial" w:cs="Arial"/>
                <w:sz w:val="20"/>
                <w:szCs w:val="16"/>
                <w:vertAlign w:val="superscript"/>
              </w:rPr>
            </w:r>
            <w:r w:rsidR="000774F9" w:rsidRPr="000774F9">
              <w:rPr>
                <w:rFonts w:ascii="Arial" w:hAnsi="Arial" w:cs="Arial"/>
                <w:sz w:val="20"/>
                <w:szCs w:val="16"/>
                <w:vertAlign w:val="superscript"/>
              </w:rPr>
              <w:fldChar w:fldCharType="separate"/>
            </w:r>
            <w:r w:rsidR="00E277F2">
              <w:rPr>
                <w:rFonts w:ascii="Arial" w:hAnsi="Arial" w:cs="Arial"/>
                <w:sz w:val="20"/>
                <w:szCs w:val="16"/>
                <w:vertAlign w:val="superscript"/>
              </w:rPr>
              <w:t>3</w:t>
            </w:r>
            <w:r w:rsidR="000774F9" w:rsidRPr="000774F9">
              <w:rPr>
                <w:rFonts w:ascii="Arial" w:hAnsi="Arial" w:cs="Arial"/>
                <w:sz w:val="20"/>
                <w:szCs w:val="16"/>
                <w:vertAlign w:val="superscript"/>
              </w:rPr>
              <w:fldChar w:fldCharType="end"/>
            </w:r>
          </w:p>
        </w:tc>
        <w:tc>
          <w:tcPr>
            <w:tcW w:w="6804" w:type="dxa"/>
          </w:tcPr>
          <w:p w14:paraId="5EE85F79" w14:textId="5A119518" w:rsidR="00AC7E45" w:rsidRDefault="00A870AC" w:rsidP="00FA13B7">
            <w:pPr>
              <w:spacing w:after="120"/>
              <w:jc w:val="both"/>
              <w:rPr>
                <w:rFonts w:ascii="Arial" w:hAnsi="Arial" w:cs="Arial"/>
                <w:sz w:val="20"/>
                <w:szCs w:val="20"/>
              </w:rPr>
            </w:pPr>
            <w:r w:rsidRPr="00A870AC">
              <w:rPr>
                <w:rFonts w:ascii="Arial" w:hAnsi="Arial" w:cs="Arial"/>
                <w:sz w:val="20"/>
                <w:szCs w:val="20"/>
              </w:rPr>
              <w:t>La AME se clasifica convencionalmente en cuatro grandes grupos, en función de la gravedad de los síntomas, la edad de aparición y la evolución, con un fenotipo adicional (tipo 0) para describir las formas graves de atrofia muscular espinal de inicio prenatal. Esta clasificación no es aplicable a los pacientes tratados presintomáticamente.</w:t>
            </w:r>
          </w:p>
          <w:p w14:paraId="208D1D9D" w14:textId="66F112C9" w:rsidR="009C07C8" w:rsidRDefault="009C07C8" w:rsidP="009C07C8">
            <w:pPr>
              <w:pStyle w:val="Prrafodelista"/>
              <w:numPr>
                <w:ilvl w:val="0"/>
                <w:numId w:val="5"/>
              </w:numPr>
              <w:spacing w:after="120"/>
              <w:jc w:val="both"/>
              <w:rPr>
                <w:rFonts w:ascii="Arial" w:hAnsi="Arial" w:cs="Arial"/>
                <w:sz w:val="20"/>
                <w:szCs w:val="20"/>
              </w:rPr>
            </w:pPr>
            <w:r w:rsidRPr="009C07C8">
              <w:rPr>
                <w:rFonts w:ascii="Arial" w:hAnsi="Arial" w:cs="Arial"/>
                <w:sz w:val="20"/>
                <w:szCs w:val="20"/>
                <w:u w:val="single"/>
              </w:rPr>
              <w:t>El tipo 0</w:t>
            </w:r>
            <w:r>
              <w:rPr>
                <w:rFonts w:ascii="Arial" w:hAnsi="Arial" w:cs="Arial"/>
                <w:sz w:val="20"/>
                <w:szCs w:val="20"/>
              </w:rPr>
              <w:t xml:space="preserve"> es congénito, prenatal y </w:t>
            </w:r>
            <w:r w:rsidRPr="00B2691F">
              <w:rPr>
                <w:rFonts w:ascii="Arial" w:hAnsi="Arial" w:cs="Arial"/>
                <w:sz w:val="20"/>
                <w:szCs w:val="20"/>
              </w:rPr>
              <w:t xml:space="preserve">siempre </w:t>
            </w:r>
            <w:r>
              <w:rPr>
                <w:rFonts w:ascii="Arial" w:hAnsi="Arial" w:cs="Arial"/>
                <w:sz w:val="20"/>
                <w:szCs w:val="20"/>
              </w:rPr>
              <w:t xml:space="preserve">se manifiesta </w:t>
            </w:r>
            <w:r w:rsidRPr="00B2691F">
              <w:rPr>
                <w:rFonts w:ascii="Arial" w:hAnsi="Arial" w:cs="Arial"/>
                <w:sz w:val="20"/>
                <w:szCs w:val="20"/>
              </w:rPr>
              <w:t xml:space="preserve">con </w:t>
            </w:r>
            <w:r w:rsidRPr="00B2691F">
              <w:rPr>
                <w:rFonts w:ascii="Arial" w:hAnsi="Arial" w:cs="Arial"/>
                <w:b/>
                <w:sz w:val="20"/>
                <w:szCs w:val="20"/>
              </w:rPr>
              <w:t xml:space="preserve">una copia </w:t>
            </w:r>
            <w:r w:rsidRPr="00B2691F">
              <w:rPr>
                <w:rFonts w:ascii="Arial" w:hAnsi="Arial" w:cs="Arial"/>
                <w:sz w:val="20"/>
                <w:szCs w:val="20"/>
              </w:rPr>
              <w:t>de SMN2</w:t>
            </w:r>
            <w:r>
              <w:rPr>
                <w:rFonts w:ascii="Arial" w:hAnsi="Arial" w:cs="Arial"/>
                <w:sz w:val="20"/>
                <w:szCs w:val="20"/>
              </w:rPr>
              <w:t>. Estos pacientes presentan</w:t>
            </w:r>
            <w:r w:rsidRPr="00B2691F">
              <w:rPr>
                <w:rFonts w:ascii="Arial" w:hAnsi="Arial" w:cs="Arial"/>
                <w:sz w:val="20"/>
                <w:szCs w:val="20"/>
              </w:rPr>
              <w:t xml:space="preserve"> cardiopatía, artrogriposis, necesidad de asistencia v</w:t>
            </w:r>
            <w:r>
              <w:rPr>
                <w:rFonts w:ascii="Arial" w:hAnsi="Arial" w:cs="Arial"/>
                <w:sz w:val="20"/>
                <w:szCs w:val="20"/>
              </w:rPr>
              <w:t>entilatoria desde el nacimiento y tienen una</w:t>
            </w:r>
            <w:r w:rsidRPr="00B2691F">
              <w:rPr>
                <w:rFonts w:ascii="Arial" w:hAnsi="Arial" w:cs="Arial"/>
                <w:sz w:val="20"/>
                <w:szCs w:val="20"/>
              </w:rPr>
              <w:t xml:space="preserve"> supervivencia menor de dos meses,</w:t>
            </w:r>
            <w:r>
              <w:rPr>
                <w:rFonts w:ascii="Arial" w:hAnsi="Arial" w:cs="Arial"/>
                <w:sz w:val="20"/>
                <w:szCs w:val="20"/>
              </w:rPr>
              <w:t xml:space="preserve"> con</w:t>
            </w:r>
            <w:r w:rsidRPr="00B2691F">
              <w:rPr>
                <w:rFonts w:ascii="Arial" w:hAnsi="Arial" w:cs="Arial"/>
                <w:sz w:val="20"/>
                <w:szCs w:val="20"/>
              </w:rPr>
              <w:t xml:space="preserve"> respuesta pobre al tratamiento</w:t>
            </w:r>
            <w:r>
              <w:rPr>
                <w:rFonts w:ascii="Arial" w:hAnsi="Arial" w:cs="Arial"/>
                <w:sz w:val="20"/>
                <w:szCs w:val="20"/>
              </w:rPr>
              <w:t>.</w:t>
            </w:r>
          </w:p>
          <w:p w14:paraId="17870EA2" w14:textId="5930E158" w:rsidR="00B2691F" w:rsidRDefault="0055427F" w:rsidP="00B2691F">
            <w:pPr>
              <w:pStyle w:val="Prrafodelista"/>
              <w:numPr>
                <w:ilvl w:val="0"/>
                <w:numId w:val="5"/>
              </w:numPr>
              <w:spacing w:after="120"/>
              <w:jc w:val="both"/>
              <w:rPr>
                <w:rFonts w:ascii="Arial" w:hAnsi="Arial" w:cs="Arial"/>
                <w:sz w:val="20"/>
                <w:szCs w:val="20"/>
              </w:rPr>
            </w:pPr>
            <w:r w:rsidRPr="006C74DA">
              <w:rPr>
                <w:rFonts w:ascii="Arial" w:hAnsi="Arial" w:cs="Arial"/>
                <w:sz w:val="20"/>
                <w:szCs w:val="20"/>
                <w:u w:val="single"/>
              </w:rPr>
              <w:t>Tipo I o F</w:t>
            </w:r>
            <w:r w:rsidR="000774F9">
              <w:rPr>
                <w:rFonts w:ascii="Arial" w:hAnsi="Arial" w:cs="Arial"/>
                <w:sz w:val="20"/>
                <w:szCs w:val="20"/>
                <w:u w:val="single"/>
              </w:rPr>
              <w:t>orma infantil (50-60% de casos)</w:t>
            </w:r>
            <w:r w:rsidR="000774F9" w:rsidRPr="000774F9">
              <w:rPr>
                <w:rFonts w:ascii="Arial" w:hAnsi="Arial" w:cs="Arial"/>
                <w:sz w:val="20"/>
                <w:szCs w:val="20"/>
              </w:rPr>
              <w:t>.</w:t>
            </w:r>
            <w:r w:rsidRPr="006C74DA">
              <w:rPr>
                <w:rFonts w:ascii="Arial" w:hAnsi="Arial" w:cs="Arial"/>
                <w:sz w:val="20"/>
                <w:szCs w:val="20"/>
              </w:rPr>
              <w:t xml:space="preserve"> Se manifiesta durante los primeros seis meses de vida. Los pacientes suelen </w:t>
            </w:r>
            <w:r w:rsidRPr="00B2691F">
              <w:rPr>
                <w:rFonts w:ascii="Arial" w:hAnsi="Arial" w:cs="Arial"/>
                <w:b/>
                <w:sz w:val="20"/>
                <w:szCs w:val="20"/>
              </w:rPr>
              <w:t>tener 2</w:t>
            </w:r>
            <w:r w:rsidR="00B2691F">
              <w:rPr>
                <w:rFonts w:ascii="Arial" w:hAnsi="Arial" w:cs="Arial"/>
                <w:sz w:val="20"/>
                <w:szCs w:val="20"/>
              </w:rPr>
              <w:t xml:space="preserve"> </w:t>
            </w:r>
            <w:r w:rsidRPr="006C74DA">
              <w:rPr>
                <w:rFonts w:ascii="Arial" w:hAnsi="Arial" w:cs="Arial"/>
                <w:sz w:val="20"/>
                <w:szCs w:val="20"/>
              </w:rPr>
              <w:t xml:space="preserve"> </w:t>
            </w:r>
            <w:r w:rsidRPr="00B2691F">
              <w:rPr>
                <w:rFonts w:ascii="Arial" w:hAnsi="Arial" w:cs="Arial"/>
                <w:b/>
                <w:sz w:val="20"/>
                <w:szCs w:val="20"/>
              </w:rPr>
              <w:t>copias</w:t>
            </w:r>
            <w:r w:rsidRPr="006C74DA">
              <w:rPr>
                <w:rFonts w:ascii="Arial" w:hAnsi="Arial" w:cs="Arial"/>
                <w:sz w:val="20"/>
                <w:szCs w:val="20"/>
              </w:rPr>
              <w:t xml:space="preserve"> del gen SMN2</w:t>
            </w:r>
            <w:r w:rsidR="00B2691F">
              <w:rPr>
                <w:rFonts w:ascii="Arial" w:hAnsi="Arial" w:cs="Arial"/>
                <w:sz w:val="20"/>
                <w:szCs w:val="20"/>
              </w:rPr>
              <w:t xml:space="preserve"> (aunque en algunos casos también pueden tener 1 o 3)</w:t>
            </w:r>
            <w:r w:rsidRPr="006C74DA">
              <w:rPr>
                <w:rFonts w:ascii="Arial" w:hAnsi="Arial" w:cs="Arial"/>
                <w:sz w:val="20"/>
                <w:szCs w:val="20"/>
              </w:rPr>
              <w:t xml:space="preserve">. Los niños presentan debilidad muscular, arreflexia e hipotonía generalizada. No hay compromiso sensitivo aparente y la debilidad es tal que algunos no llegan a sostener la cabeza y nunca consiguen la sedestación pasiva. Suelen fallecer antes de cumplir 2 años en más del 80% de los casos, la mayoría como consecuencia de complicaciones respiratorias (insuficiencia respiratoria y neumonía por aspiración). El tipo I se divide a su vez en tipo IA, IB y IC en función del tiempo de aparición de los síntomas que en general se correlaciona con el número de copias de SMN2. </w:t>
            </w:r>
            <w:r w:rsidR="00B2691F" w:rsidRPr="00B2691F">
              <w:rPr>
                <w:rFonts w:ascii="Arial" w:hAnsi="Arial" w:cs="Arial"/>
                <w:sz w:val="20"/>
                <w:szCs w:val="20"/>
              </w:rPr>
              <w:t>El tipo 1A, se presenta en las primeras dos semanas de vida con hipotonía, y se caracteriza por no alcanza</w:t>
            </w:r>
            <w:r w:rsidR="00B2691F">
              <w:rPr>
                <w:rFonts w:ascii="Arial" w:hAnsi="Arial" w:cs="Arial"/>
                <w:sz w:val="20"/>
                <w:szCs w:val="20"/>
              </w:rPr>
              <w:t xml:space="preserve">r el control cefálico. </w:t>
            </w:r>
          </w:p>
          <w:p w14:paraId="3B683D11" w14:textId="43B57C18" w:rsidR="0055427F" w:rsidRDefault="0055427F" w:rsidP="00FA13B7">
            <w:pPr>
              <w:pStyle w:val="Prrafodelista"/>
              <w:numPr>
                <w:ilvl w:val="0"/>
                <w:numId w:val="5"/>
              </w:numPr>
              <w:spacing w:after="120"/>
              <w:jc w:val="both"/>
              <w:rPr>
                <w:rFonts w:ascii="Arial" w:hAnsi="Arial" w:cs="Arial"/>
                <w:sz w:val="20"/>
                <w:szCs w:val="20"/>
              </w:rPr>
            </w:pPr>
            <w:r w:rsidRPr="006C74DA">
              <w:rPr>
                <w:rFonts w:ascii="Arial" w:hAnsi="Arial" w:cs="Arial"/>
                <w:sz w:val="20"/>
                <w:szCs w:val="20"/>
                <w:u w:val="single"/>
              </w:rPr>
              <w:t>Tipo II o Forma intermedia (30%)</w:t>
            </w:r>
            <w:r w:rsidR="000774F9" w:rsidRPr="000774F9">
              <w:rPr>
                <w:rFonts w:ascii="Arial" w:hAnsi="Arial" w:cs="Arial"/>
                <w:sz w:val="20"/>
                <w:szCs w:val="20"/>
              </w:rPr>
              <w:t>.</w:t>
            </w:r>
            <w:r w:rsidRPr="006C74DA">
              <w:rPr>
                <w:rFonts w:ascii="Arial" w:hAnsi="Arial" w:cs="Arial"/>
                <w:sz w:val="20"/>
                <w:szCs w:val="20"/>
              </w:rPr>
              <w:t xml:space="preserve"> Los síntomas aparecen entre los 6 y los 18 meses. Los pacientes tienen </w:t>
            </w:r>
            <w:r w:rsidRPr="00B2691F">
              <w:rPr>
                <w:rFonts w:ascii="Arial" w:hAnsi="Arial" w:cs="Arial"/>
                <w:b/>
                <w:sz w:val="20"/>
                <w:szCs w:val="20"/>
              </w:rPr>
              <w:t>3 copias</w:t>
            </w:r>
            <w:r w:rsidRPr="006C74DA">
              <w:rPr>
                <w:rFonts w:ascii="Arial" w:hAnsi="Arial" w:cs="Arial"/>
                <w:sz w:val="20"/>
                <w:szCs w:val="20"/>
              </w:rPr>
              <w:t xml:space="preserve"> del gen SMN2 en más del 80% de los casos</w:t>
            </w:r>
            <w:r w:rsidR="00B2691F">
              <w:rPr>
                <w:rFonts w:ascii="Arial" w:hAnsi="Arial" w:cs="Arial"/>
                <w:sz w:val="20"/>
                <w:szCs w:val="20"/>
              </w:rPr>
              <w:t>, aunque también pueden presentar 2 o 4 copias.</w:t>
            </w:r>
            <w:r w:rsidRPr="006C74DA">
              <w:rPr>
                <w:rFonts w:ascii="Arial" w:hAnsi="Arial" w:cs="Arial"/>
                <w:sz w:val="20"/>
                <w:szCs w:val="20"/>
              </w:rPr>
              <w:t xml:space="preserve"> Los niños consiguen la sedestación pasiva, pero no llegan a deambular. Las complicaciones respiratorias y la escoliosis son los problemas más importantes en esta forma de la enfermedad. La expectativa de vida de estos pacientes es variable [dos tercios de pacientes con AME tipo II pueden llegar a adultos de 25 años] y esto ha mejorado en los últimos años gracias a medidas proactivas y mejor manejo de las complicaciones como la rehabilitación, cirugía para la escoliosis y la ventilación mecánica no invasiva. </w:t>
            </w:r>
          </w:p>
          <w:p w14:paraId="7E0B13F7" w14:textId="0878EFD3" w:rsidR="0055427F" w:rsidRDefault="0055427F" w:rsidP="00FA13B7">
            <w:pPr>
              <w:pStyle w:val="Prrafodelista"/>
              <w:numPr>
                <w:ilvl w:val="0"/>
                <w:numId w:val="5"/>
              </w:numPr>
              <w:spacing w:after="120"/>
              <w:jc w:val="both"/>
              <w:rPr>
                <w:rFonts w:ascii="Arial" w:hAnsi="Arial" w:cs="Arial"/>
                <w:sz w:val="20"/>
                <w:szCs w:val="20"/>
              </w:rPr>
            </w:pPr>
            <w:r w:rsidRPr="006C74DA">
              <w:rPr>
                <w:rFonts w:ascii="Arial" w:hAnsi="Arial" w:cs="Arial"/>
                <w:sz w:val="20"/>
                <w:szCs w:val="20"/>
                <w:u w:val="single"/>
              </w:rPr>
              <w:t>Tipo III (10-20%):</w:t>
            </w:r>
            <w:r w:rsidRPr="006C74DA">
              <w:rPr>
                <w:rFonts w:ascii="Arial" w:hAnsi="Arial" w:cs="Arial"/>
                <w:sz w:val="20"/>
                <w:szCs w:val="20"/>
              </w:rPr>
              <w:t xml:space="preserve"> Los síntomas suelen manifestarse a partir de los 18 meses, los pacientes llegan a deambular y en general alcanzan la edad adulta. La gran mayoría de los pacientes presentan </w:t>
            </w:r>
            <w:r w:rsidRPr="009C07C8">
              <w:rPr>
                <w:rFonts w:ascii="Arial" w:hAnsi="Arial" w:cs="Arial"/>
                <w:b/>
                <w:sz w:val="20"/>
                <w:szCs w:val="20"/>
              </w:rPr>
              <w:t>3 o 4 copias</w:t>
            </w:r>
            <w:r w:rsidRPr="006C74DA">
              <w:rPr>
                <w:rFonts w:ascii="Arial" w:hAnsi="Arial" w:cs="Arial"/>
                <w:sz w:val="20"/>
                <w:szCs w:val="20"/>
              </w:rPr>
              <w:t xml:space="preserve"> del gen SMN2. Los pacientes de este grupo que manifiestan más precozmente la enfermedad (antes de los 3 años) pierden luego la capacidad de bipedestación y deambulación y están confinados más precozmente a silla de ruedas (tipo IIIa) mientras que los del grupo que comienza más allá de los 3 años (tipo IIIb) pueden mantener la deambulación por más tiempo incluso décadas. </w:t>
            </w:r>
          </w:p>
          <w:p w14:paraId="13F6C388" w14:textId="74AB11DA" w:rsidR="00F3676C" w:rsidRPr="00FA13B7" w:rsidRDefault="000774F9" w:rsidP="00FA13B7">
            <w:pPr>
              <w:pStyle w:val="Prrafodelista"/>
              <w:numPr>
                <w:ilvl w:val="0"/>
                <w:numId w:val="5"/>
              </w:numPr>
              <w:spacing w:after="120"/>
              <w:jc w:val="both"/>
              <w:rPr>
                <w:rFonts w:ascii="Arial" w:hAnsi="Arial" w:cs="Arial"/>
                <w:color w:val="000080"/>
                <w:sz w:val="20"/>
                <w:szCs w:val="20"/>
              </w:rPr>
            </w:pPr>
            <w:r>
              <w:rPr>
                <w:rFonts w:ascii="Arial" w:hAnsi="Arial" w:cs="Arial"/>
                <w:sz w:val="20"/>
                <w:szCs w:val="20"/>
                <w:u w:val="single"/>
              </w:rPr>
              <w:t>Tipo IV o Forma adulta (1-5%)</w:t>
            </w:r>
            <w:r w:rsidRPr="000774F9">
              <w:rPr>
                <w:rFonts w:ascii="Arial" w:hAnsi="Arial" w:cs="Arial"/>
                <w:sz w:val="20"/>
                <w:szCs w:val="20"/>
              </w:rPr>
              <w:t>.</w:t>
            </w:r>
            <w:r w:rsidR="0055427F" w:rsidRPr="006C74DA">
              <w:rPr>
                <w:rFonts w:ascii="Arial" w:hAnsi="Arial" w:cs="Arial"/>
                <w:sz w:val="20"/>
                <w:szCs w:val="20"/>
              </w:rPr>
              <w:t xml:space="preserve"> Aparece en la segunda o tercera década de la vida, los pacientes tienen capacidad de caminar sin ayuda y en general presentan una afectación clínica, menos grave. Suelen tener </w:t>
            </w:r>
            <w:r w:rsidR="0055427F" w:rsidRPr="009C07C8">
              <w:rPr>
                <w:rFonts w:ascii="Arial" w:hAnsi="Arial" w:cs="Arial"/>
                <w:b/>
                <w:sz w:val="20"/>
                <w:szCs w:val="20"/>
              </w:rPr>
              <w:t>4 o más copias</w:t>
            </w:r>
            <w:r w:rsidR="0055427F" w:rsidRPr="006C74DA">
              <w:rPr>
                <w:rFonts w:ascii="Arial" w:hAnsi="Arial" w:cs="Arial"/>
                <w:sz w:val="20"/>
                <w:szCs w:val="20"/>
              </w:rPr>
              <w:t xml:space="preserve"> del gen SMN2.</w:t>
            </w:r>
          </w:p>
        </w:tc>
      </w:tr>
      <w:tr w:rsidR="00AC7E45" w14:paraId="33B99FD8" w14:textId="77777777" w:rsidTr="009C07C8">
        <w:tc>
          <w:tcPr>
            <w:tcW w:w="2127" w:type="dxa"/>
            <w:shd w:val="clear" w:color="auto" w:fill="E6E6E6"/>
          </w:tcPr>
          <w:p w14:paraId="38064195" w14:textId="361EEFE2" w:rsidR="00AC7E45" w:rsidRPr="00FC7E58" w:rsidRDefault="00AC7E45" w:rsidP="001F6887">
            <w:pPr>
              <w:rPr>
                <w:rFonts w:ascii="Arial" w:hAnsi="Arial" w:cs="Arial"/>
                <w:sz w:val="20"/>
                <w:szCs w:val="16"/>
                <w:highlight w:val="red"/>
                <w:vertAlign w:val="superscript"/>
              </w:rPr>
            </w:pPr>
            <w:r w:rsidRPr="00FC7E58">
              <w:rPr>
                <w:rFonts w:ascii="Arial" w:hAnsi="Arial" w:cs="Arial"/>
                <w:sz w:val="20"/>
                <w:szCs w:val="16"/>
              </w:rPr>
              <w:t>Carga de la enfermedad</w:t>
            </w:r>
            <w:bookmarkStart w:id="17" w:name="_Ref58499937"/>
            <w:r w:rsidR="000774F9" w:rsidRPr="007C57AC">
              <w:rPr>
                <w:rStyle w:val="Refdenotaalfinal"/>
                <w:rFonts w:ascii="Arial" w:hAnsi="Arial" w:cs="Arial"/>
                <w:sz w:val="20"/>
                <w:szCs w:val="16"/>
              </w:rPr>
              <w:endnoteReference w:id="6"/>
            </w:r>
            <w:bookmarkEnd w:id="17"/>
            <w:r w:rsidR="007C57AC" w:rsidRPr="007C57AC">
              <w:rPr>
                <w:rFonts w:ascii="Arial" w:hAnsi="Arial" w:cs="Arial"/>
                <w:sz w:val="20"/>
                <w:szCs w:val="16"/>
                <w:vertAlign w:val="superscript"/>
              </w:rPr>
              <w:t>,</w:t>
            </w:r>
            <w:r w:rsidR="007C57AC" w:rsidRPr="007C57AC">
              <w:rPr>
                <w:rStyle w:val="Refdenotaalfinal"/>
                <w:rFonts w:ascii="Arial" w:hAnsi="Arial" w:cs="Arial"/>
                <w:sz w:val="20"/>
                <w:szCs w:val="16"/>
              </w:rPr>
              <w:endnoteReference w:id="7"/>
            </w:r>
            <w:r w:rsidR="007C57AC" w:rsidRPr="007C57AC">
              <w:rPr>
                <w:rFonts w:ascii="Arial" w:hAnsi="Arial" w:cs="Arial"/>
                <w:sz w:val="20"/>
                <w:szCs w:val="16"/>
                <w:vertAlign w:val="superscript"/>
              </w:rPr>
              <w:t>,</w:t>
            </w:r>
            <w:r w:rsidR="007C57AC" w:rsidRPr="007C57AC">
              <w:rPr>
                <w:rStyle w:val="Refdenotaalfinal"/>
                <w:rFonts w:ascii="Arial" w:hAnsi="Arial" w:cs="Arial"/>
                <w:sz w:val="20"/>
                <w:szCs w:val="16"/>
              </w:rPr>
              <w:endnoteReference w:id="8"/>
            </w:r>
            <w:r w:rsidR="00121CDE">
              <w:rPr>
                <w:rFonts w:ascii="Arial" w:hAnsi="Arial" w:cs="Arial"/>
                <w:sz w:val="20"/>
                <w:szCs w:val="16"/>
                <w:vertAlign w:val="superscript"/>
              </w:rPr>
              <w:t>,</w:t>
            </w:r>
            <w:r w:rsidR="00121CDE">
              <w:rPr>
                <w:rStyle w:val="Refdenotaalfinal"/>
                <w:rFonts w:ascii="Arial" w:hAnsi="Arial" w:cs="Arial"/>
                <w:sz w:val="20"/>
                <w:szCs w:val="16"/>
              </w:rPr>
              <w:endnoteReference w:id="9"/>
            </w:r>
          </w:p>
        </w:tc>
        <w:tc>
          <w:tcPr>
            <w:tcW w:w="6804" w:type="dxa"/>
          </w:tcPr>
          <w:p w14:paraId="3695E4F8" w14:textId="0D9B87DA" w:rsidR="00F3676C" w:rsidRDefault="00AC7E45" w:rsidP="00B64993">
            <w:pPr>
              <w:jc w:val="both"/>
              <w:rPr>
                <w:rFonts w:ascii="Arial" w:hAnsi="Arial" w:cs="Arial"/>
                <w:color w:val="20221D"/>
                <w:sz w:val="20"/>
                <w:szCs w:val="20"/>
                <w:shd w:val="clear" w:color="auto" w:fill="FFFFFF"/>
              </w:rPr>
            </w:pPr>
            <w:r w:rsidRPr="006C74DA">
              <w:rPr>
                <w:rFonts w:ascii="Arial" w:hAnsi="Arial" w:cs="Arial"/>
                <w:sz w:val="20"/>
                <w:szCs w:val="20"/>
              </w:rPr>
              <w:t xml:space="preserve">La </w:t>
            </w:r>
            <w:r w:rsidRPr="00B64993">
              <w:rPr>
                <w:rFonts w:ascii="Arial" w:hAnsi="Arial" w:cs="Arial"/>
                <w:sz w:val="20"/>
                <w:szCs w:val="20"/>
                <w:u w:val="single"/>
              </w:rPr>
              <w:t>carga económica</w:t>
            </w:r>
            <w:r w:rsidRPr="006C74DA">
              <w:rPr>
                <w:rFonts w:ascii="Arial" w:hAnsi="Arial" w:cs="Arial"/>
                <w:sz w:val="20"/>
                <w:szCs w:val="20"/>
              </w:rPr>
              <w:t xml:space="preserve"> de la </w:t>
            </w:r>
            <w:r w:rsidR="005C3946" w:rsidRPr="006C74DA">
              <w:rPr>
                <w:rFonts w:ascii="Arial" w:hAnsi="Arial" w:cs="Arial"/>
                <w:sz w:val="20"/>
                <w:szCs w:val="20"/>
              </w:rPr>
              <w:t>AME</w:t>
            </w:r>
            <w:r w:rsidRPr="006C74DA">
              <w:rPr>
                <w:rFonts w:ascii="Arial" w:hAnsi="Arial" w:cs="Arial"/>
                <w:sz w:val="20"/>
                <w:szCs w:val="20"/>
              </w:rPr>
              <w:t xml:space="preserve"> no ha sido estudiada con profundidad, debido, entre otras cosas, </w:t>
            </w:r>
            <w:r w:rsidR="00B33090" w:rsidRPr="006C74DA">
              <w:rPr>
                <w:rFonts w:ascii="Arial" w:hAnsi="Arial" w:cs="Arial"/>
                <w:sz w:val="20"/>
                <w:szCs w:val="20"/>
              </w:rPr>
              <w:t xml:space="preserve">a ser una enfermedad rara. </w:t>
            </w:r>
            <w:r w:rsidR="00B33090" w:rsidRPr="006C74DA">
              <w:rPr>
                <w:rFonts w:ascii="Arial" w:hAnsi="Arial" w:cs="Arial"/>
                <w:color w:val="20221D"/>
                <w:sz w:val="20"/>
                <w:szCs w:val="20"/>
                <w:shd w:val="clear" w:color="auto" w:fill="FFFFFF"/>
              </w:rPr>
              <w:t xml:space="preserve">En </w:t>
            </w:r>
            <w:r w:rsidR="00B33090" w:rsidRPr="00B64993">
              <w:rPr>
                <w:rFonts w:ascii="Arial" w:hAnsi="Arial" w:cs="Arial"/>
                <w:b/>
                <w:color w:val="20221D"/>
                <w:sz w:val="20"/>
                <w:szCs w:val="20"/>
                <w:shd w:val="clear" w:color="auto" w:fill="FFFFFF"/>
              </w:rPr>
              <w:t>Europa</w:t>
            </w:r>
            <w:r w:rsidR="00B33090" w:rsidRPr="006C74DA">
              <w:rPr>
                <w:rFonts w:ascii="Arial" w:hAnsi="Arial" w:cs="Arial"/>
                <w:color w:val="20221D"/>
                <w:sz w:val="20"/>
                <w:szCs w:val="20"/>
                <w:shd w:val="clear" w:color="auto" w:fill="FFFFFF"/>
              </w:rPr>
              <w:t xml:space="preserve">, </w:t>
            </w:r>
            <w:r w:rsidR="00B33090" w:rsidRPr="006C74DA">
              <w:rPr>
                <w:rFonts w:ascii="Arial" w:hAnsi="Arial" w:cs="Arial"/>
                <w:color w:val="20221D"/>
                <w:sz w:val="20"/>
                <w:szCs w:val="20"/>
                <w:shd w:val="clear" w:color="auto" w:fill="FFFFFF"/>
              </w:rPr>
              <w:lastRenderedPageBreak/>
              <w:t>actualmente</w:t>
            </w:r>
            <w:r w:rsidR="005D09CC" w:rsidRPr="006C74DA">
              <w:rPr>
                <w:rFonts w:ascii="Arial" w:hAnsi="Arial" w:cs="Arial"/>
                <w:color w:val="20221D"/>
                <w:sz w:val="20"/>
                <w:szCs w:val="20"/>
                <w:shd w:val="clear" w:color="auto" w:fill="FFFFFF"/>
              </w:rPr>
              <w:t>,</w:t>
            </w:r>
            <w:r w:rsidR="00B33090" w:rsidRPr="006C74DA">
              <w:rPr>
                <w:rFonts w:ascii="Arial" w:hAnsi="Arial" w:cs="Arial"/>
                <w:color w:val="20221D"/>
                <w:sz w:val="20"/>
                <w:szCs w:val="20"/>
                <w:shd w:val="clear" w:color="auto" w:fill="FFFFFF"/>
              </w:rPr>
              <w:t xml:space="preserve"> se </w:t>
            </w:r>
            <w:r w:rsidR="005D09CC" w:rsidRPr="006C74DA">
              <w:rPr>
                <w:rFonts w:ascii="Arial" w:hAnsi="Arial" w:cs="Arial"/>
                <w:color w:val="20221D"/>
                <w:sz w:val="20"/>
                <w:szCs w:val="20"/>
                <w:shd w:val="clear" w:color="auto" w:fill="FFFFFF"/>
              </w:rPr>
              <w:t>calcula</w:t>
            </w:r>
            <w:r w:rsidR="00B33090" w:rsidRPr="006C74DA">
              <w:rPr>
                <w:rFonts w:ascii="Arial" w:hAnsi="Arial" w:cs="Arial"/>
                <w:color w:val="20221D"/>
                <w:sz w:val="20"/>
                <w:szCs w:val="20"/>
                <w:shd w:val="clear" w:color="auto" w:fill="FFFFFF"/>
              </w:rPr>
              <w:t xml:space="preserve"> que la AME supone una carga importante para </w:t>
            </w:r>
            <w:r w:rsidR="005D09CC" w:rsidRPr="006C74DA">
              <w:rPr>
                <w:rFonts w:ascii="Arial" w:hAnsi="Arial" w:cs="Arial"/>
                <w:color w:val="20221D"/>
                <w:sz w:val="20"/>
                <w:szCs w:val="20"/>
                <w:shd w:val="clear" w:color="auto" w:fill="FFFFFF"/>
              </w:rPr>
              <w:t>los</w:t>
            </w:r>
            <w:r w:rsidR="00B33090" w:rsidRPr="006C74DA">
              <w:rPr>
                <w:rFonts w:ascii="Arial" w:hAnsi="Arial" w:cs="Arial"/>
                <w:color w:val="20221D"/>
                <w:sz w:val="20"/>
                <w:szCs w:val="20"/>
                <w:shd w:val="clear" w:color="auto" w:fill="FFFFFF"/>
              </w:rPr>
              <w:t xml:space="preserve"> sistema</w:t>
            </w:r>
            <w:r w:rsidR="005D09CC" w:rsidRPr="006C74DA">
              <w:rPr>
                <w:rFonts w:ascii="Arial" w:hAnsi="Arial" w:cs="Arial"/>
                <w:color w:val="20221D"/>
                <w:sz w:val="20"/>
                <w:szCs w:val="20"/>
                <w:shd w:val="clear" w:color="auto" w:fill="FFFFFF"/>
              </w:rPr>
              <w:t>s</w:t>
            </w:r>
            <w:r w:rsidR="00B33090" w:rsidRPr="006C74DA">
              <w:rPr>
                <w:rFonts w:ascii="Arial" w:hAnsi="Arial" w:cs="Arial"/>
                <w:color w:val="20221D"/>
                <w:sz w:val="20"/>
                <w:szCs w:val="20"/>
                <w:shd w:val="clear" w:color="auto" w:fill="FFFFFF"/>
              </w:rPr>
              <w:t xml:space="preserve"> sanitario</w:t>
            </w:r>
            <w:r w:rsidR="005D09CC" w:rsidRPr="006C74DA">
              <w:rPr>
                <w:rFonts w:ascii="Arial" w:hAnsi="Arial" w:cs="Arial"/>
                <w:color w:val="20221D"/>
                <w:sz w:val="20"/>
                <w:szCs w:val="20"/>
                <w:shd w:val="clear" w:color="auto" w:fill="FFFFFF"/>
              </w:rPr>
              <w:t>s</w:t>
            </w:r>
            <w:r w:rsidR="00B33090" w:rsidRPr="006C74DA">
              <w:rPr>
                <w:rFonts w:ascii="Arial" w:hAnsi="Arial" w:cs="Arial"/>
                <w:color w:val="20221D"/>
                <w:sz w:val="20"/>
                <w:szCs w:val="20"/>
                <w:shd w:val="clear" w:color="auto" w:fill="FFFFFF"/>
              </w:rPr>
              <w:t xml:space="preserve"> con una estimación de costes sanitarios acumulados por niño comprendidos entre los 2,5 y 4 millones de euros sólo durante los primeros 10 años</w:t>
            </w:r>
            <w:r w:rsidR="00B33090" w:rsidRPr="006C74DA">
              <w:rPr>
                <w:rFonts w:ascii="Arial" w:hAnsi="Arial" w:cs="Arial"/>
                <w:sz w:val="20"/>
                <w:szCs w:val="20"/>
              </w:rPr>
              <w:t>.</w:t>
            </w:r>
            <w:r w:rsidR="00B64993">
              <w:rPr>
                <w:rFonts w:ascii="Arial" w:hAnsi="Arial" w:cs="Arial"/>
                <w:sz w:val="20"/>
                <w:szCs w:val="20"/>
              </w:rPr>
              <w:t xml:space="preserve"> </w:t>
            </w:r>
            <w:r w:rsidR="003429EA">
              <w:rPr>
                <w:rFonts w:ascii="Arial" w:hAnsi="Arial" w:cs="Arial"/>
                <w:sz w:val="20"/>
                <w:szCs w:val="20"/>
              </w:rPr>
              <w:t xml:space="preserve">En </w:t>
            </w:r>
            <w:r w:rsidR="003429EA" w:rsidRPr="00B64993">
              <w:rPr>
                <w:rFonts w:ascii="Arial" w:hAnsi="Arial" w:cs="Arial"/>
                <w:b/>
                <w:sz w:val="20"/>
                <w:szCs w:val="20"/>
              </w:rPr>
              <w:t>E</w:t>
            </w:r>
            <w:r w:rsidR="00540F5A" w:rsidRPr="00B64993">
              <w:rPr>
                <w:rFonts w:ascii="Arial" w:hAnsi="Arial" w:cs="Arial"/>
                <w:b/>
                <w:sz w:val="20"/>
                <w:szCs w:val="20"/>
              </w:rPr>
              <w:t>EUU</w:t>
            </w:r>
            <w:r w:rsidR="00540F5A" w:rsidRPr="006C74DA">
              <w:rPr>
                <w:rFonts w:ascii="Arial" w:hAnsi="Arial" w:cs="Arial"/>
                <w:sz w:val="20"/>
                <w:szCs w:val="20"/>
              </w:rPr>
              <w:t xml:space="preserve"> se ha estimado un impacto anual de la enfermedad </w:t>
            </w:r>
            <w:r w:rsidR="00540F5A" w:rsidRPr="00E64C7F">
              <w:rPr>
                <w:rFonts w:ascii="Arial" w:hAnsi="Arial" w:cs="Arial"/>
                <w:sz w:val="20"/>
                <w:szCs w:val="20"/>
              </w:rPr>
              <w:t>de $957 millones.</w:t>
            </w:r>
            <w:r w:rsidR="001769AD" w:rsidRPr="00E64C7F">
              <w:rPr>
                <w:rFonts w:ascii="Arial" w:hAnsi="Arial" w:cs="Arial"/>
                <w:i/>
                <w:sz w:val="20"/>
                <w:szCs w:val="20"/>
              </w:rPr>
              <w:t xml:space="preserve"> </w:t>
            </w:r>
            <w:r w:rsidR="00540F5A" w:rsidRPr="006C74DA">
              <w:rPr>
                <w:rFonts w:ascii="Arial" w:hAnsi="Arial" w:cs="Arial"/>
                <w:sz w:val="20"/>
                <w:szCs w:val="20"/>
              </w:rPr>
              <w:t xml:space="preserve">En un estudio realizado en 2014 en </w:t>
            </w:r>
            <w:r w:rsidR="00540F5A" w:rsidRPr="00B64993">
              <w:rPr>
                <w:rFonts w:ascii="Arial" w:hAnsi="Arial" w:cs="Arial"/>
                <w:b/>
                <w:sz w:val="20"/>
                <w:szCs w:val="20"/>
              </w:rPr>
              <w:t>España</w:t>
            </w:r>
            <w:r w:rsidR="00540F5A" w:rsidRPr="006C74DA">
              <w:rPr>
                <w:rFonts w:ascii="Arial" w:hAnsi="Arial" w:cs="Arial"/>
                <w:sz w:val="20"/>
                <w:szCs w:val="20"/>
              </w:rPr>
              <w:t xml:space="preserve">, </w:t>
            </w:r>
            <w:r w:rsidR="00540F5A" w:rsidRPr="006C74DA">
              <w:rPr>
                <w:rFonts w:ascii="Arial" w:hAnsi="Arial" w:cs="Arial"/>
                <w:color w:val="20221D"/>
                <w:sz w:val="20"/>
                <w:szCs w:val="20"/>
                <w:shd w:val="clear" w:color="auto" w:fill="FFFFFF"/>
              </w:rPr>
              <w:t xml:space="preserve">el coste medio anual asociado a la AME alcanzó los 33.721 € (pudiendo ascender hasta 37.670 € en la AME tipo II). Si bien, el 32,2% de este coste total se atribuyó a los costes directos </w:t>
            </w:r>
            <w:r w:rsidR="00BE4C49" w:rsidRPr="006C74DA">
              <w:rPr>
                <w:rFonts w:ascii="Arial" w:hAnsi="Arial" w:cs="Arial"/>
                <w:color w:val="20221D"/>
                <w:sz w:val="20"/>
                <w:szCs w:val="20"/>
                <w:shd w:val="clear" w:color="auto" w:fill="FFFFFF"/>
              </w:rPr>
              <w:t>sanitarios</w:t>
            </w:r>
            <w:r w:rsidR="00540F5A" w:rsidRPr="006C74DA">
              <w:rPr>
                <w:rFonts w:ascii="Arial" w:hAnsi="Arial" w:cs="Arial"/>
                <w:color w:val="20221D"/>
                <w:sz w:val="20"/>
                <w:szCs w:val="20"/>
                <w:shd w:val="clear" w:color="auto" w:fill="FFFFFF"/>
              </w:rPr>
              <w:t xml:space="preserve">, que ascendieron a 10.882 €, los costes directos no </w:t>
            </w:r>
            <w:r w:rsidR="00BE4C49" w:rsidRPr="006C74DA">
              <w:rPr>
                <w:rFonts w:ascii="Arial" w:hAnsi="Arial" w:cs="Arial"/>
                <w:color w:val="20221D"/>
                <w:sz w:val="20"/>
                <w:szCs w:val="20"/>
                <w:shd w:val="clear" w:color="auto" w:fill="FFFFFF"/>
              </w:rPr>
              <w:t>sanitarios</w:t>
            </w:r>
            <w:r w:rsidR="00540F5A" w:rsidRPr="006C74DA">
              <w:rPr>
                <w:rFonts w:ascii="Arial" w:hAnsi="Arial" w:cs="Arial"/>
                <w:color w:val="20221D"/>
                <w:sz w:val="20"/>
                <w:szCs w:val="20"/>
                <w:shd w:val="clear" w:color="auto" w:fill="FFFFFF"/>
              </w:rPr>
              <w:t xml:space="preserve"> fueron de 22.839 € (que representan el 67,7% del costo total). Dentro de la categoría de costes directos </w:t>
            </w:r>
            <w:r w:rsidR="00BE4C49" w:rsidRPr="006C74DA">
              <w:rPr>
                <w:rFonts w:ascii="Arial" w:hAnsi="Arial" w:cs="Arial"/>
                <w:color w:val="20221D"/>
                <w:sz w:val="20"/>
                <w:szCs w:val="20"/>
                <w:shd w:val="clear" w:color="auto" w:fill="FFFFFF"/>
              </w:rPr>
              <w:t>sanitarios</w:t>
            </w:r>
            <w:r w:rsidR="00540F5A" w:rsidRPr="006C74DA">
              <w:rPr>
                <w:rFonts w:ascii="Arial" w:hAnsi="Arial" w:cs="Arial"/>
                <w:color w:val="20221D"/>
                <w:sz w:val="20"/>
                <w:szCs w:val="20"/>
                <w:shd w:val="clear" w:color="auto" w:fill="FFFFFF"/>
              </w:rPr>
              <w:t>, el componente más importante fue el de las visitas a especialistas médicos, valorados en 7.732</w:t>
            </w:r>
            <w:r w:rsidR="00BE4C49" w:rsidRPr="006C74DA">
              <w:rPr>
                <w:rFonts w:ascii="Arial" w:hAnsi="Arial" w:cs="Arial"/>
                <w:color w:val="20221D"/>
                <w:sz w:val="20"/>
                <w:szCs w:val="20"/>
                <w:shd w:val="clear" w:color="auto" w:fill="FFFFFF"/>
              </w:rPr>
              <w:t xml:space="preserve"> </w:t>
            </w:r>
            <w:r w:rsidR="00540F5A" w:rsidRPr="006C74DA">
              <w:rPr>
                <w:rFonts w:ascii="Arial" w:hAnsi="Arial" w:cs="Arial"/>
                <w:color w:val="20221D"/>
                <w:sz w:val="20"/>
                <w:szCs w:val="20"/>
                <w:shd w:val="clear" w:color="auto" w:fill="FFFFFF"/>
              </w:rPr>
              <w:t xml:space="preserve">€. El siguiente coste directo </w:t>
            </w:r>
            <w:r w:rsidR="00BE4C49" w:rsidRPr="006C74DA">
              <w:rPr>
                <w:rFonts w:ascii="Arial" w:hAnsi="Arial" w:cs="Arial"/>
                <w:color w:val="20221D"/>
                <w:sz w:val="20"/>
                <w:szCs w:val="20"/>
                <w:shd w:val="clear" w:color="auto" w:fill="FFFFFF"/>
              </w:rPr>
              <w:t>sanitario</w:t>
            </w:r>
            <w:r w:rsidR="00540F5A" w:rsidRPr="006C74DA">
              <w:rPr>
                <w:rFonts w:ascii="Arial" w:hAnsi="Arial" w:cs="Arial"/>
                <w:color w:val="20221D"/>
                <w:sz w:val="20"/>
                <w:szCs w:val="20"/>
                <w:shd w:val="clear" w:color="auto" w:fill="FFFFFF"/>
              </w:rPr>
              <w:t xml:space="preserve"> más significativo fueron las hospitalizaciones, estimadas en 1.297 €. Los costes de cuidado familiar representaron el componente más grande que llegó a 21.127 € (62,7% del coste total de la enfermedad en España).</w:t>
            </w:r>
            <w:r w:rsidR="00E64C7F">
              <w:rPr>
                <w:rFonts w:ascii="Arial" w:hAnsi="Arial" w:cs="Arial"/>
                <w:color w:val="20221D"/>
                <w:sz w:val="20"/>
                <w:szCs w:val="20"/>
                <w:shd w:val="clear" w:color="auto" w:fill="FFFFFF"/>
              </w:rPr>
              <w:t xml:space="preserve"> </w:t>
            </w:r>
          </w:p>
          <w:p w14:paraId="49BB5BB2" w14:textId="578F88B3" w:rsidR="00243919" w:rsidRPr="00FA13B7" w:rsidRDefault="00243919" w:rsidP="00A120CD">
            <w:pPr>
              <w:spacing w:after="120"/>
              <w:jc w:val="both"/>
              <w:rPr>
                <w:rFonts w:ascii="Arial" w:hAnsi="Arial" w:cs="Arial"/>
                <w:color w:val="20221D"/>
                <w:sz w:val="20"/>
                <w:szCs w:val="20"/>
                <w:shd w:val="clear" w:color="auto" w:fill="FFFFFF"/>
              </w:rPr>
            </w:pPr>
            <w:r>
              <w:rPr>
                <w:rFonts w:ascii="Arial" w:hAnsi="Arial" w:cs="Arial"/>
                <w:color w:val="20221D"/>
                <w:sz w:val="20"/>
                <w:szCs w:val="20"/>
                <w:shd w:val="clear" w:color="auto" w:fill="FFFFFF"/>
              </w:rPr>
              <w:t>E</w:t>
            </w:r>
            <w:r w:rsidRPr="00243919">
              <w:rPr>
                <w:rFonts w:ascii="Arial" w:hAnsi="Arial" w:cs="Arial"/>
                <w:color w:val="20221D"/>
                <w:sz w:val="20"/>
                <w:szCs w:val="20"/>
                <w:shd w:val="clear" w:color="auto" w:fill="FFFFFF"/>
              </w:rPr>
              <w:t>l impacto de la enfermedad sobre</w:t>
            </w:r>
            <w:r>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 xml:space="preserve">la </w:t>
            </w:r>
            <w:r w:rsidRPr="00B64993">
              <w:rPr>
                <w:rFonts w:ascii="Arial" w:hAnsi="Arial" w:cs="Arial"/>
                <w:color w:val="20221D"/>
                <w:sz w:val="20"/>
                <w:szCs w:val="20"/>
                <w:u w:val="single"/>
                <w:shd w:val="clear" w:color="auto" w:fill="FFFFFF"/>
              </w:rPr>
              <w:t>calidad de vida</w:t>
            </w:r>
            <w:r w:rsidRPr="00243919">
              <w:rPr>
                <w:rFonts w:ascii="Arial" w:hAnsi="Arial" w:cs="Arial"/>
                <w:color w:val="20221D"/>
                <w:sz w:val="20"/>
                <w:szCs w:val="20"/>
                <w:shd w:val="clear" w:color="auto" w:fill="FFFFFF"/>
              </w:rPr>
              <w:t xml:space="preserve"> de los pacientes, así como de sus cuidadores, </w:t>
            </w:r>
            <w:r>
              <w:rPr>
                <w:rFonts w:ascii="Arial" w:hAnsi="Arial" w:cs="Arial"/>
                <w:color w:val="20221D"/>
                <w:sz w:val="20"/>
                <w:szCs w:val="20"/>
                <w:shd w:val="clear" w:color="auto" w:fill="FFFFFF"/>
              </w:rPr>
              <w:t xml:space="preserve">fue </w:t>
            </w:r>
            <w:r w:rsidRPr="00243919">
              <w:rPr>
                <w:rFonts w:ascii="Arial" w:hAnsi="Arial" w:cs="Arial"/>
                <w:color w:val="20221D"/>
                <w:sz w:val="20"/>
                <w:szCs w:val="20"/>
                <w:shd w:val="clear" w:color="auto" w:fill="FFFFFF"/>
              </w:rPr>
              <w:t>evaluado</w:t>
            </w:r>
            <w:r>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específicamente para el entorno español a través del estudio de López-Bastida et al.</w:t>
            </w:r>
            <w:r>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(2017), en el que se mostró que los cuidadores informales de pacientes con AME</w:t>
            </w:r>
            <w:r>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dedican, de media, más de 4h al día a su atención.</w:t>
            </w:r>
            <w:r>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Además, se observó</w:t>
            </w:r>
            <w:r w:rsidR="00A120CD">
              <w:rPr>
                <w:rFonts w:ascii="Arial" w:hAnsi="Arial" w:cs="Arial"/>
                <w:color w:val="20221D"/>
                <w:sz w:val="20"/>
                <w:szCs w:val="20"/>
                <w:shd w:val="clear" w:color="auto" w:fill="FFFFFF"/>
              </w:rPr>
              <w:t>,</w:t>
            </w:r>
            <w:r w:rsidRPr="00243919">
              <w:rPr>
                <w:rFonts w:ascii="Arial" w:hAnsi="Arial" w:cs="Arial"/>
                <w:color w:val="20221D"/>
                <w:sz w:val="20"/>
                <w:szCs w:val="20"/>
                <w:shd w:val="clear" w:color="auto" w:fill="FFFFFF"/>
              </w:rPr>
              <w:t xml:space="preserve"> </w:t>
            </w:r>
            <w:r>
              <w:rPr>
                <w:rFonts w:ascii="Arial" w:hAnsi="Arial" w:cs="Arial"/>
                <w:color w:val="20221D"/>
                <w:sz w:val="20"/>
                <w:szCs w:val="20"/>
                <w:shd w:val="clear" w:color="auto" w:fill="FFFFFF"/>
              </w:rPr>
              <w:t xml:space="preserve">a través del cuestionario EQ-5D, </w:t>
            </w:r>
            <w:r w:rsidRPr="00243919">
              <w:rPr>
                <w:rFonts w:ascii="Arial" w:hAnsi="Arial" w:cs="Arial"/>
                <w:color w:val="20221D"/>
                <w:sz w:val="20"/>
                <w:szCs w:val="20"/>
                <w:shd w:val="clear" w:color="auto" w:fill="FFFFFF"/>
              </w:rPr>
              <w:t>un deterioro de la calidad de vida de pacientes</w:t>
            </w:r>
            <w:r>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y cuidadores del 84% y 50% respectivamente frente a la población general</w:t>
            </w:r>
            <w:r>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 xml:space="preserve">emparejada por edad. </w:t>
            </w:r>
            <w:r>
              <w:rPr>
                <w:rFonts w:ascii="Arial" w:hAnsi="Arial" w:cs="Arial"/>
                <w:color w:val="20221D"/>
                <w:sz w:val="20"/>
                <w:szCs w:val="20"/>
                <w:shd w:val="clear" w:color="auto" w:fill="FFFFFF"/>
              </w:rPr>
              <w:t xml:space="preserve">En este estudio, </w:t>
            </w:r>
            <w:r w:rsidRPr="00243919">
              <w:rPr>
                <w:rFonts w:ascii="Arial" w:hAnsi="Arial" w:cs="Arial"/>
                <w:color w:val="20221D"/>
                <w:sz w:val="20"/>
                <w:szCs w:val="20"/>
                <w:shd w:val="clear" w:color="auto" w:fill="FFFFFF"/>
              </w:rPr>
              <w:t>la subpoblación más extensa de pacientes</w:t>
            </w:r>
            <w:r w:rsidR="00A120CD">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evaluada (AME tipo II; 74%) notificó una puntuación media del cuestionario EQ-5D</w:t>
            </w:r>
            <w:r w:rsidR="00A120CD">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inferior a cero, haciendo patente la carga clínica que padecen estos pacientes al</w:t>
            </w:r>
            <w:r w:rsidR="00A120CD">
              <w:rPr>
                <w:rFonts w:ascii="Arial" w:hAnsi="Arial" w:cs="Arial"/>
                <w:color w:val="20221D"/>
                <w:sz w:val="20"/>
                <w:szCs w:val="20"/>
                <w:shd w:val="clear" w:color="auto" w:fill="FFFFFF"/>
              </w:rPr>
              <w:t xml:space="preserve"> </w:t>
            </w:r>
            <w:r w:rsidRPr="00243919">
              <w:rPr>
                <w:rFonts w:ascii="Arial" w:hAnsi="Arial" w:cs="Arial"/>
                <w:color w:val="20221D"/>
                <w:sz w:val="20"/>
                <w:szCs w:val="20"/>
                <w:shd w:val="clear" w:color="auto" w:fill="FFFFFF"/>
              </w:rPr>
              <w:t>notificar estados de salud valorados como peores que la muerte.</w:t>
            </w:r>
          </w:p>
        </w:tc>
      </w:tr>
    </w:tbl>
    <w:p w14:paraId="75ED9818" w14:textId="77777777" w:rsidR="008B4B2A" w:rsidRDefault="008B4B2A" w:rsidP="001F6887">
      <w:pPr>
        <w:jc w:val="both"/>
        <w:rPr>
          <w:rFonts w:ascii="Arial" w:hAnsi="Arial" w:cs="Arial"/>
          <w:b/>
          <w:bCs/>
          <w:color w:val="FF0000"/>
          <w:sz w:val="20"/>
          <w:szCs w:val="20"/>
        </w:rPr>
      </w:pPr>
    </w:p>
    <w:p w14:paraId="62102B2D" w14:textId="44E6C5D4" w:rsidR="00AC7E45" w:rsidRPr="008B4B2A" w:rsidRDefault="00AC7E4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vertAlign w:val="superscript"/>
        </w:rPr>
      </w:pPr>
      <w:bookmarkStart w:id="18" w:name="_Toc344399624"/>
      <w:bookmarkStart w:id="19" w:name="_Toc348931351"/>
      <w:r w:rsidRPr="008B4B2A">
        <w:rPr>
          <w:rFonts w:ascii="Arial" w:hAnsi="Arial" w:cs="Arial"/>
          <w:sz w:val="20"/>
          <w:szCs w:val="20"/>
        </w:rPr>
        <w:t>3.2.b Tratamiento actual de la enfermedad: evidencias</w:t>
      </w:r>
      <w:bookmarkEnd w:id="18"/>
      <w:bookmarkEnd w:id="19"/>
      <w:r w:rsidR="00493C38" w:rsidRPr="00493C38">
        <w:rPr>
          <w:rFonts w:ascii="Arial" w:hAnsi="Arial" w:cs="Arial"/>
          <w:sz w:val="20"/>
          <w:szCs w:val="20"/>
          <w:vertAlign w:val="superscript"/>
        </w:rPr>
        <w:fldChar w:fldCharType="begin"/>
      </w:r>
      <w:r w:rsidR="00493C38" w:rsidRPr="00493C38">
        <w:rPr>
          <w:rFonts w:ascii="Arial" w:hAnsi="Arial" w:cs="Arial"/>
          <w:sz w:val="20"/>
          <w:szCs w:val="20"/>
          <w:vertAlign w:val="superscript"/>
        </w:rPr>
        <w:instrText xml:space="preserve"> NOTEREF _Ref52263077 \h </w:instrText>
      </w:r>
      <w:r w:rsidR="00493C38">
        <w:rPr>
          <w:rFonts w:ascii="Arial" w:hAnsi="Arial" w:cs="Arial"/>
          <w:sz w:val="20"/>
          <w:szCs w:val="20"/>
          <w:vertAlign w:val="superscript"/>
        </w:rPr>
        <w:instrText xml:space="preserve"> \* MERGEFORMAT </w:instrText>
      </w:r>
      <w:r w:rsidR="00493C38" w:rsidRPr="00493C38">
        <w:rPr>
          <w:rFonts w:ascii="Arial" w:hAnsi="Arial" w:cs="Arial"/>
          <w:sz w:val="20"/>
          <w:szCs w:val="20"/>
          <w:vertAlign w:val="superscript"/>
        </w:rPr>
      </w:r>
      <w:r w:rsidR="00493C38" w:rsidRPr="00493C38">
        <w:rPr>
          <w:rFonts w:ascii="Arial" w:hAnsi="Arial" w:cs="Arial"/>
          <w:sz w:val="20"/>
          <w:szCs w:val="20"/>
          <w:vertAlign w:val="superscript"/>
        </w:rPr>
        <w:fldChar w:fldCharType="separate"/>
      </w:r>
      <w:r w:rsidR="00E277F2">
        <w:rPr>
          <w:rFonts w:ascii="Arial" w:hAnsi="Arial" w:cs="Arial"/>
          <w:sz w:val="20"/>
          <w:szCs w:val="20"/>
          <w:vertAlign w:val="superscript"/>
        </w:rPr>
        <w:t>2</w:t>
      </w:r>
      <w:r w:rsidR="00493C38" w:rsidRPr="00493C38">
        <w:rPr>
          <w:rFonts w:ascii="Arial" w:hAnsi="Arial" w:cs="Arial"/>
          <w:sz w:val="20"/>
          <w:szCs w:val="20"/>
          <w:vertAlign w:val="superscript"/>
        </w:rPr>
        <w:fldChar w:fldCharType="end"/>
      </w:r>
      <w:r w:rsidR="00493C38" w:rsidRPr="00493C38">
        <w:rPr>
          <w:rFonts w:ascii="Arial" w:hAnsi="Arial" w:cs="Arial"/>
          <w:sz w:val="20"/>
          <w:szCs w:val="20"/>
          <w:vertAlign w:val="superscript"/>
        </w:rPr>
        <w:t>,</w:t>
      </w:r>
      <w:bookmarkStart w:id="20" w:name="_Ref55462839"/>
      <w:r w:rsidR="00493C38" w:rsidRPr="00493C38">
        <w:rPr>
          <w:rStyle w:val="Refdenotaalfinal"/>
          <w:rFonts w:ascii="Arial" w:hAnsi="Arial" w:cs="Arial"/>
          <w:sz w:val="20"/>
          <w:szCs w:val="20"/>
        </w:rPr>
        <w:endnoteReference w:id="10"/>
      </w:r>
      <w:bookmarkEnd w:id="20"/>
      <w:r w:rsidR="00493C38" w:rsidRPr="00493C38">
        <w:rPr>
          <w:rFonts w:ascii="Arial" w:hAnsi="Arial" w:cs="Arial"/>
          <w:sz w:val="20"/>
          <w:szCs w:val="20"/>
          <w:vertAlign w:val="superscript"/>
        </w:rPr>
        <w:t>,</w:t>
      </w:r>
      <w:bookmarkStart w:id="21" w:name="_Ref55462841"/>
      <w:r w:rsidR="00493C38" w:rsidRPr="00493C38">
        <w:rPr>
          <w:rStyle w:val="Refdenotaalfinal"/>
          <w:rFonts w:ascii="Arial" w:hAnsi="Arial" w:cs="Arial"/>
          <w:sz w:val="20"/>
          <w:szCs w:val="20"/>
        </w:rPr>
        <w:endnoteReference w:id="11"/>
      </w:r>
      <w:bookmarkEnd w:id="21"/>
    </w:p>
    <w:p w14:paraId="71438888" w14:textId="77777777" w:rsidR="008B4B2A" w:rsidRDefault="008B4B2A" w:rsidP="001F6887">
      <w:pPr>
        <w:jc w:val="both"/>
        <w:rPr>
          <w:rFonts w:ascii="Arial" w:hAnsi="Arial" w:cs="Arial"/>
          <w:sz w:val="20"/>
          <w:szCs w:val="20"/>
        </w:rPr>
      </w:pPr>
    </w:p>
    <w:p w14:paraId="56E0BE4E" w14:textId="72CA8AFF" w:rsidR="00411FD5" w:rsidRDefault="00411FD5" w:rsidP="00B64993">
      <w:pPr>
        <w:spacing w:after="120"/>
        <w:jc w:val="both"/>
        <w:rPr>
          <w:rFonts w:ascii="Arial" w:hAnsi="Arial" w:cs="Arial"/>
          <w:sz w:val="20"/>
          <w:szCs w:val="20"/>
        </w:rPr>
      </w:pPr>
      <w:r>
        <w:rPr>
          <w:rFonts w:ascii="Arial" w:hAnsi="Arial" w:cs="Arial"/>
          <w:sz w:val="20"/>
          <w:szCs w:val="20"/>
        </w:rPr>
        <w:t xml:space="preserve">Hasta </w:t>
      </w:r>
      <w:r w:rsidR="009C07C8">
        <w:rPr>
          <w:rFonts w:ascii="Arial" w:hAnsi="Arial" w:cs="Arial"/>
          <w:sz w:val="20"/>
          <w:szCs w:val="20"/>
        </w:rPr>
        <w:t>mediados de 2017</w:t>
      </w:r>
      <w:r>
        <w:rPr>
          <w:rFonts w:ascii="Arial" w:hAnsi="Arial" w:cs="Arial"/>
          <w:sz w:val="20"/>
          <w:szCs w:val="20"/>
        </w:rPr>
        <w:t>, n</w:t>
      </w:r>
      <w:r w:rsidRPr="00411FD5">
        <w:rPr>
          <w:rFonts w:ascii="Arial" w:hAnsi="Arial" w:cs="Arial"/>
          <w:sz w:val="20"/>
          <w:szCs w:val="20"/>
        </w:rPr>
        <w:t>o exist</w:t>
      </w:r>
      <w:r>
        <w:rPr>
          <w:rFonts w:ascii="Arial" w:hAnsi="Arial" w:cs="Arial"/>
          <w:sz w:val="20"/>
          <w:szCs w:val="20"/>
        </w:rPr>
        <w:t>ía</w:t>
      </w:r>
      <w:r w:rsidR="00121CDE">
        <w:rPr>
          <w:rFonts w:ascii="Arial" w:hAnsi="Arial" w:cs="Arial"/>
          <w:sz w:val="20"/>
          <w:szCs w:val="20"/>
        </w:rPr>
        <w:t xml:space="preserve"> ningún tratamiento específico</w:t>
      </w:r>
      <w:r w:rsidRPr="00411FD5">
        <w:rPr>
          <w:rFonts w:ascii="Arial" w:hAnsi="Arial" w:cs="Arial"/>
          <w:sz w:val="20"/>
          <w:szCs w:val="20"/>
        </w:rPr>
        <w:t xml:space="preserve"> para esta enfermedad. Su </w:t>
      </w:r>
      <w:r w:rsidR="00FD5D4D">
        <w:rPr>
          <w:rFonts w:ascii="Arial" w:hAnsi="Arial" w:cs="Arial"/>
          <w:sz w:val="20"/>
          <w:szCs w:val="20"/>
        </w:rPr>
        <w:t>manejo</w:t>
      </w:r>
      <w:r w:rsidRPr="00411FD5">
        <w:rPr>
          <w:rFonts w:ascii="Arial" w:hAnsi="Arial" w:cs="Arial"/>
          <w:sz w:val="20"/>
          <w:szCs w:val="20"/>
        </w:rPr>
        <w:t xml:space="preserve"> depend</w:t>
      </w:r>
      <w:r>
        <w:rPr>
          <w:rFonts w:ascii="Arial" w:hAnsi="Arial" w:cs="Arial"/>
          <w:sz w:val="20"/>
          <w:szCs w:val="20"/>
        </w:rPr>
        <w:t>ía</w:t>
      </w:r>
      <w:r w:rsidRPr="00411FD5">
        <w:rPr>
          <w:rFonts w:ascii="Arial" w:hAnsi="Arial" w:cs="Arial"/>
          <w:sz w:val="20"/>
          <w:szCs w:val="20"/>
        </w:rPr>
        <w:t xml:space="preserve"> de la gravedad de </w:t>
      </w:r>
      <w:r w:rsidR="00FD5D4D">
        <w:rPr>
          <w:rFonts w:ascii="Arial" w:hAnsi="Arial" w:cs="Arial"/>
          <w:sz w:val="20"/>
          <w:szCs w:val="20"/>
        </w:rPr>
        <w:t>los síntomas</w:t>
      </w:r>
      <w:r w:rsidRPr="00411FD5">
        <w:rPr>
          <w:rFonts w:ascii="Arial" w:hAnsi="Arial" w:cs="Arial"/>
          <w:sz w:val="20"/>
          <w:szCs w:val="20"/>
        </w:rPr>
        <w:t xml:space="preserve"> y se fundamenta</w:t>
      </w:r>
      <w:r>
        <w:rPr>
          <w:rFonts w:ascii="Arial" w:hAnsi="Arial" w:cs="Arial"/>
          <w:sz w:val="20"/>
          <w:szCs w:val="20"/>
        </w:rPr>
        <w:t>ba</w:t>
      </w:r>
      <w:r w:rsidRPr="00411FD5">
        <w:rPr>
          <w:rFonts w:ascii="Arial" w:hAnsi="Arial" w:cs="Arial"/>
          <w:sz w:val="20"/>
          <w:szCs w:val="20"/>
        </w:rPr>
        <w:t xml:space="preserve"> en el soporte respiratorio y nutricional, así como el manejo de la escoliosis neuromuscular y las contracturas musculotendinosas mediante ortesis, terapia física y cirugía. La optimización del tratamiento de soporte, con el uso sistemático de ventilación no invasiva, manejo de las secreciones y técnicas de mejora de la tos, y las medidas nutricionales han permitido mejorar la supervivencia de los pacientes con AME tipo I. Sin embargo, esto no parece </w:t>
      </w:r>
      <w:r w:rsidR="00FD5D4D">
        <w:rPr>
          <w:rFonts w:ascii="Arial" w:hAnsi="Arial" w:cs="Arial"/>
          <w:sz w:val="20"/>
          <w:szCs w:val="20"/>
        </w:rPr>
        <w:t>traducirse en</w:t>
      </w:r>
      <w:r w:rsidRPr="00411FD5">
        <w:rPr>
          <w:rFonts w:ascii="Arial" w:hAnsi="Arial" w:cs="Arial"/>
          <w:sz w:val="20"/>
          <w:szCs w:val="20"/>
        </w:rPr>
        <w:t xml:space="preserve"> una ganancia en el desarrollo motor</w:t>
      </w:r>
      <w:r>
        <w:rPr>
          <w:rFonts w:ascii="Arial" w:hAnsi="Arial" w:cs="Arial"/>
          <w:sz w:val="20"/>
          <w:szCs w:val="20"/>
        </w:rPr>
        <w:t>.</w:t>
      </w:r>
    </w:p>
    <w:p w14:paraId="41178CD8" w14:textId="68C8B9FE" w:rsidR="00411FD5" w:rsidRDefault="00411FD5" w:rsidP="00B64993">
      <w:pPr>
        <w:spacing w:after="120"/>
        <w:jc w:val="both"/>
        <w:rPr>
          <w:rFonts w:ascii="Arial" w:hAnsi="Arial" w:cs="Arial"/>
          <w:sz w:val="20"/>
          <w:szCs w:val="20"/>
        </w:rPr>
      </w:pPr>
      <w:r w:rsidRPr="00411FD5">
        <w:rPr>
          <w:rFonts w:ascii="Arial" w:hAnsi="Arial" w:cs="Arial"/>
          <w:sz w:val="20"/>
          <w:szCs w:val="20"/>
        </w:rPr>
        <w:t>Aún a pesar de la optimización y estandarización de los cuidados</w:t>
      </w:r>
      <w:r w:rsidR="00FF1688">
        <w:rPr>
          <w:rFonts w:ascii="Arial" w:hAnsi="Arial" w:cs="Arial"/>
          <w:sz w:val="20"/>
          <w:szCs w:val="20"/>
        </w:rPr>
        <w:t>,</w:t>
      </w:r>
      <w:r w:rsidRPr="00411FD5">
        <w:rPr>
          <w:rFonts w:ascii="Arial" w:hAnsi="Arial" w:cs="Arial"/>
          <w:sz w:val="20"/>
          <w:szCs w:val="20"/>
        </w:rPr>
        <w:t xml:space="preserve"> la debilidad muscular y la insuficiencia respiratoria son progresivas resultando en una muerte prematura en las formas más graves y una morbilidad muy relevante en las formas que alcanzan la edad adulta</w:t>
      </w:r>
      <w:r>
        <w:rPr>
          <w:rFonts w:ascii="Arial" w:hAnsi="Arial" w:cs="Arial"/>
          <w:sz w:val="20"/>
          <w:szCs w:val="20"/>
        </w:rPr>
        <w:t>.</w:t>
      </w:r>
    </w:p>
    <w:p w14:paraId="21553CE2" w14:textId="5F435D55" w:rsidR="00AC7E45" w:rsidRPr="00774D20" w:rsidRDefault="00411FD5" w:rsidP="00B64993">
      <w:pPr>
        <w:spacing w:after="120"/>
        <w:jc w:val="both"/>
        <w:rPr>
          <w:rFonts w:ascii="Arial" w:hAnsi="Arial" w:cs="Arial"/>
          <w:sz w:val="20"/>
          <w:szCs w:val="20"/>
        </w:rPr>
      </w:pPr>
      <w:r w:rsidRPr="00774D20">
        <w:rPr>
          <w:rFonts w:ascii="Arial" w:hAnsi="Arial" w:cs="Arial"/>
          <w:sz w:val="20"/>
          <w:szCs w:val="20"/>
        </w:rPr>
        <w:t>En 05/2017, se autorizaba en la Unión Europea el primer medica</w:t>
      </w:r>
      <w:r w:rsidR="008B4B2A" w:rsidRPr="00774D20">
        <w:rPr>
          <w:rFonts w:ascii="Arial" w:hAnsi="Arial" w:cs="Arial"/>
          <w:sz w:val="20"/>
          <w:szCs w:val="20"/>
        </w:rPr>
        <w:t>mento para esta indicación: n</w:t>
      </w:r>
      <w:r w:rsidRPr="00774D20">
        <w:rPr>
          <w:rFonts w:ascii="Arial" w:hAnsi="Arial" w:cs="Arial"/>
          <w:sz w:val="20"/>
          <w:szCs w:val="20"/>
        </w:rPr>
        <w:t>usinersen (Spinraza</w:t>
      </w:r>
      <w:r w:rsidRPr="00774D20">
        <w:rPr>
          <w:rFonts w:ascii="Arial" w:hAnsi="Arial" w:cs="Arial"/>
          <w:sz w:val="20"/>
          <w:szCs w:val="20"/>
          <w:vertAlign w:val="superscript"/>
        </w:rPr>
        <w:t>®</w:t>
      </w:r>
      <w:r w:rsidRPr="00774D20">
        <w:rPr>
          <w:rFonts w:ascii="Arial" w:hAnsi="Arial" w:cs="Arial"/>
          <w:sz w:val="20"/>
          <w:szCs w:val="20"/>
        </w:rPr>
        <w:t>)</w:t>
      </w:r>
      <w:r w:rsidR="002E00FD" w:rsidRPr="00774D20">
        <w:rPr>
          <w:rFonts w:ascii="Arial" w:hAnsi="Arial" w:cs="Arial"/>
          <w:sz w:val="20"/>
          <w:szCs w:val="20"/>
        </w:rPr>
        <w:t xml:space="preserve">. Este fármaco obtuvo indicación en el tratamiento de la </w:t>
      </w:r>
      <w:r w:rsidR="00121CDE" w:rsidRPr="00774D20">
        <w:rPr>
          <w:rFonts w:ascii="Arial" w:hAnsi="Arial" w:cs="Arial"/>
          <w:sz w:val="20"/>
          <w:szCs w:val="20"/>
        </w:rPr>
        <w:t>AME</w:t>
      </w:r>
      <w:r w:rsidR="002E00FD" w:rsidRPr="00774D20">
        <w:rPr>
          <w:rFonts w:ascii="Arial" w:hAnsi="Arial" w:cs="Arial"/>
          <w:sz w:val="20"/>
          <w:szCs w:val="20"/>
        </w:rPr>
        <w:t xml:space="preserve"> 5q tras demostrar beneficio positivo sobre la función motora, la función respiratoria y la supervivencia en pacientes con AME tipo I. También fue evaluado en las formas AME tipo II y III, donde demostró un efecto positivo sobre la función motora aunque sin datos para valorar su efecto sobre la supervivencia.</w:t>
      </w:r>
    </w:p>
    <w:p w14:paraId="468D79F1" w14:textId="0362894F" w:rsidR="0081091D" w:rsidRDefault="00DA7597" w:rsidP="00B64993">
      <w:pPr>
        <w:spacing w:after="120"/>
        <w:jc w:val="both"/>
        <w:rPr>
          <w:rFonts w:ascii="Arial" w:hAnsi="Arial" w:cs="Arial"/>
          <w:sz w:val="20"/>
          <w:szCs w:val="20"/>
        </w:rPr>
      </w:pPr>
      <w:r w:rsidRPr="00774D20">
        <w:rPr>
          <w:rFonts w:ascii="Arial" w:hAnsi="Arial" w:cs="Arial"/>
          <w:sz w:val="20"/>
          <w:szCs w:val="20"/>
        </w:rPr>
        <w:t>En los ensayos pivotales de nusinersen no se incluyeron pacientes que t</w:t>
      </w:r>
      <w:r w:rsidR="00FD5D4D">
        <w:rPr>
          <w:rFonts w:ascii="Arial" w:hAnsi="Arial" w:cs="Arial"/>
          <w:sz w:val="20"/>
          <w:szCs w:val="20"/>
        </w:rPr>
        <w:t>uviesen más de 12 años de edad</w:t>
      </w:r>
      <w:r w:rsidRPr="00774D20">
        <w:rPr>
          <w:rFonts w:ascii="Arial" w:hAnsi="Arial" w:cs="Arial"/>
          <w:sz w:val="20"/>
          <w:szCs w:val="20"/>
        </w:rPr>
        <w:t>, ni se evaluó en pacientes con AME II y III de larga evolución</w:t>
      </w:r>
      <w:r w:rsidR="00FD5D4D">
        <w:rPr>
          <w:rFonts w:ascii="Arial" w:hAnsi="Arial" w:cs="Arial"/>
          <w:sz w:val="20"/>
          <w:szCs w:val="20"/>
        </w:rPr>
        <w:t>,</w:t>
      </w:r>
      <w:r w:rsidRPr="00774D20">
        <w:rPr>
          <w:rFonts w:ascii="Arial" w:hAnsi="Arial" w:cs="Arial"/>
          <w:sz w:val="20"/>
          <w:szCs w:val="20"/>
        </w:rPr>
        <w:t xml:space="preserve"> ni en la forma adulta (AME tipo IV). </w:t>
      </w:r>
      <w:r w:rsidR="00FD5D4D" w:rsidRPr="00FD5D4D">
        <w:rPr>
          <w:rFonts w:ascii="Arial" w:hAnsi="Arial" w:cs="Arial"/>
          <w:sz w:val="20"/>
          <w:szCs w:val="20"/>
        </w:rPr>
        <w:t>Sin embargo, existen datos de una pequeña cohorte de pacientes (n=7) del ensayo</w:t>
      </w:r>
      <w:r w:rsidR="00FD5D4D">
        <w:rPr>
          <w:rFonts w:ascii="Arial" w:hAnsi="Arial" w:cs="Arial"/>
          <w:sz w:val="20"/>
          <w:szCs w:val="20"/>
        </w:rPr>
        <w:t xml:space="preserve"> </w:t>
      </w:r>
      <w:r w:rsidR="00FD5D4D" w:rsidRPr="00FD5D4D">
        <w:rPr>
          <w:rFonts w:ascii="Arial" w:hAnsi="Arial" w:cs="Arial"/>
          <w:sz w:val="20"/>
          <w:szCs w:val="20"/>
        </w:rPr>
        <w:t>CS2/CS12 que son actualmente adultos</w:t>
      </w:r>
      <w:r w:rsidR="00FD5D4D">
        <w:rPr>
          <w:rFonts w:ascii="Arial" w:hAnsi="Arial" w:cs="Arial"/>
          <w:sz w:val="20"/>
          <w:szCs w:val="20"/>
        </w:rPr>
        <w:t xml:space="preserve">. </w:t>
      </w:r>
      <w:r w:rsidR="00FD5D4D" w:rsidRPr="00FD5D4D">
        <w:rPr>
          <w:rFonts w:ascii="Arial" w:hAnsi="Arial" w:cs="Arial"/>
          <w:sz w:val="20"/>
          <w:szCs w:val="20"/>
        </w:rPr>
        <w:t xml:space="preserve">Además existen </w:t>
      </w:r>
      <w:r w:rsidR="00FD5D4D">
        <w:rPr>
          <w:rFonts w:ascii="Arial" w:hAnsi="Arial" w:cs="Arial"/>
          <w:sz w:val="20"/>
          <w:szCs w:val="20"/>
        </w:rPr>
        <w:t>registros</w:t>
      </w:r>
      <w:r w:rsidR="00FD5D4D" w:rsidRPr="00FD5D4D">
        <w:rPr>
          <w:rFonts w:ascii="Arial" w:hAnsi="Arial" w:cs="Arial"/>
          <w:sz w:val="20"/>
          <w:szCs w:val="20"/>
        </w:rPr>
        <w:t xml:space="preserve"> de más de 11.000 paciente</w:t>
      </w:r>
      <w:r w:rsidR="00FD5D4D">
        <w:rPr>
          <w:rFonts w:ascii="Arial" w:hAnsi="Arial" w:cs="Arial"/>
          <w:sz w:val="20"/>
          <w:szCs w:val="20"/>
        </w:rPr>
        <w:t>s</w:t>
      </w:r>
      <w:r w:rsidR="00FD5D4D" w:rsidRPr="00FD5D4D">
        <w:rPr>
          <w:rFonts w:ascii="Arial" w:hAnsi="Arial" w:cs="Arial"/>
          <w:sz w:val="20"/>
          <w:szCs w:val="20"/>
        </w:rPr>
        <w:t xml:space="preserve"> con AME de</w:t>
      </w:r>
      <w:r w:rsidR="00FD5D4D">
        <w:rPr>
          <w:rFonts w:ascii="Arial" w:hAnsi="Arial" w:cs="Arial"/>
          <w:sz w:val="20"/>
          <w:szCs w:val="20"/>
        </w:rPr>
        <w:t xml:space="preserve"> </w:t>
      </w:r>
      <w:r w:rsidR="00FD5D4D" w:rsidRPr="00FD5D4D">
        <w:rPr>
          <w:rFonts w:ascii="Arial" w:hAnsi="Arial" w:cs="Arial"/>
          <w:sz w:val="20"/>
          <w:szCs w:val="20"/>
        </w:rPr>
        <w:t>larga evolución de tipos II a IV tratados con nusinersen con datos</w:t>
      </w:r>
      <w:r w:rsidR="00FD5D4D">
        <w:rPr>
          <w:rFonts w:ascii="Arial" w:hAnsi="Arial" w:cs="Arial"/>
          <w:sz w:val="20"/>
          <w:szCs w:val="20"/>
        </w:rPr>
        <w:t xml:space="preserve"> </w:t>
      </w:r>
      <w:r w:rsidR="00FD5D4D" w:rsidRPr="00FD5D4D">
        <w:rPr>
          <w:rFonts w:ascii="Arial" w:hAnsi="Arial" w:cs="Arial"/>
          <w:sz w:val="20"/>
          <w:szCs w:val="20"/>
        </w:rPr>
        <w:t>observacionales prospectivos de dos</w:t>
      </w:r>
      <w:r w:rsidR="00FD5D4D">
        <w:rPr>
          <w:rFonts w:ascii="Arial" w:hAnsi="Arial" w:cs="Arial"/>
          <w:sz w:val="20"/>
          <w:szCs w:val="20"/>
        </w:rPr>
        <w:t xml:space="preserve"> grandes cohortes de adultos.</w:t>
      </w:r>
      <w:r w:rsidR="0081091D">
        <w:rPr>
          <w:rFonts w:ascii="Arial" w:hAnsi="Arial" w:cs="Arial"/>
          <w:sz w:val="20"/>
          <w:szCs w:val="20"/>
        </w:rPr>
        <w:t xml:space="preserve"> </w:t>
      </w:r>
      <w:r w:rsidRPr="00774D20">
        <w:rPr>
          <w:rFonts w:ascii="Arial" w:hAnsi="Arial" w:cs="Arial"/>
          <w:sz w:val="20"/>
          <w:szCs w:val="20"/>
        </w:rPr>
        <w:t>El mecanismo de acción en estos tipos de AME es el mismo y podrían</w:t>
      </w:r>
      <w:r w:rsidR="00FF1688" w:rsidRPr="00774D20">
        <w:rPr>
          <w:rFonts w:ascii="Arial" w:hAnsi="Arial" w:cs="Arial"/>
          <w:sz w:val="20"/>
          <w:szCs w:val="20"/>
        </w:rPr>
        <w:t>,</w:t>
      </w:r>
      <w:r w:rsidRPr="00774D20">
        <w:rPr>
          <w:rFonts w:ascii="Arial" w:hAnsi="Arial" w:cs="Arial"/>
          <w:sz w:val="20"/>
          <w:szCs w:val="20"/>
        </w:rPr>
        <w:t xml:space="preserve"> por tanto</w:t>
      </w:r>
      <w:r w:rsidR="00FF1688" w:rsidRPr="00774D20">
        <w:rPr>
          <w:rFonts w:ascii="Arial" w:hAnsi="Arial" w:cs="Arial"/>
          <w:sz w:val="20"/>
          <w:szCs w:val="20"/>
        </w:rPr>
        <w:t>,</w:t>
      </w:r>
      <w:r w:rsidRPr="00774D20">
        <w:rPr>
          <w:rFonts w:ascii="Arial" w:hAnsi="Arial" w:cs="Arial"/>
          <w:sz w:val="20"/>
          <w:szCs w:val="20"/>
        </w:rPr>
        <w:t xml:space="preserve"> esperarse resultados positivos en estos pacientes</w:t>
      </w:r>
      <w:r w:rsidR="0081091D">
        <w:rPr>
          <w:rFonts w:ascii="Arial" w:hAnsi="Arial" w:cs="Arial"/>
          <w:sz w:val="20"/>
          <w:szCs w:val="20"/>
        </w:rPr>
        <w:t>.</w:t>
      </w:r>
    </w:p>
    <w:p w14:paraId="1FB14286" w14:textId="77777777" w:rsidR="006219E3" w:rsidRDefault="006219E3" w:rsidP="001F6887">
      <w:pPr>
        <w:spacing w:before="240"/>
        <w:jc w:val="both"/>
        <w:rPr>
          <w:rFonts w:ascii="Arial" w:hAnsi="Arial" w:cs="Arial"/>
          <w:color w:val="000080"/>
          <w:sz w:val="20"/>
          <w:szCs w:val="20"/>
        </w:rPr>
      </w:pPr>
    </w:p>
    <w:p w14:paraId="16A761CF" w14:textId="4EF2BECC" w:rsidR="00AC7E45" w:rsidRDefault="00AC7E45" w:rsidP="00F3676C">
      <w:pPr>
        <w:pStyle w:val="Ttulo2"/>
        <w:pBdr>
          <w:top w:val="single" w:sz="4" w:space="1" w:color="auto"/>
          <w:left w:val="single" w:sz="4" w:space="4" w:color="auto"/>
          <w:bottom w:val="single" w:sz="4" w:space="0" w:color="auto"/>
          <w:right w:val="single" w:sz="4" w:space="4" w:color="auto"/>
        </w:pBdr>
        <w:shd w:val="clear" w:color="auto" w:fill="D9D9D9"/>
        <w:rPr>
          <w:rFonts w:ascii="Arial" w:hAnsi="Arial" w:cs="Arial"/>
          <w:sz w:val="20"/>
          <w:szCs w:val="20"/>
        </w:rPr>
      </w:pPr>
      <w:bookmarkStart w:id="22" w:name="_Toc348931352"/>
      <w:bookmarkStart w:id="23" w:name="_Toc344399625"/>
      <w:r w:rsidRPr="008B4B2A">
        <w:rPr>
          <w:rFonts w:ascii="Arial" w:hAnsi="Arial" w:cs="Arial"/>
          <w:sz w:val="20"/>
          <w:szCs w:val="20"/>
        </w:rPr>
        <w:lastRenderedPageBreak/>
        <w:t>3.3 Características comparadas con otras alternativas similares</w:t>
      </w:r>
      <w:bookmarkEnd w:id="22"/>
      <w:bookmarkEnd w:id="23"/>
      <w:r w:rsidR="00F3676C">
        <w:rPr>
          <w:rFonts w:ascii="Arial" w:hAnsi="Arial" w:cs="Arial"/>
          <w:sz w:val="20"/>
          <w:szCs w:val="20"/>
        </w:rPr>
        <w:t>.</w:t>
      </w:r>
    </w:p>
    <w:tbl>
      <w:tblPr>
        <w:tblpPr w:leftFromText="141" w:rightFromText="141" w:vertAnchor="text" w:horzAnchor="margin" w:tblpXSpec="center" w:tblpY="3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04"/>
        <w:gridCol w:w="3193"/>
        <w:gridCol w:w="4132"/>
      </w:tblGrid>
      <w:tr w:rsidR="00530571" w14:paraId="34702157" w14:textId="77777777" w:rsidTr="003124F4">
        <w:trPr>
          <w:cantSplit/>
        </w:trPr>
        <w:tc>
          <w:tcPr>
            <w:tcW w:w="5000" w:type="pct"/>
            <w:gridSpan w:val="3"/>
            <w:shd w:val="clear" w:color="auto" w:fill="CCFFCC"/>
            <w:vAlign w:val="center"/>
          </w:tcPr>
          <w:p w14:paraId="5081DE03" w14:textId="7ACEACEE" w:rsidR="00530571" w:rsidRDefault="008B4B2A" w:rsidP="001F6887">
            <w:pPr>
              <w:pStyle w:val="Encabezado"/>
              <w:tabs>
                <w:tab w:val="clear" w:pos="4252"/>
                <w:tab w:val="clear" w:pos="8504"/>
              </w:tabs>
              <w:rPr>
                <w:rFonts w:ascii="Arial" w:hAnsi="Arial" w:cs="Arial"/>
                <w:b/>
                <w:sz w:val="18"/>
                <w:szCs w:val="20"/>
              </w:rPr>
            </w:pPr>
            <w:r>
              <w:rPr>
                <w:rFonts w:ascii="Arial" w:hAnsi="Arial" w:cs="Arial"/>
                <w:b/>
                <w:bCs/>
                <w:sz w:val="18"/>
                <w:szCs w:val="18"/>
              </w:rPr>
              <w:t>Tabla 3.3</w:t>
            </w:r>
            <w:r>
              <w:rPr>
                <w:rFonts w:ascii="Arial" w:hAnsi="Arial" w:cs="Arial"/>
                <w:sz w:val="20"/>
                <w:szCs w:val="20"/>
              </w:rPr>
              <w:t xml:space="preserve"> </w:t>
            </w:r>
            <w:r w:rsidRPr="008B4B2A">
              <w:rPr>
                <w:rFonts w:ascii="Arial" w:hAnsi="Arial" w:cs="Arial"/>
                <w:b/>
                <w:sz w:val="18"/>
                <w:szCs w:val="20"/>
              </w:rPr>
              <w:t>Alternativas disponibles para la misma indicación</w:t>
            </w:r>
            <w:r w:rsidR="00493C38">
              <w:rPr>
                <w:rFonts w:ascii="Arial" w:hAnsi="Arial" w:cs="Arial"/>
                <w:b/>
                <w:sz w:val="18"/>
                <w:szCs w:val="20"/>
              </w:rPr>
              <w:t>.</w:t>
            </w:r>
          </w:p>
          <w:p w14:paraId="2E60070F" w14:textId="523692B8" w:rsidR="008B4B2A" w:rsidRPr="00D47E8B" w:rsidRDefault="008B4B2A" w:rsidP="001F6887">
            <w:pPr>
              <w:pStyle w:val="Encabezado"/>
              <w:tabs>
                <w:tab w:val="clear" w:pos="4252"/>
                <w:tab w:val="clear" w:pos="8504"/>
              </w:tabs>
              <w:rPr>
                <w:rFonts w:ascii="Arial" w:hAnsi="Arial" w:cs="Arial"/>
                <w:b/>
                <w:bCs/>
                <w:sz w:val="18"/>
                <w:szCs w:val="18"/>
              </w:rPr>
            </w:pPr>
          </w:p>
        </w:tc>
      </w:tr>
      <w:tr w:rsidR="00530571" w14:paraId="00037F53" w14:textId="77777777" w:rsidTr="003124F4">
        <w:tc>
          <w:tcPr>
            <w:tcW w:w="804" w:type="pct"/>
            <w:vAlign w:val="center"/>
          </w:tcPr>
          <w:p w14:paraId="4CBBDF05" w14:textId="2BD42A6E" w:rsidR="00F3676C" w:rsidRPr="00D47E8B" w:rsidRDefault="00530571" w:rsidP="00F3676C">
            <w:pPr>
              <w:pStyle w:val="Encabezado"/>
              <w:tabs>
                <w:tab w:val="clear" w:pos="4252"/>
                <w:tab w:val="clear" w:pos="8504"/>
              </w:tabs>
              <w:spacing w:before="120" w:after="120"/>
              <w:jc w:val="center"/>
              <w:rPr>
                <w:rFonts w:ascii="Arial" w:hAnsi="Arial" w:cs="Arial"/>
                <w:b/>
                <w:bCs/>
                <w:sz w:val="18"/>
                <w:szCs w:val="18"/>
              </w:rPr>
            </w:pPr>
            <w:r w:rsidRPr="00D47E8B">
              <w:rPr>
                <w:rFonts w:ascii="Arial" w:hAnsi="Arial" w:cs="Arial"/>
                <w:b/>
                <w:bCs/>
                <w:sz w:val="18"/>
                <w:szCs w:val="18"/>
              </w:rPr>
              <w:t>Nombre</w:t>
            </w:r>
          </w:p>
        </w:tc>
        <w:tc>
          <w:tcPr>
            <w:tcW w:w="1829" w:type="pct"/>
            <w:vAlign w:val="center"/>
          </w:tcPr>
          <w:p w14:paraId="5E67A98B" w14:textId="0B7BED20" w:rsidR="00F3676C" w:rsidRPr="00774D20" w:rsidRDefault="00530571" w:rsidP="00F3676C">
            <w:pPr>
              <w:pStyle w:val="Encabezado"/>
              <w:tabs>
                <w:tab w:val="clear" w:pos="4252"/>
                <w:tab w:val="clear" w:pos="8504"/>
              </w:tabs>
              <w:spacing w:before="120" w:after="120"/>
              <w:jc w:val="center"/>
              <w:rPr>
                <w:rFonts w:ascii="Arial" w:hAnsi="Arial" w:cs="Arial"/>
                <w:b/>
                <w:bCs/>
                <w:sz w:val="18"/>
                <w:szCs w:val="18"/>
                <w:vertAlign w:val="superscript"/>
              </w:rPr>
            </w:pPr>
            <w:r w:rsidRPr="00774D20">
              <w:rPr>
                <w:rFonts w:ascii="Arial" w:hAnsi="Arial" w:cs="Arial"/>
                <w:b/>
                <w:bCs/>
                <w:sz w:val="18"/>
                <w:szCs w:val="18"/>
              </w:rPr>
              <w:t>Onasemnogén abeparvovec</w:t>
            </w:r>
            <w:r w:rsidR="00493C38" w:rsidRPr="00774D20">
              <w:rPr>
                <w:rFonts w:ascii="Arial" w:hAnsi="Arial" w:cs="Arial"/>
                <w:b/>
                <w:bCs/>
                <w:sz w:val="18"/>
                <w:szCs w:val="18"/>
                <w:vertAlign w:val="superscript"/>
              </w:rPr>
              <w:fldChar w:fldCharType="begin"/>
            </w:r>
            <w:r w:rsidR="00493C38" w:rsidRPr="00774D20">
              <w:rPr>
                <w:rFonts w:ascii="Arial" w:hAnsi="Arial" w:cs="Arial"/>
                <w:b/>
                <w:bCs/>
                <w:sz w:val="18"/>
                <w:szCs w:val="18"/>
                <w:vertAlign w:val="superscript"/>
              </w:rPr>
              <w:instrText xml:space="preserve"> NOTEREF _Ref52267010 \h  \* MERGEFORMAT </w:instrText>
            </w:r>
            <w:r w:rsidR="00493C38" w:rsidRPr="00774D20">
              <w:rPr>
                <w:rFonts w:ascii="Arial" w:hAnsi="Arial" w:cs="Arial"/>
                <w:b/>
                <w:bCs/>
                <w:sz w:val="18"/>
                <w:szCs w:val="18"/>
                <w:vertAlign w:val="superscript"/>
              </w:rPr>
            </w:r>
            <w:r w:rsidR="00493C38" w:rsidRPr="00774D20">
              <w:rPr>
                <w:rFonts w:ascii="Arial" w:hAnsi="Arial" w:cs="Arial"/>
                <w:b/>
                <w:bCs/>
                <w:sz w:val="18"/>
                <w:szCs w:val="18"/>
                <w:vertAlign w:val="superscript"/>
              </w:rPr>
              <w:fldChar w:fldCharType="separate"/>
            </w:r>
            <w:r w:rsidR="00E277F2">
              <w:rPr>
                <w:rFonts w:ascii="Arial" w:hAnsi="Arial" w:cs="Arial"/>
                <w:b/>
                <w:bCs/>
                <w:sz w:val="18"/>
                <w:szCs w:val="18"/>
                <w:vertAlign w:val="superscript"/>
              </w:rPr>
              <w:t>1</w:t>
            </w:r>
            <w:r w:rsidR="00493C38" w:rsidRPr="00774D20">
              <w:rPr>
                <w:rFonts w:ascii="Arial" w:hAnsi="Arial" w:cs="Arial"/>
                <w:b/>
                <w:bCs/>
                <w:sz w:val="18"/>
                <w:szCs w:val="18"/>
                <w:vertAlign w:val="superscript"/>
              </w:rPr>
              <w:fldChar w:fldCharType="end"/>
            </w:r>
          </w:p>
        </w:tc>
        <w:tc>
          <w:tcPr>
            <w:tcW w:w="2368" w:type="pct"/>
            <w:vAlign w:val="center"/>
          </w:tcPr>
          <w:p w14:paraId="49E01475" w14:textId="4BC05044" w:rsidR="00F3676C" w:rsidRPr="00F3676C" w:rsidRDefault="00530571" w:rsidP="00F3676C">
            <w:pPr>
              <w:pStyle w:val="Encabezado"/>
              <w:tabs>
                <w:tab w:val="clear" w:pos="4252"/>
                <w:tab w:val="clear" w:pos="8504"/>
              </w:tabs>
              <w:spacing w:before="120" w:after="120"/>
              <w:jc w:val="center"/>
              <w:rPr>
                <w:rFonts w:ascii="Arial" w:hAnsi="Arial" w:cs="Arial"/>
                <w:b/>
                <w:bCs/>
                <w:sz w:val="18"/>
                <w:szCs w:val="18"/>
              </w:rPr>
            </w:pPr>
            <w:r w:rsidRPr="00774D20">
              <w:rPr>
                <w:rFonts w:ascii="Arial" w:hAnsi="Arial" w:cs="Arial"/>
                <w:b/>
                <w:bCs/>
                <w:sz w:val="18"/>
                <w:szCs w:val="18"/>
              </w:rPr>
              <w:t>Nusinersen</w:t>
            </w:r>
            <w:r w:rsidR="000B327E" w:rsidRPr="00774D20">
              <w:rPr>
                <w:rStyle w:val="Refdenotaalfinal"/>
                <w:rFonts w:ascii="Arial" w:hAnsi="Arial" w:cs="Arial"/>
                <w:b/>
                <w:bCs/>
                <w:sz w:val="18"/>
                <w:szCs w:val="18"/>
              </w:rPr>
              <w:endnoteReference w:id="12"/>
            </w:r>
          </w:p>
        </w:tc>
      </w:tr>
      <w:tr w:rsidR="00530571" w14:paraId="01942E47" w14:textId="77777777" w:rsidTr="00F3676C">
        <w:tc>
          <w:tcPr>
            <w:tcW w:w="804" w:type="pct"/>
            <w:vAlign w:val="center"/>
          </w:tcPr>
          <w:p w14:paraId="21385072" w14:textId="77777777" w:rsidR="00530571" w:rsidRPr="00F3676C" w:rsidRDefault="00530571" w:rsidP="00F3676C">
            <w:pPr>
              <w:spacing w:before="120" w:after="120"/>
              <w:jc w:val="center"/>
              <w:rPr>
                <w:rFonts w:ascii="Arial" w:hAnsi="Arial" w:cs="Arial"/>
                <w:b/>
                <w:bCs/>
                <w:sz w:val="18"/>
                <w:szCs w:val="16"/>
              </w:rPr>
            </w:pPr>
            <w:r w:rsidRPr="00F3676C">
              <w:rPr>
                <w:rFonts w:ascii="Arial" w:hAnsi="Arial" w:cs="Arial"/>
                <w:b/>
                <w:bCs/>
                <w:sz w:val="18"/>
                <w:szCs w:val="16"/>
              </w:rPr>
              <w:t>Presentación</w:t>
            </w:r>
          </w:p>
        </w:tc>
        <w:tc>
          <w:tcPr>
            <w:tcW w:w="1829" w:type="pct"/>
            <w:vAlign w:val="center"/>
          </w:tcPr>
          <w:p w14:paraId="0872EF39" w14:textId="1F6F56C5" w:rsidR="00F3676C" w:rsidRDefault="0070726C" w:rsidP="00F3676C">
            <w:pPr>
              <w:spacing w:before="120" w:after="120"/>
              <w:jc w:val="center"/>
              <w:rPr>
                <w:rFonts w:ascii="Arial" w:hAnsi="Arial" w:cs="Arial"/>
                <w:sz w:val="16"/>
                <w:szCs w:val="16"/>
              </w:rPr>
            </w:pPr>
            <w:r>
              <w:rPr>
                <w:rFonts w:ascii="Arial" w:hAnsi="Arial" w:cs="Arial"/>
                <w:sz w:val="16"/>
                <w:szCs w:val="16"/>
              </w:rPr>
              <w:t>ZOLGENSMA 2 x 10</w:t>
            </w:r>
            <w:r>
              <w:rPr>
                <w:rFonts w:ascii="Arial" w:hAnsi="Arial" w:cs="Arial"/>
                <w:sz w:val="16"/>
                <w:szCs w:val="16"/>
                <w:vertAlign w:val="superscript"/>
              </w:rPr>
              <w:t>13</w:t>
            </w:r>
            <w:r>
              <w:rPr>
                <w:rFonts w:ascii="Arial" w:hAnsi="Arial" w:cs="Arial"/>
                <w:sz w:val="16"/>
                <w:szCs w:val="16"/>
              </w:rPr>
              <w:t xml:space="preserve"> genomas vectoriales/ml solución para perfusión</w:t>
            </w:r>
          </w:p>
        </w:tc>
        <w:tc>
          <w:tcPr>
            <w:tcW w:w="2368" w:type="pct"/>
            <w:vAlign w:val="center"/>
          </w:tcPr>
          <w:p w14:paraId="3C501BC9" w14:textId="5DD715E2" w:rsidR="00F3676C" w:rsidRDefault="0070726C" w:rsidP="00F3676C">
            <w:pPr>
              <w:spacing w:before="120" w:after="120"/>
              <w:jc w:val="center"/>
              <w:rPr>
                <w:rFonts w:ascii="Arial" w:hAnsi="Arial" w:cs="Arial"/>
                <w:sz w:val="16"/>
                <w:szCs w:val="16"/>
              </w:rPr>
            </w:pPr>
            <w:r>
              <w:rPr>
                <w:rFonts w:ascii="Arial" w:hAnsi="Arial" w:cs="Arial"/>
                <w:sz w:val="16"/>
                <w:szCs w:val="16"/>
              </w:rPr>
              <w:t>SPINRAZA 12 mg solución inyectable</w:t>
            </w:r>
          </w:p>
        </w:tc>
      </w:tr>
      <w:tr w:rsidR="00530571" w14:paraId="2A91C70E" w14:textId="77777777" w:rsidTr="003124F4">
        <w:trPr>
          <w:trHeight w:val="1641"/>
        </w:trPr>
        <w:tc>
          <w:tcPr>
            <w:tcW w:w="804" w:type="pct"/>
            <w:vAlign w:val="center"/>
          </w:tcPr>
          <w:p w14:paraId="2CC014EA" w14:textId="77777777" w:rsidR="00530571" w:rsidRPr="00D47E8B" w:rsidRDefault="00530571" w:rsidP="00F3676C">
            <w:pPr>
              <w:pStyle w:val="Encabezado"/>
              <w:tabs>
                <w:tab w:val="clear" w:pos="4252"/>
                <w:tab w:val="clear" w:pos="8504"/>
              </w:tabs>
              <w:spacing w:before="120" w:after="120"/>
              <w:jc w:val="center"/>
              <w:rPr>
                <w:rFonts w:ascii="Arial" w:hAnsi="Arial" w:cs="Arial"/>
                <w:b/>
                <w:bCs/>
                <w:sz w:val="18"/>
                <w:szCs w:val="18"/>
              </w:rPr>
            </w:pPr>
            <w:r w:rsidRPr="00D47E8B">
              <w:rPr>
                <w:rFonts w:ascii="Arial" w:hAnsi="Arial" w:cs="Arial"/>
                <w:b/>
                <w:bCs/>
                <w:sz w:val="18"/>
                <w:szCs w:val="18"/>
              </w:rPr>
              <w:t>Posología</w:t>
            </w:r>
          </w:p>
        </w:tc>
        <w:tc>
          <w:tcPr>
            <w:tcW w:w="1829" w:type="pct"/>
            <w:vAlign w:val="center"/>
          </w:tcPr>
          <w:p w14:paraId="26D4B8FC" w14:textId="77777777" w:rsidR="00CB574C" w:rsidRDefault="00CB574C" w:rsidP="00F3676C">
            <w:pPr>
              <w:spacing w:before="120" w:after="120"/>
              <w:jc w:val="center"/>
              <w:rPr>
                <w:rFonts w:ascii="Arial" w:hAnsi="Arial" w:cs="Arial"/>
                <w:sz w:val="16"/>
                <w:szCs w:val="16"/>
              </w:rPr>
            </w:pPr>
            <w:r>
              <w:rPr>
                <w:rFonts w:ascii="Arial" w:hAnsi="Arial" w:cs="Arial"/>
                <w:sz w:val="16"/>
                <w:szCs w:val="16"/>
              </w:rPr>
              <w:t>D</w:t>
            </w:r>
            <w:r w:rsidRPr="00CB574C">
              <w:rPr>
                <w:rFonts w:ascii="Arial" w:hAnsi="Arial" w:cs="Arial"/>
                <w:sz w:val="16"/>
                <w:szCs w:val="16"/>
              </w:rPr>
              <w:t>osis nominal de 1,1 x 10</w:t>
            </w:r>
            <w:r w:rsidRPr="00003C07">
              <w:rPr>
                <w:rFonts w:ascii="Arial" w:hAnsi="Arial" w:cs="Arial"/>
                <w:sz w:val="16"/>
                <w:szCs w:val="16"/>
                <w:vertAlign w:val="superscript"/>
              </w:rPr>
              <w:t>14</w:t>
            </w:r>
            <w:r w:rsidRPr="00CB574C">
              <w:rPr>
                <w:rFonts w:ascii="Arial" w:hAnsi="Arial" w:cs="Arial"/>
                <w:sz w:val="16"/>
                <w:szCs w:val="16"/>
              </w:rPr>
              <w:t xml:space="preserve"> vg/kg de onasemnogén abeparvovec. El volumen total se determina en función del peso corporal del paciente</w:t>
            </w:r>
          </w:p>
          <w:p w14:paraId="3E4B96D1" w14:textId="2AE98AEF" w:rsidR="00530571" w:rsidRPr="00DD765D" w:rsidRDefault="00CB574C" w:rsidP="00F3676C">
            <w:pPr>
              <w:spacing w:before="120" w:after="120"/>
              <w:jc w:val="center"/>
              <w:rPr>
                <w:rFonts w:ascii="Arial" w:hAnsi="Arial" w:cs="Arial"/>
                <w:sz w:val="16"/>
                <w:szCs w:val="16"/>
              </w:rPr>
            </w:pPr>
            <w:r>
              <w:rPr>
                <w:rFonts w:ascii="Arial" w:hAnsi="Arial" w:cs="Arial"/>
                <w:sz w:val="16"/>
                <w:szCs w:val="16"/>
              </w:rPr>
              <w:t>P</w:t>
            </w:r>
            <w:r w:rsidRPr="00CB574C">
              <w:rPr>
                <w:rFonts w:ascii="Arial" w:hAnsi="Arial" w:cs="Arial"/>
                <w:sz w:val="16"/>
                <w:szCs w:val="16"/>
              </w:rPr>
              <w:t>erfusión intravenosa en dosis única.</w:t>
            </w:r>
          </w:p>
        </w:tc>
        <w:tc>
          <w:tcPr>
            <w:tcW w:w="2368" w:type="pct"/>
            <w:vAlign w:val="center"/>
          </w:tcPr>
          <w:p w14:paraId="4B4D7492" w14:textId="77777777" w:rsidR="00CB574C" w:rsidRPr="00CB574C" w:rsidRDefault="00CB574C" w:rsidP="00F3676C">
            <w:pPr>
              <w:spacing w:before="120" w:after="120"/>
              <w:jc w:val="center"/>
              <w:rPr>
                <w:rFonts w:ascii="Arial" w:hAnsi="Arial" w:cs="Arial"/>
                <w:sz w:val="16"/>
                <w:szCs w:val="16"/>
              </w:rPr>
            </w:pPr>
            <w:r w:rsidRPr="00CB574C">
              <w:rPr>
                <w:rFonts w:ascii="Arial" w:hAnsi="Arial" w:cs="Arial"/>
                <w:sz w:val="16"/>
                <w:szCs w:val="16"/>
              </w:rPr>
              <w:t>La dosis recomendada es 12 mg (5 ml) por administración.</w:t>
            </w:r>
          </w:p>
          <w:p w14:paraId="358F7C3F" w14:textId="77777777" w:rsidR="00530571" w:rsidRDefault="00CB574C" w:rsidP="00F3676C">
            <w:pPr>
              <w:spacing w:before="120" w:after="120"/>
              <w:jc w:val="center"/>
              <w:rPr>
                <w:rFonts w:ascii="Arial" w:hAnsi="Arial" w:cs="Arial"/>
                <w:sz w:val="16"/>
                <w:szCs w:val="16"/>
              </w:rPr>
            </w:pPr>
            <w:r w:rsidRPr="00CB574C">
              <w:rPr>
                <w:rFonts w:ascii="Arial" w:hAnsi="Arial" w:cs="Arial"/>
                <w:sz w:val="16"/>
                <w:szCs w:val="16"/>
              </w:rPr>
              <w:t xml:space="preserve">El tratamiento </w:t>
            </w:r>
            <w:r>
              <w:rPr>
                <w:rFonts w:ascii="Arial" w:hAnsi="Arial" w:cs="Arial"/>
                <w:sz w:val="16"/>
                <w:szCs w:val="16"/>
              </w:rPr>
              <w:t>se debe iniciar</w:t>
            </w:r>
            <w:r w:rsidRPr="00CB574C">
              <w:rPr>
                <w:rFonts w:ascii="Arial" w:hAnsi="Arial" w:cs="Arial"/>
                <w:sz w:val="16"/>
                <w:szCs w:val="16"/>
              </w:rPr>
              <w:t xml:space="preserve"> con 4 dosis de carga los días 0, 14, 28 y 63. A partir de entonces, se debe administrar una dosis de mantenimiento una vez cada 4 meses.</w:t>
            </w:r>
          </w:p>
          <w:p w14:paraId="7147FED5" w14:textId="30816C16" w:rsidR="00D200F6" w:rsidRDefault="00D200F6" w:rsidP="00F3676C">
            <w:pPr>
              <w:spacing w:before="120" w:after="120"/>
              <w:jc w:val="center"/>
              <w:rPr>
                <w:rFonts w:ascii="Arial" w:hAnsi="Arial" w:cs="Arial"/>
                <w:sz w:val="16"/>
                <w:szCs w:val="16"/>
              </w:rPr>
            </w:pPr>
            <w:r>
              <w:rPr>
                <w:rFonts w:ascii="Arial" w:hAnsi="Arial" w:cs="Arial"/>
                <w:sz w:val="16"/>
                <w:szCs w:val="16"/>
              </w:rPr>
              <w:t>Se administra en inyección en bolo intratecal durante 1 a 3 minutos</w:t>
            </w:r>
          </w:p>
        </w:tc>
      </w:tr>
      <w:tr w:rsidR="00530571" w14:paraId="1D9E5AAC" w14:textId="77777777" w:rsidTr="003124F4">
        <w:tc>
          <w:tcPr>
            <w:tcW w:w="804" w:type="pct"/>
            <w:vAlign w:val="center"/>
          </w:tcPr>
          <w:p w14:paraId="358E2640" w14:textId="36982F0B" w:rsidR="00530571" w:rsidRPr="00D47E8B" w:rsidRDefault="00530571" w:rsidP="00F3676C">
            <w:pPr>
              <w:pStyle w:val="Encabezado"/>
              <w:tabs>
                <w:tab w:val="clear" w:pos="4252"/>
                <w:tab w:val="clear" w:pos="8504"/>
              </w:tabs>
              <w:spacing w:before="120" w:after="120"/>
              <w:jc w:val="center"/>
              <w:rPr>
                <w:rFonts w:ascii="Arial" w:hAnsi="Arial" w:cs="Arial"/>
                <w:b/>
                <w:bCs/>
                <w:sz w:val="18"/>
                <w:szCs w:val="18"/>
              </w:rPr>
            </w:pPr>
            <w:r w:rsidRPr="00D47E8B">
              <w:rPr>
                <w:rFonts w:ascii="Arial" w:hAnsi="Arial" w:cs="Arial"/>
                <w:b/>
                <w:bCs/>
                <w:sz w:val="18"/>
                <w:szCs w:val="18"/>
              </w:rPr>
              <w:t>Indicación aprobada en F</w:t>
            </w:r>
            <w:r w:rsidR="00F85AF4">
              <w:rPr>
                <w:rFonts w:ascii="Arial" w:hAnsi="Arial" w:cs="Arial"/>
                <w:b/>
                <w:bCs/>
                <w:sz w:val="18"/>
                <w:szCs w:val="18"/>
              </w:rPr>
              <w:t xml:space="preserve">icha </w:t>
            </w:r>
            <w:r w:rsidRPr="00D47E8B">
              <w:rPr>
                <w:rFonts w:ascii="Arial" w:hAnsi="Arial" w:cs="Arial"/>
                <w:b/>
                <w:bCs/>
                <w:sz w:val="18"/>
                <w:szCs w:val="18"/>
              </w:rPr>
              <w:t>T</w:t>
            </w:r>
            <w:r w:rsidR="00F85AF4">
              <w:rPr>
                <w:rFonts w:ascii="Arial" w:hAnsi="Arial" w:cs="Arial"/>
                <w:b/>
                <w:bCs/>
                <w:sz w:val="18"/>
                <w:szCs w:val="18"/>
              </w:rPr>
              <w:t>écnica</w:t>
            </w:r>
          </w:p>
        </w:tc>
        <w:tc>
          <w:tcPr>
            <w:tcW w:w="1829" w:type="pct"/>
            <w:vAlign w:val="center"/>
          </w:tcPr>
          <w:p w14:paraId="1750D4EF" w14:textId="18C0E23F" w:rsidR="00DD765D" w:rsidRPr="00774D20" w:rsidRDefault="00DD765D" w:rsidP="00F3676C">
            <w:pPr>
              <w:numPr>
                <w:ilvl w:val="0"/>
                <w:numId w:val="1"/>
              </w:numPr>
              <w:shd w:val="clear" w:color="auto" w:fill="FFFFFF"/>
              <w:spacing w:before="120" w:after="120"/>
              <w:ind w:left="241" w:hanging="241"/>
              <w:jc w:val="center"/>
              <w:rPr>
                <w:rFonts w:ascii="Arial" w:hAnsi="Arial" w:cs="Arial"/>
                <w:sz w:val="16"/>
                <w:szCs w:val="16"/>
              </w:rPr>
            </w:pPr>
            <w:r w:rsidRPr="00774D20">
              <w:rPr>
                <w:rFonts w:ascii="Arial" w:hAnsi="Arial" w:cs="Arial"/>
                <w:sz w:val="16"/>
                <w:szCs w:val="16"/>
              </w:rPr>
              <w:t xml:space="preserve">Pacientes con AME en 5q con una mutación bialélica en el gen SMN1 y un </w:t>
            </w:r>
            <w:r w:rsidR="001B29E2" w:rsidRPr="00774D20">
              <w:rPr>
                <w:rFonts w:ascii="Arial" w:hAnsi="Arial" w:cs="Arial"/>
                <w:sz w:val="16"/>
                <w:szCs w:val="16"/>
              </w:rPr>
              <w:t>diagnóstico</w:t>
            </w:r>
            <w:r w:rsidRPr="00774D20">
              <w:rPr>
                <w:rFonts w:ascii="Arial" w:hAnsi="Arial" w:cs="Arial"/>
                <w:sz w:val="16"/>
                <w:szCs w:val="16"/>
              </w:rPr>
              <w:t xml:space="preserve"> clínico de AME tipo 1</w:t>
            </w:r>
          </w:p>
          <w:p w14:paraId="3D0D000E" w14:textId="77777777" w:rsidR="00DD765D" w:rsidRPr="00774D20" w:rsidRDefault="00DD765D" w:rsidP="00F3676C">
            <w:pPr>
              <w:shd w:val="clear" w:color="auto" w:fill="FFFFFF"/>
              <w:spacing w:before="120" w:after="120"/>
              <w:ind w:left="241"/>
              <w:jc w:val="center"/>
              <w:rPr>
                <w:rFonts w:ascii="Arial" w:hAnsi="Arial" w:cs="Arial"/>
                <w:sz w:val="16"/>
                <w:szCs w:val="16"/>
              </w:rPr>
            </w:pPr>
          </w:p>
          <w:p w14:paraId="13059B56" w14:textId="77777777" w:rsidR="00DD765D" w:rsidRPr="00774D20" w:rsidRDefault="00DD765D" w:rsidP="00F3676C">
            <w:pPr>
              <w:numPr>
                <w:ilvl w:val="0"/>
                <w:numId w:val="1"/>
              </w:numPr>
              <w:shd w:val="clear" w:color="auto" w:fill="FFFFFF"/>
              <w:spacing w:before="120" w:after="120"/>
              <w:ind w:left="241" w:hanging="241"/>
              <w:jc w:val="center"/>
              <w:rPr>
                <w:rFonts w:ascii="Arial" w:hAnsi="Arial" w:cs="Arial"/>
                <w:sz w:val="16"/>
                <w:szCs w:val="16"/>
              </w:rPr>
            </w:pPr>
            <w:r w:rsidRPr="00774D20">
              <w:rPr>
                <w:rFonts w:ascii="Arial" w:hAnsi="Arial" w:cs="Arial"/>
                <w:sz w:val="16"/>
                <w:szCs w:val="16"/>
              </w:rPr>
              <w:t>Pacientes con AME en 5q con una mutación bialélica en el gen SMN1 y hasta 3 copias del gen SMN2</w:t>
            </w:r>
          </w:p>
          <w:p w14:paraId="16799928" w14:textId="77777777" w:rsidR="00530571" w:rsidRPr="00774D20" w:rsidRDefault="00530571" w:rsidP="00F3676C">
            <w:pPr>
              <w:spacing w:before="120" w:after="120"/>
              <w:jc w:val="center"/>
              <w:rPr>
                <w:rFonts w:ascii="Arial" w:hAnsi="Arial" w:cs="Arial"/>
                <w:sz w:val="16"/>
                <w:szCs w:val="16"/>
              </w:rPr>
            </w:pPr>
          </w:p>
          <w:p w14:paraId="51F55F95" w14:textId="55274035" w:rsidR="00F3676C" w:rsidRPr="00774D20" w:rsidRDefault="00530571" w:rsidP="00F3676C">
            <w:pPr>
              <w:spacing w:before="120" w:after="120"/>
              <w:jc w:val="center"/>
              <w:rPr>
                <w:rFonts w:ascii="Arial" w:hAnsi="Arial" w:cs="Arial"/>
                <w:b/>
                <w:bCs/>
                <w:sz w:val="16"/>
                <w:szCs w:val="16"/>
              </w:rPr>
            </w:pPr>
            <w:r w:rsidRPr="00774D20">
              <w:rPr>
                <w:rFonts w:ascii="Arial" w:hAnsi="Arial" w:cs="Arial"/>
                <w:b/>
                <w:bCs/>
                <w:sz w:val="16"/>
                <w:szCs w:val="16"/>
              </w:rPr>
              <w:t>Indicaci</w:t>
            </w:r>
            <w:r w:rsidR="00DD765D" w:rsidRPr="00774D20">
              <w:rPr>
                <w:rFonts w:ascii="Arial" w:hAnsi="Arial" w:cs="Arial"/>
                <w:b/>
                <w:bCs/>
                <w:sz w:val="16"/>
                <w:szCs w:val="16"/>
              </w:rPr>
              <w:t>ones</w:t>
            </w:r>
            <w:r w:rsidRPr="00774D20">
              <w:rPr>
                <w:rFonts w:ascii="Arial" w:hAnsi="Arial" w:cs="Arial"/>
                <w:b/>
                <w:bCs/>
                <w:sz w:val="16"/>
                <w:szCs w:val="16"/>
              </w:rPr>
              <w:t xml:space="preserve"> </w:t>
            </w:r>
            <w:r w:rsidR="00DD765D" w:rsidRPr="00774D20">
              <w:rPr>
                <w:rFonts w:ascii="Arial" w:hAnsi="Arial" w:cs="Arial"/>
                <w:b/>
                <w:bCs/>
                <w:sz w:val="16"/>
                <w:szCs w:val="16"/>
              </w:rPr>
              <w:t>pendientes de</w:t>
            </w:r>
            <w:r w:rsidRPr="00774D20">
              <w:rPr>
                <w:rFonts w:ascii="Arial" w:hAnsi="Arial" w:cs="Arial"/>
                <w:b/>
                <w:bCs/>
                <w:sz w:val="16"/>
                <w:szCs w:val="16"/>
              </w:rPr>
              <w:t xml:space="preserve"> precio y financiación en el SNS español </w:t>
            </w:r>
            <w:r w:rsidR="00003C07" w:rsidRPr="00774D20">
              <w:rPr>
                <w:rFonts w:ascii="Arial" w:hAnsi="Arial" w:cs="Arial"/>
                <w:b/>
                <w:bCs/>
                <w:sz w:val="16"/>
                <w:szCs w:val="16"/>
              </w:rPr>
              <w:t>(a 17/9/</w:t>
            </w:r>
            <w:r w:rsidR="00DD765D" w:rsidRPr="00774D20">
              <w:rPr>
                <w:rFonts w:ascii="Arial" w:hAnsi="Arial" w:cs="Arial"/>
                <w:b/>
                <w:bCs/>
                <w:sz w:val="16"/>
                <w:szCs w:val="16"/>
              </w:rPr>
              <w:t>2020)</w:t>
            </w:r>
          </w:p>
        </w:tc>
        <w:tc>
          <w:tcPr>
            <w:tcW w:w="2368" w:type="pct"/>
            <w:vAlign w:val="center"/>
          </w:tcPr>
          <w:p w14:paraId="138B7396" w14:textId="11EFBCC9" w:rsidR="00530571" w:rsidRPr="00774D20" w:rsidRDefault="00DD765D" w:rsidP="00F3676C">
            <w:pPr>
              <w:spacing w:before="120" w:after="120"/>
              <w:jc w:val="center"/>
              <w:rPr>
                <w:rFonts w:ascii="Arial" w:hAnsi="Arial" w:cs="Arial"/>
                <w:sz w:val="16"/>
                <w:szCs w:val="16"/>
              </w:rPr>
            </w:pPr>
            <w:r w:rsidRPr="00774D20">
              <w:rPr>
                <w:rFonts w:ascii="Arial" w:hAnsi="Arial" w:cs="Arial"/>
                <w:sz w:val="16"/>
                <w:szCs w:val="16"/>
              </w:rPr>
              <w:t>Tratamiento de los pacientes diagnosticados</w:t>
            </w:r>
            <w:r w:rsidRPr="00774D20">
              <w:rPr>
                <w:rFonts w:ascii="Arial" w:hAnsi="Arial" w:cs="Arial"/>
                <w:sz w:val="16"/>
                <w:szCs w:val="16"/>
              </w:rPr>
              <w:br/>
              <w:t>de atrofia muscular espinal 5q</w:t>
            </w:r>
          </w:p>
          <w:p w14:paraId="65F5E32B" w14:textId="50A7547E" w:rsidR="00530571" w:rsidRPr="00774D20" w:rsidRDefault="00DD765D" w:rsidP="00F3676C">
            <w:pPr>
              <w:pStyle w:val="CommentText1"/>
              <w:spacing w:before="120" w:beforeAutospacing="0" w:after="120" w:afterAutospacing="0" w:line="240" w:lineRule="auto"/>
              <w:jc w:val="center"/>
              <w:rPr>
                <w:rFonts w:ascii="Arial" w:hAnsi="Arial" w:cs="Arial"/>
                <w:sz w:val="16"/>
                <w:szCs w:val="16"/>
              </w:rPr>
            </w:pPr>
            <w:r w:rsidRPr="00774D20">
              <w:rPr>
                <w:rFonts w:ascii="Arial" w:hAnsi="Arial" w:cs="Arial"/>
                <w:b/>
                <w:bCs/>
                <w:sz w:val="16"/>
                <w:szCs w:val="16"/>
              </w:rPr>
              <w:t>Financiación restringida</w:t>
            </w:r>
            <w:r w:rsidRPr="00774D20">
              <w:rPr>
                <w:rFonts w:ascii="Arial" w:hAnsi="Arial" w:cs="Arial"/>
                <w:sz w:val="16"/>
                <w:szCs w:val="16"/>
              </w:rPr>
              <w:t xml:space="preserve"> para el tratamiento de los pacientes diagnosticados de atrofia muscular espinal 5q excluyendo los pacientes p</w:t>
            </w:r>
            <w:r w:rsidR="00003C07" w:rsidRPr="00774D20">
              <w:rPr>
                <w:rFonts w:ascii="Arial" w:hAnsi="Arial" w:cs="Arial"/>
                <w:sz w:val="16"/>
                <w:szCs w:val="16"/>
              </w:rPr>
              <w:t xml:space="preserve">ertenecientes a los tipos 0, IA y </w:t>
            </w:r>
            <w:r w:rsidRPr="00774D20">
              <w:rPr>
                <w:rFonts w:ascii="Arial" w:hAnsi="Arial" w:cs="Arial"/>
                <w:sz w:val="16"/>
                <w:szCs w:val="16"/>
              </w:rPr>
              <w:t>IV</w:t>
            </w:r>
          </w:p>
        </w:tc>
      </w:tr>
      <w:tr w:rsidR="00530571" w14:paraId="1F1B3334" w14:textId="77777777" w:rsidTr="003124F4">
        <w:tc>
          <w:tcPr>
            <w:tcW w:w="804" w:type="pct"/>
            <w:vAlign w:val="center"/>
          </w:tcPr>
          <w:p w14:paraId="5F094CB4" w14:textId="77777777" w:rsidR="00530571" w:rsidRPr="00D47E8B" w:rsidRDefault="00530571" w:rsidP="00F3676C">
            <w:pPr>
              <w:pStyle w:val="Encabezado"/>
              <w:tabs>
                <w:tab w:val="clear" w:pos="4252"/>
                <w:tab w:val="clear" w:pos="8504"/>
              </w:tabs>
              <w:spacing w:before="120" w:after="120"/>
              <w:jc w:val="center"/>
              <w:rPr>
                <w:rFonts w:ascii="Arial" w:hAnsi="Arial" w:cs="Arial"/>
                <w:b/>
                <w:bCs/>
                <w:sz w:val="18"/>
                <w:szCs w:val="18"/>
              </w:rPr>
            </w:pPr>
            <w:r w:rsidRPr="00D47E8B">
              <w:rPr>
                <w:rFonts w:ascii="Arial" w:hAnsi="Arial" w:cs="Arial"/>
                <w:b/>
                <w:bCs/>
                <w:sz w:val="18"/>
                <w:szCs w:val="18"/>
              </w:rPr>
              <w:t>Efectos adversos</w:t>
            </w:r>
          </w:p>
        </w:tc>
        <w:tc>
          <w:tcPr>
            <w:tcW w:w="1829" w:type="pct"/>
            <w:vAlign w:val="center"/>
          </w:tcPr>
          <w:p w14:paraId="02D07587" w14:textId="47F7C0F3" w:rsidR="00530571" w:rsidRDefault="00530571" w:rsidP="00F3676C">
            <w:pPr>
              <w:spacing w:before="120" w:after="120"/>
              <w:jc w:val="center"/>
              <w:rPr>
                <w:rFonts w:ascii="Arial" w:hAnsi="Arial" w:cs="Arial"/>
                <w:sz w:val="16"/>
                <w:szCs w:val="16"/>
              </w:rPr>
            </w:pPr>
            <w:r>
              <w:rPr>
                <w:rFonts w:ascii="Arial" w:hAnsi="Arial" w:cs="Arial"/>
                <w:sz w:val="16"/>
                <w:szCs w:val="16"/>
              </w:rPr>
              <w:t xml:space="preserve">Los efectos adversos más comunes fueron </w:t>
            </w:r>
            <w:r w:rsidR="00DD765D">
              <w:rPr>
                <w:rFonts w:ascii="Arial" w:hAnsi="Arial" w:cs="Arial"/>
                <w:sz w:val="16"/>
                <w:szCs w:val="16"/>
              </w:rPr>
              <w:t>aumento transitorio de transaminasas hepáticas y vómitos</w:t>
            </w:r>
          </w:p>
          <w:p w14:paraId="1239713F" w14:textId="758A4934" w:rsidR="00F3676C" w:rsidRDefault="00DD765D" w:rsidP="00F3676C">
            <w:pPr>
              <w:spacing w:before="120" w:after="120"/>
              <w:jc w:val="center"/>
              <w:rPr>
                <w:rFonts w:ascii="Arial" w:hAnsi="Arial" w:cs="Arial"/>
                <w:sz w:val="16"/>
                <w:szCs w:val="16"/>
              </w:rPr>
            </w:pPr>
            <w:r>
              <w:rPr>
                <w:rFonts w:ascii="Arial" w:hAnsi="Arial" w:cs="Arial"/>
                <w:sz w:val="16"/>
                <w:szCs w:val="16"/>
              </w:rPr>
              <w:t>Otras reacciones adversas frecuentes fueron trombocitopenia, pirexia y elevación de troponina I</w:t>
            </w:r>
          </w:p>
        </w:tc>
        <w:tc>
          <w:tcPr>
            <w:tcW w:w="2368" w:type="pct"/>
            <w:vAlign w:val="center"/>
          </w:tcPr>
          <w:p w14:paraId="0D47762A" w14:textId="15544A80" w:rsidR="00530571" w:rsidRDefault="00D200F6" w:rsidP="00F3676C">
            <w:pPr>
              <w:spacing w:before="120" w:after="120"/>
              <w:jc w:val="center"/>
              <w:rPr>
                <w:rFonts w:ascii="Arial" w:hAnsi="Arial" w:cs="Arial"/>
                <w:sz w:val="16"/>
                <w:szCs w:val="16"/>
              </w:rPr>
            </w:pPr>
            <w:r>
              <w:rPr>
                <w:rFonts w:ascii="Arial" w:hAnsi="Arial" w:cs="Arial"/>
                <w:sz w:val="16"/>
                <w:szCs w:val="16"/>
              </w:rPr>
              <w:t xml:space="preserve">Las principales reacciones adversas notificadas fueron </w:t>
            </w:r>
            <w:r w:rsidR="001B29E2">
              <w:rPr>
                <w:rFonts w:ascii="Arial" w:hAnsi="Arial" w:cs="Arial"/>
                <w:sz w:val="16"/>
                <w:szCs w:val="16"/>
              </w:rPr>
              <w:t>consideradas</w:t>
            </w:r>
            <w:r>
              <w:rPr>
                <w:rFonts w:ascii="Arial" w:hAnsi="Arial" w:cs="Arial"/>
                <w:sz w:val="16"/>
                <w:szCs w:val="16"/>
              </w:rPr>
              <w:t xml:space="preserve"> como relacionad</w:t>
            </w:r>
            <w:r w:rsidR="001B29E2">
              <w:rPr>
                <w:rFonts w:ascii="Arial" w:hAnsi="Arial" w:cs="Arial"/>
                <w:sz w:val="16"/>
                <w:szCs w:val="16"/>
              </w:rPr>
              <w:t>a</w:t>
            </w:r>
            <w:r>
              <w:rPr>
                <w:rFonts w:ascii="Arial" w:hAnsi="Arial" w:cs="Arial"/>
                <w:sz w:val="16"/>
                <w:szCs w:val="16"/>
              </w:rPr>
              <w:t>s con el procedimiento de punción lumbar: cefalea, vómitos y dolor de espalda.</w:t>
            </w:r>
          </w:p>
          <w:p w14:paraId="4BFBE0D9" w14:textId="77777777" w:rsidR="00D200F6" w:rsidRDefault="00D200F6" w:rsidP="00F3676C">
            <w:pPr>
              <w:spacing w:before="120" w:after="120"/>
              <w:jc w:val="center"/>
              <w:rPr>
                <w:rFonts w:ascii="Arial" w:hAnsi="Arial" w:cs="Arial"/>
                <w:sz w:val="16"/>
                <w:szCs w:val="16"/>
              </w:rPr>
            </w:pPr>
            <w:r>
              <w:rPr>
                <w:rFonts w:ascii="Arial" w:hAnsi="Arial" w:cs="Arial"/>
                <w:sz w:val="16"/>
                <w:szCs w:val="16"/>
              </w:rPr>
              <w:t>En la experiencia postcomercialización se han notificado infecciones graves, como meningitis, hidrocefalia comunicante e hipersensibilidad (urticaria, angioedema y rash cutáneo)</w:t>
            </w:r>
          </w:p>
          <w:p w14:paraId="40BA3004" w14:textId="599F11C3" w:rsidR="00F3676C" w:rsidRDefault="00F3676C" w:rsidP="00F3676C">
            <w:pPr>
              <w:spacing w:before="120" w:after="120"/>
              <w:jc w:val="center"/>
              <w:rPr>
                <w:rFonts w:ascii="Arial" w:hAnsi="Arial" w:cs="Arial"/>
                <w:sz w:val="16"/>
                <w:szCs w:val="16"/>
              </w:rPr>
            </w:pPr>
          </w:p>
        </w:tc>
      </w:tr>
      <w:tr w:rsidR="00530571" w14:paraId="35AF9C31" w14:textId="77777777" w:rsidTr="003124F4">
        <w:tc>
          <w:tcPr>
            <w:tcW w:w="804" w:type="pct"/>
            <w:vAlign w:val="center"/>
          </w:tcPr>
          <w:p w14:paraId="7188103A" w14:textId="77777777" w:rsidR="00530571" w:rsidRPr="00D47E8B" w:rsidRDefault="00530571" w:rsidP="00F3676C">
            <w:pPr>
              <w:pStyle w:val="Encabezado"/>
              <w:tabs>
                <w:tab w:val="clear" w:pos="4252"/>
                <w:tab w:val="clear" w:pos="8504"/>
              </w:tabs>
              <w:spacing w:before="120" w:after="120"/>
              <w:jc w:val="center"/>
              <w:rPr>
                <w:rFonts w:ascii="Arial" w:hAnsi="Arial" w:cs="Arial"/>
                <w:b/>
                <w:bCs/>
                <w:sz w:val="18"/>
                <w:szCs w:val="18"/>
              </w:rPr>
            </w:pPr>
            <w:r w:rsidRPr="00D47E8B">
              <w:rPr>
                <w:rFonts w:ascii="Arial" w:hAnsi="Arial" w:cs="Arial"/>
                <w:b/>
                <w:bCs/>
                <w:sz w:val="18"/>
                <w:szCs w:val="18"/>
              </w:rPr>
              <w:t>Utilización de recursos</w:t>
            </w:r>
          </w:p>
        </w:tc>
        <w:tc>
          <w:tcPr>
            <w:tcW w:w="1829" w:type="pct"/>
            <w:vAlign w:val="center"/>
          </w:tcPr>
          <w:p w14:paraId="0BE38612" w14:textId="6EEED120" w:rsidR="00530571" w:rsidRDefault="00F840B5" w:rsidP="00F3676C">
            <w:pPr>
              <w:spacing w:before="120" w:after="120"/>
              <w:jc w:val="center"/>
              <w:rPr>
                <w:rFonts w:ascii="Arial" w:hAnsi="Arial" w:cs="Arial"/>
                <w:sz w:val="16"/>
                <w:szCs w:val="16"/>
              </w:rPr>
            </w:pPr>
            <w:r>
              <w:rPr>
                <w:rFonts w:ascii="Arial" w:hAnsi="Arial" w:cs="Arial"/>
                <w:sz w:val="16"/>
                <w:szCs w:val="16"/>
              </w:rPr>
              <w:t xml:space="preserve">El </w:t>
            </w:r>
            <w:r w:rsidRPr="00774D20">
              <w:rPr>
                <w:rFonts w:ascii="Arial" w:hAnsi="Arial" w:cs="Arial"/>
                <w:sz w:val="16"/>
                <w:szCs w:val="16"/>
              </w:rPr>
              <w:t>medicamento se conserva y transporta congelado (&lt;60ºC) y debe almacenarse en nevera (entre 2ºC y 8ºC)</w:t>
            </w:r>
            <w:r>
              <w:rPr>
                <w:rFonts w:ascii="Arial" w:hAnsi="Arial" w:cs="Arial"/>
                <w:sz w:val="16"/>
                <w:szCs w:val="16"/>
              </w:rPr>
              <w:t xml:space="preserve"> tras su recepción</w:t>
            </w:r>
            <w:r w:rsidR="003124F4">
              <w:rPr>
                <w:rFonts w:ascii="Arial" w:hAnsi="Arial" w:cs="Arial"/>
                <w:sz w:val="16"/>
                <w:szCs w:val="16"/>
              </w:rPr>
              <w:t xml:space="preserve"> y administrar</w:t>
            </w:r>
            <w:r w:rsidR="005F487D">
              <w:rPr>
                <w:rFonts w:ascii="Arial" w:hAnsi="Arial" w:cs="Arial"/>
                <w:sz w:val="16"/>
                <w:szCs w:val="16"/>
              </w:rPr>
              <w:t>se</w:t>
            </w:r>
            <w:r w:rsidR="003124F4">
              <w:rPr>
                <w:rFonts w:ascii="Arial" w:hAnsi="Arial" w:cs="Arial"/>
                <w:sz w:val="16"/>
                <w:szCs w:val="16"/>
              </w:rPr>
              <w:t xml:space="preserve"> dentro de los 14 días posteriores a la recepción.</w:t>
            </w:r>
          </w:p>
          <w:p w14:paraId="0A44C6CF" w14:textId="4A7A8024" w:rsidR="003124F4" w:rsidRDefault="003124F4" w:rsidP="00F3676C">
            <w:pPr>
              <w:spacing w:before="120" w:after="120"/>
              <w:jc w:val="center"/>
              <w:rPr>
                <w:rFonts w:ascii="Arial" w:hAnsi="Arial" w:cs="Arial"/>
                <w:sz w:val="16"/>
                <w:szCs w:val="16"/>
              </w:rPr>
            </w:pPr>
            <w:r>
              <w:rPr>
                <w:rFonts w:ascii="Arial" w:hAnsi="Arial" w:cs="Arial"/>
                <w:sz w:val="16"/>
                <w:szCs w:val="16"/>
              </w:rPr>
              <w:t>Administración hospitalaria</w:t>
            </w:r>
          </w:p>
          <w:p w14:paraId="329B23E7" w14:textId="1766D41F" w:rsidR="00530571" w:rsidRDefault="003124F4" w:rsidP="00F3676C">
            <w:pPr>
              <w:spacing w:before="120" w:after="120"/>
              <w:jc w:val="center"/>
              <w:rPr>
                <w:rFonts w:ascii="Arial" w:hAnsi="Arial" w:cs="Arial"/>
                <w:sz w:val="16"/>
                <w:szCs w:val="16"/>
              </w:rPr>
            </w:pPr>
            <w:r>
              <w:rPr>
                <w:rFonts w:ascii="Arial" w:hAnsi="Arial" w:cs="Arial"/>
                <w:sz w:val="16"/>
                <w:szCs w:val="16"/>
              </w:rPr>
              <w:t>Al contener</w:t>
            </w:r>
            <w:r w:rsidRPr="003124F4">
              <w:rPr>
                <w:rFonts w:ascii="Arial" w:hAnsi="Arial" w:cs="Arial"/>
                <w:sz w:val="16"/>
                <w:szCs w:val="16"/>
              </w:rPr>
              <w:t xml:space="preserve"> un organismo genéticamente modificado</w:t>
            </w:r>
            <w:r>
              <w:rPr>
                <w:rFonts w:ascii="Arial" w:hAnsi="Arial" w:cs="Arial"/>
                <w:sz w:val="16"/>
                <w:szCs w:val="16"/>
              </w:rPr>
              <w:t>, s</w:t>
            </w:r>
            <w:r w:rsidRPr="003124F4">
              <w:rPr>
                <w:rFonts w:ascii="Arial" w:hAnsi="Arial" w:cs="Arial"/>
                <w:sz w:val="16"/>
                <w:szCs w:val="16"/>
              </w:rPr>
              <w:t>e debe</w:t>
            </w:r>
            <w:r>
              <w:rPr>
                <w:rFonts w:ascii="Arial" w:hAnsi="Arial" w:cs="Arial"/>
                <w:sz w:val="16"/>
                <w:szCs w:val="16"/>
              </w:rPr>
              <w:t xml:space="preserve">n tomar precauciones adecuadas </w:t>
            </w:r>
            <w:r w:rsidRPr="003124F4">
              <w:rPr>
                <w:rFonts w:ascii="Arial" w:hAnsi="Arial" w:cs="Arial"/>
                <w:sz w:val="16"/>
                <w:szCs w:val="16"/>
              </w:rPr>
              <w:t>(que incluirá bata de laboratorio, gafas de seguridad y guantes)</w:t>
            </w:r>
            <w:r>
              <w:rPr>
                <w:rFonts w:ascii="Arial" w:hAnsi="Arial" w:cs="Arial"/>
                <w:sz w:val="16"/>
                <w:szCs w:val="16"/>
              </w:rPr>
              <w:t xml:space="preserve"> para la manipulación, preparación y</w:t>
            </w:r>
            <w:r w:rsidRPr="003124F4">
              <w:rPr>
                <w:rFonts w:ascii="Arial" w:hAnsi="Arial" w:cs="Arial"/>
                <w:sz w:val="16"/>
                <w:szCs w:val="16"/>
              </w:rPr>
              <w:t xml:space="preserve"> administración de</w:t>
            </w:r>
            <w:r>
              <w:rPr>
                <w:rFonts w:ascii="Arial" w:hAnsi="Arial" w:cs="Arial"/>
                <w:sz w:val="16"/>
                <w:szCs w:val="16"/>
              </w:rPr>
              <w:t xml:space="preserve">l medicamento. La eliminación del medicamento y la </w:t>
            </w:r>
            <w:r w:rsidRPr="003124F4">
              <w:rPr>
                <w:rFonts w:ascii="Arial" w:hAnsi="Arial" w:cs="Arial"/>
                <w:sz w:val="16"/>
                <w:szCs w:val="16"/>
              </w:rPr>
              <w:t>manipulación de desechos corporales</w:t>
            </w:r>
            <w:r>
              <w:rPr>
                <w:rFonts w:ascii="Arial" w:hAnsi="Arial" w:cs="Arial"/>
                <w:sz w:val="16"/>
                <w:szCs w:val="16"/>
              </w:rPr>
              <w:t xml:space="preserve"> también deben realizarse con precaución.</w:t>
            </w:r>
          </w:p>
        </w:tc>
        <w:tc>
          <w:tcPr>
            <w:tcW w:w="2368" w:type="pct"/>
            <w:vAlign w:val="center"/>
          </w:tcPr>
          <w:p w14:paraId="3D87F1C9" w14:textId="60CC8651" w:rsidR="00F840B5" w:rsidRDefault="00F840B5" w:rsidP="00F3676C">
            <w:pPr>
              <w:spacing w:before="120" w:after="120"/>
              <w:jc w:val="center"/>
              <w:rPr>
                <w:rFonts w:ascii="Arial" w:hAnsi="Arial" w:cs="Arial"/>
                <w:sz w:val="16"/>
                <w:szCs w:val="16"/>
              </w:rPr>
            </w:pPr>
            <w:r>
              <w:rPr>
                <w:rFonts w:ascii="Arial" w:hAnsi="Arial" w:cs="Arial"/>
                <w:sz w:val="16"/>
                <w:szCs w:val="16"/>
              </w:rPr>
              <w:t>Conservación en nevera (2ºC-8ºC)</w:t>
            </w:r>
          </w:p>
          <w:p w14:paraId="57D374D9" w14:textId="19B12FEA" w:rsidR="00124FE6" w:rsidRDefault="00124FE6" w:rsidP="00F3676C">
            <w:pPr>
              <w:spacing w:before="120" w:after="120"/>
              <w:jc w:val="center"/>
              <w:rPr>
                <w:rFonts w:ascii="Arial" w:hAnsi="Arial" w:cs="Arial"/>
                <w:sz w:val="16"/>
                <w:szCs w:val="16"/>
              </w:rPr>
            </w:pPr>
            <w:r>
              <w:rPr>
                <w:rFonts w:ascii="Arial" w:hAnsi="Arial" w:cs="Arial"/>
                <w:sz w:val="16"/>
                <w:szCs w:val="16"/>
              </w:rPr>
              <w:t>Administración hospitalaria mediante profesionales sanitarios con experiencia en la realización de punciones lumbares.</w:t>
            </w:r>
          </w:p>
          <w:p w14:paraId="04BD13B6" w14:textId="2B7EE727" w:rsidR="00530571" w:rsidRDefault="00124FE6" w:rsidP="00F3676C">
            <w:pPr>
              <w:spacing w:before="120" w:after="120"/>
              <w:jc w:val="center"/>
              <w:rPr>
                <w:rFonts w:ascii="Arial" w:hAnsi="Arial" w:cs="Arial"/>
                <w:sz w:val="16"/>
                <w:szCs w:val="16"/>
              </w:rPr>
            </w:pPr>
            <w:r w:rsidRPr="00124FE6">
              <w:rPr>
                <w:rFonts w:ascii="Arial" w:hAnsi="Arial" w:cs="Arial"/>
                <w:sz w:val="16"/>
                <w:szCs w:val="16"/>
              </w:rPr>
              <w:t>Puede ser necesario sedar al paciente, según indique su situación clínica. Se puede considerar el uso de la ecografía (u otras técnicas de imagen) para guiar la administración intratecal, especialmente en pacientes más jóvenes y en pacientes con escoliosis</w:t>
            </w:r>
            <w:r w:rsidR="00530571">
              <w:rPr>
                <w:rFonts w:ascii="Arial" w:hAnsi="Arial" w:cs="Arial"/>
                <w:sz w:val="16"/>
                <w:szCs w:val="16"/>
              </w:rPr>
              <w:t>.</w:t>
            </w:r>
          </w:p>
        </w:tc>
      </w:tr>
      <w:tr w:rsidR="00003C07" w14:paraId="61C8B32F" w14:textId="77777777" w:rsidTr="003124F4">
        <w:tc>
          <w:tcPr>
            <w:tcW w:w="804" w:type="pct"/>
            <w:vAlign w:val="center"/>
          </w:tcPr>
          <w:p w14:paraId="5FD361B8" w14:textId="6575FC3F" w:rsidR="00003C07" w:rsidRPr="00D47E8B" w:rsidRDefault="00003C07" w:rsidP="00F3676C">
            <w:pPr>
              <w:pStyle w:val="Encabezado"/>
              <w:tabs>
                <w:tab w:val="clear" w:pos="4252"/>
                <w:tab w:val="clear" w:pos="8504"/>
              </w:tabs>
              <w:spacing w:before="120" w:after="120"/>
              <w:jc w:val="center"/>
              <w:rPr>
                <w:rFonts w:ascii="Arial" w:hAnsi="Arial" w:cs="Arial"/>
                <w:b/>
                <w:bCs/>
                <w:sz w:val="18"/>
                <w:szCs w:val="18"/>
              </w:rPr>
            </w:pPr>
            <w:r>
              <w:rPr>
                <w:rFonts w:ascii="Arial" w:hAnsi="Arial" w:cs="Arial"/>
                <w:b/>
                <w:bCs/>
                <w:sz w:val="18"/>
                <w:szCs w:val="18"/>
              </w:rPr>
              <w:t>Otras diferencias</w:t>
            </w:r>
          </w:p>
        </w:tc>
        <w:tc>
          <w:tcPr>
            <w:tcW w:w="1829" w:type="pct"/>
            <w:vAlign w:val="center"/>
          </w:tcPr>
          <w:p w14:paraId="4B58CB53" w14:textId="643ADCC5" w:rsidR="00003C07" w:rsidRDefault="00003C07" w:rsidP="00F3676C">
            <w:pPr>
              <w:spacing w:before="120" w:after="120"/>
              <w:jc w:val="center"/>
              <w:rPr>
                <w:rFonts w:ascii="Arial" w:hAnsi="Arial" w:cs="Arial"/>
                <w:sz w:val="16"/>
                <w:szCs w:val="16"/>
              </w:rPr>
            </w:pPr>
            <w:r>
              <w:rPr>
                <w:rFonts w:ascii="Arial" w:hAnsi="Arial" w:cs="Arial"/>
                <w:sz w:val="16"/>
                <w:szCs w:val="16"/>
              </w:rPr>
              <w:t>--</w:t>
            </w:r>
          </w:p>
        </w:tc>
        <w:tc>
          <w:tcPr>
            <w:tcW w:w="2368" w:type="pct"/>
            <w:vAlign w:val="center"/>
          </w:tcPr>
          <w:p w14:paraId="287D162E" w14:textId="735A2498" w:rsidR="00003C07" w:rsidRDefault="00003C07" w:rsidP="00F3676C">
            <w:pPr>
              <w:spacing w:before="120" w:after="120"/>
              <w:jc w:val="center"/>
              <w:rPr>
                <w:rFonts w:ascii="Arial" w:hAnsi="Arial" w:cs="Arial"/>
                <w:sz w:val="16"/>
                <w:szCs w:val="16"/>
              </w:rPr>
            </w:pPr>
            <w:r>
              <w:rPr>
                <w:rFonts w:ascii="Arial" w:hAnsi="Arial" w:cs="Arial"/>
                <w:sz w:val="16"/>
                <w:szCs w:val="16"/>
              </w:rPr>
              <w:t xml:space="preserve">Registro en la </w:t>
            </w:r>
            <w:r w:rsidRPr="00774D20">
              <w:rPr>
                <w:rFonts w:ascii="Arial" w:hAnsi="Arial" w:cs="Arial"/>
                <w:sz w:val="16"/>
                <w:szCs w:val="16"/>
              </w:rPr>
              <w:t>aplicación SISTAME de sus resultados en salud</w:t>
            </w:r>
          </w:p>
        </w:tc>
      </w:tr>
    </w:tbl>
    <w:p w14:paraId="2D07D4E0" w14:textId="77777777" w:rsidR="00AC7E45" w:rsidRPr="00C85D18" w:rsidRDefault="00AC7E45" w:rsidP="001F6887">
      <w:pPr>
        <w:pStyle w:val="Encabezado"/>
        <w:tabs>
          <w:tab w:val="clear" w:pos="4252"/>
          <w:tab w:val="clear" w:pos="8504"/>
        </w:tabs>
        <w:rPr>
          <w:rFonts w:ascii="Arial" w:hAnsi="Arial" w:cs="Arial"/>
          <w:b/>
          <w:bCs/>
          <w:sz w:val="20"/>
        </w:rPr>
      </w:pPr>
    </w:p>
    <w:p w14:paraId="6E51C24E" w14:textId="77777777" w:rsidR="006219E3" w:rsidRDefault="006219E3" w:rsidP="001F6887">
      <w:pPr>
        <w:pStyle w:val="Encabezado"/>
        <w:tabs>
          <w:tab w:val="clear" w:pos="4252"/>
          <w:tab w:val="clear" w:pos="8504"/>
        </w:tabs>
        <w:rPr>
          <w:rFonts w:ascii="Arial" w:hAnsi="Arial" w:cs="Arial"/>
          <w:b/>
          <w:bCs/>
        </w:rPr>
      </w:pPr>
    </w:p>
    <w:p w14:paraId="519809F2" w14:textId="77777777" w:rsidR="006219E3" w:rsidRDefault="006219E3" w:rsidP="001F6887">
      <w:pPr>
        <w:pStyle w:val="Encabezado"/>
        <w:tabs>
          <w:tab w:val="clear" w:pos="4252"/>
          <w:tab w:val="clear" w:pos="8504"/>
        </w:tabs>
        <w:rPr>
          <w:rFonts w:ascii="Arial" w:hAnsi="Arial" w:cs="Arial"/>
          <w:b/>
          <w:bCs/>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AC7E45" w14:paraId="6CEACF6A" w14:textId="77777777">
        <w:trPr>
          <w:trHeight w:val="90"/>
        </w:trPr>
        <w:tc>
          <w:tcPr>
            <w:tcW w:w="8890" w:type="dxa"/>
            <w:shd w:val="clear" w:color="auto" w:fill="B3B3B3"/>
          </w:tcPr>
          <w:p w14:paraId="38C80815" w14:textId="164C9028" w:rsidR="00AC7E45" w:rsidRDefault="00AC7E45" w:rsidP="001F6887">
            <w:pPr>
              <w:pStyle w:val="Ttulo1"/>
              <w:shd w:val="clear" w:color="auto" w:fill="A6A6A6"/>
              <w:rPr>
                <w:rFonts w:ascii="Arial" w:hAnsi="Arial" w:cs="Arial"/>
                <w:kern w:val="0"/>
                <w:sz w:val="20"/>
                <w:szCs w:val="20"/>
              </w:rPr>
            </w:pPr>
            <w:bookmarkStart w:id="24" w:name="_Toc344399626"/>
            <w:bookmarkStart w:id="25" w:name="_Toc348931353"/>
            <w:r>
              <w:rPr>
                <w:rFonts w:ascii="Arial" w:hAnsi="Arial" w:cs="Arial"/>
                <w:kern w:val="0"/>
                <w:sz w:val="20"/>
                <w:szCs w:val="20"/>
              </w:rPr>
              <w:lastRenderedPageBreak/>
              <w:t>4.- AREA DE ACCIÓN FARMACOLÓGICA.</w:t>
            </w:r>
            <w:bookmarkEnd w:id="24"/>
            <w:bookmarkEnd w:id="25"/>
          </w:p>
        </w:tc>
      </w:tr>
    </w:tbl>
    <w:p w14:paraId="072401C8" w14:textId="46D1FB7B" w:rsidR="00AC7E45" w:rsidRDefault="00003C07" w:rsidP="001F6887">
      <w:pPr>
        <w:tabs>
          <w:tab w:val="left" w:pos="776"/>
        </w:tabs>
        <w:rPr>
          <w:rFonts w:ascii="Arial" w:hAnsi="Arial" w:cs="Arial"/>
          <w:b/>
          <w:bCs/>
          <w:sz w:val="20"/>
          <w:szCs w:val="20"/>
        </w:rPr>
      </w:pPr>
      <w:r>
        <w:rPr>
          <w:rFonts w:ascii="Arial" w:hAnsi="Arial" w:cs="Arial"/>
          <w:b/>
          <w:bCs/>
          <w:sz w:val="20"/>
          <w:szCs w:val="20"/>
        </w:rPr>
        <w:tab/>
      </w:r>
    </w:p>
    <w:p w14:paraId="0B651B45" w14:textId="5E8ECEFC" w:rsidR="00AC7E45" w:rsidRPr="00003C07" w:rsidRDefault="00AC7E4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26" w:name="_Toc344399627"/>
      <w:bookmarkStart w:id="27" w:name="_Toc348931354"/>
      <w:r w:rsidRPr="00003C07">
        <w:rPr>
          <w:rFonts w:ascii="Arial" w:hAnsi="Arial" w:cs="Arial"/>
          <w:sz w:val="20"/>
          <w:szCs w:val="20"/>
        </w:rPr>
        <w:t>4.1 Mecanismo de acción.</w:t>
      </w:r>
      <w:bookmarkEnd w:id="26"/>
      <w:bookmarkEnd w:id="27"/>
      <w:r w:rsidRPr="000B327E">
        <w:rPr>
          <w:rFonts w:ascii="Arial" w:hAnsi="Arial" w:cs="Arial"/>
          <w:sz w:val="20"/>
          <w:szCs w:val="20"/>
          <w:vertAlign w:val="superscript"/>
        </w:rPr>
        <w:t xml:space="preserve"> </w:t>
      </w:r>
      <w:r w:rsidR="000B327E" w:rsidRPr="000B327E">
        <w:rPr>
          <w:rFonts w:ascii="Arial" w:hAnsi="Arial" w:cs="Arial"/>
          <w:sz w:val="20"/>
          <w:szCs w:val="20"/>
          <w:vertAlign w:val="superscript"/>
        </w:rPr>
        <w:fldChar w:fldCharType="begin"/>
      </w:r>
      <w:r w:rsidR="000B327E" w:rsidRPr="000B327E">
        <w:rPr>
          <w:rFonts w:ascii="Arial" w:hAnsi="Arial" w:cs="Arial"/>
          <w:sz w:val="20"/>
          <w:szCs w:val="20"/>
          <w:vertAlign w:val="superscript"/>
        </w:rPr>
        <w:instrText xml:space="preserve"> NOTEREF _Ref52267010 \h </w:instrText>
      </w:r>
      <w:r w:rsidR="000B327E">
        <w:rPr>
          <w:rFonts w:ascii="Arial" w:hAnsi="Arial" w:cs="Arial"/>
          <w:sz w:val="20"/>
          <w:szCs w:val="20"/>
          <w:vertAlign w:val="superscript"/>
        </w:rPr>
        <w:instrText xml:space="preserve"> \* MERGEFORMAT </w:instrText>
      </w:r>
      <w:r w:rsidR="000B327E" w:rsidRPr="000B327E">
        <w:rPr>
          <w:rFonts w:ascii="Arial" w:hAnsi="Arial" w:cs="Arial"/>
          <w:sz w:val="20"/>
          <w:szCs w:val="20"/>
          <w:vertAlign w:val="superscript"/>
        </w:rPr>
      </w:r>
      <w:r w:rsidR="000B327E" w:rsidRPr="000B327E">
        <w:rPr>
          <w:rFonts w:ascii="Arial" w:hAnsi="Arial" w:cs="Arial"/>
          <w:sz w:val="20"/>
          <w:szCs w:val="20"/>
          <w:vertAlign w:val="superscript"/>
        </w:rPr>
        <w:fldChar w:fldCharType="separate"/>
      </w:r>
      <w:r w:rsidR="00E277F2">
        <w:rPr>
          <w:rFonts w:ascii="Arial" w:hAnsi="Arial" w:cs="Arial"/>
          <w:sz w:val="20"/>
          <w:szCs w:val="20"/>
          <w:vertAlign w:val="superscript"/>
        </w:rPr>
        <w:t>1</w:t>
      </w:r>
      <w:r w:rsidR="000B327E" w:rsidRPr="000B327E">
        <w:rPr>
          <w:rFonts w:ascii="Arial" w:hAnsi="Arial" w:cs="Arial"/>
          <w:sz w:val="20"/>
          <w:szCs w:val="20"/>
          <w:vertAlign w:val="superscript"/>
        </w:rPr>
        <w:fldChar w:fldCharType="end"/>
      </w:r>
    </w:p>
    <w:p w14:paraId="0C0BA227" w14:textId="77777777" w:rsidR="00003C07" w:rsidRDefault="00003C07" w:rsidP="001F6887">
      <w:pPr>
        <w:jc w:val="both"/>
        <w:rPr>
          <w:rFonts w:ascii="Arial" w:hAnsi="Arial" w:cs="Arial"/>
          <w:sz w:val="20"/>
          <w:szCs w:val="20"/>
        </w:rPr>
      </w:pPr>
    </w:p>
    <w:p w14:paraId="3A3D9855" w14:textId="696ACCF5" w:rsidR="00024C74" w:rsidRPr="00774D20" w:rsidRDefault="00FA73C0" w:rsidP="001F6887">
      <w:pPr>
        <w:jc w:val="both"/>
        <w:rPr>
          <w:rFonts w:ascii="Arial" w:hAnsi="Arial" w:cs="Arial"/>
          <w:sz w:val="20"/>
          <w:szCs w:val="20"/>
        </w:rPr>
      </w:pPr>
      <w:r>
        <w:rPr>
          <w:rFonts w:ascii="Arial" w:hAnsi="Arial" w:cs="Arial"/>
          <w:sz w:val="20"/>
          <w:szCs w:val="20"/>
        </w:rPr>
        <w:t>Onasemnoge</w:t>
      </w:r>
      <w:r w:rsidR="00024C74" w:rsidRPr="00024C74">
        <w:rPr>
          <w:rFonts w:ascii="Arial" w:hAnsi="Arial" w:cs="Arial"/>
          <w:sz w:val="20"/>
          <w:szCs w:val="20"/>
        </w:rPr>
        <w:t xml:space="preserve">n abeparvovec es una terapia génica diseñada para </w:t>
      </w:r>
      <w:r w:rsidR="00024C74" w:rsidRPr="00774D20">
        <w:rPr>
          <w:rFonts w:ascii="Arial" w:hAnsi="Arial" w:cs="Arial"/>
          <w:sz w:val="20"/>
          <w:szCs w:val="20"/>
        </w:rPr>
        <w:t>introducir una copia funcional del gen de supervivencia de las motoneuronas (SMN1) en las células transducidas</w:t>
      </w:r>
      <w:r w:rsidR="0059731E" w:rsidRPr="00774D20">
        <w:rPr>
          <w:rFonts w:ascii="Arial" w:hAnsi="Arial" w:cs="Arial"/>
          <w:sz w:val="20"/>
          <w:szCs w:val="20"/>
        </w:rPr>
        <w:t>,</w:t>
      </w:r>
      <w:r w:rsidR="00024C74" w:rsidRPr="00774D20">
        <w:rPr>
          <w:rFonts w:ascii="Arial" w:hAnsi="Arial" w:cs="Arial"/>
          <w:sz w:val="20"/>
          <w:szCs w:val="20"/>
        </w:rPr>
        <w:t xml:space="preserve"> lo que supone un abordaje de la causa de esta enfermedad monogénica. Al proporcionar una fuente alternativa de expresión de la proteína SMN en las motoneuronas, se espera que fomente la supervivencia y la función de las motoneuronas transducidas</w:t>
      </w:r>
      <w:r w:rsidR="00C10055" w:rsidRPr="00774D20">
        <w:rPr>
          <w:rFonts w:ascii="Arial" w:hAnsi="Arial" w:cs="Arial"/>
          <w:sz w:val="20"/>
          <w:szCs w:val="20"/>
        </w:rPr>
        <w:t>.</w:t>
      </w:r>
    </w:p>
    <w:p w14:paraId="75787F2E" w14:textId="77777777" w:rsidR="006219E3" w:rsidRPr="00774D20" w:rsidRDefault="006219E3" w:rsidP="001F6887">
      <w:pPr>
        <w:jc w:val="both"/>
        <w:rPr>
          <w:rFonts w:ascii="Arial" w:hAnsi="Arial" w:cs="Arial"/>
          <w:sz w:val="20"/>
          <w:szCs w:val="20"/>
        </w:rPr>
      </w:pPr>
    </w:p>
    <w:p w14:paraId="6C69F2D2" w14:textId="51645B15" w:rsidR="00024C74" w:rsidRDefault="00FA73C0" w:rsidP="001F6887">
      <w:pPr>
        <w:jc w:val="both"/>
        <w:rPr>
          <w:rFonts w:ascii="Arial" w:hAnsi="Arial" w:cs="Arial"/>
          <w:sz w:val="20"/>
          <w:szCs w:val="20"/>
        </w:rPr>
      </w:pPr>
      <w:r w:rsidRPr="00774D20">
        <w:rPr>
          <w:rFonts w:ascii="Arial" w:hAnsi="Arial" w:cs="Arial"/>
          <w:sz w:val="20"/>
          <w:szCs w:val="20"/>
        </w:rPr>
        <w:t>Onasemnoge</w:t>
      </w:r>
      <w:r w:rsidR="00024C74" w:rsidRPr="00774D20">
        <w:rPr>
          <w:rFonts w:ascii="Arial" w:hAnsi="Arial" w:cs="Arial"/>
          <w:sz w:val="20"/>
          <w:szCs w:val="20"/>
        </w:rPr>
        <w:t xml:space="preserve">n abeparvovec es un vector </w:t>
      </w:r>
      <w:r w:rsidR="00390F25" w:rsidRPr="00774D20">
        <w:rPr>
          <w:rFonts w:ascii="Arial" w:hAnsi="Arial" w:cs="Arial"/>
          <w:sz w:val="20"/>
          <w:szCs w:val="20"/>
        </w:rPr>
        <w:t>de virus adenoasociado (</w:t>
      </w:r>
      <w:r w:rsidR="00024C74" w:rsidRPr="00774D20">
        <w:rPr>
          <w:rFonts w:ascii="Arial" w:hAnsi="Arial" w:cs="Arial"/>
          <w:sz w:val="20"/>
          <w:szCs w:val="20"/>
        </w:rPr>
        <w:t>AAV</w:t>
      </w:r>
      <w:r w:rsidR="00390F25" w:rsidRPr="00774D20">
        <w:rPr>
          <w:rFonts w:ascii="Arial" w:hAnsi="Arial" w:cs="Arial"/>
          <w:sz w:val="20"/>
          <w:szCs w:val="20"/>
        </w:rPr>
        <w:t>)</w:t>
      </w:r>
      <w:r w:rsidR="00024C74" w:rsidRPr="00774D20">
        <w:rPr>
          <w:rFonts w:ascii="Arial" w:hAnsi="Arial" w:cs="Arial"/>
          <w:sz w:val="20"/>
          <w:szCs w:val="20"/>
        </w:rPr>
        <w:t xml:space="preserve"> recombinante no replicante que utiliza una cápside del </w:t>
      </w:r>
      <w:r w:rsidR="00121CDE" w:rsidRPr="00774D20">
        <w:rPr>
          <w:rFonts w:ascii="Arial" w:hAnsi="Arial" w:cs="Arial"/>
          <w:sz w:val="20"/>
          <w:szCs w:val="20"/>
        </w:rPr>
        <w:t>vector de virus adenoasociado serotipo 9 (</w:t>
      </w:r>
      <w:r w:rsidR="00024C74" w:rsidRPr="00774D20">
        <w:rPr>
          <w:rFonts w:ascii="Arial" w:hAnsi="Arial" w:cs="Arial"/>
          <w:sz w:val="20"/>
          <w:szCs w:val="20"/>
        </w:rPr>
        <w:t>AAV9</w:t>
      </w:r>
      <w:r w:rsidR="00121CDE" w:rsidRPr="00774D20">
        <w:rPr>
          <w:rFonts w:ascii="Arial" w:hAnsi="Arial" w:cs="Arial"/>
          <w:sz w:val="20"/>
          <w:szCs w:val="20"/>
        </w:rPr>
        <w:t>)</w:t>
      </w:r>
      <w:r w:rsidR="00024C74" w:rsidRPr="00774D20">
        <w:rPr>
          <w:rFonts w:ascii="Arial" w:hAnsi="Arial" w:cs="Arial"/>
          <w:sz w:val="20"/>
          <w:szCs w:val="20"/>
        </w:rPr>
        <w:t xml:space="preserve"> para administrar un transgén SMN1 humano estable y plenamente funcional. Se ha demostrado la capacidad de la cápside del </w:t>
      </w:r>
      <w:r w:rsidR="00390F25" w:rsidRPr="00774D20">
        <w:rPr>
          <w:rFonts w:ascii="Arial" w:hAnsi="Arial" w:cs="Arial"/>
          <w:sz w:val="20"/>
          <w:szCs w:val="20"/>
        </w:rPr>
        <w:t>serotipo 9 (</w:t>
      </w:r>
      <w:r w:rsidR="00024C74" w:rsidRPr="00774D20">
        <w:rPr>
          <w:rFonts w:ascii="Arial" w:hAnsi="Arial" w:cs="Arial"/>
          <w:sz w:val="20"/>
          <w:szCs w:val="20"/>
        </w:rPr>
        <w:t>AAV9</w:t>
      </w:r>
      <w:r w:rsidR="00390F25" w:rsidRPr="00774D20">
        <w:rPr>
          <w:rFonts w:ascii="Arial" w:hAnsi="Arial" w:cs="Arial"/>
          <w:sz w:val="20"/>
          <w:szCs w:val="20"/>
        </w:rPr>
        <w:t>)</w:t>
      </w:r>
      <w:r w:rsidR="00024C74" w:rsidRPr="00774D20">
        <w:rPr>
          <w:rFonts w:ascii="Arial" w:hAnsi="Arial" w:cs="Arial"/>
          <w:sz w:val="20"/>
          <w:szCs w:val="20"/>
        </w:rPr>
        <w:t xml:space="preserve"> para atravesar</w:t>
      </w:r>
      <w:r w:rsidR="00024C74" w:rsidRPr="00024C74">
        <w:rPr>
          <w:rFonts w:ascii="Arial" w:hAnsi="Arial" w:cs="Arial"/>
          <w:sz w:val="20"/>
          <w:szCs w:val="20"/>
        </w:rPr>
        <w:t xml:space="preserve"> la barrera hematoencefálica y transducir las </w:t>
      </w:r>
      <w:r w:rsidR="00024C74" w:rsidRPr="00774D20">
        <w:rPr>
          <w:rFonts w:ascii="Arial" w:hAnsi="Arial" w:cs="Arial"/>
          <w:sz w:val="20"/>
          <w:szCs w:val="20"/>
        </w:rPr>
        <w:t>motoneuronas.</w:t>
      </w:r>
      <w:r w:rsidR="007E2E4E" w:rsidRPr="00774D20">
        <w:rPr>
          <w:rFonts w:ascii="Arial" w:hAnsi="Arial" w:cs="Arial"/>
          <w:sz w:val="20"/>
          <w:szCs w:val="20"/>
        </w:rPr>
        <w:t xml:space="preserve"> </w:t>
      </w:r>
      <w:r w:rsidR="00024C74" w:rsidRPr="00774D20">
        <w:rPr>
          <w:rFonts w:ascii="Arial" w:hAnsi="Arial" w:cs="Arial"/>
          <w:sz w:val="20"/>
          <w:szCs w:val="20"/>
        </w:rPr>
        <w:t>No se conoce que el virus AAV9 provoque enfermedad en humanos. El transgén se introduce en las células diana como molécula bicatenaria autocomplementaria. La expresión del transgén es impulsada por un promotor constitutivo (híbrido de β-actina de pollo potenciada por citomegalovirus)</w:t>
      </w:r>
      <w:r w:rsidR="00024C74" w:rsidRPr="00024C74">
        <w:rPr>
          <w:rFonts w:ascii="Arial" w:hAnsi="Arial" w:cs="Arial"/>
          <w:sz w:val="20"/>
          <w:szCs w:val="20"/>
        </w:rPr>
        <w:t xml:space="preserve"> que provoca la expresión continua </w:t>
      </w:r>
      <w:r w:rsidR="00390F25">
        <w:rPr>
          <w:rFonts w:ascii="Arial" w:hAnsi="Arial" w:cs="Arial"/>
          <w:sz w:val="20"/>
          <w:szCs w:val="20"/>
        </w:rPr>
        <w:t>y sostenida de la proteína SMN.</w:t>
      </w:r>
    </w:p>
    <w:p w14:paraId="29F248F6" w14:textId="77777777" w:rsidR="00390F25" w:rsidRDefault="00390F25" w:rsidP="001F6887">
      <w:pPr>
        <w:jc w:val="both"/>
        <w:rPr>
          <w:rFonts w:ascii="Arial" w:hAnsi="Arial" w:cs="Arial"/>
          <w:sz w:val="20"/>
          <w:szCs w:val="20"/>
        </w:rPr>
      </w:pPr>
    </w:p>
    <w:p w14:paraId="6464F2AB" w14:textId="77777777" w:rsidR="00390F25" w:rsidRDefault="00390F25" w:rsidP="001F6887">
      <w:pPr>
        <w:jc w:val="both"/>
        <w:rPr>
          <w:rFonts w:ascii="Arial" w:hAnsi="Arial" w:cs="Arial"/>
          <w:sz w:val="20"/>
          <w:szCs w:val="20"/>
        </w:rPr>
      </w:pPr>
    </w:p>
    <w:p w14:paraId="3B72CA56" w14:textId="043CEFDD" w:rsidR="00AC7E45" w:rsidRPr="00003C07" w:rsidRDefault="00AC7E45" w:rsidP="006219E3">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28" w:name="_Toc344399628"/>
      <w:bookmarkStart w:id="29" w:name="_Toc348931355"/>
      <w:r w:rsidRPr="00003C07">
        <w:rPr>
          <w:rFonts w:ascii="Arial" w:hAnsi="Arial" w:cs="Arial"/>
          <w:sz w:val="20"/>
          <w:szCs w:val="20"/>
        </w:rPr>
        <w:t>4.2 Indicaciones clínicas formalmente aprobadas y fecha de aprobación</w:t>
      </w:r>
      <w:bookmarkEnd w:id="28"/>
      <w:bookmarkEnd w:id="29"/>
      <w:r w:rsidR="000B327E">
        <w:rPr>
          <w:rFonts w:ascii="Arial" w:hAnsi="Arial" w:cs="Arial"/>
          <w:sz w:val="20"/>
          <w:szCs w:val="20"/>
        </w:rPr>
        <w:t>.</w:t>
      </w:r>
    </w:p>
    <w:p w14:paraId="3F15A395" w14:textId="77777777" w:rsidR="006219E3" w:rsidRDefault="006219E3" w:rsidP="006219E3">
      <w:pPr>
        <w:shd w:val="clear" w:color="auto" w:fill="FFFFFF"/>
        <w:jc w:val="both"/>
        <w:rPr>
          <w:rFonts w:ascii="Arial" w:hAnsi="Arial" w:cs="Arial"/>
          <w:b/>
          <w:sz w:val="20"/>
          <w:szCs w:val="20"/>
        </w:rPr>
      </w:pPr>
    </w:p>
    <w:p w14:paraId="6461A0D7" w14:textId="6312D44F" w:rsidR="00AC7E45" w:rsidRPr="00390F25" w:rsidRDefault="00AC7E45" w:rsidP="001F6887">
      <w:pPr>
        <w:shd w:val="clear" w:color="auto" w:fill="FFFFFF"/>
        <w:jc w:val="both"/>
        <w:rPr>
          <w:rFonts w:ascii="Arial" w:hAnsi="Arial" w:cs="Arial"/>
          <w:b/>
          <w:sz w:val="20"/>
          <w:szCs w:val="20"/>
        </w:rPr>
      </w:pPr>
      <w:r w:rsidRPr="00390F25">
        <w:rPr>
          <w:rFonts w:ascii="Arial" w:hAnsi="Arial" w:cs="Arial"/>
          <w:b/>
          <w:sz w:val="20"/>
          <w:szCs w:val="20"/>
        </w:rPr>
        <w:t>EMA</w:t>
      </w:r>
      <w:r w:rsidR="000B327E" w:rsidRPr="000B327E">
        <w:rPr>
          <w:rFonts w:ascii="Arial" w:hAnsi="Arial" w:cs="Arial"/>
          <w:b/>
          <w:sz w:val="20"/>
          <w:szCs w:val="20"/>
          <w:vertAlign w:val="superscript"/>
        </w:rPr>
        <w:fldChar w:fldCharType="begin"/>
      </w:r>
      <w:r w:rsidR="000B327E" w:rsidRPr="000B327E">
        <w:rPr>
          <w:rFonts w:ascii="Arial" w:hAnsi="Arial" w:cs="Arial"/>
          <w:b/>
          <w:sz w:val="20"/>
          <w:szCs w:val="20"/>
          <w:vertAlign w:val="superscript"/>
        </w:rPr>
        <w:instrText xml:space="preserve"> NOTEREF _Ref52267010 \h  \* MERGEFORMAT </w:instrText>
      </w:r>
      <w:r w:rsidR="000B327E" w:rsidRPr="000B327E">
        <w:rPr>
          <w:rFonts w:ascii="Arial" w:hAnsi="Arial" w:cs="Arial"/>
          <w:b/>
          <w:sz w:val="20"/>
          <w:szCs w:val="20"/>
          <w:vertAlign w:val="superscript"/>
        </w:rPr>
      </w:r>
      <w:r w:rsidR="000B327E" w:rsidRPr="000B327E">
        <w:rPr>
          <w:rFonts w:ascii="Arial" w:hAnsi="Arial" w:cs="Arial"/>
          <w:b/>
          <w:sz w:val="20"/>
          <w:szCs w:val="20"/>
          <w:vertAlign w:val="superscript"/>
        </w:rPr>
        <w:fldChar w:fldCharType="separate"/>
      </w:r>
      <w:r w:rsidR="00E277F2">
        <w:rPr>
          <w:rFonts w:ascii="Arial" w:hAnsi="Arial" w:cs="Arial"/>
          <w:b/>
          <w:sz w:val="20"/>
          <w:szCs w:val="20"/>
          <w:vertAlign w:val="superscript"/>
        </w:rPr>
        <w:t>1</w:t>
      </w:r>
      <w:r w:rsidR="000B327E" w:rsidRPr="000B327E">
        <w:rPr>
          <w:rFonts w:ascii="Arial" w:hAnsi="Arial" w:cs="Arial"/>
          <w:b/>
          <w:sz w:val="20"/>
          <w:szCs w:val="20"/>
          <w:vertAlign w:val="superscript"/>
        </w:rPr>
        <w:fldChar w:fldCharType="end"/>
      </w:r>
      <w:r w:rsidRPr="00390F25">
        <w:rPr>
          <w:rFonts w:ascii="Arial" w:hAnsi="Arial" w:cs="Arial"/>
          <w:b/>
          <w:sz w:val="20"/>
          <w:szCs w:val="20"/>
        </w:rPr>
        <w:t>:</w:t>
      </w:r>
    </w:p>
    <w:p w14:paraId="106431F3" w14:textId="4E5E64B5" w:rsidR="00AC7E45" w:rsidRPr="00774D20" w:rsidRDefault="00AC7E45" w:rsidP="001F6887">
      <w:pPr>
        <w:numPr>
          <w:ilvl w:val="0"/>
          <w:numId w:val="1"/>
        </w:numPr>
        <w:shd w:val="clear" w:color="auto" w:fill="FFFFFF"/>
        <w:jc w:val="both"/>
        <w:rPr>
          <w:rFonts w:ascii="Arial" w:hAnsi="Arial" w:cs="Arial"/>
          <w:sz w:val="20"/>
          <w:szCs w:val="20"/>
        </w:rPr>
      </w:pPr>
      <w:r w:rsidRPr="00774D20">
        <w:rPr>
          <w:rFonts w:ascii="Arial" w:hAnsi="Arial" w:cs="Arial"/>
          <w:sz w:val="20"/>
          <w:szCs w:val="20"/>
        </w:rPr>
        <w:t xml:space="preserve">Pacientes </w:t>
      </w:r>
      <w:r w:rsidR="00281F44" w:rsidRPr="00774D20">
        <w:rPr>
          <w:rFonts w:ascii="Arial" w:hAnsi="Arial" w:cs="Arial"/>
          <w:sz w:val="20"/>
          <w:szCs w:val="20"/>
          <w:lang w:val="ca-ES"/>
        </w:rPr>
        <w:t>con AME en 5q con una mutación bialélica en el gen SMN1 y un diagn</w:t>
      </w:r>
      <w:r w:rsidR="0059731E" w:rsidRPr="00774D20">
        <w:rPr>
          <w:rFonts w:ascii="Arial" w:hAnsi="Arial" w:cs="Arial"/>
          <w:sz w:val="20"/>
          <w:szCs w:val="20"/>
          <w:lang w:val="ca-ES"/>
        </w:rPr>
        <w:t>ó</w:t>
      </w:r>
      <w:r w:rsidR="00281F44" w:rsidRPr="00774D20">
        <w:rPr>
          <w:rFonts w:ascii="Arial" w:hAnsi="Arial" w:cs="Arial"/>
          <w:sz w:val="20"/>
          <w:szCs w:val="20"/>
          <w:lang w:val="ca-ES"/>
        </w:rPr>
        <w:t>stico clínico de AME tipo 1</w:t>
      </w:r>
      <w:r w:rsidR="002370E5" w:rsidRPr="00774D20">
        <w:rPr>
          <w:rFonts w:ascii="Arial" w:hAnsi="Arial" w:cs="Arial"/>
          <w:sz w:val="20"/>
          <w:szCs w:val="20"/>
          <w:lang w:val="ca-ES"/>
        </w:rPr>
        <w:t>.</w:t>
      </w:r>
    </w:p>
    <w:p w14:paraId="6EDCE295" w14:textId="164A564A" w:rsidR="00AC7E45" w:rsidRPr="00774D20" w:rsidRDefault="00AC7E45" w:rsidP="001F6887">
      <w:pPr>
        <w:numPr>
          <w:ilvl w:val="0"/>
          <w:numId w:val="1"/>
        </w:numPr>
        <w:shd w:val="clear" w:color="auto" w:fill="FFFFFF"/>
        <w:jc w:val="both"/>
        <w:rPr>
          <w:rFonts w:ascii="Arial" w:hAnsi="Arial" w:cs="Arial"/>
          <w:sz w:val="20"/>
          <w:szCs w:val="20"/>
        </w:rPr>
      </w:pPr>
      <w:r w:rsidRPr="00774D20">
        <w:rPr>
          <w:rFonts w:ascii="Arial" w:hAnsi="Arial" w:cs="Arial"/>
          <w:sz w:val="20"/>
          <w:szCs w:val="20"/>
        </w:rPr>
        <w:t xml:space="preserve">Pacientes </w:t>
      </w:r>
      <w:r w:rsidR="00281F44" w:rsidRPr="00774D20">
        <w:rPr>
          <w:rFonts w:ascii="Arial" w:hAnsi="Arial" w:cs="Arial"/>
          <w:sz w:val="20"/>
          <w:szCs w:val="20"/>
        </w:rPr>
        <w:t>con AME en 5q con una mutación bialélica en el gen SMN1 y hasta 3 copias del gen SMN2</w:t>
      </w:r>
      <w:r w:rsidR="002370E5" w:rsidRPr="00774D20">
        <w:rPr>
          <w:rFonts w:ascii="Arial" w:hAnsi="Arial" w:cs="Arial"/>
          <w:sz w:val="20"/>
          <w:szCs w:val="20"/>
        </w:rPr>
        <w:t>.</w:t>
      </w:r>
    </w:p>
    <w:p w14:paraId="2AED6DE2" w14:textId="5C4B08BA" w:rsidR="00AC7E45" w:rsidRPr="00774D20" w:rsidRDefault="00AC7E45" w:rsidP="001F6887">
      <w:pPr>
        <w:shd w:val="clear" w:color="auto" w:fill="FFFFFF"/>
        <w:jc w:val="right"/>
        <w:rPr>
          <w:rFonts w:ascii="Arial" w:hAnsi="Arial" w:cs="Arial"/>
          <w:sz w:val="20"/>
          <w:szCs w:val="20"/>
        </w:rPr>
      </w:pPr>
      <w:r w:rsidRPr="00774D20">
        <w:rPr>
          <w:rFonts w:ascii="Arial" w:hAnsi="Arial" w:cs="Arial"/>
          <w:sz w:val="20"/>
          <w:szCs w:val="20"/>
        </w:rPr>
        <w:tab/>
      </w:r>
      <w:r w:rsidRPr="00774D20">
        <w:rPr>
          <w:rFonts w:ascii="Arial" w:hAnsi="Arial" w:cs="Arial"/>
          <w:sz w:val="20"/>
          <w:szCs w:val="20"/>
        </w:rPr>
        <w:tab/>
      </w:r>
      <w:r w:rsidRPr="00774D20">
        <w:rPr>
          <w:rFonts w:ascii="Arial" w:hAnsi="Arial" w:cs="Arial"/>
          <w:sz w:val="20"/>
          <w:szCs w:val="20"/>
        </w:rPr>
        <w:tab/>
      </w:r>
      <w:r w:rsidRPr="00774D20">
        <w:rPr>
          <w:rFonts w:ascii="Arial" w:hAnsi="Arial" w:cs="Arial"/>
          <w:sz w:val="20"/>
          <w:szCs w:val="20"/>
        </w:rPr>
        <w:tab/>
      </w:r>
      <w:r w:rsidRPr="00774D20">
        <w:rPr>
          <w:rFonts w:ascii="Arial" w:hAnsi="Arial" w:cs="Arial"/>
          <w:sz w:val="20"/>
          <w:szCs w:val="20"/>
        </w:rPr>
        <w:tab/>
      </w:r>
      <w:r w:rsidRPr="00774D20">
        <w:rPr>
          <w:rFonts w:ascii="Arial" w:hAnsi="Arial" w:cs="Arial"/>
          <w:sz w:val="20"/>
          <w:szCs w:val="20"/>
        </w:rPr>
        <w:tab/>
      </w:r>
      <w:r w:rsidRPr="00774D20">
        <w:rPr>
          <w:rFonts w:ascii="Arial" w:hAnsi="Arial" w:cs="Arial"/>
          <w:sz w:val="20"/>
          <w:szCs w:val="20"/>
        </w:rPr>
        <w:tab/>
      </w:r>
      <w:r w:rsidRPr="00774D20">
        <w:rPr>
          <w:rFonts w:ascii="Arial" w:hAnsi="Arial" w:cs="Arial"/>
          <w:sz w:val="20"/>
          <w:szCs w:val="20"/>
        </w:rPr>
        <w:tab/>
        <w:t>[2</w:t>
      </w:r>
      <w:r w:rsidR="00281F44" w:rsidRPr="00774D20">
        <w:rPr>
          <w:rFonts w:ascii="Arial" w:hAnsi="Arial" w:cs="Arial"/>
          <w:sz w:val="20"/>
          <w:szCs w:val="20"/>
        </w:rPr>
        <w:t>7/05/2020</w:t>
      </w:r>
      <w:r w:rsidRPr="00774D20">
        <w:rPr>
          <w:rFonts w:ascii="Arial" w:hAnsi="Arial" w:cs="Arial"/>
          <w:sz w:val="20"/>
          <w:szCs w:val="20"/>
        </w:rPr>
        <w:t xml:space="preserve">]          </w:t>
      </w:r>
    </w:p>
    <w:p w14:paraId="735838A2" w14:textId="77777777" w:rsidR="006219E3" w:rsidRPr="00774D20" w:rsidRDefault="006219E3" w:rsidP="001F6887">
      <w:pPr>
        <w:shd w:val="clear" w:color="auto" w:fill="FFFFFF"/>
        <w:jc w:val="both"/>
        <w:rPr>
          <w:rFonts w:ascii="Arial" w:hAnsi="Arial" w:cs="Arial"/>
          <w:b/>
          <w:sz w:val="20"/>
          <w:szCs w:val="20"/>
        </w:rPr>
      </w:pPr>
    </w:p>
    <w:p w14:paraId="719D4566" w14:textId="305F68D6" w:rsidR="00AC7E45" w:rsidRPr="00774D20" w:rsidRDefault="00AC7E45" w:rsidP="001F6887">
      <w:pPr>
        <w:shd w:val="clear" w:color="auto" w:fill="FFFFFF"/>
        <w:jc w:val="both"/>
        <w:rPr>
          <w:rFonts w:ascii="Arial" w:hAnsi="Arial" w:cs="Arial"/>
          <w:b/>
          <w:sz w:val="20"/>
          <w:szCs w:val="20"/>
        </w:rPr>
      </w:pPr>
      <w:r w:rsidRPr="00774D20">
        <w:rPr>
          <w:rFonts w:ascii="Arial" w:hAnsi="Arial" w:cs="Arial"/>
          <w:b/>
          <w:sz w:val="20"/>
          <w:szCs w:val="20"/>
        </w:rPr>
        <w:t>FDA</w:t>
      </w:r>
      <w:r w:rsidR="008E52F8" w:rsidRPr="00774D20">
        <w:rPr>
          <w:rStyle w:val="Refdenotaalfinal"/>
          <w:rFonts w:ascii="Arial" w:hAnsi="Arial" w:cs="Arial"/>
          <w:b/>
          <w:sz w:val="20"/>
          <w:szCs w:val="20"/>
        </w:rPr>
        <w:endnoteReference w:id="13"/>
      </w:r>
      <w:r w:rsidRPr="00774D20">
        <w:rPr>
          <w:rFonts w:ascii="Arial" w:hAnsi="Arial" w:cs="Arial"/>
          <w:b/>
          <w:sz w:val="20"/>
          <w:szCs w:val="20"/>
        </w:rPr>
        <w:t>:</w:t>
      </w:r>
      <w:r w:rsidRPr="00774D20">
        <w:rPr>
          <w:rFonts w:ascii="Arial" w:hAnsi="Arial" w:cs="Arial"/>
          <w:b/>
          <w:sz w:val="20"/>
          <w:szCs w:val="20"/>
        </w:rPr>
        <w:tab/>
      </w:r>
    </w:p>
    <w:p w14:paraId="6E5FF901" w14:textId="05C4AC8A" w:rsidR="00281F44" w:rsidRPr="00774D20" w:rsidRDefault="00AC7E45" w:rsidP="001F6887">
      <w:pPr>
        <w:numPr>
          <w:ilvl w:val="0"/>
          <w:numId w:val="1"/>
        </w:numPr>
        <w:shd w:val="clear" w:color="auto" w:fill="FFFFFF"/>
        <w:jc w:val="both"/>
        <w:rPr>
          <w:rFonts w:ascii="Arial" w:hAnsi="Arial" w:cs="Arial"/>
          <w:sz w:val="20"/>
          <w:szCs w:val="20"/>
        </w:rPr>
      </w:pPr>
      <w:r w:rsidRPr="00774D20">
        <w:rPr>
          <w:rFonts w:ascii="Arial" w:hAnsi="Arial" w:cs="Arial"/>
          <w:sz w:val="20"/>
          <w:szCs w:val="20"/>
        </w:rPr>
        <w:t>Pacientes menores de 2 años</w:t>
      </w:r>
      <w:r w:rsidR="00281F44" w:rsidRPr="00774D20">
        <w:rPr>
          <w:rFonts w:ascii="Arial" w:hAnsi="Arial" w:cs="Arial"/>
          <w:sz w:val="20"/>
          <w:szCs w:val="20"/>
        </w:rPr>
        <w:t xml:space="preserve"> de edad</w:t>
      </w:r>
      <w:r w:rsidRPr="00774D20">
        <w:rPr>
          <w:rFonts w:ascii="Arial" w:hAnsi="Arial" w:cs="Arial"/>
          <w:sz w:val="20"/>
          <w:szCs w:val="20"/>
        </w:rPr>
        <w:t xml:space="preserve"> con </w:t>
      </w:r>
      <w:r w:rsidR="00281F44" w:rsidRPr="00774D20">
        <w:rPr>
          <w:rFonts w:ascii="Arial" w:hAnsi="Arial" w:cs="Arial"/>
          <w:sz w:val="20"/>
          <w:szCs w:val="20"/>
        </w:rPr>
        <w:t>AME en 5q con mutaciones bialélicas en el gen SMN1</w:t>
      </w:r>
      <w:r w:rsidR="002370E5" w:rsidRPr="00774D20">
        <w:rPr>
          <w:rFonts w:ascii="Arial" w:hAnsi="Arial" w:cs="Arial"/>
          <w:sz w:val="20"/>
          <w:szCs w:val="20"/>
        </w:rPr>
        <w:t>.</w:t>
      </w:r>
    </w:p>
    <w:p w14:paraId="2DE7F98F" w14:textId="77777777" w:rsidR="00281F44" w:rsidRDefault="00281F44" w:rsidP="001F6887">
      <w:pPr>
        <w:shd w:val="clear" w:color="auto" w:fill="FFFFFF"/>
        <w:ind w:left="720"/>
        <w:jc w:val="right"/>
        <w:rPr>
          <w:rFonts w:ascii="Arial" w:hAnsi="Arial" w:cs="Arial"/>
          <w:sz w:val="20"/>
          <w:szCs w:val="20"/>
        </w:rPr>
      </w:pPr>
      <w:r>
        <w:rPr>
          <w:rFonts w:ascii="Arial" w:hAnsi="Arial" w:cs="Arial"/>
          <w:sz w:val="20"/>
          <w:szCs w:val="20"/>
        </w:rPr>
        <w:t>[24/05/2019]</w:t>
      </w:r>
    </w:p>
    <w:p w14:paraId="1A818282" w14:textId="77777777" w:rsidR="006219E3" w:rsidRDefault="006219E3" w:rsidP="001F6887">
      <w:pPr>
        <w:shd w:val="clear" w:color="auto" w:fill="FFFFFF"/>
        <w:ind w:left="720"/>
        <w:jc w:val="right"/>
        <w:rPr>
          <w:rFonts w:ascii="Arial" w:hAnsi="Arial" w:cs="Arial"/>
          <w:sz w:val="20"/>
          <w:szCs w:val="20"/>
        </w:rPr>
      </w:pPr>
    </w:p>
    <w:p w14:paraId="5F32CBC6" w14:textId="72E09CB0" w:rsidR="00AC7E45" w:rsidRDefault="00281F44" w:rsidP="001F6887">
      <w:pPr>
        <w:shd w:val="clear" w:color="auto" w:fill="FFFFFF"/>
        <w:ind w:left="720"/>
        <w:jc w:val="right"/>
        <w:rPr>
          <w:rFonts w:ascii="Arial" w:hAnsi="Arial" w:cs="Arial"/>
          <w:color w:val="000080"/>
          <w:sz w:val="20"/>
          <w:szCs w:val="20"/>
        </w:rPr>
      </w:pPr>
      <w:r>
        <w:rPr>
          <w:rFonts w:ascii="Arial" w:hAnsi="Arial" w:cs="Arial"/>
          <w:sz w:val="20"/>
          <w:szCs w:val="20"/>
        </w:rPr>
        <w:t xml:space="preserve">          </w:t>
      </w:r>
    </w:p>
    <w:p w14:paraId="16C33451" w14:textId="7CA21FFA" w:rsidR="00AC7E45" w:rsidRPr="00390F25" w:rsidRDefault="00AC7E4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30" w:name="_Toc344399629"/>
      <w:bookmarkStart w:id="31" w:name="_Toc348931356"/>
      <w:r w:rsidRPr="00390F25">
        <w:rPr>
          <w:rFonts w:ascii="Arial" w:hAnsi="Arial" w:cs="Arial"/>
          <w:sz w:val="20"/>
          <w:szCs w:val="20"/>
        </w:rPr>
        <w:t>4.3 Posología, forma de preparación y administración.</w:t>
      </w:r>
      <w:bookmarkEnd w:id="30"/>
      <w:bookmarkEnd w:id="31"/>
      <w:r w:rsidRPr="000B327E">
        <w:rPr>
          <w:rFonts w:ascii="Arial" w:hAnsi="Arial" w:cs="Arial"/>
          <w:sz w:val="20"/>
          <w:szCs w:val="20"/>
          <w:vertAlign w:val="superscript"/>
        </w:rPr>
        <w:t xml:space="preserve"> </w:t>
      </w:r>
      <w:r w:rsidR="000B327E" w:rsidRPr="000B327E">
        <w:rPr>
          <w:rFonts w:ascii="Arial" w:hAnsi="Arial" w:cs="Arial"/>
          <w:sz w:val="20"/>
          <w:szCs w:val="20"/>
          <w:vertAlign w:val="superscript"/>
        </w:rPr>
        <w:fldChar w:fldCharType="begin"/>
      </w:r>
      <w:r w:rsidR="000B327E" w:rsidRPr="000B327E">
        <w:rPr>
          <w:rFonts w:ascii="Arial" w:hAnsi="Arial" w:cs="Arial"/>
          <w:sz w:val="20"/>
          <w:szCs w:val="20"/>
          <w:vertAlign w:val="superscript"/>
        </w:rPr>
        <w:instrText xml:space="preserve"> NOTEREF _Ref52267010 \h </w:instrText>
      </w:r>
      <w:r w:rsidR="000B327E">
        <w:rPr>
          <w:rFonts w:ascii="Arial" w:hAnsi="Arial" w:cs="Arial"/>
          <w:sz w:val="20"/>
          <w:szCs w:val="20"/>
          <w:vertAlign w:val="superscript"/>
        </w:rPr>
        <w:instrText xml:space="preserve"> \* MERGEFORMAT </w:instrText>
      </w:r>
      <w:r w:rsidR="000B327E" w:rsidRPr="000B327E">
        <w:rPr>
          <w:rFonts w:ascii="Arial" w:hAnsi="Arial" w:cs="Arial"/>
          <w:sz w:val="20"/>
          <w:szCs w:val="20"/>
          <w:vertAlign w:val="superscript"/>
        </w:rPr>
      </w:r>
      <w:r w:rsidR="000B327E" w:rsidRPr="000B327E">
        <w:rPr>
          <w:rFonts w:ascii="Arial" w:hAnsi="Arial" w:cs="Arial"/>
          <w:sz w:val="20"/>
          <w:szCs w:val="20"/>
          <w:vertAlign w:val="superscript"/>
        </w:rPr>
        <w:fldChar w:fldCharType="separate"/>
      </w:r>
      <w:r w:rsidR="00E277F2">
        <w:rPr>
          <w:rFonts w:ascii="Arial" w:hAnsi="Arial" w:cs="Arial"/>
          <w:sz w:val="20"/>
          <w:szCs w:val="20"/>
          <w:vertAlign w:val="superscript"/>
        </w:rPr>
        <w:t>1</w:t>
      </w:r>
      <w:r w:rsidR="000B327E" w:rsidRPr="000B327E">
        <w:rPr>
          <w:rFonts w:ascii="Arial" w:hAnsi="Arial" w:cs="Arial"/>
          <w:sz w:val="20"/>
          <w:szCs w:val="20"/>
          <w:vertAlign w:val="superscript"/>
        </w:rPr>
        <w:fldChar w:fldCharType="end"/>
      </w:r>
    </w:p>
    <w:p w14:paraId="56B13AEB" w14:textId="77777777" w:rsidR="00390F25" w:rsidRDefault="00390F25" w:rsidP="001F6887">
      <w:pPr>
        <w:jc w:val="both"/>
        <w:rPr>
          <w:rFonts w:ascii="Arial" w:hAnsi="Arial" w:cs="Arial"/>
          <w:sz w:val="20"/>
          <w:szCs w:val="20"/>
        </w:rPr>
      </w:pPr>
    </w:p>
    <w:p w14:paraId="1BCFFCEB" w14:textId="2C8A9485" w:rsidR="008F1874" w:rsidRDefault="008F1874" w:rsidP="001F6887">
      <w:pPr>
        <w:jc w:val="both"/>
        <w:rPr>
          <w:rFonts w:ascii="Arial" w:hAnsi="Arial" w:cs="Arial"/>
          <w:sz w:val="20"/>
          <w:szCs w:val="20"/>
        </w:rPr>
      </w:pPr>
      <w:r w:rsidRPr="008F1874">
        <w:rPr>
          <w:rFonts w:ascii="Arial" w:hAnsi="Arial" w:cs="Arial"/>
          <w:sz w:val="20"/>
          <w:szCs w:val="20"/>
        </w:rPr>
        <w:t>El tratamiento debe ser iniciado y administrado en centros clínicos y supervisado por un médico con experiencia en el manejo de pacientes con AME.</w:t>
      </w:r>
    </w:p>
    <w:p w14:paraId="0852E8EF" w14:textId="77777777" w:rsidR="00390F25" w:rsidRDefault="00390F25" w:rsidP="001F6887">
      <w:pPr>
        <w:jc w:val="both"/>
        <w:rPr>
          <w:rFonts w:ascii="Arial" w:hAnsi="Arial" w:cs="Arial"/>
          <w:sz w:val="20"/>
          <w:szCs w:val="20"/>
          <w:u w:val="single"/>
        </w:rPr>
      </w:pPr>
    </w:p>
    <w:p w14:paraId="6ECF94C1" w14:textId="77777777" w:rsidR="0023566F" w:rsidRPr="006219E3" w:rsidRDefault="0023566F" w:rsidP="006219E3">
      <w:pPr>
        <w:pBdr>
          <w:bottom w:val="single" w:sz="4" w:space="1" w:color="auto"/>
        </w:pBdr>
        <w:jc w:val="both"/>
        <w:rPr>
          <w:rFonts w:ascii="Arial" w:hAnsi="Arial" w:cs="Arial"/>
          <w:sz w:val="20"/>
          <w:szCs w:val="20"/>
        </w:rPr>
      </w:pPr>
      <w:r w:rsidRPr="006219E3">
        <w:rPr>
          <w:rFonts w:ascii="Arial" w:hAnsi="Arial" w:cs="Arial"/>
          <w:sz w:val="20"/>
          <w:szCs w:val="20"/>
        </w:rPr>
        <w:t>Posología</w:t>
      </w:r>
    </w:p>
    <w:p w14:paraId="50C25A10" w14:textId="77777777" w:rsidR="006219E3" w:rsidRDefault="006219E3" w:rsidP="001F6887">
      <w:pPr>
        <w:jc w:val="both"/>
        <w:rPr>
          <w:rFonts w:ascii="Arial" w:hAnsi="Arial" w:cs="Arial"/>
          <w:sz w:val="20"/>
          <w:szCs w:val="20"/>
        </w:rPr>
      </w:pPr>
    </w:p>
    <w:p w14:paraId="0E9F896B" w14:textId="559C653C" w:rsidR="00AA7186" w:rsidRDefault="00390F25" w:rsidP="001F6887">
      <w:pPr>
        <w:jc w:val="both"/>
        <w:rPr>
          <w:noProof/>
        </w:rPr>
      </w:pPr>
      <w:r>
        <w:rPr>
          <w:rFonts w:ascii="Arial" w:hAnsi="Arial" w:cs="Arial"/>
          <w:sz w:val="20"/>
          <w:szCs w:val="20"/>
        </w:rPr>
        <w:t>Los pacientes reciben</w:t>
      </w:r>
      <w:r w:rsidR="008F1874" w:rsidRPr="008F1874">
        <w:rPr>
          <w:rFonts w:ascii="Arial" w:hAnsi="Arial" w:cs="Arial"/>
          <w:sz w:val="20"/>
          <w:szCs w:val="20"/>
        </w:rPr>
        <w:t xml:space="preserve"> una </w:t>
      </w:r>
      <w:r w:rsidR="008F1874" w:rsidRPr="00774D20">
        <w:rPr>
          <w:rFonts w:ascii="Arial" w:hAnsi="Arial" w:cs="Arial"/>
          <w:sz w:val="20"/>
          <w:szCs w:val="20"/>
        </w:rPr>
        <w:t>dosis nominal de 1,1 x 10</w:t>
      </w:r>
      <w:r w:rsidR="008F1874" w:rsidRPr="00774D20">
        <w:rPr>
          <w:rFonts w:ascii="Arial" w:hAnsi="Arial" w:cs="Arial"/>
          <w:sz w:val="20"/>
          <w:szCs w:val="20"/>
          <w:vertAlign w:val="superscript"/>
        </w:rPr>
        <w:t>14</w:t>
      </w:r>
      <w:r w:rsidR="008F1874" w:rsidRPr="00774D20">
        <w:rPr>
          <w:rFonts w:ascii="Arial" w:hAnsi="Arial" w:cs="Arial"/>
          <w:sz w:val="20"/>
          <w:szCs w:val="20"/>
        </w:rPr>
        <w:t xml:space="preserve"> vg/kg de onasemnogén abeparvovec. El volumen total se determina en función del peso corporal del paciente, en una perfusión intravenosa en dosis única. </w:t>
      </w:r>
      <w:r w:rsidR="00AA7186" w:rsidRPr="00774D20">
        <w:rPr>
          <w:rFonts w:ascii="Arial" w:hAnsi="Arial" w:cs="Arial"/>
          <w:sz w:val="20"/>
          <w:szCs w:val="20"/>
        </w:rPr>
        <w:t>La presentación del fármaco consiste en un kit de un número determinado de viales (de dos tamaños: 5,5 y 8,3 ml) que dependen de la posología del paciente según su peso:</w:t>
      </w:r>
      <w:r w:rsidRPr="00774D20">
        <w:rPr>
          <w:rFonts w:ascii="Arial" w:hAnsi="Arial" w:cs="Arial"/>
          <w:sz w:val="20"/>
          <w:szCs w:val="20"/>
        </w:rPr>
        <w:t xml:space="preserve"> desde </w:t>
      </w:r>
      <w:r w:rsidRPr="005E2D1C">
        <w:rPr>
          <w:rFonts w:ascii="Arial" w:hAnsi="Arial" w:cs="Arial"/>
          <w:sz w:val="20"/>
          <w:szCs w:val="20"/>
        </w:rPr>
        <w:t xml:space="preserve">16 ml </w:t>
      </w:r>
      <w:r w:rsidRPr="00774D20">
        <w:rPr>
          <w:rFonts w:ascii="Arial" w:hAnsi="Arial" w:cs="Arial"/>
          <w:sz w:val="20"/>
          <w:szCs w:val="20"/>
        </w:rPr>
        <w:t>en pacientes de</w:t>
      </w:r>
      <w:r>
        <w:rPr>
          <w:rFonts w:ascii="Arial" w:hAnsi="Arial" w:cs="Arial"/>
          <w:sz w:val="20"/>
          <w:szCs w:val="20"/>
        </w:rPr>
        <w:t xml:space="preserve"> menos de 3 kg hasta 115,5 ml en pacientes con 21 kg de peso.</w:t>
      </w:r>
      <w:r w:rsidR="00AA7186" w:rsidRPr="00AA7186">
        <w:rPr>
          <w:noProof/>
        </w:rPr>
        <w:t xml:space="preserve"> </w:t>
      </w:r>
    </w:p>
    <w:p w14:paraId="2BA17F8F" w14:textId="03AE8504" w:rsidR="00511D02" w:rsidRDefault="00511D02" w:rsidP="001F6887">
      <w:pPr>
        <w:spacing w:after="240"/>
        <w:jc w:val="both"/>
        <w:rPr>
          <w:rFonts w:ascii="Arial" w:hAnsi="Arial" w:cs="Arial"/>
          <w:sz w:val="20"/>
          <w:szCs w:val="20"/>
        </w:rPr>
      </w:pPr>
      <w:r w:rsidRPr="00511D02">
        <w:rPr>
          <w:rFonts w:ascii="Arial" w:hAnsi="Arial" w:cs="Arial"/>
          <w:sz w:val="20"/>
          <w:szCs w:val="20"/>
        </w:rPr>
        <w:t xml:space="preserve">Antes de la administración de onasemnogén abeparvovec se requieren pruebas de laboratorio basales, que incluirán: </w:t>
      </w:r>
    </w:p>
    <w:p w14:paraId="3A941EC2" w14:textId="594F5C85" w:rsidR="00511D02" w:rsidRPr="00390F25" w:rsidRDefault="00511D02" w:rsidP="001F6887">
      <w:pPr>
        <w:pStyle w:val="Prrafodelista"/>
        <w:numPr>
          <w:ilvl w:val="0"/>
          <w:numId w:val="10"/>
        </w:numPr>
        <w:jc w:val="both"/>
        <w:rPr>
          <w:rFonts w:ascii="Arial" w:hAnsi="Arial" w:cs="Arial"/>
          <w:sz w:val="20"/>
          <w:szCs w:val="20"/>
        </w:rPr>
      </w:pPr>
      <w:r w:rsidRPr="00390F25">
        <w:rPr>
          <w:rFonts w:ascii="Arial" w:hAnsi="Arial" w:cs="Arial"/>
          <w:sz w:val="20"/>
          <w:szCs w:val="20"/>
        </w:rPr>
        <w:t xml:space="preserve">pruebas de anticuerpos anti AAV9 utilizando un método debidamente validado </w:t>
      </w:r>
    </w:p>
    <w:p w14:paraId="6E741156" w14:textId="221A6F38" w:rsidR="00511D02" w:rsidRPr="00390F25" w:rsidRDefault="00511D02" w:rsidP="001F6887">
      <w:pPr>
        <w:pStyle w:val="Prrafodelista"/>
        <w:numPr>
          <w:ilvl w:val="0"/>
          <w:numId w:val="10"/>
        </w:numPr>
        <w:jc w:val="both"/>
        <w:rPr>
          <w:rFonts w:ascii="Arial" w:hAnsi="Arial" w:cs="Arial"/>
          <w:sz w:val="20"/>
          <w:szCs w:val="20"/>
        </w:rPr>
      </w:pPr>
      <w:r w:rsidRPr="00390F25">
        <w:rPr>
          <w:rFonts w:ascii="Arial" w:hAnsi="Arial" w:cs="Arial"/>
          <w:sz w:val="20"/>
          <w:szCs w:val="20"/>
        </w:rPr>
        <w:t>función hepática: alanino aminotransferasa (ALT), aspartato aminotransferasa (AST) y bilirrubina total</w:t>
      </w:r>
    </w:p>
    <w:p w14:paraId="53271B28" w14:textId="04A6D844" w:rsidR="00511D02" w:rsidRPr="00390F25" w:rsidRDefault="00511D02" w:rsidP="001F6887">
      <w:pPr>
        <w:pStyle w:val="Prrafodelista"/>
        <w:numPr>
          <w:ilvl w:val="0"/>
          <w:numId w:val="10"/>
        </w:numPr>
        <w:jc w:val="both"/>
        <w:rPr>
          <w:rFonts w:ascii="Arial" w:hAnsi="Arial" w:cs="Arial"/>
          <w:sz w:val="20"/>
          <w:szCs w:val="20"/>
        </w:rPr>
      </w:pPr>
      <w:r w:rsidRPr="00390F25">
        <w:rPr>
          <w:rFonts w:ascii="Arial" w:hAnsi="Arial" w:cs="Arial"/>
          <w:sz w:val="20"/>
          <w:szCs w:val="20"/>
        </w:rPr>
        <w:t xml:space="preserve">recuento de plaquetas </w:t>
      </w:r>
    </w:p>
    <w:p w14:paraId="2D93CD82" w14:textId="331B58F5" w:rsidR="00511D02" w:rsidRDefault="00511D02" w:rsidP="001F6887">
      <w:pPr>
        <w:pStyle w:val="Prrafodelista"/>
        <w:numPr>
          <w:ilvl w:val="0"/>
          <w:numId w:val="10"/>
        </w:numPr>
        <w:jc w:val="both"/>
        <w:rPr>
          <w:rFonts w:ascii="Arial" w:hAnsi="Arial" w:cs="Arial"/>
          <w:sz w:val="20"/>
          <w:szCs w:val="20"/>
        </w:rPr>
      </w:pPr>
      <w:r w:rsidRPr="00511D02">
        <w:rPr>
          <w:rFonts w:ascii="Arial" w:hAnsi="Arial" w:cs="Arial"/>
          <w:sz w:val="20"/>
          <w:szCs w:val="20"/>
        </w:rPr>
        <w:t>troponina</w:t>
      </w:r>
      <w:r>
        <w:rPr>
          <w:rFonts w:ascii="Arial" w:hAnsi="Arial" w:cs="Arial"/>
          <w:sz w:val="20"/>
          <w:szCs w:val="20"/>
        </w:rPr>
        <w:t>s</w:t>
      </w:r>
    </w:p>
    <w:p w14:paraId="70C4631D" w14:textId="77777777" w:rsidR="00511D02" w:rsidRDefault="00511D02" w:rsidP="001F6887">
      <w:pPr>
        <w:jc w:val="both"/>
        <w:rPr>
          <w:rFonts w:ascii="Arial" w:hAnsi="Arial" w:cs="Arial"/>
          <w:sz w:val="20"/>
          <w:szCs w:val="20"/>
        </w:rPr>
      </w:pPr>
    </w:p>
    <w:p w14:paraId="3770A0E7" w14:textId="21666D60" w:rsidR="00511D02" w:rsidRDefault="00511D02" w:rsidP="006219E3">
      <w:pPr>
        <w:jc w:val="both"/>
        <w:rPr>
          <w:rFonts w:ascii="Arial" w:hAnsi="Arial" w:cs="Arial"/>
          <w:sz w:val="20"/>
          <w:szCs w:val="20"/>
        </w:rPr>
      </w:pPr>
      <w:r w:rsidRPr="00511D02">
        <w:rPr>
          <w:rFonts w:ascii="Arial" w:hAnsi="Arial" w:cs="Arial"/>
          <w:sz w:val="20"/>
          <w:szCs w:val="20"/>
        </w:rPr>
        <w:t xml:space="preserve">Se debe considerar la necesidad de una vigilancia estrecha de la función hepática, recuento de plaquetas y troponina I tras la administración, y la necesidad de tratamiento con corticosteroides al </w:t>
      </w:r>
      <w:r w:rsidRPr="00511D02">
        <w:rPr>
          <w:rFonts w:ascii="Arial" w:hAnsi="Arial" w:cs="Arial"/>
          <w:sz w:val="20"/>
          <w:szCs w:val="20"/>
        </w:rPr>
        <w:lastRenderedPageBreak/>
        <w:t>establecer el momento del tratamiento con onasemnogén abeparvovec. En caso de infecciones activas agudas o crónicas no controladas, debe posponerse el tratamiento hasta que la infección se haya resuelto o esté controlada</w:t>
      </w:r>
      <w:r w:rsidR="00B370A4">
        <w:rPr>
          <w:rFonts w:ascii="Arial" w:hAnsi="Arial" w:cs="Arial"/>
          <w:sz w:val="20"/>
          <w:szCs w:val="20"/>
        </w:rPr>
        <w:t>.</w:t>
      </w:r>
      <w:r w:rsidR="00F62D81">
        <w:rPr>
          <w:rFonts w:ascii="Arial" w:hAnsi="Arial" w:cs="Arial"/>
          <w:sz w:val="20"/>
          <w:szCs w:val="20"/>
        </w:rPr>
        <w:t xml:space="preserve"> No se dispone de experiencia en pacientes con peso por encima de 13,5 kg.</w:t>
      </w:r>
    </w:p>
    <w:p w14:paraId="52370FB6" w14:textId="77777777" w:rsidR="006219E3" w:rsidRDefault="006219E3" w:rsidP="006219E3">
      <w:pPr>
        <w:jc w:val="both"/>
        <w:rPr>
          <w:rFonts w:ascii="Arial" w:hAnsi="Arial" w:cs="Arial"/>
          <w:sz w:val="20"/>
          <w:szCs w:val="20"/>
        </w:rPr>
      </w:pPr>
    </w:p>
    <w:p w14:paraId="102826DF" w14:textId="14154B29" w:rsidR="0023566F" w:rsidRPr="006219E3" w:rsidRDefault="00D23092" w:rsidP="006219E3">
      <w:pPr>
        <w:pBdr>
          <w:bottom w:val="single" w:sz="4" w:space="1" w:color="auto"/>
        </w:pBdr>
        <w:jc w:val="both"/>
        <w:rPr>
          <w:rFonts w:ascii="Arial" w:hAnsi="Arial" w:cs="Arial"/>
          <w:sz w:val="20"/>
          <w:szCs w:val="20"/>
        </w:rPr>
      </w:pPr>
      <w:r>
        <w:rPr>
          <w:rFonts w:ascii="Arial" w:hAnsi="Arial" w:cs="Arial"/>
          <w:sz w:val="20"/>
          <w:szCs w:val="20"/>
        </w:rPr>
        <w:t>Premedicación.</w:t>
      </w:r>
    </w:p>
    <w:p w14:paraId="25628D7D" w14:textId="77777777" w:rsidR="006219E3" w:rsidRDefault="006219E3" w:rsidP="006219E3">
      <w:pPr>
        <w:jc w:val="both"/>
        <w:rPr>
          <w:rFonts w:ascii="Arial" w:hAnsi="Arial" w:cs="Arial"/>
          <w:sz w:val="20"/>
          <w:szCs w:val="20"/>
        </w:rPr>
      </w:pPr>
    </w:p>
    <w:p w14:paraId="1443C34A" w14:textId="2904D874" w:rsidR="00511D02" w:rsidRDefault="00B370A4" w:rsidP="006219E3">
      <w:pPr>
        <w:jc w:val="both"/>
        <w:rPr>
          <w:rFonts w:ascii="Arial" w:hAnsi="Arial" w:cs="Arial"/>
          <w:sz w:val="20"/>
          <w:szCs w:val="20"/>
        </w:rPr>
      </w:pPr>
      <w:r w:rsidRPr="00B370A4">
        <w:rPr>
          <w:rFonts w:ascii="Arial" w:hAnsi="Arial" w:cs="Arial"/>
          <w:sz w:val="20"/>
          <w:szCs w:val="20"/>
        </w:rPr>
        <w:t xml:space="preserve">Se producirá una respuesta inmunitaria a la cápside del AAV9 tras la administración de onasemnogén abeparvovec. Esto puede provocar elevaciones en las transaminasas hepáticas, elevaciones de troponina I, o una disminución de </w:t>
      </w:r>
      <w:r w:rsidRPr="00774D20">
        <w:rPr>
          <w:rFonts w:ascii="Arial" w:hAnsi="Arial" w:cs="Arial"/>
          <w:sz w:val="20"/>
          <w:szCs w:val="20"/>
        </w:rPr>
        <w:t>los recuentos de plaquetas. Para reducir la respuesta inmunitaria, se recomienda la inmunomodulación con corticosteroides. Siempre que sea posible, se deberá ajustar el calendario de vacunación del paciente para</w:t>
      </w:r>
      <w:r w:rsidRPr="00B370A4">
        <w:rPr>
          <w:rFonts w:ascii="Arial" w:hAnsi="Arial" w:cs="Arial"/>
          <w:sz w:val="20"/>
          <w:szCs w:val="20"/>
        </w:rPr>
        <w:t xml:space="preserve"> acomodar la administración concomitante de corticosteroides antes y después de la perfusión con onasemnogén abeparvovec. Antes del inicio del régimen inmunomodulador y antes de la administración de onasemnogén abeparvovec, se deberá controlar al paciente para detectar síntomas de enfermedad infecciosa activa de cualquier naturaleza. Comenzando 24 horas antes de la perfusión de onasemnogén abeparvovec, se recomienda iniciar un régimen inmunomodulador siguiendo el esquema a continuación</w:t>
      </w:r>
      <w:r w:rsidR="0023566F">
        <w:rPr>
          <w:rFonts w:ascii="Arial" w:hAnsi="Arial" w:cs="Arial"/>
          <w:sz w:val="20"/>
          <w:szCs w:val="20"/>
        </w:rPr>
        <w:t>.</w:t>
      </w:r>
    </w:p>
    <w:p w14:paraId="726F9E37" w14:textId="77777777" w:rsidR="006219E3" w:rsidRDefault="006219E3" w:rsidP="006219E3">
      <w:pPr>
        <w:jc w:val="both"/>
        <w:rPr>
          <w:rFonts w:ascii="Arial" w:hAnsi="Arial" w:cs="Arial"/>
          <w:sz w:val="20"/>
          <w:szCs w:val="2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402"/>
        <w:gridCol w:w="3260"/>
      </w:tblGrid>
      <w:tr w:rsidR="00DA3815" w:rsidRPr="00DA3815" w14:paraId="57FD8CB7" w14:textId="77777777" w:rsidTr="00DA3815">
        <w:trPr>
          <w:trHeight w:val="275"/>
        </w:trPr>
        <w:tc>
          <w:tcPr>
            <w:tcW w:w="8755" w:type="dxa"/>
            <w:gridSpan w:val="3"/>
          </w:tcPr>
          <w:p w14:paraId="7DE5B85D" w14:textId="77777777" w:rsidR="00DA3815" w:rsidRDefault="00DA3815" w:rsidP="001F6887">
            <w:pPr>
              <w:jc w:val="both"/>
              <w:rPr>
                <w:rFonts w:ascii="Arial" w:hAnsi="Arial" w:cs="Arial"/>
                <w:b/>
                <w:sz w:val="18"/>
                <w:szCs w:val="20"/>
              </w:rPr>
            </w:pPr>
            <w:r>
              <w:rPr>
                <w:rFonts w:ascii="Arial" w:hAnsi="Arial" w:cs="Arial"/>
                <w:b/>
                <w:sz w:val="18"/>
                <w:szCs w:val="20"/>
              </w:rPr>
              <w:t>Tabla 4.3. Régimen inmunomodulador.</w:t>
            </w:r>
          </w:p>
          <w:p w14:paraId="6DAE6FA2" w14:textId="4EB97D70" w:rsidR="006219E3" w:rsidRPr="00DA3815" w:rsidRDefault="006219E3" w:rsidP="001F6887">
            <w:pPr>
              <w:jc w:val="both"/>
              <w:rPr>
                <w:rFonts w:ascii="Arial" w:hAnsi="Arial" w:cs="Arial"/>
                <w:b/>
                <w:sz w:val="18"/>
                <w:szCs w:val="20"/>
              </w:rPr>
            </w:pPr>
          </w:p>
        </w:tc>
      </w:tr>
      <w:tr w:rsidR="00DA3815" w:rsidRPr="00DA3815" w14:paraId="2F9B8F5F" w14:textId="77777777" w:rsidTr="00A76703">
        <w:trPr>
          <w:trHeight w:val="275"/>
        </w:trPr>
        <w:tc>
          <w:tcPr>
            <w:tcW w:w="2093" w:type="dxa"/>
          </w:tcPr>
          <w:p w14:paraId="7970842A" w14:textId="77777777" w:rsidR="00DA3815" w:rsidRPr="00DA3815" w:rsidRDefault="00DA3815" w:rsidP="00C85D18">
            <w:pPr>
              <w:rPr>
                <w:rFonts w:ascii="Arial" w:hAnsi="Arial" w:cs="Arial"/>
                <w:sz w:val="18"/>
                <w:szCs w:val="20"/>
              </w:rPr>
            </w:pPr>
            <w:r w:rsidRPr="00DA3815">
              <w:rPr>
                <w:rFonts w:ascii="Arial" w:hAnsi="Arial" w:cs="Arial"/>
                <w:sz w:val="18"/>
                <w:szCs w:val="20"/>
              </w:rPr>
              <w:t xml:space="preserve">Previo a la perfusión </w:t>
            </w:r>
          </w:p>
        </w:tc>
        <w:tc>
          <w:tcPr>
            <w:tcW w:w="3402" w:type="dxa"/>
          </w:tcPr>
          <w:p w14:paraId="70DEBFE4" w14:textId="77777777" w:rsidR="00DA3815" w:rsidRDefault="00DA3815" w:rsidP="001F6887">
            <w:pPr>
              <w:jc w:val="both"/>
              <w:rPr>
                <w:rFonts w:ascii="Arial" w:hAnsi="Arial" w:cs="Arial"/>
                <w:sz w:val="18"/>
                <w:szCs w:val="20"/>
              </w:rPr>
            </w:pPr>
            <w:r w:rsidRPr="00DA3815">
              <w:rPr>
                <w:rFonts w:ascii="Arial" w:hAnsi="Arial" w:cs="Arial"/>
                <w:sz w:val="18"/>
                <w:szCs w:val="20"/>
              </w:rPr>
              <w:t xml:space="preserve">24 horas antes de la administración de onasemnogén abeparvovec </w:t>
            </w:r>
          </w:p>
          <w:p w14:paraId="6C8B369E" w14:textId="77777777" w:rsidR="006219E3" w:rsidRPr="00C85D18" w:rsidRDefault="006219E3" w:rsidP="001F6887">
            <w:pPr>
              <w:jc w:val="both"/>
              <w:rPr>
                <w:rFonts w:ascii="Arial" w:hAnsi="Arial" w:cs="Arial"/>
                <w:sz w:val="14"/>
                <w:szCs w:val="20"/>
              </w:rPr>
            </w:pPr>
          </w:p>
        </w:tc>
        <w:tc>
          <w:tcPr>
            <w:tcW w:w="3260" w:type="dxa"/>
          </w:tcPr>
          <w:p w14:paraId="33BB32E0" w14:textId="77777777" w:rsidR="00DA3815" w:rsidRPr="00DA3815" w:rsidRDefault="00DA3815" w:rsidP="001F6887">
            <w:pPr>
              <w:jc w:val="both"/>
              <w:rPr>
                <w:rFonts w:ascii="Arial" w:hAnsi="Arial" w:cs="Arial"/>
                <w:sz w:val="18"/>
                <w:szCs w:val="20"/>
              </w:rPr>
            </w:pPr>
            <w:r w:rsidRPr="00DA3815">
              <w:rPr>
                <w:rFonts w:ascii="Arial" w:hAnsi="Arial" w:cs="Arial"/>
                <w:sz w:val="18"/>
                <w:szCs w:val="20"/>
              </w:rPr>
              <w:t xml:space="preserve">Prednisolona por vía oral 1 mg/kg/día (o equivalente) </w:t>
            </w:r>
          </w:p>
        </w:tc>
      </w:tr>
      <w:tr w:rsidR="00DA3815" w:rsidRPr="00DA3815" w14:paraId="7CC382B0" w14:textId="77777777" w:rsidTr="00A76703">
        <w:trPr>
          <w:trHeight w:val="275"/>
        </w:trPr>
        <w:tc>
          <w:tcPr>
            <w:tcW w:w="2093" w:type="dxa"/>
            <w:vMerge w:val="restart"/>
          </w:tcPr>
          <w:p w14:paraId="7DD7FABC" w14:textId="56C9F4F9" w:rsidR="00DA3815" w:rsidRPr="00DA3815" w:rsidRDefault="00DA3815" w:rsidP="00C85D18">
            <w:pPr>
              <w:rPr>
                <w:rFonts w:ascii="Arial" w:hAnsi="Arial" w:cs="Arial"/>
                <w:sz w:val="18"/>
                <w:szCs w:val="20"/>
              </w:rPr>
            </w:pPr>
            <w:r w:rsidRPr="00DA3815">
              <w:rPr>
                <w:rFonts w:ascii="Arial" w:hAnsi="Arial" w:cs="Arial"/>
                <w:sz w:val="18"/>
                <w:szCs w:val="20"/>
              </w:rPr>
              <w:t xml:space="preserve">Posterior a la perfusión </w:t>
            </w:r>
          </w:p>
        </w:tc>
        <w:tc>
          <w:tcPr>
            <w:tcW w:w="3402" w:type="dxa"/>
          </w:tcPr>
          <w:p w14:paraId="3BD14249" w14:textId="77777777" w:rsidR="006219E3" w:rsidRDefault="00DA3815" w:rsidP="001F6887">
            <w:pPr>
              <w:jc w:val="both"/>
              <w:rPr>
                <w:rFonts w:ascii="Arial" w:hAnsi="Arial" w:cs="Arial"/>
                <w:sz w:val="18"/>
                <w:szCs w:val="20"/>
              </w:rPr>
            </w:pPr>
            <w:r w:rsidRPr="00DA3815">
              <w:rPr>
                <w:rFonts w:ascii="Arial" w:hAnsi="Arial" w:cs="Arial"/>
                <w:sz w:val="18"/>
                <w:szCs w:val="20"/>
              </w:rPr>
              <w:t xml:space="preserve">30 días (incluido el día de la administración de onasemnogén abeparvovec ) </w:t>
            </w:r>
          </w:p>
          <w:p w14:paraId="61BB0C95" w14:textId="1CC7E60D" w:rsidR="00C85D18" w:rsidRPr="00C85D18" w:rsidRDefault="00C85D18" w:rsidP="001F6887">
            <w:pPr>
              <w:jc w:val="both"/>
              <w:rPr>
                <w:rFonts w:ascii="Arial" w:hAnsi="Arial" w:cs="Arial"/>
                <w:sz w:val="14"/>
                <w:szCs w:val="20"/>
              </w:rPr>
            </w:pPr>
          </w:p>
        </w:tc>
        <w:tc>
          <w:tcPr>
            <w:tcW w:w="3260" w:type="dxa"/>
          </w:tcPr>
          <w:p w14:paraId="5FDEADEF" w14:textId="77777777" w:rsidR="00DA3815" w:rsidRPr="00DA3815" w:rsidRDefault="00DA3815" w:rsidP="001F6887">
            <w:pPr>
              <w:jc w:val="both"/>
              <w:rPr>
                <w:rFonts w:ascii="Arial" w:hAnsi="Arial" w:cs="Arial"/>
                <w:sz w:val="18"/>
                <w:szCs w:val="20"/>
              </w:rPr>
            </w:pPr>
            <w:r w:rsidRPr="00DA3815">
              <w:rPr>
                <w:rFonts w:ascii="Arial" w:hAnsi="Arial" w:cs="Arial"/>
                <w:sz w:val="18"/>
                <w:szCs w:val="20"/>
              </w:rPr>
              <w:t xml:space="preserve">Prednisolona por vía oral 1 mg/kg/día (o equivalente) </w:t>
            </w:r>
          </w:p>
        </w:tc>
      </w:tr>
      <w:tr w:rsidR="00DA3815" w:rsidRPr="00DA3815" w14:paraId="5EFB05B2" w14:textId="77777777" w:rsidTr="00A76703">
        <w:trPr>
          <w:trHeight w:val="3441"/>
        </w:trPr>
        <w:tc>
          <w:tcPr>
            <w:tcW w:w="2093" w:type="dxa"/>
            <w:vMerge/>
          </w:tcPr>
          <w:p w14:paraId="571C6B3B" w14:textId="754DAFF1" w:rsidR="00DA3815" w:rsidRPr="00DA3815" w:rsidRDefault="00DA3815" w:rsidP="001F6887">
            <w:pPr>
              <w:jc w:val="both"/>
              <w:rPr>
                <w:rFonts w:ascii="Arial" w:hAnsi="Arial" w:cs="Arial"/>
                <w:sz w:val="18"/>
                <w:szCs w:val="20"/>
              </w:rPr>
            </w:pPr>
          </w:p>
        </w:tc>
        <w:tc>
          <w:tcPr>
            <w:tcW w:w="3402" w:type="dxa"/>
          </w:tcPr>
          <w:p w14:paraId="33F3CF62" w14:textId="088EBBBA" w:rsidR="00DA3815" w:rsidRDefault="00DA3815" w:rsidP="001F6887">
            <w:pPr>
              <w:jc w:val="both"/>
              <w:rPr>
                <w:rFonts w:ascii="Arial" w:hAnsi="Arial" w:cs="Arial"/>
                <w:sz w:val="18"/>
                <w:szCs w:val="20"/>
              </w:rPr>
            </w:pPr>
            <w:r>
              <w:rPr>
                <w:rFonts w:ascii="Arial" w:hAnsi="Arial" w:cs="Arial"/>
                <w:sz w:val="18"/>
                <w:szCs w:val="20"/>
              </w:rPr>
              <w:t>S</w:t>
            </w:r>
            <w:r w:rsidRPr="00DA3815">
              <w:rPr>
                <w:rFonts w:ascii="Arial" w:hAnsi="Arial" w:cs="Arial"/>
                <w:sz w:val="18"/>
                <w:szCs w:val="20"/>
              </w:rPr>
              <w:t xml:space="preserve">eguido de 28 días: </w:t>
            </w:r>
          </w:p>
          <w:p w14:paraId="3155AF16" w14:textId="77777777" w:rsidR="00DA3815" w:rsidRPr="00C85D18" w:rsidRDefault="00DA3815" w:rsidP="001F6887">
            <w:pPr>
              <w:jc w:val="both"/>
              <w:rPr>
                <w:rFonts w:ascii="Arial" w:hAnsi="Arial" w:cs="Arial"/>
                <w:sz w:val="14"/>
                <w:szCs w:val="20"/>
              </w:rPr>
            </w:pPr>
          </w:p>
          <w:p w14:paraId="2B67B626" w14:textId="77777777" w:rsidR="00DA3815" w:rsidRPr="00DA3815" w:rsidRDefault="00DA3815" w:rsidP="001F6887">
            <w:pPr>
              <w:jc w:val="both"/>
              <w:rPr>
                <w:rFonts w:ascii="Arial" w:hAnsi="Arial" w:cs="Arial"/>
                <w:sz w:val="18"/>
                <w:szCs w:val="20"/>
              </w:rPr>
            </w:pPr>
            <w:r w:rsidRPr="00DA3815">
              <w:rPr>
                <w:rFonts w:ascii="Arial" w:hAnsi="Arial" w:cs="Arial"/>
                <w:i/>
                <w:iCs/>
                <w:sz w:val="18"/>
                <w:szCs w:val="20"/>
              </w:rPr>
              <w:t xml:space="preserve">Para los pacientes sin hallazgos destacables (examen clínico y bilirrubina total normales y cuyos valores de ALT y AST están ambos por debajo de 2 × límite superior del rango normal (LSN)) al final del periodo de 30 días: </w:t>
            </w:r>
          </w:p>
          <w:p w14:paraId="7C3D69B4" w14:textId="77777777" w:rsidR="00DA3815" w:rsidRPr="00C019BD" w:rsidRDefault="00DA3815" w:rsidP="001F6887">
            <w:pPr>
              <w:jc w:val="both"/>
              <w:rPr>
                <w:rFonts w:ascii="Arial" w:hAnsi="Arial" w:cs="Arial"/>
                <w:b/>
                <w:bCs/>
                <w:sz w:val="18"/>
                <w:szCs w:val="20"/>
              </w:rPr>
            </w:pPr>
          </w:p>
          <w:p w14:paraId="0E9FA367" w14:textId="77777777" w:rsidR="00DA3815" w:rsidRPr="0024027B" w:rsidRDefault="00DA3815" w:rsidP="001F6887">
            <w:pPr>
              <w:jc w:val="both"/>
              <w:rPr>
                <w:rFonts w:ascii="Arial" w:hAnsi="Arial" w:cs="Arial"/>
                <w:sz w:val="18"/>
                <w:szCs w:val="20"/>
              </w:rPr>
            </w:pPr>
            <w:r w:rsidRPr="0024027B">
              <w:rPr>
                <w:rFonts w:ascii="Arial" w:hAnsi="Arial" w:cs="Arial"/>
                <w:bCs/>
                <w:sz w:val="18"/>
                <w:szCs w:val="20"/>
              </w:rPr>
              <w:t>o</w:t>
            </w:r>
          </w:p>
          <w:p w14:paraId="5B0D24BC" w14:textId="77777777" w:rsidR="00DA3815" w:rsidRPr="00C019BD" w:rsidRDefault="00DA3815" w:rsidP="001F6887">
            <w:pPr>
              <w:jc w:val="both"/>
              <w:rPr>
                <w:rFonts w:ascii="Arial" w:hAnsi="Arial" w:cs="Arial"/>
                <w:i/>
                <w:iCs/>
                <w:sz w:val="18"/>
                <w:szCs w:val="20"/>
              </w:rPr>
            </w:pPr>
          </w:p>
          <w:p w14:paraId="749C11BB" w14:textId="77777777" w:rsidR="006219E3" w:rsidRDefault="00DA3815" w:rsidP="001F6887">
            <w:pPr>
              <w:jc w:val="both"/>
              <w:rPr>
                <w:rFonts w:ascii="Arial" w:hAnsi="Arial" w:cs="Arial"/>
                <w:i/>
                <w:iCs/>
                <w:sz w:val="18"/>
                <w:szCs w:val="20"/>
              </w:rPr>
            </w:pPr>
            <w:r w:rsidRPr="00DA3815">
              <w:rPr>
                <w:rFonts w:ascii="Arial" w:hAnsi="Arial" w:cs="Arial"/>
                <w:i/>
                <w:iCs/>
                <w:sz w:val="18"/>
                <w:szCs w:val="20"/>
              </w:rPr>
              <w:t>Para los pacientes con anomalías de la función hepática al final del periodo de 30 días: continuación hasta que los valores de AST y ALT estén por debajo de 2 × LSN y todas las demás evaluaciones vuelvan al rango normal, seguido de una disminución gradual a lo largo de 28 días.</w:t>
            </w:r>
          </w:p>
          <w:p w14:paraId="63136A00" w14:textId="290C11D1" w:rsidR="00A76703" w:rsidRPr="00C85D18" w:rsidRDefault="00A76703" w:rsidP="001F6887">
            <w:pPr>
              <w:jc w:val="both"/>
              <w:rPr>
                <w:rFonts w:ascii="Arial" w:hAnsi="Arial" w:cs="Arial"/>
                <w:i/>
                <w:iCs/>
                <w:sz w:val="18"/>
                <w:szCs w:val="20"/>
              </w:rPr>
            </w:pPr>
          </w:p>
        </w:tc>
        <w:tc>
          <w:tcPr>
            <w:tcW w:w="3260" w:type="dxa"/>
          </w:tcPr>
          <w:p w14:paraId="3F2ABD41" w14:textId="77777777" w:rsidR="00DA3815" w:rsidRDefault="00DA3815" w:rsidP="001F6887">
            <w:pPr>
              <w:jc w:val="both"/>
              <w:rPr>
                <w:rFonts w:ascii="Arial" w:hAnsi="Arial" w:cs="Arial"/>
                <w:sz w:val="18"/>
                <w:szCs w:val="20"/>
              </w:rPr>
            </w:pPr>
          </w:p>
          <w:p w14:paraId="65AB2D6B" w14:textId="77777777" w:rsidR="00DA3815" w:rsidRDefault="00DA3815" w:rsidP="001F6887">
            <w:pPr>
              <w:jc w:val="both"/>
              <w:rPr>
                <w:rFonts w:ascii="Arial" w:hAnsi="Arial" w:cs="Arial"/>
                <w:sz w:val="18"/>
                <w:szCs w:val="20"/>
              </w:rPr>
            </w:pPr>
          </w:p>
          <w:p w14:paraId="128E0658" w14:textId="77777777" w:rsidR="00DA3815" w:rsidRPr="00DA3815" w:rsidRDefault="00DA3815" w:rsidP="001F6887">
            <w:pPr>
              <w:jc w:val="both"/>
              <w:rPr>
                <w:rFonts w:ascii="Arial" w:hAnsi="Arial" w:cs="Arial"/>
                <w:sz w:val="18"/>
                <w:szCs w:val="20"/>
              </w:rPr>
            </w:pPr>
            <w:r w:rsidRPr="00DA3815">
              <w:rPr>
                <w:rFonts w:ascii="Arial" w:hAnsi="Arial" w:cs="Arial"/>
                <w:sz w:val="18"/>
                <w:szCs w:val="20"/>
              </w:rPr>
              <w:t xml:space="preserve">Reducción gradual de la prednisolona (o equivalente), por ej., 2 semanas con 0,5 mg/kg/día y luego 2 semanas con 0,25 mg/kg/día de prednisolona oral </w:t>
            </w:r>
          </w:p>
          <w:p w14:paraId="69B68690" w14:textId="77777777" w:rsidR="00DA3815" w:rsidRPr="00C019BD" w:rsidRDefault="00DA3815" w:rsidP="001F6887">
            <w:pPr>
              <w:jc w:val="both"/>
              <w:rPr>
                <w:rFonts w:ascii="Arial" w:hAnsi="Arial" w:cs="Arial"/>
                <w:sz w:val="18"/>
                <w:szCs w:val="20"/>
              </w:rPr>
            </w:pPr>
          </w:p>
          <w:p w14:paraId="1A552585" w14:textId="77777777" w:rsidR="00DA3815" w:rsidRDefault="00DA3815" w:rsidP="001F6887">
            <w:pPr>
              <w:jc w:val="both"/>
              <w:rPr>
                <w:rFonts w:ascii="Arial" w:hAnsi="Arial" w:cs="Arial"/>
                <w:sz w:val="18"/>
                <w:szCs w:val="20"/>
              </w:rPr>
            </w:pPr>
          </w:p>
          <w:p w14:paraId="65E8C1E2" w14:textId="77777777" w:rsidR="00C85D18" w:rsidRDefault="00C85D18" w:rsidP="001F6887">
            <w:pPr>
              <w:jc w:val="both"/>
              <w:rPr>
                <w:rFonts w:ascii="Arial" w:hAnsi="Arial" w:cs="Arial"/>
                <w:sz w:val="18"/>
                <w:szCs w:val="20"/>
              </w:rPr>
            </w:pPr>
          </w:p>
          <w:p w14:paraId="2C131138" w14:textId="77777777" w:rsidR="00A76703" w:rsidRDefault="00A76703" w:rsidP="001F6887">
            <w:pPr>
              <w:jc w:val="both"/>
              <w:rPr>
                <w:rFonts w:ascii="Arial" w:hAnsi="Arial" w:cs="Arial"/>
                <w:sz w:val="18"/>
                <w:szCs w:val="20"/>
              </w:rPr>
            </w:pPr>
          </w:p>
          <w:p w14:paraId="72885E71" w14:textId="77777777" w:rsidR="00A76703" w:rsidRPr="00A76703" w:rsidRDefault="00A76703" w:rsidP="001F6887">
            <w:pPr>
              <w:jc w:val="both"/>
              <w:rPr>
                <w:rFonts w:ascii="Arial" w:hAnsi="Arial" w:cs="Arial"/>
                <w:sz w:val="14"/>
                <w:szCs w:val="20"/>
              </w:rPr>
            </w:pPr>
          </w:p>
          <w:p w14:paraId="784A8C73" w14:textId="6D960C92" w:rsidR="00DA3815" w:rsidRPr="00DA3815" w:rsidRDefault="00DA3815" w:rsidP="001F6887">
            <w:pPr>
              <w:jc w:val="both"/>
              <w:rPr>
                <w:rFonts w:ascii="Arial" w:hAnsi="Arial" w:cs="Arial"/>
                <w:sz w:val="18"/>
                <w:szCs w:val="20"/>
              </w:rPr>
            </w:pPr>
            <w:r w:rsidRPr="00DA3815">
              <w:rPr>
                <w:rFonts w:ascii="Arial" w:hAnsi="Arial" w:cs="Arial"/>
                <w:sz w:val="18"/>
                <w:szCs w:val="20"/>
              </w:rPr>
              <w:t xml:space="preserve">Corticosteroides sistémicos (equivalente a prednisolona oral 1 mg/kg/día) </w:t>
            </w:r>
          </w:p>
        </w:tc>
      </w:tr>
      <w:tr w:rsidR="00DA3815" w:rsidRPr="00DA3815" w14:paraId="3E336E72" w14:textId="3B8CBB2D" w:rsidTr="00DA3815">
        <w:trPr>
          <w:trHeight w:val="279"/>
        </w:trPr>
        <w:tc>
          <w:tcPr>
            <w:tcW w:w="8755" w:type="dxa"/>
            <w:gridSpan w:val="3"/>
          </w:tcPr>
          <w:p w14:paraId="20F57B6D" w14:textId="445C9DE4" w:rsidR="00DA3815" w:rsidRPr="00DA3815" w:rsidRDefault="00DA3815" w:rsidP="001F6887">
            <w:pPr>
              <w:jc w:val="both"/>
              <w:rPr>
                <w:rFonts w:ascii="Arial" w:hAnsi="Arial" w:cs="Arial"/>
                <w:sz w:val="18"/>
                <w:szCs w:val="20"/>
              </w:rPr>
            </w:pPr>
            <w:r w:rsidRPr="00DA3815">
              <w:rPr>
                <w:rFonts w:ascii="Arial" w:hAnsi="Arial" w:cs="Arial"/>
                <w:bCs/>
                <w:sz w:val="18"/>
                <w:szCs w:val="20"/>
              </w:rPr>
              <w:t xml:space="preserve">Se deben controlar las transaminasas hepáticas durante un mínimo de 3 meses después de la perfusión de onasemnogén abeparvovec  </w:t>
            </w:r>
          </w:p>
        </w:tc>
      </w:tr>
    </w:tbl>
    <w:p w14:paraId="6E878371" w14:textId="77777777" w:rsidR="006219E3" w:rsidRDefault="006219E3" w:rsidP="006219E3">
      <w:pPr>
        <w:pBdr>
          <w:bottom w:val="single" w:sz="4" w:space="1" w:color="auto"/>
        </w:pBdr>
        <w:jc w:val="both"/>
        <w:rPr>
          <w:rFonts w:ascii="Arial" w:hAnsi="Arial" w:cs="Arial"/>
          <w:sz w:val="20"/>
          <w:szCs w:val="20"/>
        </w:rPr>
      </w:pPr>
    </w:p>
    <w:p w14:paraId="30B81366" w14:textId="77777777" w:rsidR="00215DE5" w:rsidRDefault="00215DE5" w:rsidP="006219E3">
      <w:pPr>
        <w:pBdr>
          <w:bottom w:val="single" w:sz="4" w:space="1" w:color="auto"/>
        </w:pBdr>
        <w:jc w:val="both"/>
        <w:rPr>
          <w:rFonts w:ascii="Arial" w:hAnsi="Arial" w:cs="Arial"/>
          <w:sz w:val="20"/>
          <w:szCs w:val="20"/>
        </w:rPr>
      </w:pPr>
    </w:p>
    <w:p w14:paraId="57C7C2FD" w14:textId="279805F2" w:rsidR="00AC7E45" w:rsidRPr="006219E3" w:rsidRDefault="00D23092" w:rsidP="006219E3">
      <w:pPr>
        <w:pBdr>
          <w:bottom w:val="single" w:sz="4" w:space="1" w:color="auto"/>
        </w:pBdr>
        <w:jc w:val="both"/>
        <w:rPr>
          <w:rFonts w:ascii="Arial" w:hAnsi="Arial" w:cs="Arial"/>
          <w:sz w:val="20"/>
          <w:szCs w:val="20"/>
        </w:rPr>
      </w:pPr>
      <w:r>
        <w:rPr>
          <w:rFonts w:ascii="Arial" w:hAnsi="Arial" w:cs="Arial"/>
          <w:sz w:val="20"/>
          <w:szCs w:val="20"/>
        </w:rPr>
        <w:t>Forma de administración.</w:t>
      </w:r>
    </w:p>
    <w:p w14:paraId="5FCA667B" w14:textId="77777777" w:rsidR="006219E3" w:rsidRDefault="006219E3" w:rsidP="006219E3">
      <w:pPr>
        <w:jc w:val="both"/>
        <w:rPr>
          <w:rFonts w:ascii="Arial" w:hAnsi="Arial" w:cs="Arial"/>
          <w:sz w:val="20"/>
          <w:szCs w:val="20"/>
        </w:rPr>
      </w:pPr>
    </w:p>
    <w:p w14:paraId="78BDEF0A" w14:textId="46EAF4A5" w:rsidR="00AC7E45" w:rsidRPr="00774D20" w:rsidRDefault="00FD28CE" w:rsidP="001F6887">
      <w:pPr>
        <w:jc w:val="both"/>
        <w:rPr>
          <w:rFonts w:ascii="Arial" w:hAnsi="Arial" w:cs="Arial"/>
          <w:sz w:val="20"/>
          <w:szCs w:val="20"/>
        </w:rPr>
      </w:pPr>
      <w:r w:rsidRPr="00FD28CE">
        <w:rPr>
          <w:rFonts w:ascii="Arial" w:hAnsi="Arial" w:cs="Arial"/>
          <w:sz w:val="20"/>
          <w:szCs w:val="20"/>
        </w:rPr>
        <w:t>Onasemnogén abeparvovec se administra en forma de perfusión intravenosa en dosis única. Se debe administrar con la bomba de jeringa, en forma de una única perfusión intravenosa</w:t>
      </w:r>
      <w:r>
        <w:rPr>
          <w:rFonts w:ascii="Arial" w:hAnsi="Arial" w:cs="Arial"/>
          <w:sz w:val="20"/>
          <w:szCs w:val="20"/>
        </w:rPr>
        <w:t xml:space="preserve"> </w:t>
      </w:r>
      <w:r w:rsidRPr="00FD28CE">
        <w:rPr>
          <w:rFonts w:ascii="Arial" w:hAnsi="Arial" w:cs="Arial"/>
          <w:sz w:val="20"/>
          <w:szCs w:val="20"/>
        </w:rPr>
        <w:t xml:space="preserve">con una perfusión lenta de </w:t>
      </w:r>
      <w:r w:rsidRPr="00774D20">
        <w:rPr>
          <w:rFonts w:ascii="Arial" w:hAnsi="Arial" w:cs="Arial"/>
          <w:sz w:val="20"/>
          <w:szCs w:val="20"/>
        </w:rPr>
        <w:t>aproximadamente 60 minutos. No se debe administrar como inyección intravenosa rápida ni bolo. Se recomienda la inserción de un catéter secundario (de reserva) para el caso de bloqueo en el catéter primario. Tras la finalización de la perfusión, se debe enjuagar la línea con solución salina.</w:t>
      </w:r>
    </w:p>
    <w:p w14:paraId="5775BA96" w14:textId="77777777" w:rsidR="00BB76F9" w:rsidRDefault="00BB76F9" w:rsidP="001F6887">
      <w:pPr>
        <w:jc w:val="both"/>
        <w:rPr>
          <w:rFonts w:ascii="Arial" w:hAnsi="Arial" w:cs="Arial"/>
          <w:sz w:val="20"/>
          <w:szCs w:val="20"/>
        </w:rPr>
      </w:pPr>
    </w:p>
    <w:p w14:paraId="3EB83E3A" w14:textId="5CFEC470" w:rsidR="00FD28CE" w:rsidRDefault="00FD28CE" w:rsidP="001F6887">
      <w:pPr>
        <w:jc w:val="both"/>
        <w:rPr>
          <w:rFonts w:ascii="Arial" w:hAnsi="Arial" w:cs="Arial"/>
          <w:sz w:val="20"/>
          <w:szCs w:val="20"/>
        </w:rPr>
      </w:pPr>
      <w:r w:rsidRPr="00774D20">
        <w:rPr>
          <w:rFonts w:ascii="Arial" w:hAnsi="Arial" w:cs="Arial"/>
          <w:sz w:val="20"/>
          <w:szCs w:val="20"/>
        </w:rPr>
        <w:lastRenderedPageBreak/>
        <w:t xml:space="preserve">Este medicamento contiene un organismo genéticamente modificado. </w:t>
      </w:r>
      <w:r w:rsidR="00512B7C" w:rsidRPr="00774D20">
        <w:rPr>
          <w:rFonts w:ascii="Arial" w:hAnsi="Arial" w:cs="Arial"/>
          <w:sz w:val="20"/>
          <w:szCs w:val="20"/>
        </w:rPr>
        <w:t>D</w:t>
      </w:r>
      <w:r w:rsidRPr="00774D20">
        <w:rPr>
          <w:rFonts w:ascii="Arial" w:hAnsi="Arial" w:cs="Arial"/>
          <w:sz w:val="20"/>
          <w:szCs w:val="20"/>
        </w:rPr>
        <w:t>ebe usarse un equipo de protección individual (que incluirá bata de laboratorio, gafas de</w:t>
      </w:r>
      <w:r w:rsidRPr="00FD28CE">
        <w:rPr>
          <w:rFonts w:ascii="Arial" w:hAnsi="Arial" w:cs="Arial"/>
          <w:sz w:val="20"/>
          <w:szCs w:val="20"/>
        </w:rPr>
        <w:t xml:space="preserve"> seguridad y guantes) durante la preparación o la administración de onasemnogén abeparvovec</w:t>
      </w:r>
      <w:r>
        <w:rPr>
          <w:rFonts w:ascii="Arial" w:hAnsi="Arial" w:cs="Arial"/>
          <w:sz w:val="20"/>
          <w:szCs w:val="20"/>
        </w:rPr>
        <w:t>.</w:t>
      </w:r>
    </w:p>
    <w:p w14:paraId="416345DB" w14:textId="77777777" w:rsidR="00CF2C2C" w:rsidRDefault="00CF2C2C" w:rsidP="001F6887">
      <w:pPr>
        <w:jc w:val="both"/>
        <w:rPr>
          <w:rFonts w:ascii="Arial" w:hAnsi="Arial" w:cs="Arial"/>
          <w:sz w:val="20"/>
          <w:szCs w:val="20"/>
        </w:rPr>
      </w:pPr>
    </w:p>
    <w:p w14:paraId="5F390793" w14:textId="77777777" w:rsidR="00DA3815" w:rsidRDefault="00DA3815" w:rsidP="001F6887">
      <w:pPr>
        <w:jc w:val="both"/>
        <w:rPr>
          <w:rFonts w:ascii="Arial" w:hAnsi="Arial" w:cs="Arial"/>
          <w:sz w:val="20"/>
          <w:szCs w:val="20"/>
        </w:rPr>
      </w:pPr>
    </w:p>
    <w:p w14:paraId="298850BD" w14:textId="28905A9D" w:rsidR="00AC7E45" w:rsidRPr="00CF2C2C" w:rsidRDefault="00AC7E4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32" w:name="_Toc348931357"/>
      <w:bookmarkStart w:id="33" w:name="_Toc344399630"/>
      <w:r w:rsidRPr="00CF2C2C">
        <w:rPr>
          <w:rFonts w:ascii="Arial" w:hAnsi="Arial" w:cs="Arial"/>
          <w:sz w:val="20"/>
          <w:szCs w:val="20"/>
        </w:rPr>
        <w:t>4.4 Utilización en poblaciones especiales.</w:t>
      </w:r>
      <w:bookmarkEnd w:id="32"/>
      <w:bookmarkEnd w:id="33"/>
      <w:r w:rsidR="000B327E" w:rsidRPr="000B327E">
        <w:rPr>
          <w:rFonts w:ascii="Arial" w:hAnsi="Arial" w:cs="Arial"/>
          <w:sz w:val="20"/>
          <w:szCs w:val="20"/>
          <w:vertAlign w:val="superscript"/>
        </w:rPr>
        <w:fldChar w:fldCharType="begin"/>
      </w:r>
      <w:r w:rsidR="000B327E" w:rsidRPr="000B327E">
        <w:rPr>
          <w:rFonts w:ascii="Arial" w:hAnsi="Arial" w:cs="Arial"/>
          <w:sz w:val="20"/>
          <w:szCs w:val="20"/>
          <w:vertAlign w:val="superscript"/>
        </w:rPr>
        <w:instrText xml:space="preserve"> NOTEREF _Ref52267010 \h </w:instrText>
      </w:r>
      <w:r w:rsidR="000B327E">
        <w:rPr>
          <w:rFonts w:ascii="Arial" w:hAnsi="Arial" w:cs="Arial"/>
          <w:sz w:val="20"/>
          <w:szCs w:val="20"/>
          <w:vertAlign w:val="superscript"/>
        </w:rPr>
        <w:instrText xml:space="preserve"> \* MERGEFORMAT </w:instrText>
      </w:r>
      <w:r w:rsidR="000B327E" w:rsidRPr="000B327E">
        <w:rPr>
          <w:rFonts w:ascii="Arial" w:hAnsi="Arial" w:cs="Arial"/>
          <w:sz w:val="20"/>
          <w:szCs w:val="20"/>
          <w:vertAlign w:val="superscript"/>
        </w:rPr>
      </w:r>
      <w:r w:rsidR="000B327E" w:rsidRPr="000B327E">
        <w:rPr>
          <w:rFonts w:ascii="Arial" w:hAnsi="Arial" w:cs="Arial"/>
          <w:sz w:val="20"/>
          <w:szCs w:val="20"/>
          <w:vertAlign w:val="superscript"/>
        </w:rPr>
        <w:fldChar w:fldCharType="separate"/>
      </w:r>
      <w:r w:rsidR="00E277F2">
        <w:rPr>
          <w:rFonts w:ascii="Arial" w:hAnsi="Arial" w:cs="Arial"/>
          <w:sz w:val="20"/>
          <w:szCs w:val="20"/>
          <w:vertAlign w:val="superscript"/>
        </w:rPr>
        <w:t>1</w:t>
      </w:r>
      <w:r w:rsidR="000B327E" w:rsidRPr="000B327E">
        <w:rPr>
          <w:rFonts w:ascii="Arial" w:hAnsi="Arial" w:cs="Arial"/>
          <w:sz w:val="20"/>
          <w:szCs w:val="20"/>
          <w:vertAlign w:val="superscript"/>
        </w:rPr>
        <w:fldChar w:fldCharType="end"/>
      </w:r>
    </w:p>
    <w:p w14:paraId="0CCA15E8" w14:textId="77777777" w:rsidR="00CF2C2C" w:rsidRDefault="00CF2C2C" w:rsidP="001F6887">
      <w:pPr>
        <w:jc w:val="both"/>
        <w:rPr>
          <w:rFonts w:ascii="Arial" w:hAnsi="Arial" w:cs="Arial"/>
          <w:sz w:val="20"/>
          <w:szCs w:val="20"/>
          <w:u w:val="single"/>
        </w:rPr>
      </w:pPr>
    </w:p>
    <w:p w14:paraId="6D8E311C" w14:textId="0097AB28" w:rsidR="00AC7E45" w:rsidRPr="006219E3" w:rsidRDefault="00CF2C2C" w:rsidP="006219E3">
      <w:pPr>
        <w:pBdr>
          <w:bottom w:val="single" w:sz="4" w:space="1" w:color="auto"/>
        </w:pBdr>
        <w:jc w:val="both"/>
        <w:rPr>
          <w:rFonts w:ascii="Arial" w:hAnsi="Arial" w:cs="Arial"/>
          <w:sz w:val="20"/>
          <w:szCs w:val="20"/>
        </w:rPr>
      </w:pPr>
      <w:r w:rsidRPr="006219E3">
        <w:rPr>
          <w:rFonts w:ascii="Arial" w:hAnsi="Arial" w:cs="Arial"/>
          <w:sz w:val="20"/>
          <w:szCs w:val="20"/>
        </w:rPr>
        <w:t>Pediatría.</w:t>
      </w:r>
    </w:p>
    <w:p w14:paraId="4B05E6C9" w14:textId="77777777" w:rsidR="006219E3" w:rsidRPr="00C019BD" w:rsidRDefault="006219E3" w:rsidP="001F6887">
      <w:pPr>
        <w:jc w:val="both"/>
        <w:rPr>
          <w:rFonts w:ascii="Arial" w:hAnsi="Arial" w:cs="Arial"/>
          <w:sz w:val="20"/>
          <w:szCs w:val="20"/>
        </w:rPr>
      </w:pPr>
    </w:p>
    <w:p w14:paraId="70938683" w14:textId="59D33AAE" w:rsidR="00193D3B" w:rsidRPr="00FD28CE" w:rsidRDefault="00FD28CE" w:rsidP="001F6887">
      <w:pPr>
        <w:jc w:val="both"/>
        <w:rPr>
          <w:rFonts w:ascii="Arial" w:hAnsi="Arial" w:cs="Arial"/>
          <w:sz w:val="20"/>
          <w:szCs w:val="20"/>
        </w:rPr>
      </w:pPr>
      <w:r w:rsidRPr="00FD28CE">
        <w:rPr>
          <w:rFonts w:ascii="Arial" w:hAnsi="Arial" w:cs="Arial"/>
          <w:sz w:val="20"/>
          <w:szCs w:val="20"/>
        </w:rPr>
        <w:t xml:space="preserve">No se ha establecido la seguridad ni la eficacia en </w:t>
      </w:r>
      <w:r w:rsidRPr="00CF2C2C">
        <w:rPr>
          <w:rFonts w:ascii="Arial" w:hAnsi="Arial" w:cs="Arial"/>
          <w:b/>
          <w:sz w:val="20"/>
          <w:szCs w:val="20"/>
        </w:rPr>
        <w:t>neonatos prematuros</w:t>
      </w:r>
      <w:r w:rsidRPr="00FD28CE">
        <w:rPr>
          <w:rFonts w:ascii="Arial" w:hAnsi="Arial" w:cs="Arial"/>
          <w:sz w:val="20"/>
          <w:szCs w:val="20"/>
        </w:rPr>
        <w:t xml:space="preserve"> antes de que hayan alcanzado la edad gestacional a término. No se dispone de datos. Se debe considerar cuidadosamente la administración de onasemnogén abeparvovec porque el tratamiento concomitante con corticosteroides puede afectar de manera adversa el desarrollo neurológico</w:t>
      </w:r>
      <w:r w:rsidRPr="00774D20">
        <w:rPr>
          <w:rFonts w:ascii="Arial" w:hAnsi="Arial" w:cs="Arial"/>
          <w:sz w:val="20"/>
          <w:szCs w:val="20"/>
        </w:rPr>
        <w:t>. La experiencia es limitada en pacientes de 2 y más años de edad, o peso corporal superior a 13,5 kg. No se ha establecido la seguridad ni la eficacia en estos pacientes.</w:t>
      </w:r>
    </w:p>
    <w:p w14:paraId="05BD16C9" w14:textId="77777777" w:rsidR="00CF2C2C" w:rsidRDefault="00CF2C2C" w:rsidP="001F6887">
      <w:pPr>
        <w:jc w:val="both"/>
        <w:rPr>
          <w:rFonts w:ascii="Arial" w:hAnsi="Arial" w:cs="Arial"/>
          <w:sz w:val="20"/>
          <w:szCs w:val="20"/>
          <w:u w:val="single"/>
        </w:rPr>
      </w:pPr>
    </w:p>
    <w:p w14:paraId="06DDAE26" w14:textId="6E5B617A" w:rsidR="00AC7E45" w:rsidRPr="006219E3" w:rsidRDefault="00CF2C2C" w:rsidP="006219E3">
      <w:pPr>
        <w:pBdr>
          <w:bottom w:val="single" w:sz="4" w:space="1" w:color="auto"/>
        </w:pBdr>
        <w:jc w:val="both"/>
        <w:rPr>
          <w:rFonts w:ascii="Arial" w:hAnsi="Arial" w:cs="Arial"/>
          <w:sz w:val="20"/>
          <w:szCs w:val="20"/>
        </w:rPr>
      </w:pPr>
      <w:r w:rsidRPr="006219E3">
        <w:rPr>
          <w:rFonts w:ascii="Arial" w:hAnsi="Arial" w:cs="Arial"/>
          <w:sz w:val="20"/>
          <w:szCs w:val="20"/>
        </w:rPr>
        <w:t>Insuficiencia renal.</w:t>
      </w:r>
    </w:p>
    <w:p w14:paraId="3C739818" w14:textId="77777777" w:rsidR="006219E3" w:rsidRPr="00C019BD" w:rsidRDefault="006219E3" w:rsidP="001F6887">
      <w:pPr>
        <w:jc w:val="both"/>
        <w:rPr>
          <w:rFonts w:ascii="Arial" w:hAnsi="Arial" w:cs="Arial"/>
          <w:sz w:val="20"/>
          <w:szCs w:val="20"/>
        </w:rPr>
      </w:pPr>
    </w:p>
    <w:p w14:paraId="688D8390" w14:textId="6C7D6980" w:rsidR="00193D3B" w:rsidRDefault="00193D3B" w:rsidP="001F6887">
      <w:pPr>
        <w:jc w:val="both"/>
      </w:pPr>
      <w:r w:rsidRPr="00193D3B">
        <w:rPr>
          <w:rFonts w:ascii="Arial" w:hAnsi="Arial" w:cs="Arial"/>
          <w:sz w:val="20"/>
          <w:szCs w:val="20"/>
        </w:rPr>
        <w:t>No se ha establecido la seguridad y la eficacia en pacientes con insuficiencia renal, se debe considerar cuidadosamente el tratamiento con onasemnogén abeparvovec. No se debe considerar un ajuste de la dosis</w:t>
      </w:r>
      <w:r>
        <w:t>.</w:t>
      </w:r>
    </w:p>
    <w:p w14:paraId="3280FEB2" w14:textId="77777777" w:rsidR="00CF2C2C" w:rsidRDefault="00CF2C2C" w:rsidP="001F6887">
      <w:pPr>
        <w:jc w:val="both"/>
        <w:rPr>
          <w:rFonts w:ascii="Arial" w:hAnsi="Arial" w:cs="Arial"/>
          <w:sz w:val="20"/>
          <w:szCs w:val="20"/>
          <w:u w:val="single"/>
        </w:rPr>
      </w:pPr>
    </w:p>
    <w:p w14:paraId="08D83DE4" w14:textId="103A3461" w:rsidR="00AC7E45" w:rsidRPr="006219E3" w:rsidRDefault="003D06FE" w:rsidP="006219E3">
      <w:pPr>
        <w:pBdr>
          <w:bottom w:val="single" w:sz="4" w:space="1" w:color="auto"/>
        </w:pBdr>
        <w:jc w:val="both"/>
        <w:rPr>
          <w:rFonts w:ascii="Arial" w:hAnsi="Arial" w:cs="Arial"/>
          <w:sz w:val="20"/>
          <w:szCs w:val="20"/>
        </w:rPr>
      </w:pPr>
      <w:r>
        <w:rPr>
          <w:rFonts w:ascii="Arial" w:hAnsi="Arial" w:cs="Arial"/>
          <w:sz w:val="20"/>
          <w:szCs w:val="20"/>
        </w:rPr>
        <w:t>Insuficiencia hepática.</w:t>
      </w:r>
    </w:p>
    <w:p w14:paraId="399E99D9" w14:textId="77777777" w:rsidR="006219E3" w:rsidRPr="00C019BD" w:rsidRDefault="006219E3" w:rsidP="001F6887">
      <w:pPr>
        <w:jc w:val="both"/>
        <w:rPr>
          <w:rFonts w:ascii="Arial" w:hAnsi="Arial" w:cs="Arial"/>
          <w:sz w:val="20"/>
          <w:szCs w:val="20"/>
        </w:rPr>
      </w:pPr>
    </w:p>
    <w:p w14:paraId="07F6C2B5" w14:textId="3272CE32" w:rsidR="00AC7E45" w:rsidRDefault="00ED529E" w:rsidP="001F6887">
      <w:pPr>
        <w:jc w:val="both"/>
        <w:rPr>
          <w:rFonts w:ascii="Arial" w:hAnsi="Arial" w:cs="Arial"/>
          <w:sz w:val="20"/>
          <w:szCs w:val="20"/>
        </w:rPr>
      </w:pPr>
      <w:r>
        <w:rPr>
          <w:rFonts w:ascii="Arial" w:hAnsi="Arial" w:cs="Arial"/>
          <w:sz w:val="20"/>
          <w:szCs w:val="20"/>
        </w:rPr>
        <w:t>N</w:t>
      </w:r>
      <w:r w:rsidRPr="00ED529E">
        <w:rPr>
          <w:rFonts w:ascii="Arial" w:hAnsi="Arial" w:cs="Arial"/>
          <w:sz w:val="20"/>
          <w:szCs w:val="20"/>
        </w:rPr>
        <w:t>o ha sido estudiado en pacientes con insuficiencia hepática. No se debe perfundir onasemnogén abeparvovec a menos que la bilirrubina elevada esté asociada a ictericia neonatal. Se debe considerar cuidadosamente el tratamiento en pacientes con insuficiencia hepática</w:t>
      </w:r>
      <w:r>
        <w:rPr>
          <w:rFonts w:ascii="Arial" w:hAnsi="Arial" w:cs="Arial"/>
          <w:sz w:val="20"/>
          <w:szCs w:val="20"/>
        </w:rPr>
        <w:t xml:space="preserve">. </w:t>
      </w:r>
      <w:r w:rsidRPr="00ED529E">
        <w:rPr>
          <w:rFonts w:ascii="Arial" w:hAnsi="Arial" w:cs="Arial"/>
          <w:sz w:val="20"/>
          <w:szCs w:val="20"/>
        </w:rPr>
        <w:t>No se debe considerar un ajuste de la dosis</w:t>
      </w:r>
      <w:r w:rsidR="00BA46B8">
        <w:rPr>
          <w:rFonts w:ascii="Arial" w:hAnsi="Arial" w:cs="Arial"/>
          <w:sz w:val="20"/>
          <w:szCs w:val="20"/>
        </w:rPr>
        <w:t>.</w:t>
      </w:r>
    </w:p>
    <w:p w14:paraId="01923CA6" w14:textId="77777777" w:rsidR="00CF2C2C" w:rsidRDefault="00CF2C2C" w:rsidP="001F6887">
      <w:pPr>
        <w:jc w:val="both"/>
        <w:rPr>
          <w:rFonts w:ascii="Arial" w:hAnsi="Arial" w:cs="Arial"/>
          <w:sz w:val="20"/>
          <w:szCs w:val="20"/>
        </w:rPr>
      </w:pPr>
    </w:p>
    <w:p w14:paraId="6AAA25FD" w14:textId="77777777" w:rsidR="00C019BD" w:rsidRPr="00ED529E" w:rsidRDefault="00C019BD" w:rsidP="001F6887">
      <w:pPr>
        <w:jc w:val="both"/>
        <w:rPr>
          <w:rFonts w:ascii="Arial" w:hAnsi="Arial" w:cs="Arial"/>
          <w:sz w:val="20"/>
          <w:szCs w:val="20"/>
        </w:rPr>
      </w:pPr>
    </w:p>
    <w:p w14:paraId="20985DDE" w14:textId="6CF5897F" w:rsidR="00AC7E45" w:rsidRPr="00CF2C2C" w:rsidRDefault="00AC7E4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34" w:name="_Toc348931358"/>
      <w:bookmarkStart w:id="35" w:name="_Toc344399631"/>
      <w:r w:rsidRPr="00CF2C2C">
        <w:rPr>
          <w:rFonts w:ascii="Arial" w:hAnsi="Arial" w:cs="Arial"/>
          <w:sz w:val="20"/>
          <w:szCs w:val="20"/>
        </w:rPr>
        <w:t>4.5 Farmacocinética.</w:t>
      </w:r>
      <w:bookmarkEnd w:id="34"/>
      <w:bookmarkEnd w:id="35"/>
      <w:r w:rsidRPr="000B327E">
        <w:rPr>
          <w:rFonts w:ascii="Arial" w:hAnsi="Arial" w:cs="Arial"/>
          <w:sz w:val="20"/>
          <w:szCs w:val="20"/>
          <w:vertAlign w:val="superscript"/>
        </w:rPr>
        <w:t xml:space="preserve"> </w:t>
      </w:r>
      <w:r w:rsidR="000B327E" w:rsidRPr="000B327E">
        <w:rPr>
          <w:rFonts w:ascii="Arial" w:hAnsi="Arial" w:cs="Arial"/>
          <w:sz w:val="20"/>
          <w:szCs w:val="20"/>
          <w:vertAlign w:val="superscript"/>
        </w:rPr>
        <w:fldChar w:fldCharType="begin"/>
      </w:r>
      <w:r w:rsidR="000B327E" w:rsidRPr="000B327E">
        <w:rPr>
          <w:rFonts w:ascii="Arial" w:hAnsi="Arial" w:cs="Arial"/>
          <w:sz w:val="20"/>
          <w:szCs w:val="20"/>
          <w:vertAlign w:val="superscript"/>
        </w:rPr>
        <w:instrText xml:space="preserve"> NOTEREF _Ref52267010 \h </w:instrText>
      </w:r>
      <w:r w:rsidR="000B327E">
        <w:rPr>
          <w:rFonts w:ascii="Arial" w:hAnsi="Arial" w:cs="Arial"/>
          <w:sz w:val="20"/>
          <w:szCs w:val="20"/>
          <w:vertAlign w:val="superscript"/>
        </w:rPr>
        <w:instrText xml:space="preserve"> \* MERGEFORMAT </w:instrText>
      </w:r>
      <w:r w:rsidR="000B327E" w:rsidRPr="000B327E">
        <w:rPr>
          <w:rFonts w:ascii="Arial" w:hAnsi="Arial" w:cs="Arial"/>
          <w:sz w:val="20"/>
          <w:szCs w:val="20"/>
          <w:vertAlign w:val="superscript"/>
        </w:rPr>
      </w:r>
      <w:r w:rsidR="000B327E" w:rsidRPr="000B327E">
        <w:rPr>
          <w:rFonts w:ascii="Arial" w:hAnsi="Arial" w:cs="Arial"/>
          <w:sz w:val="20"/>
          <w:szCs w:val="20"/>
          <w:vertAlign w:val="superscript"/>
        </w:rPr>
        <w:fldChar w:fldCharType="separate"/>
      </w:r>
      <w:r w:rsidR="00E277F2">
        <w:rPr>
          <w:rFonts w:ascii="Arial" w:hAnsi="Arial" w:cs="Arial"/>
          <w:sz w:val="20"/>
          <w:szCs w:val="20"/>
          <w:vertAlign w:val="superscript"/>
        </w:rPr>
        <w:t>1</w:t>
      </w:r>
      <w:r w:rsidR="000B327E" w:rsidRPr="000B327E">
        <w:rPr>
          <w:rFonts w:ascii="Arial" w:hAnsi="Arial" w:cs="Arial"/>
          <w:sz w:val="20"/>
          <w:szCs w:val="20"/>
          <w:vertAlign w:val="superscript"/>
        </w:rPr>
        <w:fldChar w:fldCharType="end"/>
      </w:r>
    </w:p>
    <w:p w14:paraId="74D9CB5C" w14:textId="77777777" w:rsidR="00CF2C2C" w:rsidRDefault="00CF2C2C" w:rsidP="001F6887">
      <w:pPr>
        <w:jc w:val="both"/>
        <w:rPr>
          <w:rFonts w:ascii="Arial" w:hAnsi="Arial" w:cs="Arial"/>
          <w:sz w:val="20"/>
          <w:szCs w:val="20"/>
        </w:rPr>
      </w:pPr>
    </w:p>
    <w:p w14:paraId="134E66DB" w14:textId="77777777" w:rsidR="00852E02" w:rsidRPr="00774D20" w:rsidRDefault="00852E02" w:rsidP="001F6887">
      <w:pPr>
        <w:jc w:val="both"/>
        <w:rPr>
          <w:rFonts w:ascii="Arial" w:hAnsi="Arial" w:cs="Arial"/>
          <w:sz w:val="20"/>
          <w:szCs w:val="20"/>
        </w:rPr>
      </w:pPr>
      <w:r w:rsidRPr="00852E02">
        <w:rPr>
          <w:rFonts w:ascii="Arial" w:hAnsi="Arial" w:cs="Arial"/>
          <w:sz w:val="20"/>
          <w:szCs w:val="20"/>
        </w:rPr>
        <w:t xml:space="preserve">Se han hecho estudios de eliminación del vector del onasemnogén abeparvovec, que evalúan la cantidad de vector eliminada del organismo a través de la saliva, orina y heces. Onasemnogén abeparvovec fue detectable en </w:t>
      </w:r>
      <w:r w:rsidRPr="00774D20">
        <w:rPr>
          <w:rFonts w:ascii="Arial" w:hAnsi="Arial" w:cs="Arial"/>
          <w:sz w:val="20"/>
          <w:szCs w:val="20"/>
        </w:rPr>
        <w:t xml:space="preserve">muestras de eliminación después de la perfusión. </w:t>
      </w:r>
    </w:p>
    <w:p w14:paraId="1EDCED19" w14:textId="77777777" w:rsidR="00CF2C2C" w:rsidRPr="00774D20" w:rsidRDefault="00CF2C2C" w:rsidP="001F6887">
      <w:pPr>
        <w:jc w:val="both"/>
        <w:rPr>
          <w:rFonts w:ascii="Arial" w:hAnsi="Arial" w:cs="Arial"/>
          <w:sz w:val="20"/>
          <w:szCs w:val="20"/>
        </w:rPr>
      </w:pPr>
    </w:p>
    <w:p w14:paraId="62878352" w14:textId="03C5C19A" w:rsidR="00852E02" w:rsidRPr="00774D20" w:rsidRDefault="00852E02" w:rsidP="001F6887">
      <w:pPr>
        <w:jc w:val="both"/>
        <w:rPr>
          <w:rFonts w:ascii="Arial" w:hAnsi="Arial" w:cs="Arial"/>
          <w:sz w:val="20"/>
          <w:szCs w:val="20"/>
        </w:rPr>
      </w:pPr>
      <w:r w:rsidRPr="00774D20">
        <w:rPr>
          <w:rFonts w:ascii="Arial" w:hAnsi="Arial" w:cs="Arial"/>
          <w:sz w:val="20"/>
          <w:szCs w:val="20"/>
        </w:rPr>
        <w:t>La eliminación del onasemnogén abeparvovec se produjo principalmente a través de las heces, y la mayor parte se eliminó dentro de los 30 días posteriores a la administración de la dosis. Las concentraciones de onasemnogén abeparvovec en orina y saliva fueron 0,1% a 0,01% de la concentración inicial en el organismo al día 1 después de la perfusión, y cayeron posteriormente.</w:t>
      </w:r>
    </w:p>
    <w:p w14:paraId="76E91235" w14:textId="77777777" w:rsidR="00CF2C2C" w:rsidRPr="00774D20" w:rsidRDefault="00CF2C2C" w:rsidP="001F6887">
      <w:pPr>
        <w:jc w:val="both"/>
        <w:rPr>
          <w:rFonts w:ascii="Arial" w:hAnsi="Arial" w:cs="Arial"/>
          <w:sz w:val="20"/>
          <w:szCs w:val="20"/>
        </w:rPr>
      </w:pPr>
    </w:p>
    <w:p w14:paraId="4064FF06" w14:textId="7A8563B7" w:rsidR="00AC7E45" w:rsidRDefault="00852E02" w:rsidP="001F6887">
      <w:pPr>
        <w:jc w:val="both"/>
        <w:rPr>
          <w:rFonts w:ascii="Arial" w:hAnsi="Arial" w:cs="Arial"/>
          <w:sz w:val="20"/>
          <w:szCs w:val="20"/>
        </w:rPr>
      </w:pPr>
      <w:r w:rsidRPr="00774D20">
        <w:rPr>
          <w:rFonts w:ascii="Arial" w:hAnsi="Arial" w:cs="Arial"/>
          <w:sz w:val="20"/>
          <w:szCs w:val="20"/>
        </w:rPr>
        <w:t>Se evaluó la biodistribución en dos pacientes que</w:t>
      </w:r>
      <w:r w:rsidRPr="00852E02">
        <w:rPr>
          <w:rFonts w:ascii="Arial" w:hAnsi="Arial" w:cs="Arial"/>
          <w:sz w:val="20"/>
          <w:szCs w:val="20"/>
        </w:rPr>
        <w:t xml:space="preserve"> fallecieron a los 5,7 meses y 1,7 meses, respectivamente, después de la perfusión de onasemnogén abeparvovec en una dosis de 1,1 x 10</w:t>
      </w:r>
      <w:r w:rsidRPr="00CF2C2C">
        <w:rPr>
          <w:rFonts w:ascii="Arial" w:hAnsi="Arial" w:cs="Arial"/>
          <w:sz w:val="20"/>
          <w:szCs w:val="20"/>
          <w:vertAlign w:val="superscript"/>
        </w:rPr>
        <w:t>14</w:t>
      </w:r>
      <w:r w:rsidRPr="00852E02">
        <w:rPr>
          <w:rFonts w:ascii="Arial" w:hAnsi="Arial" w:cs="Arial"/>
          <w:sz w:val="20"/>
          <w:szCs w:val="20"/>
        </w:rPr>
        <w:t xml:space="preserve"> vg/kg. Ambos casos indicaron que los niveles más elevados de ADN del vector se encontraban en el hígado. También se detectó ADN del vector en el bazo, corazón, páncreas, ganglio linfático inguinal, músculos esqueléticos, nervios periféricos, riñones, pulmones, intestinos, médula espinal, cerebro y timo. La inmunotinción para detectar la proteína SMN indicó una expresión generalizada de SMN en las motoneuronas espinales, células neuronales y gliales del cerebro, y en el corazón, hígado, músculo esquelético y otros tejidos evaluados.</w:t>
      </w:r>
    </w:p>
    <w:p w14:paraId="2D62F35D" w14:textId="77777777" w:rsidR="00C85D18" w:rsidRDefault="00C85D18" w:rsidP="001F6887">
      <w:pPr>
        <w:jc w:val="both"/>
        <w:rPr>
          <w:rFonts w:ascii="Arial" w:hAnsi="Arial" w:cs="Arial"/>
          <w:sz w:val="20"/>
          <w:szCs w:val="20"/>
        </w:rPr>
      </w:pPr>
    </w:p>
    <w:p w14:paraId="481EFEB7" w14:textId="77777777" w:rsidR="00C85D18" w:rsidRDefault="00C85D18" w:rsidP="001F6887">
      <w:pPr>
        <w:jc w:val="both"/>
        <w:rPr>
          <w:rFonts w:ascii="Arial" w:hAnsi="Arial" w:cs="Arial"/>
          <w:sz w:val="20"/>
          <w:szCs w:val="20"/>
        </w:rPr>
      </w:pPr>
    </w:p>
    <w:p w14:paraId="2366AE44" w14:textId="53406246" w:rsidR="00C85D18" w:rsidRDefault="00C85D18" w:rsidP="001F6887">
      <w:pPr>
        <w:jc w:val="both"/>
        <w:rPr>
          <w:rFonts w:ascii="Arial" w:hAnsi="Arial" w:cs="Arial"/>
          <w:sz w:val="20"/>
          <w:szCs w:val="20"/>
        </w:rPr>
      </w:pPr>
    </w:p>
    <w:p w14:paraId="35383035" w14:textId="77777777" w:rsidR="00C85D18" w:rsidRDefault="00C85D18" w:rsidP="001F6887">
      <w:pPr>
        <w:jc w:val="both"/>
        <w:rPr>
          <w:rFonts w:ascii="Arial" w:hAnsi="Arial" w:cs="Arial"/>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FA0C0C" w14:paraId="2930D320" w14:textId="77777777" w:rsidTr="00CF6657">
        <w:tc>
          <w:tcPr>
            <w:tcW w:w="8890" w:type="dxa"/>
            <w:shd w:val="clear" w:color="auto" w:fill="B3B3B3"/>
          </w:tcPr>
          <w:p w14:paraId="1B9B203F" w14:textId="0E5C45B4" w:rsidR="00FA0C0C" w:rsidRDefault="00FA0C0C" w:rsidP="001F6887">
            <w:pPr>
              <w:pStyle w:val="Ttulo1"/>
              <w:shd w:val="clear" w:color="auto" w:fill="A6A6A6"/>
              <w:rPr>
                <w:rFonts w:ascii="Arial" w:hAnsi="Arial" w:cs="Arial"/>
                <w:kern w:val="0"/>
                <w:sz w:val="20"/>
                <w:szCs w:val="20"/>
              </w:rPr>
            </w:pPr>
            <w:bookmarkStart w:id="36" w:name="_Toc344399632"/>
            <w:bookmarkStart w:id="37" w:name="_Toc348931359"/>
            <w:r>
              <w:rPr>
                <w:rFonts w:ascii="Arial" w:hAnsi="Arial" w:cs="Arial"/>
                <w:kern w:val="0"/>
                <w:sz w:val="20"/>
                <w:szCs w:val="20"/>
              </w:rPr>
              <w:t>5.- EVALUACIÓN DE LA EFICACIA.</w:t>
            </w:r>
            <w:bookmarkEnd w:id="36"/>
            <w:bookmarkEnd w:id="37"/>
          </w:p>
        </w:tc>
      </w:tr>
    </w:tbl>
    <w:p w14:paraId="51203BFB" w14:textId="77777777" w:rsidR="00FA0C0C" w:rsidRDefault="00FA0C0C" w:rsidP="001F6887">
      <w:pPr>
        <w:rPr>
          <w:rFonts w:ascii="Arial" w:hAnsi="Arial" w:cs="Arial"/>
          <w:sz w:val="20"/>
          <w:szCs w:val="20"/>
        </w:rPr>
      </w:pPr>
    </w:p>
    <w:p w14:paraId="5CA9DF5A" w14:textId="04EAC211" w:rsidR="00FA0C0C" w:rsidRPr="00CF2C2C"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38" w:name="_Toc344399633"/>
      <w:bookmarkStart w:id="39" w:name="_Toc348931360"/>
      <w:r w:rsidRPr="00CF2C2C">
        <w:rPr>
          <w:rFonts w:ascii="Arial" w:hAnsi="Arial" w:cs="Arial"/>
          <w:sz w:val="20"/>
          <w:szCs w:val="20"/>
        </w:rPr>
        <w:t>5.1.a Ensayos clínicos disponibles para la indicación clínica evaluada</w:t>
      </w:r>
      <w:bookmarkEnd w:id="38"/>
      <w:bookmarkEnd w:id="39"/>
    </w:p>
    <w:p w14:paraId="03496062" w14:textId="77777777" w:rsidR="00CF2C2C" w:rsidRDefault="00CF2C2C" w:rsidP="001F6887">
      <w:pPr>
        <w:jc w:val="both"/>
        <w:rPr>
          <w:rFonts w:ascii="Arial" w:hAnsi="Arial" w:cs="Arial"/>
          <w:sz w:val="20"/>
          <w:szCs w:val="20"/>
        </w:rPr>
      </w:pPr>
    </w:p>
    <w:p w14:paraId="087D8034" w14:textId="3EACAD71" w:rsidR="00CF2C2C" w:rsidRPr="00774D20" w:rsidRDefault="00840990" w:rsidP="001F6887">
      <w:pPr>
        <w:jc w:val="both"/>
        <w:rPr>
          <w:rFonts w:ascii="Arial" w:hAnsi="Arial" w:cs="Arial"/>
          <w:sz w:val="20"/>
          <w:szCs w:val="20"/>
        </w:rPr>
      </w:pPr>
      <w:r w:rsidRPr="00840990">
        <w:rPr>
          <w:rFonts w:ascii="Arial" w:hAnsi="Arial" w:cs="Arial"/>
          <w:sz w:val="20"/>
          <w:szCs w:val="20"/>
        </w:rPr>
        <w:lastRenderedPageBreak/>
        <w:t>El EPAR</w:t>
      </w:r>
      <w:r w:rsidR="000B327E" w:rsidRPr="000B327E">
        <w:rPr>
          <w:rFonts w:ascii="Arial" w:hAnsi="Arial" w:cs="Arial"/>
          <w:sz w:val="20"/>
          <w:szCs w:val="20"/>
          <w:vertAlign w:val="superscript"/>
        </w:rPr>
        <w:fldChar w:fldCharType="begin"/>
      </w:r>
      <w:r w:rsidR="000B327E" w:rsidRPr="000B327E">
        <w:rPr>
          <w:rFonts w:ascii="Arial" w:hAnsi="Arial" w:cs="Arial"/>
          <w:sz w:val="20"/>
          <w:szCs w:val="20"/>
          <w:vertAlign w:val="superscript"/>
        </w:rPr>
        <w:instrText xml:space="preserve"> NOTEREF _Ref52267010 \h  \* MERGEFORMAT </w:instrText>
      </w:r>
      <w:r w:rsidR="000B327E" w:rsidRPr="000B327E">
        <w:rPr>
          <w:rFonts w:ascii="Arial" w:hAnsi="Arial" w:cs="Arial"/>
          <w:sz w:val="20"/>
          <w:szCs w:val="20"/>
          <w:vertAlign w:val="superscript"/>
        </w:rPr>
      </w:r>
      <w:r w:rsidR="000B327E" w:rsidRPr="000B327E">
        <w:rPr>
          <w:rFonts w:ascii="Arial" w:hAnsi="Arial" w:cs="Arial"/>
          <w:sz w:val="20"/>
          <w:szCs w:val="20"/>
          <w:vertAlign w:val="superscript"/>
        </w:rPr>
        <w:fldChar w:fldCharType="separate"/>
      </w:r>
      <w:r w:rsidR="00E277F2">
        <w:rPr>
          <w:rFonts w:ascii="Arial" w:hAnsi="Arial" w:cs="Arial"/>
          <w:sz w:val="20"/>
          <w:szCs w:val="20"/>
          <w:vertAlign w:val="superscript"/>
        </w:rPr>
        <w:t>1</w:t>
      </w:r>
      <w:r w:rsidR="000B327E" w:rsidRPr="000B327E">
        <w:rPr>
          <w:rFonts w:ascii="Arial" w:hAnsi="Arial" w:cs="Arial"/>
          <w:sz w:val="20"/>
          <w:szCs w:val="20"/>
          <w:vertAlign w:val="superscript"/>
        </w:rPr>
        <w:fldChar w:fldCharType="end"/>
      </w:r>
      <w:r w:rsidRPr="00840990">
        <w:rPr>
          <w:rFonts w:ascii="Arial" w:hAnsi="Arial" w:cs="Arial"/>
          <w:sz w:val="20"/>
          <w:szCs w:val="20"/>
        </w:rPr>
        <w:t xml:space="preserve"> del fármaco analiza su eficacia en </w:t>
      </w:r>
      <w:r w:rsidR="00CF2C2C" w:rsidRPr="00CF2C2C">
        <w:rPr>
          <w:rFonts w:ascii="Arial" w:hAnsi="Arial" w:cs="Arial"/>
          <w:sz w:val="20"/>
          <w:szCs w:val="20"/>
        </w:rPr>
        <w:t xml:space="preserve">pacientes </w:t>
      </w:r>
      <w:r w:rsidR="00CF2C2C" w:rsidRPr="00774D20">
        <w:rPr>
          <w:rFonts w:ascii="Arial" w:hAnsi="Arial" w:cs="Arial"/>
          <w:sz w:val="20"/>
          <w:szCs w:val="20"/>
        </w:rPr>
        <w:t xml:space="preserve">con </w:t>
      </w:r>
      <w:r w:rsidR="00CF2C2C" w:rsidRPr="00774D20">
        <w:rPr>
          <w:rFonts w:ascii="Arial" w:hAnsi="Arial" w:cs="Arial"/>
          <w:b/>
          <w:sz w:val="20"/>
          <w:szCs w:val="20"/>
          <w:u w:val="single"/>
        </w:rPr>
        <w:t>AME tipo I</w:t>
      </w:r>
      <w:r w:rsidR="00884A43" w:rsidRPr="00774D20">
        <w:rPr>
          <w:rFonts w:ascii="Arial" w:hAnsi="Arial" w:cs="Arial"/>
          <w:b/>
          <w:sz w:val="20"/>
          <w:szCs w:val="20"/>
          <w:u w:val="single"/>
        </w:rPr>
        <w:t xml:space="preserve"> con 1 o </w:t>
      </w:r>
      <w:r w:rsidR="00EA57D3" w:rsidRPr="00774D20">
        <w:rPr>
          <w:rFonts w:ascii="Arial" w:hAnsi="Arial" w:cs="Arial"/>
          <w:b/>
          <w:sz w:val="20"/>
          <w:szCs w:val="20"/>
          <w:u w:val="single"/>
        </w:rPr>
        <w:t xml:space="preserve">2 </w:t>
      </w:r>
      <w:r w:rsidR="00884A43" w:rsidRPr="00774D20">
        <w:rPr>
          <w:rFonts w:ascii="Arial" w:hAnsi="Arial" w:cs="Arial"/>
          <w:b/>
          <w:sz w:val="20"/>
          <w:szCs w:val="20"/>
          <w:u w:val="single"/>
        </w:rPr>
        <w:t>copias de SMN2</w:t>
      </w:r>
      <w:r w:rsidR="00CF2C2C" w:rsidRPr="00774D20">
        <w:rPr>
          <w:rFonts w:ascii="Arial" w:hAnsi="Arial" w:cs="Arial"/>
          <w:sz w:val="20"/>
          <w:szCs w:val="20"/>
        </w:rPr>
        <w:t xml:space="preserve"> en </w:t>
      </w:r>
      <w:r w:rsidRPr="00774D20">
        <w:rPr>
          <w:rFonts w:ascii="Arial" w:hAnsi="Arial" w:cs="Arial"/>
          <w:sz w:val="20"/>
          <w:szCs w:val="20"/>
        </w:rPr>
        <w:t>base a</w:t>
      </w:r>
      <w:r w:rsidR="00CF2C2C" w:rsidRPr="00774D20">
        <w:rPr>
          <w:rFonts w:ascii="Arial" w:hAnsi="Arial" w:cs="Arial"/>
          <w:sz w:val="20"/>
          <w:szCs w:val="20"/>
        </w:rPr>
        <w:t>:</w:t>
      </w:r>
    </w:p>
    <w:p w14:paraId="1BA285AB" w14:textId="310F52EA" w:rsidR="00CF2C2C" w:rsidRPr="00774D20" w:rsidRDefault="00840990" w:rsidP="001F6887">
      <w:pPr>
        <w:pStyle w:val="Prrafodelista"/>
        <w:numPr>
          <w:ilvl w:val="0"/>
          <w:numId w:val="11"/>
        </w:numPr>
        <w:jc w:val="both"/>
        <w:rPr>
          <w:rFonts w:ascii="Arial" w:hAnsi="Arial" w:cs="Arial"/>
          <w:sz w:val="20"/>
          <w:szCs w:val="20"/>
        </w:rPr>
      </w:pPr>
      <w:r w:rsidRPr="00774D20">
        <w:rPr>
          <w:rFonts w:ascii="Arial" w:hAnsi="Arial" w:cs="Arial"/>
          <w:sz w:val="20"/>
          <w:szCs w:val="20"/>
        </w:rPr>
        <w:t xml:space="preserve">un estudio fase III pivotal, abierto y no controlado </w:t>
      </w:r>
      <w:r w:rsidR="00EA57D3" w:rsidRPr="00774D20">
        <w:rPr>
          <w:rFonts w:ascii="Arial" w:hAnsi="Arial" w:cs="Arial"/>
          <w:sz w:val="20"/>
          <w:szCs w:val="20"/>
        </w:rPr>
        <w:t xml:space="preserve">realizado en EEUU </w:t>
      </w:r>
      <w:r w:rsidRPr="00774D20">
        <w:rPr>
          <w:rFonts w:ascii="Arial" w:hAnsi="Arial" w:cs="Arial"/>
          <w:sz w:val="20"/>
          <w:szCs w:val="20"/>
        </w:rPr>
        <w:t>(Estudio AVXS-101-CL-</w:t>
      </w:r>
      <w:r w:rsidRPr="00774D20">
        <w:rPr>
          <w:rFonts w:ascii="Arial" w:hAnsi="Arial" w:cs="Arial"/>
          <w:b/>
          <w:sz w:val="20"/>
          <w:szCs w:val="20"/>
        </w:rPr>
        <w:t>303</w:t>
      </w:r>
      <w:r w:rsidRPr="00774D20">
        <w:rPr>
          <w:rFonts w:ascii="Arial" w:hAnsi="Arial" w:cs="Arial"/>
          <w:sz w:val="20"/>
          <w:szCs w:val="20"/>
        </w:rPr>
        <w:t>)</w:t>
      </w:r>
      <w:r w:rsidR="00EA57D3" w:rsidRPr="00774D20">
        <w:rPr>
          <w:rFonts w:ascii="Arial" w:hAnsi="Arial" w:cs="Arial"/>
          <w:sz w:val="20"/>
          <w:szCs w:val="20"/>
        </w:rPr>
        <w:t xml:space="preserve">: </w:t>
      </w:r>
      <w:r w:rsidR="00EA57D3" w:rsidRPr="00774D20">
        <w:rPr>
          <w:rFonts w:ascii="Arial" w:hAnsi="Arial" w:cs="Arial"/>
          <w:b/>
          <w:sz w:val="20"/>
          <w:szCs w:val="20"/>
        </w:rPr>
        <w:t>STR1VE-US</w:t>
      </w:r>
      <w:r w:rsidR="00EA57D3" w:rsidRPr="00774D20">
        <w:rPr>
          <w:rFonts w:ascii="Arial" w:hAnsi="Arial" w:cs="Arial"/>
          <w:sz w:val="20"/>
          <w:szCs w:val="20"/>
        </w:rPr>
        <w:t>.</w:t>
      </w:r>
      <w:bookmarkStart w:id="40" w:name="_Ref52276166"/>
      <w:r w:rsidR="007C7FDE" w:rsidRPr="00774D20">
        <w:rPr>
          <w:rStyle w:val="Refdenotaalfinal"/>
          <w:rFonts w:ascii="Arial" w:hAnsi="Arial" w:cs="Arial"/>
          <w:sz w:val="20"/>
          <w:szCs w:val="20"/>
        </w:rPr>
        <w:endnoteReference w:id="14"/>
      </w:r>
      <w:bookmarkEnd w:id="40"/>
    </w:p>
    <w:p w14:paraId="1C59812D" w14:textId="38E878B0" w:rsidR="00884A43" w:rsidRPr="00774D20" w:rsidRDefault="00884A43" w:rsidP="001F6887">
      <w:pPr>
        <w:pStyle w:val="Prrafodelista"/>
        <w:numPr>
          <w:ilvl w:val="0"/>
          <w:numId w:val="11"/>
        </w:numPr>
        <w:jc w:val="both"/>
        <w:rPr>
          <w:rFonts w:ascii="Arial" w:hAnsi="Arial" w:cs="Arial"/>
          <w:sz w:val="20"/>
          <w:szCs w:val="20"/>
        </w:rPr>
      </w:pPr>
      <w:r w:rsidRPr="00774D20">
        <w:rPr>
          <w:rFonts w:ascii="Arial" w:hAnsi="Arial" w:cs="Arial"/>
          <w:sz w:val="20"/>
          <w:szCs w:val="20"/>
        </w:rPr>
        <w:t xml:space="preserve">un estudio fase III pivotal, abierto y no controlado </w:t>
      </w:r>
      <w:r w:rsidR="00EA57D3" w:rsidRPr="00774D20">
        <w:rPr>
          <w:rFonts w:ascii="Arial" w:hAnsi="Arial" w:cs="Arial"/>
          <w:sz w:val="20"/>
          <w:szCs w:val="20"/>
        </w:rPr>
        <w:t xml:space="preserve">realizado en Europa </w:t>
      </w:r>
      <w:r w:rsidRPr="00774D20">
        <w:rPr>
          <w:rFonts w:ascii="Arial" w:hAnsi="Arial" w:cs="Arial"/>
          <w:sz w:val="20"/>
          <w:szCs w:val="20"/>
        </w:rPr>
        <w:t>(Estudio AVXS-101-CL-</w:t>
      </w:r>
      <w:r w:rsidRPr="00774D20">
        <w:rPr>
          <w:rFonts w:ascii="Arial" w:hAnsi="Arial" w:cs="Arial"/>
          <w:b/>
          <w:sz w:val="20"/>
          <w:szCs w:val="20"/>
        </w:rPr>
        <w:t>302</w:t>
      </w:r>
      <w:r w:rsidRPr="00774D20">
        <w:rPr>
          <w:rFonts w:ascii="Arial" w:hAnsi="Arial" w:cs="Arial"/>
          <w:sz w:val="20"/>
          <w:szCs w:val="20"/>
        </w:rPr>
        <w:t>) todavía en curso, aunque ya con resultados preliminares parciales.</w:t>
      </w:r>
      <w:r w:rsidR="00D07158" w:rsidRPr="00774D20">
        <w:rPr>
          <w:rFonts w:ascii="Arial" w:hAnsi="Arial" w:cs="Arial"/>
          <w:b/>
          <w:sz w:val="20"/>
          <w:szCs w:val="20"/>
        </w:rPr>
        <w:t xml:space="preserve"> STR1VE-EU</w:t>
      </w:r>
      <w:r w:rsidR="007C7FDE" w:rsidRPr="00774D20">
        <w:rPr>
          <w:rFonts w:ascii="Arial" w:hAnsi="Arial" w:cs="Arial"/>
          <w:b/>
          <w:sz w:val="20"/>
          <w:szCs w:val="20"/>
        </w:rPr>
        <w:t>.</w:t>
      </w:r>
    </w:p>
    <w:p w14:paraId="3361037F" w14:textId="7CA5AC39" w:rsidR="00EA57D3" w:rsidRPr="00774D20" w:rsidRDefault="00EA57D3" w:rsidP="001F6887">
      <w:pPr>
        <w:pStyle w:val="Prrafodelista"/>
        <w:numPr>
          <w:ilvl w:val="0"/>
          <w:numId w:val="11"/>
        </w:numPr>
        <w:jc w:val="both"/>
        <w:rPr>
          <w:rFonts w:ascii="Arial" w:hAnsi="Arial" w:cs="Arial"/>
          <w:sz w:val="20"/>
          <w:szCs w:val="20"/>
        </w:rPr>
      </w:pPr>
      <w:r w:rsidRPr="00774D20">
        <w:rPr>
          <w:rFonts w:ascii="Arial" w:hAnsi="Arial" w:cs="Arial"/>
          <w:sz w:val="20"/>
          <w:szCs w:val="20"/>
        </w:rPr>
        <w:t>y un estudio fase I (Estudio AVXS-101-CL-</w:t>
      </w:r>
      <w:r w:rsidRPr="00774D20">
        <w:rPr>
          <w:rFonts w:ascii="Arial" w:hAnsi="Arial" w:cs="Arial"/>
          <w:b/>
          <w:sz w:val="20"/>
          <w:szCs w:val="20"/>
        </w:rPr>
        <w:t>101</w:t>
      </w:r>
      <w:r w:rsidRPr="00774D20">
        <w:rPr>
          <w:rFonts w:ascii="Arial" w:hAnsi="Arial" w:cs="Arial"/>
          <w:sz w:val="20"/>
          <w:szCs w:val="20"/>
        </w:rPr>
        <w:t>)</w:t>
      </w:r>
      <w:r w:rsidR="00D11BFF" w:rsidRPr="00774D20">
        <w:rPr>
          <w:rFonts w:ascii="Arial" w:hAnsi="Arial" w:cs="Arial"/>
          <w:sz w:val="20"/>
          <w:szCs w:val="20"/>
        </w:rPr>
        <w:t xml:space="preserve">: </w:t>
      </w:r>
      <w:r w:rsidR="00D11BFF" w:rsidRPr="00774D20">
        <w:rPr>
          <w:rFonts w:ascii="Arial" w:hAnsi="Arial" w:cs="Arial"/>
          <w:b/>
          <w:sz w:val="20"/>
          <w:szCs w:val="20"/>
        </w:rPr>
        <w:t>START</w:t>
      </w:r>
      <w:bookmarkStart w:id="41" w:name="_Ref52278219"/>
      <w:r w:rsidR="00E3061E" w:rsidRPr="00774D20">
        <w:rPr>
          <w:rStyle w:val="Refdenotaalfinal"/>
          <w:rFonts w:ascii="Arial" w:hAnsi="Arial" w:cs="Arial"/>
          <w:b/>
          <w:sz w:val="20"/>
          <w:szCs w:val="20"/>
        </w:rPr>
        <w:endnoteReference w:id="15"/>
      </w:r>
      <w:bookmarkEnd w:id="41"/>
      <w:r w:rsidR="00E3061E" w:rsidRPr="00774D20">
        <w:rPr>
          <w:rFonts w:ascii="Arial" w:hAnsi="Arial" w:cs="Arial"/>
          <w:sz w:val="20"/>
          <w:szCs w:val="20"/>
        </w:rPr>
        <w:t>, con un seguimiento a largo plazo aun en marcha</w:t>
      </w:r>
      <w:r w:rsidR="00D11BFF" w:rsidRPr="00774D20">
        <w:rPr>
          <w:rFonts w:ascii="Arial" w:hAnsi="Arial" w:cs="Arial"/>
          <w:b/>
          <w:sz w:val="20"/>
          <w:szCs w:val="20"/>
        </w:rPr>
        <w:t>.</w:t>
      </w:r>
      <w:bookmarkStart w:id="42" w:name="_Ref52276623"/>
      <w:r w:rsidR="007C7FDE" w:rsidRPr="00774D20">
        <w:rPr>
          <w:rStyle w:val="Refdenotaalfinal"/>
          <w:rFonts w:ascii="Arial" w:hAnsi="Arial" w:cs="Arial"/>
          <w:b/>
          <w:sz w:val="20"/>
          <w:szCs w:val="20"/>
        </w:rPr>
        <w:endnoteReference w:id="16"/>
      </w:r>
      <w:bookmarkEnd w:id="42"/>
    </w:p>
    <w:p w14:paraId="6CE517AC" w14:textId="4E913311" w:rsidR="00CF2C2C" w:rsidRPr="00C85D18" w:rsidRDefault="00CF2C2C" w:rsidP="001F6887">
      <w:pPr>
        <w:tabs>
          <w:tab w:val="left" w:pos="949"/>
        </w:tabs>
        <w:jc w:val="both"/>
        <w:rPr>
          <w:rFonts w:ascii="Arial" w:hAnsi="Arial" w:cs="Arial"/>
          <w:sz w:val="12"/>
          <w:szCs w:val="20"/>
        </w:rPr>
      </w:pPr>
    </w:p>
    <w:p w14:paraId="4DB9A342" w14:textId="5E6FCE92" w:rsidR="00CF2C2C" w:rsidRPr="00774D20" w:rsidRDefault="00CF2C2C" w:rsidP="001F6887">
      <w:pPr>
        <w:jc w:val="both"/>
        <w:rPr>
          <w:rFonts w:ascii="Arial" w:hAnsi="Arial" w:cs="Arial"/>
          <w:sz w:val="20"/>
          <w:szCs w:val="20"/>
        </w:rPr>
      </w:pPr>
      <w:r w:rsidRPr="00774D20">
        <w:rPr>
          <w:rFonts w:ascii="Arial" w:hAnsi="Arial" w:cs="Arial"/>
          <w:sz w:val="20"/>
          <w:szCs w:val="20"/>
        </w:rPr>
        <w:t xml:space="preserve">La eficacia en pacientes neonatos </w:t>
      </w:r>
      <w:r w:rsidRPr="00774D20">
        <w:rPr>
          <w:rFonts w:ascii="Arial" w:hAnsi="Arial" w:cs="Arial"/>
          <w:b/>
          <w:sz w:val="20"/>
          <w:szCs w:val="20"/>
          <w:u w:val="single"/>
        </w:rPr>
        <w:t>presintomáticos con 2 o 3 copias del gen SMN2</w:t>
      </w:r>
      <w:r w:rsidRPr="00774D20">
        <w:rPr>
          <w:rFonts w:ascii="Arial" w:hAnsi="Arial" w:cs="Arial"/>
          <w:sz w:val="20"/>
          <w:szCs w:val="20"/>
        </w:rPr>
        <w:t>.se analiza en base a:</w:t>
      </w:r>
    </w:p>
    <w:p w14:paraId="6834E8DD" w14:textId="7AF93760" w:rsidR="00840990" w:rsidRPr="00774D20" w:rsidRDefault="00CF2C2C" w:rsidP="001F6887">
      <w:pPr>
        <w:pStyle w:val="Prrafodelista"/>
        <w:numPr>
          <w:ilvl w:val="0"/>
          <w:numId w:val="12"/>
        </w:numPr>
        <w:jc w:val="both"/>
        <w:rPr>
          <w:rFonts w:ascii="Arial" w:hAnsi="Arial" w:cs="Arial"/>
          <w:sz w:val="20"/>
          <w:szCs w:val="20"/>
        </w:rPr>
      </w:pPr>
      <w:r w:rsidRPr="00774D20">
        <w:rPr>
          <w:rFonts w:ascii="Arial" w:hAnsi="Arial" w:cs="Arial"/>
          <w:sz w:val="20"/>
          <w:szCs w:val="20"/>
        </w:rPr>
        <w:t xml:space="preserve">un </w:t>
      </w:r>
      <w:r w:rsidR="00840990" w:rsidRPr="00774D20">
        <w:rPr>
          <w:rFonts w:ascii="Arial" w:hAnsi="Arial" w:cs="Arial"/>
          <w:sz w:val="20"/>
          <w:szCs w:val="20"/>
        </w:rPr>
        <w:t>estudio fase III, abierto y no controlado (Estudio AVXS-101-CL-304)</w:t>
      </w:r>
      <w:r w:rsidR="00DB3619" w:rsidRPr="00774D20">
        <w:rPr>
          <w:rFonts w:ascii="Arial" w:hAnsi="Arial" w:cs="Arial"/>
          <w:sz w:val="20"/>
          <w:szCs w:val="20"/>
        </w:rPr>
        <w:t xml:space="preserve">: </w:t>
      </w:r>
      <w:r w:rsidR="00DB3619" w:rsidRPr="00774D20">
        <w:rPr>
          <w:rFonts w:ascii="Arial" w:hAnsi="Arial" w:cs="Arial"/>
          <w:b/>
          <w:sz w:val="20"/>
          <w:szCs w:val="20"/>
        </w:rPr>
        <w:t>SPR1NT.</w:t>
      </w:r>
      <w:bookmarkStart w:id="43" w:name="_Ref52276661"/>
      <w:r w:rsidR="007C7FDE" w:rsidRPr="00774D20">
        <w:rPr>
          <w:rStyle w:val="Refdenotaalfinal"/>
          <w:rFonts w:ascii="Arial" w:hAnsi="Arial" w:cs="Arial"/>
          <w:b/>
          <w:sz w:val="20"/>
          <w:szCs w:val="20"/>
        </w:rPr>
        <w:endnoteReference w:id="17"/>
      </w:r>
      <w:bookmarkEnd w:id="43"/>
    </w:p>
    <w:p w14:paraId="3AE73424" w14:textId="77777777" w:rsidR="00CF2C2C" w:rsidRPr="00C85D18" w:rsidRDefault="00CF2C2C" w:rsidP="001F6887">
      <w:pPr>
        <w:jc w:val="both"/>
        <w:rPr>
          <w:rFonts w:ascii="Arial" w:hAnsi="Arial" w:cs="Arial"/>
          <w:sz w:val="12"/>
          <w:szCs w:val="20"/>
        </w:rPr>
      </w:pPr>
    </w:p>
    <w:p w14:paraId="286AA3D5" w14:textId="37D3933B" w:rsidR="00FA0C0C" w:rsidRDefault="00FA0C0C" w:rsidP="001F6887">
      <w:pPr>
        <w:jc w:val="both"/>
        <w:rPr>
          <w:rFonts w:ascii="Arial" w:hAnsi="Arial" w:cs="Arial"/>
          <w:sz w:val="20"/>
          <w:szCs w:val="20"/>
        </w:rPr>
      </w:pPr>
      <w:r>
        <w:rPr>
          <w:rFonts w:ascii="Arial" w:hAnsi="Arial" w:cs="Arial"/>
          <w:sz w:val="20"/>
          <w:szCs w:val="20"/>
        </w:rPr>
        <w:t xml:space="preserve">Adicionalmente, con fecha </w:t>
      </w:r>
      <w:r w:rsidR="005D2B23">
        <w:rPr>
          <w:rFonts w:ascii="Arial" w:hAnsi="Arial" w:cs="Arial"/>
          <w:sz w:val="20"/>
          <w:szCs w:val="20"/>
        </w:rPr>
        <w:t>18/08/2020</w:t>
      </w:r>
      <w:r>
        <w:rPr>
          <w:rFonts w:ascii="Arial" w:hAnsi="Arial" w:cs="Arial"/>
          <w:sz w:val="20"/>
          <w:szCs w:val="20"/>
        </w:rPr>
        <w:t xml:space="preserve"> se realizó una búsqueda bibliográfica en PubMed con el objeto de identificar información complementaria utilizando para ello la siguiente estrategia de búsqueda: </w:t>
      </w:r>
      <w:r>
        <w:rPr>
          <w:rFonts w:ascii="Arial" w:hAnsi="Arial" w:cs="Arial"/>
          <w:i/>
          <w:iCs/>
          <w:sz w:val="20"/>
          <w:szCs w:val="20"/>
        </w:rPr>
        <w:t>"</w:t>
      </w:r>
      <w:r w:rsidR="005D2B23" w:rsidRPr="005D2B23">
        <w:rPr>
          <w:rFonts w:ascii="Arial" w:hAnsi="Arial" w:cs="Arial"/>
          <w:i/>
          <w:iCs/>
          <w:sz w:val="20"/>
          <w:szCs w:val="20"/>
        </w:rPr>
        <w:t>Muscular Atrophy, Spinal</w:t>
      </w:r>
      <w:r>
        <w:rPr>
          <w:rFonts w:ascii="Arial" w:hAnsi="Arial" w:cs="Arial"/>
          <w:i/>
          <w:iCs/>
          <w:sz w:val="20"/>
          <w:szCs w:val="20"/>
        </w:rPr>
        <w:t>"[Mesh] AND ("</w:t>
      </w:r>
      <w:r w:rsidR="00DF0B92">
        <w:rPr>
          <w:rFonts w:ascii="Arial" w:hAnsi="Arial" w:cs="Arial"/>
          <w:i/>
          <w:iCs/>
          <w:sz w:val="20"/>
          <w:szCs w:val="20"/>
        </w:rPr>
        <w:t>Onasemnogene Abeparvovec</w:t>
      </w:r>
      <w:r w:rsidR="00FA73C0">
        <w:rPr>
          <w:rFonts w:ascii="Arial" w:hAnsi="Arial" w:cs="Arial"/>
          <w:i/>
          <w:iCs/>
          <w:sz w:val="20"/>
          <w:szCs w:val="20"/>
        </w:rPr>
        <w:t xml:space="preserve"> </w:t>
      </w:r>
      <w:r w:rsidR="00DF0B92">
        <w:rPr>
          <w:rFonts w:ascii="Arial" w:hAnsi="Arial" w:cs="Arial"/>
          <w:i/>
          <w:iCs/>
          <w:sz w:val="20"/>
          <w:szCs w:val="20"/>
        </w:rPr>
        <w:t>”</w:t>
      </w:r>
      <w:r>
        <w:rPr>
          <w:rFonts w:ascii="Arial" w:hAnsi="Arial" w:cs="Arial"/>
          <w:i/>
          <w:iCs/>
          <w:sz w:val="20"/>
          <w:szCs w:val="20"/>
        </w:rPr>
        <w:t>[Supplementary Concept]</w:t>
      </w:r>
      <w:r w:rsidR="00DF0B92">
        <w:rPr>
          <w:rFonts w:ascii="Arial" w:hAnsi="Arial" w:cs="Arial"/>
          <w:i/>
          <w:iCs/>
          <w:sz w:val="20"/>
          <w:szCs w:val="20"/>
        </w:rPr>
        <w:t xml:space="preserve"> </w:t>
      </w:r>
      <w:r w:rsidR="00DF0B92">
        <w:rPr>
          <w:rFonts w:ascii="Arial" w:hAnsi="Arial" w:cs="Arial"/>
          <w:sz w:val="20"/>
          <w:szCs w:val="20"/>
        </w:rPr>
        <w:t>sin que se encontraran hallazgos adicionales a los del EPAR.</w:t>
      </w:r>
    </w:p>
    <w:p w14:paraId="2CF9BFD1" w14:textId="77777777" w:rsidR="00C604A2" w:rsidRDefault="00C604A2" w:rsidP="001F6887">
      <w:pPr>
        <w:jc w:val="both"/>
        <w:rPr>
          <w:rFonts w:ascii="Arial" w:hAnsi="Arial" w:cs="Arial"/>
          <w:sz w:val="20"/>
          <w:szCs w:val="20"/>
        </w:rPr>
      </w:pPr>
    </w:p>
    <w:p w14:paraId="1E1BEDC2" w14:textId="6686BE53" w:rsidR="00FA0C0C" w:rsidRPr="00125799"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44" w:name="_Toc344399634"/>
      <w:bookmarkStart w:id="45" w:name="_Toc348931361"/>
      <w:r w:rsidRPr="00125799">
        <w:rPr>
          <w:rFonts w:ascii="Arial" w:hAnsi="Arial" w:cs="Arial"/>
          <w:sz w:val="20"/>
          <w:szCs w:val="20"/>
        </w:rPr>
        <w:t>5.1.b Variables utilizadas en los ensayos</w:t>
      </w:r>
      <w:bookmarkEnd w:id="44"/>
      <w:bookmarkEnd w:id="45"/>
      <w:r w:rsidRPr="00125799">
        <w:rPr>
          <w:rFonts w:ascii="Arial" w:hAnsi="Arial" w:cs="Arial"/>
          <w:sz w:val="20"/>
          <w:szCs w:val="20"/>
        </w:rPr>
        <w:t xml:space="preserve"> </w:t>
      </w:r>
    </w:p>
    <w:p w14:paraId="32DA5892" w14:textId="77777777" w:rsidR="001A0620" w:rsidRDefault="001A0620" w:rsidP="001F6887">
      <w:pPr>
        <w:ind w:left="714"/>
        <w:jc w:val="both"/>
        <w:rPr>
          <w:rFonts w:ascii="Arial" w:hAnsi="Arial" w:cs="Arial"/>
          <w:sz w:val="20"/>
          <w:szCs w:val="20"/>
        </w:rPr>
      </w:pPr>
    </w:p>
    <w:tbl>
      <w:tblPr>
        <w:tblW w:w="97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2713"/>
        <w:gridCol w:w="4658"/>
        <w:gridCol w:w="1062"/>
      </w:tblGrid>
      <w:tr w:rsidR="00884A43" w:rsidRPr="00884A43" w14:paraId="667267A8" w14:textId="77777777" w:rsidTr="00C019BD">
        <w:tc>
          <w:tcPr>
            <w:tcW w:w="9734" w:type="dxa"/>
            <w:gridSpan w:val="4"/>
            <w:shd w:val="clear" w:color="auto" w:fill="CCFFCC"/>
          </w:tcPr>
          <w:p w14:paraId="695113D3" w14:textId="30CBFE8C" w:rsidR="00884A43" w:rsidRPr="00884A43" w:rsidRDefault="00884A43" w:rsidP="00010591">
            <w:pPr>
              <w:tabs>
                <w:tab w:val="left" w:pos="2924"/>
              </w:tabs>
              <w:autoSpaceDE w:val="0"/>
              <w:snapToGrid w:val="0"/>
              <w:ind w:left="34" w:hanging="34"/>
              <w:rPr>
                <w:rFonts w:ascii="Arial" w:hAnsi="Arial" w:cs="Arial"/>
                <w:b/>
                <w:color w:val="000000"/>
                <w:sz w:val="18"/>
              </w:rPr>
            </w:pPr>
            <w:r w:rsidRPr="00884A43">
              <w:rPr>
                <w:rFonts w:ascii="Arial" w:hAnsi="Arial" w:cs="Arial"/>
                <w:b/>
                <w:color w:val="000000"/>
                <w:sz w:val="18"/>
              </w:rPr>
              <w:t>Tabla. 5.1b Variables empleadas en los ensayos clínicos pivotales</w:t>
            </w:r>
            <w:r w:rsidR="00D07158">
              <w:rPr>
                <w:rFonts w:ascii="Arial" w:hAnsi="Arial" w:cs="Arial"/>
                <w:b/>
                <w:color w:val="000000"/>
                <w:sz w:val="18"/>
              </w:rPr>
              <w:t>.</w:t>
            </w:r>
          </w:p>
        </w:tc>
      </w:tr>
      <w:tr w:rsidR="00884A43" w:rsidRPr="00E235DB" w14:paraId="6C8D6174" w14:textId="77777777" w:rsidTr="00C019BD">
        <w:tc>
          <w:tcPr>
            <w:tcW w:w="1301" w:type="dxa"/>
            <w:shd w:val="clear" w:color="auto" w:fill="D9D9D9"/>
            <w:vAlign w:val="center"/>
          </w:tcPr>
          <w:p w14:paraId="4DFF8859" w14:textId="77777777" w:rsidR="00884A43" w:rsidRPr="00132017" w:rsidRDefault="00884A43" w:rsidP="00010591">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EFICACIA</w:t>
            </w:r>
          </w:p>
        </w:tc>
        <w:tc>
          <w:tcPr>
            <w:tcW w:w="2713" w:type="dxa"/>
            <w:shd w:val="clear" w:color="auto" w:fill="D9D9D9"/>
            <w:vAlign w:val="center"/>
          </w:tcPr>
          <w:p w14:paraId="5F1EA2E2" w14:textId="77777777" w:rsidR="00884A43" w:rsidRPr="00132017" w:rsidRDefault="00884A43" w:rsidP="00010591">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Enunciado</w:t>
            </w:r>
          </w:p>
        </w:tc>
        <w:tc>
          <w:tcPr>
            <w:tcW w:w="4658" w:type="dxa"/>
            <w:shd w:val="clear" w:color="auto" w:fill="D9D9D9"/>
            <w:vAlign w:val="center"/>
          </w:tcPr>
          <w:p w14:paraId="355BAF2A" w14:textId="77777777" w:rsidR="00884A43" w:rsidRPr="00132017" w:rsidRDefault="00884A43" w:rsidP="00010591">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Descripción</w:t>
            </w:r>
          </w:p>
        </w:tc>
        <w:tc>
          <w:tcPr>
            <w:tcW w:w="1062" w:type="dxa"/>
            <w:shd w:val="clear" w:color="auto" w:fill="D9D9D9"/>
            <w:vAlign w:val="center"/>
          </w:tcPr>
          <w:p w14:paraId="195BA9CA" w14:textId="77777777" w:rsidR="00884A43" w:rsidRPr="00132017" w:rsidRDefault="00884A43" w:rsidP="00010591">
            <w:pPr>
              <w:tabs>
                <w:tab w:val="left" w:pos="2924"/>
              </w:tabs>
              <w:autoSpaceDE w:val="0"/>
              <w:snapToGrid w:val="0"/>
              <w:ind w:left="34" w:hanging="34"/>
              <w:jc w:val="center"/>
              <w:rPr>
                <w:rFonts w:ascii="Arial" w:hAnsi="Arial" w:cs="Arial"/>
                <w:b/>
                <w:bCs/>
                <w:color w:val="000000"/>
                <w:sz w:val="16"/>
                <w:szCs w:val="16"/>
              </w:rPr>
            </w:pPr>
            <w:r w:rsidRPr="00132017">
              <w:rPr>
                <w:rFonts w:ascii="Arial" w:hAnsi="Arial" w:cs="Arial"/>
                <w:b/>
                <w:bCs/>
                <w:color w:val="000000"/>
                <w:sz w:val="16"/>
                <w:szCs w:val="16"/>
              </w:rPr>
              <w:t xml:space="preserve">Variable </w:t>
            </w:r>
          </w:p>
        </w:tc>
      </w:tr>
      <w:tr w:rsidR="00C604A2" w:rsidRPr="00E235DB" w14:paraId="6E7C5554" w14:textId="77777777" w:rsidTr="00C019BD">
        <w:trPr>
          <w:cantSplit/>
          <w:trHeight w:val="373"/>
        </w:trPr>
        <w:tc>
          <w:tcPr>
            <w:tcW w:w="1301" w:type="dxa"/>
            <w:vMerge w:val="restart"/>
            <w:vAlign w:val="center"/>
          </w:tcPr>
          <w:p w14:paraId="06E08C64" w14:textId="114C5312" w:rsidR="00C604A2" w:rsidRPr="00132017" w:rsidRDefault="00C604A2" w:rsidP="00010591">
            <w:pPr>
              <w:autoSpaceDE w:val="0"/>
              <w:snapToGrid w:val="0"/>
              <w:jc w:val="center"/>
              <w:rPr>
                <w:rFonts w:ascii="Arial" w:hAnsi="Arial" w:cs="Arial"/>
                <w:color w:val="000000"/>
                <w:sz w:val="16"/>
                <w:szCs w:val="16"/>
              </w:rPr>
            </w:pPr>
            <w:r>
              <w:rPr>
                <w:rFonts w:ascii="Arial" w:hAnsi="Arial" w:cs="Arial"/>
                <w:color w:val="000000"/>
                <w:sz w:val="16"/>
                <w:szCs w:val="16"/>
              </w:rPr>
              <w:t>Variables principales</w:t>
            </w:r>
          </w:p>
        </w:tc>
        <w:tc>
          <w:tcPr>
            <w:tcW w:w="2713" w:type="dxa"/>
            <w:vAlign w:val="center"/>
          </w:tcPr>
          <w:p w14:paraId="6F768582" w14:textId="7739C80F" w:rsidR="00C604A2" w:rsidRPr="00774D20" w:rsidRDefault="00C604A2" w:rsidP="00010591">
            <w:pPr>
              <w:autoSpaceDE w:val="0"/>
              <w:jc w:val="center"/>
              <w:rPr>
                <w:rFonts w:ascii="Arial" w:hAnsi="Arial" w:cs="Arial"/>
                <w:color w:val="000000"/>
                <w:sz w:val="16"/>
                <w:szCs w:val="16"/>
              </w:rPr>
            </w:pPr>
            <w:r w:rsidRPr="00774D20">
              <w:rPr>
                <w:rFonts w:ascii="Arial" w:hAnsi="Arial" w:cs="Arial"/>
                <w:color w:val="000000"/>
                <w:sz w:val="16"/>
                <w:szCs w:val="16"/>
              </w:rPr>
              <w:t>Supervivencia libre de acontecimientos</w:t>
            </w:r>
          </w:p>
        </w:tc>
        <w:tc>
          <w:tcPr>
            <w:tcW w:w="4658" w:type="dxa"/>
            <w:vAlign w:val="center"/>
          </w:tcPr>
          <w:p w14:paraId="30ECBA5F" w14:textId="2572E65E" w:rsidR="00C604A2" w:rsidRPr="00774D20" w:rsidRDefault="00C604A2" w:rsidP="00C019BD">
            <w:pPr>
              <w:autoSpaceDE w:val="0"/>
              <w:rPr>
                <w:rFonts w:ascii="Arial" w:hAnsi="Arial" w:cs="Arial"/>
                <w:color w:val="000000"/>
                <w:sz w:val="16"/>
                <w:szCs w:val="16"/>
              </w:rPr>
            </w:pPr>
            <w:r w:rsidRPr="00C019BD">
              <w:rPr>
                <w:rFonts w:ascii="Arial" w:hAnsi="Arial" w:cs="Arial"/>
                <w:color w:val="000000"/>
                <w:sz w:val="16"/>
                <w:szCs w:val="16"/>
              </w:rPr>
              <w:t>Supervivencia sin ventilación permanente a los 14 meses de edad</w:t>
            </w:r>
            <w:r w:rsidR="00C019BD" w:rsidRPr="00C019BD">
              <w:rPr>
                <w:rFonts w:ascii="Arial" w:hAnsi="Arial" w:cs="Arial"/>
                <w:color w:val="000000"/>
                <w:sz w:val="16"/>
                <w:szCs w:val="16"/>
              </w:rPr>
              <w:t>.</w:t>
            </w:r>
            <w:r w:rsidR="00C019BD" w:rsidRPr="00C019BD">
              <w:rPr>
                <w:rFonts w:ascii="Arial" w:hAnsi="Arial" w:cs="Arial"/>
                <w:color w:val="000000"/>
                <w:sz w:val="16"/>
                <w:szCs w:val="16"/>
                <w:vertAlign w:val="superscript"/>
              </w:rPr>
              <w:t>i</w:t>
            </w:r>
            <w:r w:rsidR="00010591">
              <w:rPr>
                <w:rFonts w:ascii="Arial" w:hAnsi="Arial" w:cs="Arial"/>
                <w:color w:val="000000"/>
                <w:sz w:val="16"/>
                <w:szCs w:val="16"/>
              </w:rPr>
              <w:t xml:space="preserve"> (STRIVE-US).</w:t>
            </w:r>
          </w:p>
        </w:tc>
        <w:tc>
          <w:tcPr>
            <w:tcW w:w="1062" w:type="dxa"/>
            <w:shd w:val="clear" w:color="auto" w:fill="CCFFCC"/>
            <w:vAlign w:val="center"/>
          </w:tcPr>
          <w:p w14:paraId="04B6A8F4" w14:textId="6F8C3393" w:rsidR="00C604A2" w:rsidRPr="00132017" w:rsidRDefault="00C604A2" w:rsidP="00C019BD">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 xml:space="preserve">Variable intermedia </w:t>
            </w:r>
          </w:p>
        </w:tc>
      </w:tr>
      <w:tr w:rsidR="00C604A2" w:rsidRPr="00E235DB" w14:paraId="6E0418AE" w14:textId="77777777" w:rsidTr="00C019BD">
        <w:trPr>
          <w:cantSplit/>
          <w:trHeight w:val="442"/>
        </w:trPr>
        <w:tc>
          <w:tcPr>
            <w:tcW w:w="1301" w:type="dxa"/>
            <w:vMerge/>
            <w:vAlign w:val="center"/>
          </w:tcPr>
          <w:p w14:paraId="4C1C6523" w14:textId="77777777" w:rsidR="00C604A2" w:rsidRDefault="00C604A2" w:rsidP="00010591">
            <w:pPr>
              <w:autoSpaceDE w:val="0"/>
              <w:snapToGrid w:val="0"/>
              <w:jc w:val="center"/>
              <w:rPr>
                <w:rFonts w:ascii="Arial" w:hAnsi="Arial" w:cs="Arial"/>
                <w:color w:val="000000"/>
                <w:sz w:val="16"/>
                <w:szCs w:val="16"/>
              </w:rPr>
            </w:pPr>
          </w:p>
        </w:tc>
        <w:tc>
          <w:tcPr>
            <w:tcW w:w="2713" w:type="dxa"/>
            <w:vMerge w:val="restart"/>
            <w:vAlign w:val="center"/>
          </w:tcPr>
          <w:p w14:paraId="7860C8A7" w14:textId="5193107B" w:rsidR="00C604A2" w:rsidRPr="00774D20" w:rsidRDefault="00C604A2" w:rsidP="00010591">
            <w:pPr>
              <w:autoSpaceDE w:val="0"/>
              <w:jc w:val="center"/>
              <w:rPr>
                <w:rFonts w:ascii="Arial" w:hAnsi="Arial" w:cs="Arial"/>
                <w:color w:val="000000"/>
                <w:sz w:val="16"/>
                <w:szCs w:val="16"/>
              </w:rPr>
            </w:pPr>
            <w:r w:rsidRPr="00774D20">
              <w:rPr>
                <w:rFonts w:ascii="Arial" w:hAnsi="Arial" w:cs="Arial"/>
                <w:color w:val="000000"/>
                <w:sz w:val="16"/>
                <w:szCs w:val="16"/>
              </w:rPr>
              <w:t xml:space="preserve">Sedestación independiente </w:t>
            </w:r>
          </w:p>
        </w:tc>
        <w:tc>
          <w:tcPr>
            <w:tcW w:w="4658" w:type="dxa"/>
            <w:vAlign w:val="center"/>
          </w:tcPr>
          <w:p w14:paraId="33FE9FD0" w14:textId="799208A2" w:rsidR="00C604A2" w:rsidRPr="00774D20" w:rsidRDefault="00C604A2" w:rsidP="00010591">
            <w:pPr>
              <w:autoSpaceDE w:val="0"/>
              <w:rPr>
                <w:rFonts w:ascii="Arial" w:hAnsi="Arial" w:cs="Arial"/>
                <w:color w:val="000000"/>
                <w:sz w:val="16"/>
                <w:szCs w:val="16"/>
              </w:rPr>
            </w:pPr>
            <w:r w:rsidRPr="00774D20">
              <w:rPr>
                <w:rFonts w:ascii="Arial" w:hAnsi="Arial" w:cs="Arial"/>
                <w:color w:val="000000"/>
                <w:sz w:val="16"/>
                <w:szCs w:val="16"/>
              </w:rPr>
              <w:t>Demostración documentada de que a los 18 meses de edad de que el niño puede mantenerse sentado de manera independiente</w:t>
            </w:r>
            <w:r>
              <w:rPr>
                <w:rFonts w:ascii="Arial" w:hAnsi="Arial" w:cs="Arial"/>
                <w:color w:val="000000"/>
                <w:sz w:val="16"/>
                <w:szCs w:val="16"/>
              </w:rPr>
              <w:t xml:space="preserve"> </w:t>
            </w:r>
            <w:r w:rsidRPr="00774D20">
              <w:rPr>
                <w:rFonts w:ascii="Arial" w:hAnsi="Arial" w:cs="Arial"/>
                <w:color w:val="000000"/>
                <w:sz w:val="16"/>
                <w:szCs w:val="16"/>
              </w:rPr>
              <w:t>durante un mínimo de 30 segundos</w:t>
            </w:r>
            <w:r>
              <w:rPr>
                <w:rFonts w:ascii="Arial" w:hAnsi="Arial" w:cs="Arial"/>
                <w:color w:val="000000"/>
                <w:sz w:val="16"/>
                <w:szCs w:val="16"/>
              </w:rPr>
              <w:t xml:space="preserve"> (STRIVE-US)</w:t>
            </w:r>
            <w:r w:rsidR="00010591">
              <w:rPr>
                <w:rFonts w:ascii="Arial" w:hAnsi="Arial" w:cs="Arial"/>
                <w:color w:val="000000"/>
                <w:sz w:val="16"/>
                <w:szCs w:val="16"/>
              </w:rPr>
              <w:t>.</w:t>
            </w:r>
          </w:p>
        </w:tc>
        <w:tc>
          <w:tcPr>
            <w:tcW w:w="1062" w:type="dxa"/>
            <w:shd w:val="clear" w:color="auto" w:fill="CCFFCC"/>
            <w:vAlign w:val="center"/>
          </w:tcPr>
          <w:p w14:paraId="4A45ACD4" w14:textId="1C5C4FA4" w:rsidR="00C604A2" w:rsidRDefault="00C604A2" w:rsidP="00010591">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C604A2" w:rsidRPr="00E235DB" w14:paraId="15B84173" w14:textId="77777777" w:rsidTr="00C019BD">
        <w:trPr>
          <w:cantSplit/>
          <w:trHeight w:val="801"/>
        </w:trPr>
        <w:tc>
          <w:tcPr>
            <w:tcW w:w="1301" w:type="dxa"/>
            <w:vMerge/>
            <w:vAlign w:val="center"/>
          </w:tcPr>
          <w:p w14:paraId="2C9BE672" w14:textId="77777777" w:rsidR="00C604A2" w:rsidRDefault="00C604A2" w:rsidP="00010591">
            <w:pPr>
              <w:autoSpaceDE w:val="0"/>
              <w:snapToGrid w:val="0"/>
              <w:jc w:val="center"/>
              <w:rPr>
                <w:rFonts w:ascii="Arial" w:hAnsi="Arial" w:cs="Arial"/>
                <w:color w:val="000000"/>
                <w:sz w:val="16"/>
                <w:szCs w:val="16"/>
              </w:rPr>
            </w:pPr>
          </w:p>
        </w:tc>
        <w:tc>
          <w:tcPr>
            <w:tcW w:w="2713" w:type="dxa"/>
            <w:vMerge/>
            <w:vAlign w:val="center"/>
          </w:tcPr>
          <w:p w14:paraId="73E46FD7" w14:textId="77777777" w:rsidR="00C604A2" w:rsidRPr="00774D20" w:rsidRDefault="00C604A2" w:rsidP="00010591">
            <w:pPr>
              <w:autoSpaceDE w:val="0"/>
              <w:jc w:val="center"/>
              <w:rPr>
                <w:rFonts w:ascii="Arial" w:hAnsi="Arial" w:cs="Arial"/>
                <w:color w:val="000000"/>
                <w:sz w:val="16"/>
                <w:szCs w:val="16"/>
              </w:rPr>
            </w:pPr>
          </w:p>
        </w:tc>
        <w:tc>
          <w:tcPr>
            <w:tcW w:w="4658" w:type="dxa"/>
            <w:vAlign w:val="center"/>
          </w:tcPr>
          <w:p w14:paraId="1DA36F70" w14:textId="2B2D4BF0" w:rsidR="00C604A2" w:rsidRPr="00774D20" w:rsidRDefault="00C604A2" w:rsidP="00010591">
            <w:pPr>
              <w:autoSpaceDE w:val="0"/>
              <w:rPr>
                <w:rFonts w:ascii="Arial" w:hAnsi="Arial" w:cs="Arial"/>
                <w:color w:val="000000"/>
                <w:sz w:val="16"/>
                <w:szCs w:val="16"/>
              </w:rPr>
            </w:pPr>
            <w:r w:rsidRPr="00774D20">
              <w:rPr>
                <w:rFonts w:ascii="Arial" w:hAnsi="Arial" w:cs="Arial"/>
                <w:color w:val="000000"/>
                <w:sz w:val="16"/>
                <w:szCs w:val="16"/>
              </w:rPr>
              <w:t>Demostración documentada de que a los 18 meses de edad de que el niño puede mantenerse sentado de manera independiente</w:t>
            </w:r>
            <w:r>
              <w:rPr>
                <w:rFonts w:ascii="Arial" w:hAnsi="Arial" w:cs="Arial"/>
                <w:color w:val="000000"/>
                <w:sz w:val="16"/>
                <w:szCs w:val="16"/>
              </w:rPr>
              <w:t xml:space="preserve"> </w:t>
            </w:r>
            <w:r w:rsidRPr="00774D20">
              <w:rPr>
                <w:rFonts w:ascii="Arial" w:hAnsi="Arial" w:cs="Arial"/>
                <w:color w:val="000000"/>
                <w:sz w:val="16"/>
                <w:szCs w:val="16"/>
              </w:rPr>
              <w:t xml:space="preserve">durante un mínimo de </w:t>
            </w:r>
            <w:r>
              <w:rPr>
                <w:rFonts w:ascii="Arial" w:hAnsi="Arial" w:cs="Arial"/>
                <w:color w:val="000000"/>
                <w:sz w:val="16"/>
                <w:szCs w:val="16"/>
              </w:rPr>
              <w:t>1</w:t>
            </w:r>
            <w:r w:rsidRPr="00774D20">
              <w:rPr>
                <w:rFonts w:ascii="Arial" w:hAnsi="Arial" w:cs="Arial"/>
                <w:color w:val="000000"/>
                <w:sz w:val="16"/>
                <w:szCs w:val="16"/>
              </w:rPr>
              <w:t>0 segundos</w:t>
            </w:r>
            <w:r>
              <w:rPr>
                <w:rFonts w:ascii="Arial" w:hAnsi="Arial" w:cs="Arial"/>
                <w:color w:val="000000"/>
                <w:sz w:val="16"/>
                <w:szCs w:val="16"/>
              </w:rPr>
              <w:t xml:space="preserve"> (STRIVE-EU)</w:t>
            </w:r>
          </w:p>
        </w:tc>
        <w:tc>
          <w:tcPr>
            <w:tcW w:w="1062" w:type="dxa"/>
            <w:shd w:val="clear" w:color="auto" w:fill="CCFFCC"/>
            <w:vAlign w:val="center"/>
          </w:tcPr>
          <w:p w14:paraId="21F6D78F" w14:textId="7B32674D" w:rsidR="00C604A2" w:rsidRDefault="00C604A2" w:rsidP="00010591">
            <w:pPr>
              <w:tabs>
                <w:tab w:val="left" w:pos="2924"/>
              </w:tabs>
              <w:autoSpaceDE w:val="0"/>
              <w:snapToGrid w:val="0"/>
              <w:ind w:left="34"/>
              <w:jc w:val="center"/>
              <w:rPr>
                <w:rFonts w:ascii="Arial" w:hAnsi="Arial" w:cs="Arial"/>
                <w:color w:val="000000"/>
                <w:sz w:val="16"/>
                <w:szCs w:val="16"/>
              </w:rPr>
            </w:pPr>
            <w:r w:rsidRPr="005A5B5E">
              <w:rPr>
                <w:rFonts w:ascii="Arial" w:hAnsi="Arial" w:cs="Arial"/>
                <w:color w:val="000000"/>
                <w:sz w:val="16"/>
                <w:szCs w:val="16"/>
              </w:rPr>
              <w:t>Variable intermedia</w:t>
            </w:r>
          </w:p>
        </w:tc>
      </w:tr>
      <w:tr w:rsidR="00C604A2" w:rsidRPr="00E235DB" w14:paraId="6B7FBE2B" w14:textId="77777777" w:rsidTr="00C019BD">
        <w:trPr>
          <w:cantSplit/>
          <w:trHeight w:val="523"/>
        </w:trPr>
        <w:tc>
          <w:tcPr>
            <w:tcW w:w="1301" w:type="dxa"/>
            <w:vMerge/>
            <w:vAlign w:val="center"/>
          </w:tcPr>
          <w:p w14:paraId="05E5459A" w14:textId="77777777" w:rsidR="00C604A2" w:rsidRDefault="00C604A2" w:rsidP="00010591">
            <w:pPr>
              <w:autoSpaceDE w:val="0"/>
              <w:snapToGrid w:val="0"/>
              <w:jc w:val="center"/>
              <w:rPr>
                <w:rFonts w:ascii="Arial" w:hAnsi="Arial" w:cs="Arial"/>
                <w:color w:val="000000"/>
                <w:sz w:val="16"/>
                <w:szCs w:val="16"/>
              </w:rPr>
            </w:pPr>
          </w:p>
        </w:tc>
        <w:tc>
          <w:tcPr>
            <w:tcW w:w="2713" w:type="dxa"/>
            <w:vMerge/>
            <w:vAlign w:val="center"/>
          </w:tcPr>
          <w:p w14:paraId="47ABC9CF" w14:textId="77777777" w:rsidR="00C604A2" w:rsidRPr="00774D20" w:rsidRDefault="00C604A2" w:rsidP="00010591">
            <w:pPr>
              <w:autoSpaceDE w:val="0"/>
              <w:jc w:val="center"/>
              <w:rPr>
                <w:rFonts w:ascii="Arial" w:hAnsi="Arial" w:cs="Arial"/>
                <w:color w:val="000000"/>
                <w:sz w:val="16"/>
                <w:szCs w:val="16"/>
              </w:rPr>
            </w:pPr>
          </w:p>
        </w:tc>
        <w:tc>
          <w:tcPr>
            <w:tcW w:w="4658" w:type="dxa"/>
            <w:vAlign w:val="center"/>
          </w:tcPr>
          <w:p w14:paraId="2469F220" w14:textId="1A33A970" w:rsidR="00C604A2" w:rsidRPr="00774D20" w:rsidRDefault="00C604A2" w:rsidP="00010591">
            <w:pPr>
              <w:autoSpaceDE w:val="0"/>
              <w:rPr>
                <w:rFonts w:ascii="Arial" w:hAnsi="Arial" w:cs="Arial"/>
                <w:color w:val="000000"/>
                <w:sz w:val="16"/>
                <w:szCs w:val="16"/>
              </w:rPr>
            </w:pPr>
            <w:r w:rsidRPr="00774D20">
              <w:rPr>
                <w:rFonts w:ascii="Arial" w:hAnsi="Arial" w:cs="Arial"/>
                <w:color w:val="000000"/>
                <w:sz w:val="16"/>
                <w:szCs w:val="16"/>
              </w:rPr>
              <w:t xml:space="preserve">Demostración documentada de que </w:t>
            </w:r>
            <w:r>
              <w:rPr>
                <w:rFonts w:ascii="Arial" w:hAnsi="Arial" w:cs="Arial"/>
                <w:color w:val="000000"/>
                <w:sz w:val="16"/>
                <w:szCs w:val="16"/>
              </w:rPr>
              <w:t xml:space="preserve">en cualquier visita </w:t>
            </w:r>
            <w:r w:rsidRPr="00774D20">
              <w:rPr>
                <w:rFonts w:ascii="Arial" w:hAnsi="Arial" w:cs="Arial"/>
                <w:color w:val="000000"/>
                <w:sz w:val="16"/>
                <w:szCs w:val="16"/>
              </w:rPr>
              <w:t>el niño puede mantenerse sentado de manera independiente</w:t>
            </w:r>
            <w:r>
              <w:rPr>
                <w:rFonts w:ascii="Arial" w:hAnsi="Arial" w:cs="Arial"/>
                <w:color w:val="000000"/>
                <w:sz w:val="16"/>
                <w:szCs w:val="16"/>
              </w:rPr>
              <w:t xml:space="preserve"> </w:t>
            </w:r>
            <w:r w:rsidRPr="00774D20">
              <w:rPr>
                <w:rFonts w:ascii="Arial" w:hAnsi="Arial" w:cs="Arial"/>
                <w:color w:val="000000"/>
                <w:sz w:val="16"/>
                <w:szCs w:val="16"/>
              </w:rPr>
              <w:t>durante un mínimo de 30 segundos</w:t>
            </w:r>
            <w:r>
              <w:rPr>
                <w:rFonts w:ascii="Arial" w:hAnsi="Arial" w:cs="Arial"/>
                <w:color w:val="000000"/>
                <w:sz w:val="16"/>
                <w:szCs w:val="16"/>
              </w:rPr>
              <w:t xml:space="preserve"> (SPR1NT en la cohorte de pacientes con 2 copias de SMN2)</w:t>
            </w:r>
          </w:p>
        </w:tc>
        <w:tc>
          <w:tcPr>
            <w:tcW w:w="1062" w:type="dxa"/>
            <w:shd w:val="clear" w:color="auto" w:fill="CCFFCC"/>
            <w:vAlign w:val="center"/>
          </w:tcPr>
          <w:p w14:paraId="0F7A8CFF" w14:textId="57B20150" w:rsidR="00C604A2" w:rsidRDefault="00C604A2" w:rsidP="00010591">
            <w:pPr>
              <w:tabs>
                <w:tab w:val="left" w:pos="2924"/>
              </w:tabs>
              <w:autoSpaceDE w:val="0"/>
              <w:snapToGrid w:val="0"/>
              <w:ind w:left="34"/>
              <w:jc w:val="center"/>
              <w:rPr>
                <w:rFonts w:ascii="Arial" w:hAnsi="Arial" w:cs="Arial"/>
                <w:color w:val="000000"/>
                <w:sz w:val="16"/>
                <w:szCs w:val="16"/>
              </w:rPr>
            </w:pPr>
            <w:r w:rsidRPr="005A5B5E">
              <w:rPr>
                <w:rFonts w:ascii="Arial" w:hAnsi="Arial" w:cs="Arial"/>
                <w:color w:val="000000"/>
                <w:sz w:val="16"/>
                <w:szCs w:val="16"/>
              </w:rPr>
              <w:t>Variable intermedia</w:t>
            </w:r>
          </w:p>
        </w:tc>
      </w:tr>
      <w:tr w:rsidR="00C604A2" w:rsidRPr="00E235DB" w14:paraId="23C52707" w14:textId="77777777" w:rsidTr="00C019BD">
        <w:trPr>
          <w:cantSplit/>
          <w:trHeight w:val="523"/>
        </w:trPr>
        <w:tc>
          <w:tcPr>
            <w:tcW w:w="1301" w:type="dxa"/>
            <w:vMerge/>
            <w:vAlign w:val="center"/>
          </w:tcPr>
          <w:p w14:paraId="7B582E1B" w14:textId="77777777" w:rsidR="00C604A2" w:rsidRDefault="00C604A2" w:rsidP="00010591">
            <w:pPr>
              <w:autoSpaceDE w:val="0"/>
              <w:snapToGrid w:val="0"/>
              <w:jc w:val="center"/>
              <w:rPr>
                <w:rFonts w:ascii="Arial" w:hAnsi="Arial" w:cs="Arial"/>
                <w:color w:val="000000"/>
                <w:sz w:val="16"/>
                <w:szCs w:val="16"/>
              </w:rPr>
            </w:pPr>
          </w:p>
        </w:tc>
        <w:tc>
          <w:tcPr>
            <w:tcW w:w="2713" w:type="dxa"/>
            <w:vAlign w:val="center"/>
          </w:tcPr>
          <w:p w14:paraId="00EDBFD8" w14:textId="4E4A8CD3" w:rsidR="00C604A2" w:rsidRPr="00774D20" w:rsidRDefault="00C604A2" w:rsidP="00010591">
            <w:pPr>
              <w:autoSpaceDE w:val="0"/>
              <w:jc w:val="center"/>
              <w:rPr>
                <w:rFonts w:ascii="Arial" w:hAnsi="Arial" w:cs="Arial"/>
                <w:color w:val="000000"/>
                <w:sz w:val="16"/>
                <w:szCs w:val="16"/>
              </w:rPr>
            </w:pPr>
            <w:r>
              <w:rPr>
                <w:rFonts w:ascii="Arial" w:hAnsi="Arial" w:cs="Arial"/>
                <w:color w:val="000000"/>
                <w:sz w:val="16"/>
                <w:szCs w:val="16"/>
              </w:rPr>
              <w:t>Bipedestación independiente</w:t>
            </w:r>
          </w:p>
        </w:tc>
        <w:tc>
          <w:tcPr>
            <w:tcW w:w="4658" w:type="dxa"/>
            <w:vAlign w:val="center"/>
          </w:tcPr>
          <w:p w14:paraId="3BE562AA" w14:textId="7BAEDC8B" w:rsidR="00C604A2" w:rsidRPr="00774D20" w:rsidRDefault="00C604A2" w:rsidP="00010591">
            <w:pPr>
              <w:autoSpaceDE w:val="0"/>
              <w:rPr>
                <w:rFonts w:ascii="Arial" w:hAnsi="Arial" w:cs="Arial"/>
                <w:color w:val="000000"/>
                <w:sz w:val="16"/>
                <w:szCs w:val="16"/>
              </w:rPr>
            </w:pPr>
            <w:r w:rsidRPr="00774D20">
              <w:rPr>
                <w:rFonts w:ascii="Arial" w:hAnsi="Arial" w:cs="Arial"/>
                <w:color w:val="000000"/>
                <w:sz w:val="16"/>
                <w:szCs w:val="16"/>
              </w:rPr>
              <w:t xml:space="preserve">Demostración documentada de que </w:t>
            </w:r>
            <w:r>
              <w:rPr>
                <w:rFonts w:ascii="Arial" w:hAnsi="Arial" w:cs="Arial"/>
                <w:color w:val="000000"/>
                <w:sz w:val="16"/>
                <w:szCs w:val="16"/>
              </w:rPr>
              <w:t xml:space="preserve">en cualquier visita el niño puede mantenerse de pies </w:t>
            </w:r>
            <w:r w:rsidRPr="00774D20">
              <w:rPr>
                <w:rFonts w:ascii="Arial" w:hAnsi="Arial" w:cs="Arial"/>
                <w:color w:val="000000"/>
                <w:sz w:val="16"/>
                <w:szCs w:val="16"/>
              </w:rPr>
              <w:t>de manera independiente</w:t>
            </w:r>
            <w:r>
              <w:rPr>
                <w:rFonts w:ascii="Arial" w:hAnsi="Arial" w:cs="Arial"/>
                <w:color w:val="000000"/>
                <w:sz w:val="16"/>
                <w:szCs w:val="16"/>
              </w:rPr>
              <w:t xml:space="preserve"> </w:t>
            </w:r>
            <w:r w:rsidRPr="00774D20">
              <w:rPr>
                <w:rFonts w:ascii="Arial" w:hAnsi="Arial" w:cs="Arial"/>
                <w:color w:val="000000"/>
                <w:sz w:val="16"/>
                <w:szCs w:val="16"/>
              </w:rPr>
              <w:t>duran</w:t>
            </w:r>
            <w:r>
              <w:rPr>
                <w:rFonts w:ascii="Arial" w:hAnsi="Arial" w:cs="Arial"/>
                <w:color w:val="000000"/>
                <w:sz w:val="16"/>
                <w:szCs w:val="16"/>
              </w:rPr>
              <w:t>te un mínimo de 3</w:t>
            </w:r>
            <w:r w:rsidRPr="00774D20">
              <w:rPr>
                <w:rFonts w:ascii="Arial" w:hAnsi="Arial" w:cs="Arial"/>
                <w:color w:val="000000"/>
                <w:sz w:val="16"/>
                <w:szCs w:val="16"/>
              </w:rPr>
              <w:t xml:space="preserve"> segundos</w:t>
            </w:r>
            <w:r>
              <w:rPr>
                <w:rFonts w:ascii="Arial" w:hAnsi="Arial" w:cs="Arial"/>
                <w:color w:val="000000"/>
                <w:sz w:val="16"/>
                <w:szCs w:val="16"/>
              </w:rPr>
              <w:t xml:space="preserve"> (SPR1NT en la cohorte de pacientes con 3 copias de SMN2)</w:t>
            </w:r>
          </w:p>
        </w:tc>
        <w:tc>
          <w:tcPr>
            <w:tcW w:w="1062" w:type="dxa"/>
            <w:shd w:val="clear" w:color="auto" w:fill="CCFFCC"/>
            <w:vAlign w:val="center"/>
          </w:tcPr>
          <w:p w14:paraId="6A06D924" w14:textId="62E93C24" w:rsidR="00C604A2" w:rsidRDefault="00C604A2" w:rsidP="00010591">
            <w:pPr>
              <w:tabs>
                <w:tab w:val="left" w:pos="2924"/>
              </w:tabs>
              <w:autoSpaceDE w:val="0"/>
              <w:snapToGrid w:val="0"/>
              <w:ind w:left="34"/>
              <w:jc w:val="center"/>
              <w:rPr>
                <w:rFonts w:ascii="Arial" w:hAnsi="Arial" w:cs="Arial"/>
                <w:color w:val="000000"/>
                <w:sz w:val="16"/>
                <w:szCs w:val="16"/>
              </w:rPr>
            </w:pPr>
            <w:r w:rsidRPr="005A5B5E">
              <w:rPr>
                <w:rFonts w:ascii="Arial" w:hAnsi="Arial" w:cs="Arial"/>
                <w:color w:val="000000"/>
                <w:sz w:val="16"/>
                <w:szCs w:val="16"/>
              </w:rPr>
              <w:t>Variable intermedia</w:t>
            </w:r>
          </w:p>
        </w:tc>
      </w:tr>
      <w:tr w:rsidR="00C604A2" w:rsidRPr="00E235DB" w14:paraId="1BC45932" w14:textId="77777777" w:rsidTr="00C019BD">
        <w:trPr>
          <w:cantSplit/>
        </w:trPr>
        <w:tc>
          <w:tcPr>
            <w:tcW w:w="1301" w:type="dxa"/>
            <w:vMerge w:val="restart"/>
            <w:vAlign w:val="center"/>
          </w:tcPr>
          <w:p w14:paraId="770D8821" w14:textId="2D6D9ADA" w:rsidR="00C604A2" w:rsidRPr="00132017" w:rsidRDefault="00C604A2" w:rsidP="00010591">
            <w:pPr>
              <w:autoSpaceDE w:val="0"/>
              <w:snapToGrid w:val="0"/>
              <w:jc w:val="center"/>
              <w:rPr>
                <w:rFonts w:ascii="Arial" w:hAnsi="Arial" w:cs="Arial"/>
                <w:color w:val="000000"/>
                <w:sz w:val="16"/>
                <w:szCs w:val="16"/>
              </w:rPr>
            </w:pPr>
            <w:r w:rsidRPr="00132017">
              <w:rPr>
                <w:rFonts w:ascii="Arial" w:hAnsi="Arial" w:cs="Arial"/>
                <w:color w:val="000000"/>
                <w:sz w:val="16"/>
                <w:szCs w:val="16"/>
              </w:rPr>
              <w:t>Variables secundarias</w:t>
            </w:r>
          </w:p>
        </w:tc>
        <w:tc>
          <w:tcPr>
            <w:tcW w:w="2713" w:type="dxa"/>
            <w:vAlign w:val="center"/>
          </w:tcPr>
          <w:p w14:paraId="5D2C5B2A" w14:textId="76E516F4" w:rsidR="00C604A2" w:rsidRPr="00774D20" w:rsidRDefault="00C604A2" w:rsidP="00010591">
            <w:pPr>
              <w:autoSpaceDE w:val="0"/>
              <w:jc w:val="center"/>
              <w:rPr>
                <w:rFonts w:ascii="Arial" w:hAnsi="Arial" w:cs="Arial"/>
                <w:color w:val="000000"/>
                <w:sz w:val="16"/>
                <w:szCs w:val="16"/>
              </w:rPr>
            </w:pPr>
            <w:r w:rsidRPr="00774D20">
              <w:rPr>
                <w:rFonts w:ascii="Arial" w:hAnsi="Arial" w:cs="Arial"/>
                <w:color w:val="000000"/>
                <w:sz w:val="16"/>
                <w:szCs w:val="16"/>
              </w:rPr>
              <w:t>Supervivencia libre de acontecimientos</w:t>
            </w:r>
          </w:p>
        </w:tc>
        <w:tc>
          <w:tcPr>
            <w:tcW w:w="4658" w:type="dxa"/>
            <w:vAlign w:val="center"/>
          </w:tcPr>
          <w:p w14:paraId="09B239CC" w14:textId="4771B07B" w:rsidR="00C604A2" w:rsidRPr="00774D20" w:rsidRDefault="00C604A2" w:rsidP="00C019BD">
            <w:pPr>
              <w:autoSpaceDE w:val="0"/>
              <w:rPr>
                <w:rFonts w:ascii="Arial" w:hAnsi="Arial" w:cs="Arial"/>
                <w:color w:val="000000"/>
                <w:sz w:val="16"/>
                <w:szCs w:val="16"/>
              </w:rPr>
            </w:pPr>
            <w:r w:rsidRPr="00C604A2">
              <w:rPr>
                <w:rFonts w:ascii="Arial" w:hAnsi="Arial" w:cs="Arial"/>
                <w:color w:val="000000"/>
                <w:sz w:val="16"/>
                <w:szCs w:val="16"/>
              </w:rPr>
              <w:t>Supervivencia sin ventilación permanente a los 14 meses de edad</w:t>
            </w:r>
            <w:r w:rsidR="00C019BD">
              <w:rPr>
                <w:rFonts w:ascii="Arial" w:hAnsi="Arial" w:cs="Arial"/>
                <w:color w:val="000000"/>
                <w:sz w:val="16"/>
                <w:szCs w:val="16"/>
                <w:vertAlign w:val="superscript"/>
              </w:rPr>
              <w:t>i</w:t>
            </w:r>
            <w:r w:rsidRPr="00C604A2">
              <w:rPr>
                <w:rFonts w:ascii="Arial" w:hAnsi="Arial" w:cs="Arial"/>
                <w:color w:val="000000"/>
                <w:sz w:val="16"/>
                <w:szCs w:val="16"/>
              </w:rPr>
              <w:t>.</w:t>
            </w:r>
            <w:r w:rsidRPr="00774D20">
              <w:rPr>
                <w:rFonts w:ascii="Arial" w:hAnsi="Arial" w:cs="Arial"/>
                <w:color w:val="000000"/>
                <w:sz w:val="16"/>
                <w:szCs w:val="16"/>
              </w:rPr>
              <w:t xml:space="preserve"> </w:t>
            </w:r>
            <w:r>
              <w:rPr>
                <w:rFonts w:ascii="Arial" w:hAnsi="Arial" w:cs="Arial"/>
                <w:color w:val="000000"/>
                <w:sz w:val="16"/>
                <w:szCs w:val="16"/>
              </w:rPr>
              <w:t>(SPR1NT en la cohorte de pacientes con 2 copias de SMN2)</w:t>
            </w:r>
          </w:p>
        </w:tc>
        <w:tc>
          <w:tcPr>
            <w:tcW w:w="1062" w:type="dxa"/>
            <w:shd w:val="clear" w:color="auto" w:fill="CCFFCC"/>
            <w:vAlign w:val="center"/>
          </w:tcPr>
          <w:p w14:paraId="155FEAEE" w14:textId="70A386E2" w:rsidR="00C604A2" w:rsidRDefault="00C604A2" w:rsidP="00C019BD">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 xml:space="preserve">Variable intermedia </w:t>
            </w:r>
          </w:p>
        </w:tc>
      </w:tr>
      <w:tr w:rsidR="00010591" w:rsidRPr="00E235DB" w14:paraId="353F24C6" w14:textId="77777777" w:rsidTr="00C019BD">
        <w:trPr>
          <w:cantSplit/>
        </w:trPr>
        <w:tc>
          <w:tcPr>
            <w:tcW w:w="1301" w:type="dxa"/>
            <w:vMerge/>
            <w:vAlign w:val="center"/>
          </w:tcPr>
          <w:p w14:paraId="082CDE35" w14:textId="77777777" w:rsidR="00010591" w:rsidRPr="00132017" w:rsidRDefault="00010591" w:rsidP="00010591">
            <w:pPr>
              <w:autoSpaceDE w:val="0"/>
              <w:snapToGrid w:val="0"/>
              <w:jc w:val="center"/>
              <w:rPr>
                <w:rFonts w:ascii="Arial" w:hAnsi="Arial" w:cs="Arial"/>
                <w:color w:val="000000"/>
                <w:sz w:val="16"/>
                <w:szCs w:val="16"/>
              </w:rPr>
            </w:pPr>
          </w:p>
        </w:tc>
        <w:tc>
          <w:tcPr>
            <w:tcW w:w="2713" w:type="dxa"/>
            <w:vAlign w:val="center"/>
          </w:tcPr>
          <w:p w14:paraId="3C55432A" w14:textId="24D674E9" w:rsidR="00010591" w:rsidRPr="00774D20" w:rsidRDefault="00010591" w:rsidP="00010591">
            <w:pPr>
              <w:autoSpaceDE w:val="0"/>
              <w:jc w:val="center"/>
              <w:rPr>
                <w:rFonts w:ascii="Arial" w:hAnsi="Arial" w:cs="Arial"/>
                <w:color w:val="000000"/>
                <w:sz w:val="16"/>
                <w:szCs w:val="16"/>
              </w:rPr>
            </w:pPr>
            <w:r>
              <w:rPr>
                <w:rFonts w:ascii="Arial" w:hAnsi="Arial" w:cs="Arial"/>
                <w:color w:val="000000"/>
                <w:sz w:val="16"/>
                <w:szCs w:val="16"/>
              </w:rPr>
              <w:t>Caminar independientemente</w:t>
            </w:r>
          </w:p>
        </w:tc>
        <w:tc>
          <w:tcPr>
            <w:tcW w:w="4658" w:type="dxa"/>
            <w:vAlign w:val="center"/>
          </w:tcPr>
          <w:p w14:paraId="2DFE66AB" w14:textId="2090B53A" w:rsidR="00010591" w:rsidRPr="00C604A2" w:rsidRDefault="00010591" w:rsidP="00010591">
            <w:pPr>
              <w:autoSpaceDE w:val="0"/>
              <w:rPr>
                <w:rFonts w:ascii="Arial" w:hAnsi="Arial" w:cs="Arial"/>
                <w:color w:val="000000"/>
                <w:sz w:val="16"/>
                <w:szCs w:val="16"/>
              </w:rPr>
            </w:pPr>
            <w:r w:rsidRPr="00774D20">
              <w:rPr>
                <w:rFonts w:ascii="Arial" w:hAnsi="Arial" w:cs="Arial"/>
                <w:color w:val="000000"/>
                <w:sz w:val="16"/>
                <w:szCs w:val="16"/>
              </w:rPr>
              <w:t xml:space="preserve">Demostración documentada de que </w:t>
            </w:r>
            <w:r>
              <w:rPr>
                <w:rFonts w:ascii="Arial" w:hAnsi="Arial" w:cs="Arial"/>
                <w:color w:val="000000"/>
                <w:sz w:val="16"/>
                <w:szCs w:val="16"/>
              </w:rPr>
              <w:t>en cualquier visita el niño puede caminar de manera independiente durante al menos 5 pasos (SPR1NT en la cohorte de pacientes con 3 copias de SMN2)</w:t>
            </w:r>
          </w:p>
        </w:tc>
        <w:tc>
          <w:tcPr>
            <w:tcW w:w="1062" w:type="dxa"/>
            <w:shd w:val="clear" w:color="auto" w:fill="CCFFCC"/>
            <w:vAlign w:val="center"/>
          </w:tcPr>
          <w:p w14:paraId="13B581BE" w14:textId="783D3340" w:rsidR="00010591" w:rsidRDefault="00010591" w:rsidP="00010591">
            <w:pPr>
              <w:tabs>
                <w:tab w:val="left" w:pos="2924"/>
              </w:tabs>
              <w:autoSpaceDE w:val="0"/>
              <w:snapToGrid w:val="0"/>
              <w:ind w:left="34"/>
              <w:jc w:val="center"/>
              <w:rPr>
                <w:rFonts w:ascii="Arial" w:hAnsi="Arial" w:cs="Arial"/>
                <w:color w:val="000000"/>
                <w:sz w:val="16"/>
                <w:szCs w:val="16"/>
              </w:rPr>
            </w:pPr>
            <w:r w:rsidRPr="00010591">
              <w:rPr>
                <w:rFonts w:ascii="Arial" w:hAnsi="Arial" w:cs="Arial"/>
                <w:color w:val="000000"/>
                <w:sz w:val="16"/>
                <w:szCs w:val="16"/>
              </w:rPr>
              <w:t>Variable intermedia</w:t>
            </w:r>
          </w:p>
        </w:tc>
      </w:tr>
      <w:tr w:rsidR="00C019BD" w:rsidRPr="00E235DB" w14:paraId="1526EA7A" w14:textId="77777777" w:rsidTr="00C019BD">
        <w:trPr>
          <w:cantSplit/>
        </w:trPr>
        <w:tc>
          <w:tcPr>
            <w:tcW w:w="1301" w:type="dxa"/>
            <w:vMerge/>
            <w:vAlign w:val="center"/>
          </w:tcPr>
          <w:p w14:paraId="32E27CAA" w14:textId="425AB8BA" w:rsidR="00C019BD" w:rsidRDefault="00C019BD" w:rsidP="00010591">
            <w:pPr>
              <w:autoSpaceDE w:val="0"/>
              <w:snapToGrid w:val="0"/>
              <w:jc w:val="center"/>
              <w:rPr>
                <w:rFonts w:ascii="Arial" w:hAnsi="Arial" w:cs="Arial"/>
                <w:color w:val="000000"/>
                <w:sz w:val="16"/>
                <w:szCs w:val="16"/>
              </w:rPr>
            </w:pPr>
          </w:p>
        </w:tc>
        <w:tc>
          <w:tcPr>
            <w:tcW w:w="2713" w:type="dxa"/>
            <w:vMerge w:val="restart"/>
            <w:vAlign w:val="center"/>
          </w:tcPr>
          <w:p w14:paraId="35D5570E" w14:textId="7BE3B96E" w:rsidR="00C019BD" w:rsidRPr="00774D20" w:rsidRDefault="00C019BD" w:rsidP="00010591">
            <w:pPr>
              <w:autoSpaceDE w:val="0"/>
              <w:snapToGrid w:val="0"/>
              <w:jc w:val="center"/>
              <w:rPr>
                <w:rFonts w:ascii="Arial" w:hAnsi="Arial" w:cs="Arial"/>
                <w:color w:val="000000"/>
                <w:sz w:val="16"/>
                <w:szCs w:val="16"/>
              </w:rPr>
            </w:pPr>
            <w:r>
              <w:rPr>
                <w:rFonts w:ascii="Arial" w:hAnsi="Arial" w:cs="Arial"/>
                <w:color w:val="000000"/>
                <w:sz w:val="16"/>
                <w:szCs w:val="16"/>
              </w:rPr>
              <w:t>Consecución de ciertas metas</w:t>
            </w:r>
          </w:p>
        </w:tc>
        <w:tc>
          <w:tcPr>
            <w:tcW w:w="4658" w:type="dxa"/>
            <w:vAlign w:val="center"/>
          </w:tcPr>
          <w:p w14:paraId="547990FF" w14:textId="518AC30C" w:rsidR="00C019BD" w:rsidRPr="00774D20" w:rsidRDefault="00C019BD" w:rsidP="00010591">
            <w:pPr>
              <w:autoSpaceDE w:val="0"/>
              <w:rPr>
                <w:rFonts w:ascii="Arial" w:hAnsi="Arial" w:cs="Arial"/>
                <w:color w:val="000000"/>
                <w:sz w:val="16"/>
                <w:szCs w:val="16"/>
              </w:rPr>
            </w:pPr>
            <w:r w:rsidRPr="00774D20">
              <w:rPr>
                <w:rFonts w:ascii="Arial" w:hAnsi="Arial" w:cs="Arial"/>
                <w:color w:val="000000"/>
                <w:sz w:val="16"/>
                <w:szCs w:val="16"/>
              </w:rPr>
              <w:t>No necesitar nutrición artificial, tolerancia de líquidos y mantenimiento de peso</w:t>
            </w:r>
            <w:r>
              <w:rPr>
                <w:rFonts w:ascii="Arial" w:hAnsi="Arial" w:cs="Arial"/>
                <w:color w:val="000000"/>
                <w:sz w:val="16"/>
                <w:szCs w:val="16"/>
              </w:rPr>
              <w:t xml:space="preserve"> a los 18 meses de edad (STRIVE).</w:t>
            </w:r>
          </w:p>
        </w:tc>
        <w:tc>
          <w:tcPr>
            <w:tcW w:w="1062" w:type="dxa"/>
            <w:shd w:val="clear" w:color="auto" w:fill="CCFFCC"/>
            <w:vAlign w:val="center"/>
          </w:tcPr>
          <w:p w14:paraId="56BC6977" w14:textId="77777777" w:rsidR="00C019BD" w:rsidRDefault="00C019BD" w:rsidP="00010591">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C019BD" w:rsidRPr="00E235DB" w14:paraId="3BBA8691" w14:textId="77777777" w:rsidTr="00C019BD">
        <w:tc>
          <w:tcPr>
            <w:tcW w:w="1301" w:type="dxa"/>
            <w:vMerge/>
            <w:vAlign w:val="center"/>
          </w:tcPr>
          <w:p w14:paraId="10FE018C" w14:textId="77777777" w:rsidR="00C019BD" w:rsidRPr="00132017" w:rsidRDefault="00C019BD" w:rsidP="00010591">
            <w:pPr>
              <w:autoSpaceDE w:val="0"/>
              <w:snapToGrid w:val="0"/>
              <w:jc w:val="center"/>
              <w:rPr>
                <w:rFonts w:ascii="Arial" w:hAnsi="Arial" w:cs="Arial"/>
                <w:color w:val="000000"/>
                <w:sz w:val="16"/>
                <w:szCs w:val="16"/>
              </w:rPr>
            </w:pPr>
          </w:p>
        </w:tc>
        <w:tc>
          <w:tcPr>
            <w:tcW w:w="2713" w:type="dxa"/>
            <w:vMerge/>
            <w:vAlign w:val="center"/>
          </w:tcPr>
          <w:p w14:paraId="7B8E0650" w14:textId="2BF89E75" w:rsidR="00C019BD" w:rsidRPr="00132017" w:rsidRDefault="00C019BD" w:rsidP="00010591">
            <w:pPr>
              <w:autoSpaceDE w:val="0"/>
              <w:snapToGrid w:val="0"/>
              <w:jc w:val="center"/>
              <w:rPr>
                <w:rFonts w:ascii="Arial" w:hAnsi="Arial" w:cs="Arial"/>
                <w:color w:val="000000"/>
                <w:sz w:val="16"/>
                <w:szCs w:val="16"/>
              </w:rPr>
            </w:pPr>
          </w:p>
        </w:tc>
        <w:tc>
          <w:tcPr>
            <w:tcW w:w="4658" w:type="dxa"/>
            <w:vAlign w:val="center"/>
          </w:tcPr>
          <w:p w14:paraId="12951C95" w14:textId="0B19EE53" w:rsidR="00C019BD" w:rsidRPr="00F0616F" w:rsidRDefault="00C019BD" w:rsidP="00010591">
            <w:pPr>
              <w:autoSpaceDE w:val="0"/>
              <w:snapToGrid w:val="0"/>
              <w:rPr>
                <w:rFonts w:ascii="Arial" w:hAnsi="Arial" w:cs="Arial"/>
                <w:color w:val="000000"/>
                <w:sz w:val="16"/>
                <w:szCs w:val="16"/>
              </w:rPr>
            </w:pPr>
            <w:r w:rsidRPr="00F3795A">
              <w:rPr>
                <w:rFonts w:ascii="Arial" w:hAnsi="Arial" w:cs="Arial"/>
                <w:color w:val="000000"/>
                <w:sz w:val="16"/>
                <w:szCs w:val="16"/>
              </w:rPr>
              <w:t>Control de la cabeza</w:t>
            </w:r>
            <w:r>
              <w:rPr>
                <w:rFonts w:ascii="Arial" w:hAnsi="Arial" w:cs="Arial"/>
                <w:color w:val="000000"/>
                <w:sz w:val="16"/>
                <w:szCs w:val="16"/>
              </w:rPr>
              <w:t>, g</w:t>
            </w:r>
            <w:r w:rsidRPr="00F3795A">
              <w:rPr>
                <w:rFonts w:ascii="Arial" w:hAnsi="Arial" w:cs="Arial"/>
                <w:color w:val="000000"/>
                <w:sz w:val="16"/>
                <w:szCs w:val="16"/>
              </w:rPr>
              <w:t>iro de decúbito dorsal a lateral</w:t>
            </w:r>
            <w:r>
              <w:rPr>
                <w:rFonts w:ascii="Arial" w:hAnsi="Arial" w:cs="Arial"/>
                <w:color w:val="000000"/>
                <w:sz w:val="16"/>
                <w:szCs w:val="16"/>
              </w:rPr>
              <w:t>, s</w:t>
            </w:r>
            <w:r w:rsidRPr="00F3795A">
              <w:rPr>
                <w:rFonts w:ascii="Arial" w:hAnsi="Arial" w:cs="Arial"/>
                <w:color w:val="000000"/>
                <w:sz w:val="16"/>
                <w:szCs w:val="16"/>
              </w:rPr>
              <w:t xml:space="preserve">entado sin apoyo </w:t>
            </w:r>
            <w:r>
              <w:rPr>
                <w:rFonts w:ascii="Arial" w:hAnsi="Arial" w:cs="Arial"/>
                <w:color w:val="000000"/>
                <w:sz w:val="16"/>
                <w:szCs w:val="16"/>
              </w:rPr>
              <w:t>durante</w:t>
            </w:r>
            <w:r w:rsidRPr="00F3795A">
              <w:rPr>
                <w:rFonts w:ascii="Arial" w:hAnsi="Arial" w:cs="Arial"/>
                <w:color w:val="000000"/>
                <w:sz w:val="16"/>
                <w:szCs w:val="16"/>
              </w:rPr>
              <w:t xml:space="preserve"> </w:t>
            </w:r>
            <w:r>
              <w:rPr>
                <w:rFonts w:ascii="Arial" w:hAnsi="Arial" w:cs="Arial"/>
                <w:color w:val="000000"/>
                <w:sz w:val="16"/>
                <w:szCs w:val="16"/>
              </w:rPr>
              <w:t>1</w:t>
            </w:r>
            <w:r w:rsidRPr="00F3795A">
              <w:rPr>
                <w:rFonts w:ascii="Arial" w:hAnsi="Arial" w:cs="Arial"/>
                <w:color w:val="000000"/>
                <w:sz w:val="16"/>
                <w:szCs w:val="16"/>
              </w:rPr>
              <w:t>0 segundos</w:t>
            </w:r>
            <w:r>
              <w:rPr>
                <w:rFonts w:ascii="Arial" w:hAnsi="Arial" w:cs="Arial"/>
                <w:color w:val="000000"/>
                <w:sz w:val="16"/>
                <w:szCs w:val="16"/>
              </w:rPr>
              <w:t xml:space="preserve">  (STRIVE).</w:t>
            </w:r>
          </w:p>
        </w:tc>
        <w:tc>
          <w:tcPr>
            <w:tcW w:w="1062" w:type="dxa"/>
            <w:shd w:val="clear" w:color="auto" w:fill="CCFFCC"/>
            <w:vAlign w:val="center"/>
          </w:tcPr>
          <w:p w14:paraId="7D763ACB" w14:textId="77777777" w:rsidR="00C019BD" w:rsidRPr="00132017" w:rsidRDefault="00C019BD" w:rsidP="00010591">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C604A2" w:rsidRPr="00E235DB" w14:paraId="7543FEC7" w14:textId="77777777" w:rsidTr="00C019BD">
        <w:tc>
          <w:tcPr>
            <w:tcW w:w="1301" w:type="dxa"/>
            <w:vMerge/>
            <w:tcBorders>
              <w:bottom w:val="single" w:sz="4" w:space="0" w:color="auto"/>
            </w:tcBorders>
            <w:vAlign w:val="center"/>
          </w:tcPr>
          <w:p w14:paraId="0C03A062" w14:textId="77777777" w:rsidR="00C604A2" w:rsidRPr="00132017" w:rsidRDefault="00C604A2" w:rsidP="00010591">
            <w:pPr>
              <w:autoSpaceDE w:val="0"/>
              <w:snapToGrid w:val="0"/>
              <w:jc w:val="center"/>
              <w:rPr>
                <w:rFonts w:ascii="Arial" w:hAnsi="Arial" w:cs="Arial"/>
                <w:color w:val="000000"/>
                <w:sz w:val="16"/>
                <w:szCs w:val="16"/>
              </w:rPr>
            </w:pPr>
          </w:p>
        </w:tc>
        <w:tc>
          <w:tcPr>
            <w:tcW w:w="2713" w:type="dxa"/>
            <w:tcBorders>
              <w:bottom w:val="single" w:sz="4" w:space="0" w:color="auto"/>
            </w:tcBorders>
            <w:vAlign w:val="center"/>
          </w:tcPr>
          <w:p w14:paraId="022C8DB9" w14:textId="1BE0388C" w:rsidR="00C604A2" w:rsidRDefault="00C604A2" w:rsidP="00010591">
            <w:pPr>
              <w:autoSpaceDE w:val="0"/>
              <w:snapToGrid w:val="0"/>
              <w:jc w:val="center"/>
              <w:rPr>
                <w:rFonts w:ascii="Arial" w:hAnsi="Arial" w:cs="Arial"/>
                <w:color w:val="000000"/>
                <w:sz w:val="16"/>
                <w:szCs w:val="16"/>
              </w:rPr>
            </w:pPr>
            <w:r w:rsidRPr="0015076B">
              <w:rPr>
                <w:rFonts w:ascii="Arial" w:hAnsi="Arial" w:cs="Arial"/>
                <w:color w:val="000000"/>
                <w:sz w:val="16"/>
                <w:szCs w:val="16"/>
              </w:rPr>
              <w:t>Mejoras en función motora</w:t>
            </w:r>
          </w:p>
        </w:tc>
        <w:tc>
          <w:tcPr>
            <w:tcW w:w="4658" w:type="dxa"/>
            <w:tcBorders>
              <w:bottom w:val="single" w:sz="4" w:space="0" w:color="auto"/>
            </w:tcBorders>
            <w:vAlign w:val="center"/>
          </w:tcPr>
          <w:p w14:paraId="02459594" w14:textId="63A3E467" w:rsidR="00C604A2" w:rsidRPr="00F3795A" w:rsidRDefault="00C604A2" w:rsidP="00C019BD">
            <w:pPr>
              <w:autoSpaceDE w:val="0"/>
              <w:snapToGrid w:val="0"/>
              <w:rPr>
                <w:rFonts w:ascii="Arial" w:hAnsi="Arial" w:cs="Arial"/>
                <w:color w:val="000000"/>
                <w:sz w:val="16"/>
                <w:szCs w:val="16"/>
              </w:rPr>
            </w:pPr>
            <w:r w:rsidRPr="0015076B">
              <w:rPr>
                <w:rFonts w:ascii="Arial" w:hAnsi="Arial" w:cs="Arial"/>
                <w:color w:val="000000"/>
                <w:sz w:val="16"/>
                <w:szCs w:val="16"/>
              </w:rPr>
              <w:t>Mejoras en función motora mediante escala del test de trastornos neuromusculares en niños del Hospital de Philadelp</w:t>
            </w:r>
            <w:r w:rsidR="00C019BD">
              <w:rPr>
                <w:rFonts w:ascii="Arial" w:hAnsi="Arial" w:cs="Arial"/>
                <w:color w:val="000000"/>
                <w:sz w:val="16"/>
                <w:szCs w:val="16"/>
              </w:rPr>
              <w:t xml:space="preserve">hia (CHOP-INTEND), que </w:t>
            </w:r>
            <w:r w:rsidRPr="0015076B">
              <w:rPr>
                <w:rFonts w:ascii="Arial" w:hAnsi="Arial" w:cs="Arial"/>
                <w:color w:val="000000"/>
                <w:sz w:val="16"/>
                <w:szCs w:val="16"/>
              </w:rPr>
              <w:t>evalúa 16 habilidades motoras y cada habilidad motora se puntúa de 0 (sin</w:t>
            </w:r>
            <w:r w:rsidR="00C019BD">
              <w:rPr>
                <w:rFonts w:ascii="Arial" w:hAnsi="Arial" w:cs="Arial"/>
                <w:color w:val="000000"/>
                <w:sz w:val="16"/>
                <w:szCs w:val="16"/>
              </w:rPr>
              <w:t xml:space="preserve"> </w:t>
            </w:r>
            <w:r w:rsidRPr="0015076B">
              <w:rPr>
                <w:rFonts w:ascii="Arial" w:hAnsi="Arial" w:cs="Arial"/>
                <w:color w:val="000000"/>
                <w:sz w:val="16"/>
                <w:szCs w:val="16"/>
              </w:rPr>
              <w:t>respuesta) a 4 (respuesta completa).</w:t>
            </w:r>
            <w:r>
              <w:rPr>
                <w:rFonts w:ascii="Arial" w:hAnsi="Arial" w:cs="Arial"/>
                <w:color w:val="000000"/>
                <w:sz w:val="16"/>
                <w:szCs w:val="16"/>
              </w:rPr>
              <w:t xml:space="preserve"> </w:t>
            </w:r>
            <w:r w:rsidR="00C019BD">
              <w:rPr>
                <w:rFonts w:ascii="Arial" w:hAnsi="Arial" w:cs="Arial"/>
                <w:color w:val="000000"/>
                <w:sz w:val="16"/>
                <w:szCs w:val="16"/>
              </w:rPr>
              <w:t xml:space="preserve">Puntuación máxima = 64 </w:t>
            </w:r>
            <w:r w:rsidR="00010591">
              <w:rPr>
                <w:rFonts w:ascii="Arial" w:hAnsi="Arial" w:cs="Arial"/>
                <w:color w:val="000000"/>
                <w:sz w:val="16"/>
                <w:szCs w:val="16"/>
              </w:rPr>
              <w:t>(STRIVE).</w:t>
            </w:r>
          </w:p>
        </w:tc>
        <w:tc>
          <w:tcPr>
            <w:tcW w:w="1062" w:type="dxa"/>
            <w:tcBorders>
              <w:bottom w:val="single" w:sz="4" w:space="0" w:color="auto"/>
            </w:tcBorders>
            <w:shd w:val="clear" w:color="auto" w:fill="CCFFCC"/>
            <w:vAlign w:val="center"/>
          </w:tcPr>
          <w:p w14:paraId="4287F80E" w14:textId="0E4CFAF3" w:rsidR="00C604A2" w:rsidRDefault="00C604A2" w:rsidP="00010591">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C604A2" w:rsidRPr="0015076B" w14:paraId="6895BA25" w14:textId="77777777" w:rsidTr="00C019BD">
        <w:trPr>
          <w:trHeight w:val="98"/>
        </w:trPr>
        <w:tc>
          <w:tcPr>
            <w:tcW w:w="1301" w:type="dxa"/>
            <w:shd w:val="clear" w:color="auto" w:fill="D9D9D9" w:themeFill="background1" w:themeFillShade="D9"/>
            <w:vAlign w:val="center"/>
          </w:tcPr>
          <w:p w14:paraId="573C04E3" w14:textId="1CA8E46C" w:rsidR="00C604A2" w:rsidRPr="0015076B" w:rsidRDefault="00C604A2" w:rsidP="00010591">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SEGURIDAD</w:t>
            </w:r>
          </w:p>
        </w:tc>
        <w:tc>
          <w:tcPr>
            <w:tcW w:w="2713" w:type="dxa"/>
            <w:shd w:val="clear" w:color="auto" w:fill="D9D9D9" w:themeFill="background1" w:themeFillShade="D9"/>
            <w:vAlign w:val="center"/>
          </w:tcPr>
          <w:p w14:paraId="34944D82" w14:textId="6BDE4687" w:rsidR="00C604A2" w:rsidRPr="0015076B" w:rsidRDefault="00C604A2" w:rsidP="00010591">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Enunciado</w:t>
            </w:r>
          </w:p>
        </w:tc>
        <w:tc>
          <w:tcPr>
            <w:tcW w:w="4658" w:type="dxa"/>
            <w:shd w:val="clear" w:color="auto" w:fill="D9D9D9" w:themeFill="background1" w:themeFillShade="D9"/>
            <w:vAlign w:val="center"/>
          </w:tcPr>
          <w:p w14:paraId="386E5449" w14:textId="4944AC64" w:rsidR="00C604A2" w:rsidRPr="0015076B" w:rsidRDefault="00C604A2" w:rsidP="00010591">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Descripción</w:t>
            </w:r>
          </w:p>
        </w:tc>
        <w:tc>
          <w:tcPr>
            <w:tcW w:w="1062" w:type="dxa"/>
            <w:shd w:val="clear" w:color="auto" w:fill="D9D9D9" w:themeFill="background1" w:themeFillShade="D9"/>
            <w:vAlign w:val="center"/>
          </w:tcPr>
          <w:p w14:paraId="7BA4491C" w14:textId="6A966233" w:rsidR="00C604A2" w:rsidRPr="0015076B" w:rsidRDefault="00C604A2" w:rsidP="00010591">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 xml:space="preserve">Variable </w:t>
            </w:r>
          </w:p>
        </w:tc>
      </w:tr>
      <w:tr w:rsidR="00C604A2" w:rsidRPr="00E235DB" w14:paraId="546C9744" w14:textId="77777777" w:rsidTr="00C019BD">
        <w:tc>
          <w:tcPr>
            <w:tcW w:w="1301" w:type="dxa"/>
            <w:vAlign w:val="center"/>
          </w:tcPr>
          <w:p w14:paraId="0A877E84" w14:textId="33160AA0" w:rsidR="00C604A2" w:rsidRPr="00132017" w:rsidRDefault="00C604A2" w:rsidP="00010591">
            <w:pPr>
              <w:autoSpaceDE w:val="0"/>
              <w:snapToGrid w:val="0"/>
              <w:jc w:val="center"/>
              <w:rPr>
                <w:rFonts w:ascii="Arial" w:hAnsi="Arial" w:cs="Arial"/>
                <w:b/>
                <w:bCs/>
                <w:color w:val="000000"/>
                <w:sz w:val="16"/>
                <w:szCs w:val="16"/>
              </w:rPr>
            </w:pPr>
            <w:r w:rsidRPr="00132017">
              <w:rPr>
                <w:rFonts w:ascii="Arial" w:hAnsi="Arial" w:cs="Arial"/>
                <w:color w:val="000000"/>
                <w:sz w:val="16"/>
                <w:szCs w:val="16"/>
              </w:rPr>
              <w:t>Variables secundarias</w:t>
            </w:r>
          </w:p>
        </w:tc>
        <w:tc>
          <w:tcPr>
            <w:tcW w:w="7371" w:type="dxa"/>
            <w:gridSpan w:val="2"/>
            <w:vAlign w:val="center"/>
          </w:tcPr>
          <w:p w14:paraId="197C6924" w14:textId="447E3829" w:rsidR="00C604A2" w:rsidRPr="0015076B" w:rsidRDefault="00C604A2" w:rsidP="00010591">
            <w:pPr>
              <w:autoSpaceDE w:val="0"/>
              <w:snapToGrid w:val="0"/>
              <w:rPr>
                <w:rFonts w:ascii="Arial" w:hAnsi="Arial" w:cs="Arial"/>
                <w:color w:val="000000"/>
                <w:sz w:val="16"/>
                <w:szCs w:val="16"/>
              </w:rPr>
            </w:pPr>
            <w:r>
              <w:rPr>
                <w:rFonts w:ascii="Arial" w:hAnsi="Arial" w:cs="Arial"/>
                <w:color w:val="000000"/>
                <w:sz w:val="16"/>
                <w:szCs w:val="16"/>
              </w:rPr>
              <w:t>Incidencia de efectos adversos</w:t>
            </w:r>
          </w:p>
        </w:tc>
        <w:tc>
          <w:tcPr>
            <w:tcW w:w="1062" w:type="dxa"/>
            <w:shd w:val="clear" w:color="auto" w:fill="CCFFCC"/>
            <w:vAlign w:val="center"/>
          </w:tcPr>
          <w:p w14:paraId="54DA43EC" w14:textId="7259BEDA" w:rsidR="00C604A2" w:rsidRDefault="00C604A2" w:rsidP="00010591">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Final</w:t>
            </w:r>
          </w:p>
        </w:tc>
      </w:tr>
      <w:tr w:rsidR="00C019BD" w:rsidRPr="00E235DB" w14:paraId="234513DC" w14:textId="77777777" w:rsidTr="00C019BD">
        <w:tc>
          <w:tcPr>
            <w:tcW w:w="9734" w:type="dxa"/>
            <w:gridSpan w:val="4"/>
            <w:vAlign w:val="center"/>
          </w:tcPr>
          <w:p w14:paraId="571A33E1" w14:textId="569823DA" w:rsidR="00C019BD" w:rsidRDefault="00C019BD" w:rsidP="00C019BD">
            <w:pPr>
              <w:tabs>
                <w:tab w:val="left" w:pos="2924"/>
              </w:tabs>
              <w:autoSpaceDE w:val="0"/>
              <w:snapToGrid w:val="0"/>
              <w:ind w:left="34"/>
              <w:rPr>
                <w:rFonts w:ascii="Arial" w:hAnsi="Arial" w:cs="Arial"/>
                <w:color w:val="000000"/>
                <w:sz w:val="16"/>
                <w:szCs w:val="16"/>
              </w:rPr>
            </w:pPr>
            <w:r>
              <w:rPr>
                <w:rFonts w:ascii="Arial" w:hAnsi="Arial" w:cs="Arial"/>
                <w:color w:val="000000"/>
                <w:sz w:val="16"/>
                <w:szCs w:val="16"/>
              </w:rPr>
              <w:t xml:space="preserve"> (i) </w:t>
            </w:r>
            <w:r w:rsidRPr="00C019BD">
              <w:rPr>
                <w:rFonts w:ascii="Arial" w:hAnsi="Arial" w:cs="Arial"/>
                <w:color w:val="000000"/>
                <w:sz w:val="16"/>
                <w:szCs w:val="16"/>
              </w:rPr>
              <w:t>Ventilación permanente se define por traqueotomía o por el requisito de ≥ 16 horas de asistencia respiratoria por día durante ≥ 14 días consecutivos en ausencia de una enfermedad aguda reversible, excluyendo ventilación perioperatoria</w:t>
            </w:r>
          </w:p>
        </w:tc>
      </w:tr>
    </w:tbl>
    <w:p w14:paraId="6EEC3992" w14:textId="77777777" w:rsidR="00B0483A" w:rsidRDefault="00B0483A" w:rsidP="00C85D18">
      <w:pPr>
        <w:jc w:val="both"/>
        <w:rPr>
          <w:rFonts w:ascii="Arial" w:hAnsi="Arial" w:cs="Arial"/>
          <w:sz w:val="20"/>
          <w:szCs w:val="20"/>
        </w:rPr>
      </w:pPr>
    </w:p>
    <w:p w14:paraId="02168B5E" w14:textId="5D40798B" w:rsidR="00FA0C0C" w:rsidRPr="0015076B"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46" w:name="_Toc348931362"/>
      <w:bookmarkStart w:id="47" w:name="_Toc344399635"/>
      <w:r w:rsidRPr="0015076B">
        <w:rPr>
          <w:rFonts w:ascii="Arial" w:hAnsi="Arial" w:cs="Arial"/>
          <w:sz w:val="20"/>
          <w:szCs w:val="20"/>
        </w:rPr>
        <w:t>5.2.a Resultados de los ensayos clínicos</w:t>
      </w:r>
      <w:bookmarkEnd w:id="46"/>
      <w:bookmarkEnd w:id="47"/>
      <w:r w:rsidRPr="0015076B">
        <w:rPr>
          <w:rFonts w:ascii="Arial" w:hAnsi="Arial" w:cs="Arial"/>
          <w:sz w:val="20"/>
          <w:szCs w:val="20"/>
        </w:rPr>
        <w:t xml:space="preserve"> </w:t>
      </w:r>
    </w:p>
    <w:p w14:paraId="64D0E78C" w14:textId="77777777" w:rsidR="00FA0C0C" w:rsidRDefault="00FA0C0C" w:rsidP="001F6887">
      <w:pPr>
        <w:jc w:val="both"/>
        <w:rPr>
          <w:rFonts w:ascii="Arial" w:hAnsi="Arial" w:cs="Arial"/>
          <w:sz w:val="20"/>
          <w:szCs w:val="20"/>
        </w:rPr>
      </w:pPr>
    </w:p>
    <w:p w14:paraId="32187B03" w14:textId="386867AD" w:rsidR="00D07158" w:rsidRDefault="00D07158" w:rsidP="001F6887">
      <w:pPr>
        <w:pBdr>
          <w:top w:val="single" w:sz="4" w:space="1" w:color="auto"/>
          <w:left w:val="single" w:sz="4" w:space="4" w:color="auto"/>
          <w:bottom w:val="single" w:sz="4" w:space="1" w:color="auto"/>
          <w:right w:val="single" w:sz="4" w:space="4" w:color="auto"/>
        </w:pBdr>
        <w:jc w:val="both"/>
        <w:rPr>
          <w:rFonts w:ascii="Arial" w:hAnsi="Arial" w:cs="Arial"/>
          <w:b/>
          <w:sz w:val="20"/>
          <w:szCs w:val="20"/>
        </w:rPr>
      </w:pPr>
      <w:r w:rsidRPr="00D07158">
        <w:rPr>
          <w:rFonts w:ascii="Arial" w:hAnsi="Arial" w:cs="Arial"/>
          <w:b/>
          <w:sz w:val="20"/>
          <w:szCs w:val="20"/>
        </w:rPr>
        <w:lastRenderedPageBreak/>
        <w:t xml:space="preserve">AME </w:t>
      </w:r>
      <w:r>
        <w:rPr>
          <w:rFonts w:ascii="Arial" w:hAnsi="Arial" w:cs="Arial"/>
          <w:b/>
          <w:sz w:val="20"/>
          <w:szCs w:val="20"/>
        </w:rPr>
        <w:t>tipo 1</w:t>
      </w:r>
    </w:p>
    <w:p w14:paraId="185E38BC" w14:textId="77777777" w:rsidR="00D07158" w:rsidRPr="00D07158" w:rsidRDefault="00D07158" w:rsidP="001F6887">
      <w:pPr>
        <w:jc w:val="both"/>
        <w:rPr>
          <w:rFonts w:ascii="Arial" w:hAnsi="Arial" w:cs="Arial"/>
          <w:b/>
          <w:sz w:val="20"/>
          <w:szCs w:val="20"/>
        </w:rPr>
      </w:pPr>
    </w:p>
    <w:tbl>
      <w:tblPr>
        <w:tblW w:w="949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606"/>
        <w:gridCol w:w="4887"/>
      </w:tblGrid>
      <w:tr w:rsidR="0015076B" w:rsidRPr="00703A3E" w14:paraId="27B7D9BD" w14:textId="77777777" w:rsidTr="00703A3E">
        <w:trPr>
          <w:trHeight w:val="631"/>
        </w:trPr>
        <w:tc>
          <w:tcPr>
            <w:tcW w:w="9493" w:type="dxa"/>
            <w:gridSpan w:val="2"/>
            <w:shd w:val="clear" w:color="auto" w:fill="CCFFCC"/>
          </w:tcPr>
          <w:p w14:paraId="1FBDDDC2" w14:textId="0ED97128" w:rsidR="0015076B" w:rsidRPr="00774D20" w:rsidRDefault="0015076B" w:rsidP="001F6887">
            <w:pPr>
              <w:rPr>
                <w:rFonts w:ascii="Arial" w:hAnsi="Arial" w:cs="Arial"/>
                <w:i/>
                <w:iCs/>
                <w:sz w:val="18"/>
                <w:szCs w:val="18"/>
                <w:lang w:val="en-US"/>
              </w:rPr>
            </w:pPr>
            <w:r w:rsidRPr="00774D20">
              <w:rPr>
                <w:rFonts w:ascii="Arial" w:hAnsi="Arial" w:cs="Arial"/>
                <w:b/>
                <w:bCs/>
                <w:i/>
                <w:iCs/>
                <w:sz w:val="18"/>
                <w:szCs w:val="18"/>
                <w:lang w:val="en-US"/>
              </w:rPr>
              <w:t xml:space="preserve">Tabla </w:t>
            </w:r>
            <w:r w:rsidR="00D07158" w:rsidRPr="00774D20">
              <w:rPr>
                <w:rFonts w:ascii="Arial" w:hAnsi="Arial" w:cs="Arial"/>
                <w:b/>
                <w:bCs/>
                <w:i/>
                <w:iCs/>
                <w:sz w:val="18"/>
                <w:szCs w:val="18"/>
                <w:lang w:val="en-US"/>
              </w:rPr>
              <w:t>5.</w:t>
            </w:r>
            <w:r w:rsidRPr="00774D20">
              <w:rPr>
                <w:rFonts w:ascii="Arial" w:hAnsi="Arial" w:cs="Arial"/>
                <w:b/>
                <w:bCs/>
                <w:i/>
                <w:iCs/>
                <w:sz w:val="18"/>
                <w:szCs w:val="18"/>
                <w:lang w:val="en-US"/>
              </w:rPr>
              <w:t>2</w:t>
            </w:r>
            <w:r w:rsidR="00D07158" w:rsidRPr="00774D20">
              <w:rPr>
                <w:rFonts w:ascii="Arial" w:hAnsi="Arial" w:cs="Arial"/>
                <w:b/>
                <w:bCs/>
                <w:i/>
                <w:iCs/>
                <w:sz w:val="18"/>
                <w:szCs w:val="18"/>
                <w:lang w:val="en-US"/>
              </w:rPr>
              <w:t>.a</w:t>
            </w:r>
            <w:r w:rsidRPr="00774D20">
              <w:rPr>
                <w:rFonts w:ascii="Arial" w:hAnsi="Arial" w:cs="Arial"/>
                <w:b/>
                <w:bCs/>
                <w:i/>
                <w:iCs/>
                <w:sz w:val="18"/>
                <w:szCs w:val="18"/>
                <w:lang w:val="en-US"/>
              </w:rPr>
              <w:t>.</w:t>
            </w:r>
            <w:r w:rsidR="00D07158" w:rsidRPr="00774D20">
              <w:rPr>
                <w:rFonts w:ascii="Arial" w:hAnsi="Arial" w:cs="Arial"/>
                <w:b/>
                <w:bCs/>
                <w:i/>
                <w:iCs/>
                <w:sz w:val="18"/>
                <w:szCs w:val="18"/>
                <w:lang w:val="en-US"/>
              </w:rPr>
              <w:t>1.</w:t>
            </w:r>
          </w:p>
          <w:p w14:paraId="51F10E21" w14:textId="250BD8DB" w:rsidR="0015076B" w:rsidRPr="00774D20" w:rsidRDefault="0015076B" w:rsidP="001F6887">
            <w:pPr>
              <w:pBdr>
                <w:bottom w:val="single" w:sz="6" w:space="9" w:color="DADADA"/>
              </w:pBdr>
              <w:jc w:val="both"/>
              <w:rPr>
                <w:rFonts w:ascii="Arial" w:hAnsi="Arial" w:cs="Arial"/>
                <w:b/>
                <w:bCs/>
                <w:i/>
                <w:iCs/>
                <w:sz w:val="18"/>
                <w:szCs w:val="18"/>
                <w:lang w:val="en-US"/>
              </w:rPr>
            </w:pPr>
            <w:r w:rsidRPr="00774D20">
              <w:rPr>
                <w:rFonts w:ascii="Arial" w:hAnsi="Arial" w:cs="Arial"/>
                <w:b/>
                <w:bCs/>
                <w:i/>
                <w:iCs/>
                <w:sz w:val="18"/>
                <w:szCs w:val="18"/>
                <w:lang w:val="en-US"/>
              </w:rPr>
              <w:t>Referencia: Gene Replacement Therapy Clinical Trial for Participants With Spinal Muscular Atrophy Type 1 (STR1VE</w:t>
            </w:r>
            <w:r w:rsidR="00D07158" w:rsidRPr="00774D20">
              <w:rPr>
                <w:rFonts w:ascii="Arial" w:hAnsi="Arial" w:cs="Arial"/>
                <w:b/>
                <w:bCs/>
                <w:i/>
                <w:iCs/>
                <w:sz w:val="18"/>
                <w:szCs w:val="18"/>
                <w:lang w:val="en-US"/>
              </w:rPr>
              <w:t>-US</w:t>
            </w:r>
            <w:r w:rsidRPr="00774D20">
              <w:rPr>
                <w:rFonts w:ascii="Arial" w:hAnsi="Arial" w:cs="Arial"/>
                <w:b/>
                <w:bCs/>
                <w:i/>
                <w:iCs/>
                <w:sz w:val="18"/>
                <w:szCs w:val="18"/>
                <w:lang w:val="en-US"/>
              </w:rPr>
              <w:t>)</w:t>
            </w:r>
            <w:r w:rsidR="00D07158" w:rsidRPr="00774D20">
              <w:rPr>
                <w:rFonts w:ascii="Arial" w:hAnsi="Arial" w:cs="Arial"/>
                <w:b/>
                <w:bCs/>
                <w:i/>
                <w:iCs/>
                <w:sz w:val="18"/>
                <w:szCs w:val="18"/>
                <w:lang w:val="en-US"/>
              </w:rPr>
              <w:t xml:space="preserve">. </w:t>
            </w:r>
            <w:r w:rsidRPr="00774D20">
              <w:rPr>
                <w:rFonts w:ascii="Arial" w:hAnsi="Arial" w:cs="Arial"/>
                <w:b/>
                <w:bCs/>
                <w:i/>
                <w:iCs/>
                <w:sz w:val="18"/>
                <w:szCs w:val="18"/>
                <w:lang w:val="en-US"/>
              </w:rPr>
              <w:t>ClinicalTrials.gov Identifier: NCT03306277. Estudio AVXS-101-CL-303</w:t>
            </w:r>
            <w:r w:rsidR="00703A3E" w:rsidRPr="00774D20">
              <w:rPr>
                <w:rFonts w:ascii="Arial" w:hAnsi="Arial" w:cs="Arial"/>
                <w:b/>
                <w:bCs/>
                <w:i/>
                <w:iCs/>
                <w:sz w:val="18"/>
                <w:szCs w:val="18"/>
                <w:lang w:val="en-US"/>
              </w:rPr>
              <w:t>.</w:t>
            </w:r>
            <w:r w:rsidR="007C7FDE" w:rsidRPr="00774D20">
              <w:rPr>
                <w:rFonts w:ascii="Arial" w:hAnsi="Arial" w:cs="Arial"/>
                <w:b/>
                <w:bCs/>
                <w:i/>
                <w:iCs/>
                <w:sz w:val="18"/>
                <w:szCs w:val="18"/>
                <w:vertAlign w:val="superscript"/>
                <w:lang w:val="en-US"/>
              </w:rPr>
              <w:fldChar w:fldCharType="begin"/>
            </w:r>
            <w:r w:rsidR="007C7FDE" w:rsidRPr="00774D20">
              <w:rPr>
                <w:rFonts w:ascii="Arial" w:hAnsi="Arial" w:cs="Arial"/>
                <w:b/>
                <w:bCs/>
                <w:i/>
                <w:iCs/>
                <w:sz w:val="18"/>
                <w:szCs w:val="18"/>
                <w:vertAlign w:val="superscript"/>
                <w:lang w:val="en-US"/>
              </w:rPr>
              <w:instrText xml:space="preserve"> NOTEREF _Ref52276166 \h  \* MERGEFORMAT </w:instrText>
            </w:r>
            <w:r w:rsidR="007C7FDE" w:rsidRPr="00774D20">
              <w:rPr>
                <w:rFonts w:ascii="Arial" w:hAnsi="Arial" w:cs="Arial"/>
                <w:b/>
                <w:bCs/>
                <w:i/>
                <w:iCs/>
                <w:sz w:val="18"/>
                <w:szCs w:val="18"/>
                <w:vertAlign w:val="superscript"/>
                <w:lang w:val="en-US"/>
              </w:rPr>
            </w:r>
            <w:r w:rsidR="007C7FDE" w:rsidRPr="00774D20">
              <w:rPr>
                <w:rFonts w:ascii="Arial" w:hAnsi="Arial" w:cs="Arial"/>
                <w:b/>
                <w:bCs/>
                <w:i/>
                <w:iCs/>
                <w:sz w:val="18"/>
                <w:szCs w:val="18"/>
                <w:vertAlign w:val="superscript"/>
                <w:lang w:val="en-US"/>
              </w:rPr>
              <w:fldChar w:fldCharType="separate"/>
            </w:r>
            <w:r w:rsidR="00E277F2">
              <w:rPr>
                <w:rFonts w:ascii="Arial" w:hAnsi="Arial" w:cs="Arial"/>
                <w:b/>
                <w:bCs/>
                <w:i/>
                <w:iCs/>
                <w:sz w:val="18"/>
                <w:szCs w:val="18"/>
                <w:vertAlign w:val="superscript"/>
                <w:lang w:val="en-US"/>
              </w:rPr>
              <w:t>14</w:t>
            </w:r>
            <w:r w:rsidR="007C7FDE" w:rsidRPr="00774D20">
              <w:rPr>
                <w:rFonts w:ascii="Arial" w:hAnsi="Arial" w:cs="Arial"/>
                <w:b/>
                <w:bCs/>
                <w:i/>
                <w:iCs/>
                <w:sz w:val="18"/>
                <w:szCs w:val="18"/>
                <w:vertAlign w:val="superscript"/>
                <w:lang w:val="en-US"/>
              </w:rPr>
              <w:fldChar w:fldCharType="end"/>
            </w:r>
          </w:p>
        </w:tc>
      </w:tr>
      <w:tr w:rsidR="0015076B" w14:paraId="720F72F8" w14:textId="77777777" w:rsidTr="00EA57D3">
        <w:tc>
          <w:tcPr>
            <w:tcW w:w="9493" w:type="dxa"/>
            <w:gridSpan w:val="2"/>
          </w:tcPr>
          <w:p w14:paraId="5328E1A7" w14:textId="1D189CEB" w:rsidR="0015076B" w:rsidRPr="00774D20" w:rsidRDefault="0015076B" w:rsidP="001F6887">
            <w:pPr>
              <w:jc w:val="both"/>
              <w:rPr>
                <w:rFonts w:ascii="Arial" w:hAnsi="Arial" w:cs="Arial"/>
                <w:sz w:val="16"/>
                <w:szCs w:val="16"/>
              </w:rPr>
            </w:pPr>
            <w:r w:rsidRPr="00774D20">
              <w:rPr>
                <w:rFonts w:ascii="Arial" w:hAnsi="Arial" w:cs="Arial"/>
                <w:b/>
                <w:bCs/>
                <w:sz w:val="16"/>
                <w:szCs w:val="16"/>
              </w:rPr>
              <w:t xml:space="preserve">Breve descripción </w:t>
            </w:r>
            <w:r w:rsidRPr="00774D20">
              <w:rPr>
                <w:rFonts w:ascii="Arial" w:hAnsi="Arial" w:cs="Arial"/>
                <w:sz w:val="16"/>
                <w:szCs w:val="16"/>
              </w:rPr>
              <w:t>del ensayo:</w:t>
            </w:r>
          </w:p>
          <w:p w14:paraId="6265B422" w14:textId="76875A62" w:rsidR="0015076B" w:rsidRPr="00774D20" w:rsidRDefault="00AD5154" w:rsidP="001F6887">
            <w:pPr>
              <w:jc w:val="both"/>
              <w:rPr>
                <w:rFonts w:ascii="Arial" w:hAnsi="Arial" w:cs="Arial"/>
                <w:sz w:val="16"/>
                <w:szCs w:val="16"/>
              </w:rPr>
            </w:pPr>
            <w:r w:rsidRPr="00774D20">
              <w:rPr>
                <w:rFonts w:ascii="Arial" w:hAnsi="Arial" w:cs="Arial"/>
                <w:sz w:val="16"/>
                <w:szCs w:val="16"/>
              </w:rPr>
              <w:t>-Nº de pacientes: 22</w:t>
            </w:r>
            <w:r w:rsidR="0015076B" w:rsidRPr="00774D20">
              <w:rPr>
                <w:rFonts w:ascii="Arial" w:hAnsi="Arial" w:cs="Arial"/>
                <w:sz w:val="16"/>
                <w:szCs w:val="16"/>
              </w:rPr>
              <w:t>.</w:t>
            </w:r>
          </w:p>
          <w:p w14:paraId="41F51CED" w14:textId="4B783B6F" w:rsidR="0015076B" w:rsidRPr="00774D20" w:rsidRDefault="0015076B" w:rsidP="001F6887">
            <w:pPr>
              <w:jc w:val="both"/>
              <w:rPr>
                <w:rFonts w:ascii="Arial" w:hAnsi="Arial" w:cs="Arial"/>
                <w:sz w:val="16"/>
                <w:szCs w:val="16"/>
              </w:rPr>
            </w:pPr>
            <w:r w:rsidRPr="00774D20">
              <w:rPr>
                <w:rFonts w:ascii="Arial" w:hAnsi="Arial" w:cs="Arial"/>
                <w:sz w:val="16"/>
                <w:szCs w:val="16"/>
              </w:rPr>
              <w:t>-Diseño:</w:t>
            </w:r>
            <w:r w:rsidR="00AD5154" w:rsidRPr="00774D20">
              <w:rPr>
                <w:rFonts w:ascii="Arial" w:hAnsi="Arial" w:cs="Arial"/>
                <w:sz w:val="16"/>
                <w:szCs w:val="16"/>
              </w:rPr>
              <w:t xml:space="preserve"> e</w:t>
            </w:r>
            <w:r w:rsidRPr="00774D20">
              <w:rPr>
                <w:rFonts w:ascii="Arial" w:hAnsi="Arial" w:cs="Arial"/>
                <w:sz w:val="16"/>
                <w:szCs w:val="16"/>
              </w:rPr>
              <w:t>studio pivotal de fase III, abierto y no controlado (un solo brazo)</w:t>
            </w:r>
          </w:p>
          <w:p w14:paraId="4AAA2523" w14:textId="457FCD71" w:rsidR="0015076B" w:rsidRPr="00774D20" w:rsidRDefault="0015076B" w:rsidP="001F6887">
            <w:pPr>
              <w:jc w:val="both"/>
              <w:rPr>
                <w:rFonts w:ascii="Arial" w:hAnsi="Arial" w:cs="Arial"/>
                <w:sz w:val="16"/>
                <w:szCs w:val="16"/>
              </w:rPr>
            </w:pPr>
            <w:r w:rsidRPr="00774D20">
              <w:rPr>
                <w:rFonts w:ascii="Arial" w:hAnsi="Arial" w:cs="Arial"/>
                <w:sz w:val="16"/>
                <w:szCs w:val="16"/>
              </w:rPr>
              <w:t>-Tratamiento:</w:t>
            </w:r>
            <w:r w:rsidR="00AD5154" w:rsidRPr="00774D20">
              <w:rPr>
                <w:rFonts w:ascii="Arial" w:hAnsi="Arial" w:cs="Arial"/>
                <w:sz w:val="16"/>
                <w:szCs w:val="16"/>
              </w:rPr>
              <w:t xml:space="preserve"> d</w:t>
            </w:r>
            <w:r w:rsidRPr="00774D20">
              <w:rPr>
                <w:rFonts w:ascii="Arial" w:hAnsi="Arial" w:cs="Arial"/>
                <w:sz w:val="16"/>
                <w:szCs w:val="16"/>
              </w:rPr>
              <w:t>osis única de onasemnogen abeparvovec a dosis nominal de 1,1 x 10</w:t>
            </w:r>
            <w:r w:rsidRPr="00774D20">
              <w:rPr>
                <w:rFonts w:ascii="Arial" w:hAnsi="Arial" w:cs="Arial"/>
                <w:sz w:val="16"/>
                <w:szCs w:val="16"/>
                <w:vertAlign w:val="superscript"/>
              </w:rPr>
              <w:t xml:space="preserve">14 </w:t>
            </w:r>
            <w:r w:rsidRPr="00774D20">
              <w:rPr>
                <w:rFonts w:ascii="Arial" w:hAnsi="Arial" w:cs="Arial"/>
                <w:sz w:val="16"/>
                <w:szCs w:val="16"/>
              </w:rPr>
              <w:t xml:space="preserve">vg/kg </w:t>
            </w:r>
          </w:p>
          <w:p w14:paraId="7C5F9623" w14:textId="77777777" w:rsidR="0015076B" w:rsidRPr="00774D20" w:rsidRDefault="0015076B" w:rsidP="001F6887">
            <w:pPr>
              <w:jc w:val="both"/>
              <w:rPr>
                <w:rFonts w:ascii="Arial" w:hAnsi="Arial" w:cs="Arial"/>
                <w:sz w:val="16"/>
                <w:szCs w:val="16"/>
              </w:rPr>
            </w:pPr>
            <w:r w:rsidRPr="00774D20">
              <w:rPr>
                <w:rFonts w:ascii="Arial" w:hAnsi="Arial" w:cs="Arial"/>
                <w:sz w:val="16"/>
                <w:szCs w:val="16"/>
              </w:rPr>
              <w:t xml:space="preserve">-Criterios de inclusión: </w:t>
            </w:r>
          </w:p>
          <w:p w14:paraId="7A0FC887" w14:textId="49997AFA" w:rsidR="0015076B" w:rsidRPr="00774D20" w:rsidRDefault="00AD5154" w:rsidP="001F6887">
            <w:pPr>
              <w:numPr>
                <w:ilvl w:val="0"/>
                <w:numId w:val="2"/>
              </w:numPr>
              <w:jc w:val="both"/>
              <w:rPr>
                <w:rFonts w:ascii="Arial" w:hAnsi="Arial" w:cs="Arial"/>
                <w:sz w:val="16"/>
                <w:szCs w:val="16"/>
              </w:rPr>
            </w:pPr>
            <w:r w:rsidRPr="00774D20">
              <w:rPr>
                <w:rFonts w:ascii="Arial" w:hAnsi="Arial" w:cs="Arial"/>
                <w:sz w:val="16"/>
                <w:szCs w:val="16"/>
              </w:rPr>
              <w:t xml:space="preserve">Edad &lt; </w:t>
            </w:r>
            <w:r w:rsidR="0015076B" w:rsidRPr="00774D20">
              <w:rPr>
                <w:rFonts w:ascii="Arial" w:hAnsi="Arial" w:cs="Arial"/>
                <w:sz w:val="16"/>
                <w:szCs w:val="16"/>
              </w:rPr>
              <w:t>6 meses en el momento de la administración del fármaco</w:t>
            </w:r>
          </w:p>
          <w:p w14:paraId="19A63D42" w14:textId="0AB7A7E0" w:rsidR="0015076B" w:rsidRPr="00890E86" w:rsidRDefault="0015076B" w:rsidP="00890E86">
            <w:pPr>
              <w:numPr>
                <w:ilvl w:val="0"/>
                <w:numId w:val="2"/>
              </w:numPr>
              <w:jc w:val="both"/>
              <w:rPr>
                <w:rFonts w:ascii="Arial" w:hAnsi="Arial" w:cs="Arial"/>
                <w:sz w:val="16"/>
                <w:szCs w:val="16"/>
              </w:rPr>
            </w:pPr>
            <w:r w:rsidRPr="00890E86">
              <w:rPr>
                <w:rFonts w:ascii="Arial" w:hAnsi="Arial" w:cs="Arial"/>
                <w:sz w:val="16"/>
                <w:szCs w:val="16"/>
              </w:rPr>
              <w:t xml:space="preserve">Diagnóstico de AME tipo 1 con </w:t>
            </w:r>
            <w:r w:rsidR="00890E86">
              <w:rPr>
                <w:rFonts w:ascii="Arial" w:hAnsi="Arial" w:cs="Arial"/>
                <w:sz w:val="16"/>
                <w:szCs w:val="16"/>
              </w:rPr>
              <w:t>d</w:t>
            </w:r>
            <w:r w:rsidRPr="00890E86">
              <w:rPr>
                <w:rFonts w:ascii="Arial" w:hAnsi="Arial" w:cs="Arial"/>
                <w:sz w:val="16"/>
                <w:szCs w:val="16"/>
              </w:rPr>
              <w:t>iagnóstico basado en análisis genético con mutaciones bialélicas en SMN1 (deleciones o mutaciones puntuales) y 2 copias de SMN2 (incluida la conocida mutación modificadora del SMN2 (c.859G&gt;C)</w:t>
            </w:r>
          </w:p>
          <w:p w14:paraId="1988C746" w14:textId="5C9F9DDD" w:rsidR="0015076B" w:rsidRPr="00774D20" w:rsidRDefault="00890E86" w:rsidP="00890E86">
            <w:pPr>
              <w:numPr>
                <w:ilvl w:val="0"/>
                <w:numId w:val="2"/>
              </w:numPr>
              <w:jc w:val="both"/>
              <w:rPr>
                <w:rFonts w:ascii="Arial" w:hAnsi="Arial" w:cs="Arial"/>
                <w:sz w:val="16"/>
                <w:szCs w:val="16"/>
              </w:rPr>
            </w:pPr>
            <w:r>
              <w:rPr>
                <w:rFonts w:ascii="Arial" w:hAnsi="Arial" w:cs="Arial"/>
                <w:sz w:val="16"/>
                <w:szCs w:val="16"/>
              </w:rPr>
              <w:t>S</w:t>
            </w:r>
            <w:r w:rsidR="0015076B" w:rsidRPr="00774D20">
              <w:rPr>
                <w:rFonts w:ascii="Arial" w:hAnsi="Arial" w:cs="Arial"/>
                <w:sz w:val="16"/>
                <w:szCs w:val="16"/>
              </w:rPr>
              <w:t>ometerse a un test de evaluación de capacidad de deglución previo a la administración del fármaco</w:t>
            </w:r>
          </w:p>
          <w:p w14:paraId="2F51880C" w14:textId="66B68758" w:rsidR="0015076B" w:rsidRPr="00774D20" w:rsidRDefault="0015076B" w:rsidP="00890E86">
            <w:pPr>
              <w:numPr>
                <w:ilvl w:val="0"/>
                <w:numId w:val="2"/>
              </w:numPr>
              <w:jc w:val="both"/>
              <w:rPr>
                <w:rFonts w:ascii="Arial" w:hAnsi="Arial" w:cs="Arial"/>
                <w:sz w:val="16"/>
                <w:szCs w:val="16"/>
              </w:rPr>
            </w:pPr>
            <w:r w:rsidRPr="00774D20">
              <w:rPr>
                <w:rFonts w:ascii="Arial" w:hAnsi="Arial" w:cs="Arial"/>
                <w:sz w:val="16"/>
                <w:szCs w:val="16"/>
              </w:rPr>
              <w:t xml:space="preserve">Calendario vacunal actualizado, incluyendo profilaxis de infección por </w:t>
            </w:r>
            <w:r w:rsidR="00896996" w:rsidRPr="00774D20">
              <w:rPr>
                <w:rFonts w:ascii="Arial" w:hAnsi="Arial" w:cs="Arial"/>
                <w:sz w:val="16"/>
                <w:szCs w:val="16"/>
              </w:rPr>
              <w:t>Virus Respiratorio Sincitial (</w:t>
            </w:r>
            <w:r w:rsidRPr="00774D20">
              <w:rPr>
                <w:rFonts w:ascii="Arial" w:hAnsi="Arial" w:cs="Arial"/>
                <w:sz w:val="16"/>
                <w:szCs w:val="16"/>
              </w:rPr>
              <w:t>VRS</w:t>
            </w:r>
            <w:r w:rsidR="00896996" w:rsidRPr="00774D20">
              <w:rPr>
                <w:rFonts w:ascii="Arial" w:hAnsi="Arial" w:cs="Arial"/>
                <w:sz w:val="16"/>
                <w:szCs w:val="16"/>
              </w:rPr>
              <w:t>)</w:t>
            </w:r>
            <w:r w:rsidRPr="00774D20">
              <w:rPr>
                <w:rFonts w:ascii="Arial" w:hAnsi="Arial" w:cs="Arial"/>
                <w:sz w:val="16"/>
                <w:szCs w:val="16"/>
              </w:rPr>
              <w:t xml:space="preserve"> con pa</w:t>
            </w:r>
            <w:r w:rsidR="00215DE5">
              <w:rPr>
                <w:rFonts w:ascii="Arial" w:hAnsi="Arial" w:cs="Arial"/>
                <w:sz w:val="16"/>
                <w:szCs w:val="16"/>
              </w:rPr>
              <w:t>liv</w:t>
            </w:r>
            <w:r w:rsidRPr="00774D20">
              <w:rPr>
                <w:rFonts w:ascii="Arial" w:hAnsi="Arial" w:cs="Arial"/>
                <w:sz w:val="16"/>
                <w:szCs w:val="16"/>
              </w:rPr>
              <w:t>izumab.</w:t>
            </w:r>
          </w:p>
          <w:p w14:paraId="65DCF000" w14:textId="77777777" w:rsidR="0015076B" w:rsidRPr="00774D20" w:rsidRDefault="0015076B" w:rsidP="001F6887">
            <w:pPr>
              <w:numPr>
                <w:ilvl w:val="0"/>
                <w:numId w:val="2"/>
              </w:numPr>
              <w:jc w:val="both"/>
              <w:rPr>
                <w:rFonts w:ascii="Arial" w:hAnsi="Arial" w:cs="Arial"/>
                <w:sz w:val="16"/>
                <w:szCs w:val="16"/>
              </w:rPr>
            </w:pPr>
            <w:r w:rsidRPr="00774D20">
              <w:rPr>
                <w:rFonts w:ascii="Arial" w:hAnsi="Arial" w:cs="Arial"/>
                <w:sz w:val="16"/>
                <w:szCs w:val="16"/>
              </w:rPr>
              <w:t>Padres o tutores legales deben completar el proceso de consentimiento informado y comprometerse a cumplir con los procedimientos y calendario programado del estudio</w:t>
            </w:r>
          </w:p>
          <w:p w14:paraId="67F02051" w14:textId="77777777" w:rsidR="0015076B" w:rsidRPr="00774D20" w:rsidRDefault="0015076B" w:rsidP="001F6887">
            <w:pPr>
              <w:jc w:val="both"/>
              <w:rPr>
                <w:rFonts w:ascii="Arial" w:hAnsi="Arial" w:cs="Arial"/>
                <w:sz w:val="16"/>
                <w:szCs w:val="16"/>
              </w:rPr>
            </w:pPr>
            <w:r w:rsidRPr="00774D20">
              <w:rPr>
                <w:rFonts w:ascii="Arial" w:hAnsi="Arial" w:cs="Arial"/>
                <w:sz w:val="16"/>
                <w:szCs w:val="16"/>
              </w:rPr>
              <w:t>-Criterios de exclusión:</w:t>
            </w:r>
          </w:p>
          <w:p w14:paraId="0214A7FC"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Cirugía previa de corrección de escoliosis o planificada durante el período de evaluación del estudio</w:t>
            </w:r>
          </w:p>
          <w:p w14:paraId="6D7D18E1"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Saturación de oxígeno &lt; 96%</w:t>
            </w:r>
          </w:p>
          <w:p w14:paraId="733061A1"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Traqueostomía o uso actual de soporte ventilatorio no invasivo con un promedio de &gt; 6 horas diarias</w:t>
            </w:r>
          </w:p>
          <w:p w14:paraId="221E5201"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Pacientes con signos de aspiración o incapacidad para tomar líquidos no espesados durante el test de capacidad de deglución.</w:t>
            </w:r>
          </w:p>
          <w:p w14:paraId="003CB53A" w14:textId="58DE2736"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Pac</w:t>
            </w:r>
            <w:r w:rsidR="00890E86">
              <w:rPr>
                <w:rFonts w:ascii="Arial" w:hAnsi="Arial" w:cs="Arial"/>
                <w:sz w:val="16"/>
                <w:szCs w:val="16"/>
              </w:rPr>
              <w:t>ientes con percentil de peso menor del tercer percentil</w:t>
            </w:r>
            <w:r w:rsidRPr="00774D20">
              <w:rPr>
                <w:rFonts w:ascii="Arial" w:hAnsi="Arial" w:cs="Arial"/>
                <w:sz w:val="16"/>
                <w:szCs w:val="16"/>
              </w:rPr>
              <w:t xml:space="preserve"> según los patrones de crecimiento infantil de la OMS</w:t>
            </w:r>
          </w:p>
          <w:p w14:paraId="5D9339AD" w14:textId="77777777" w:rsidR="00890E86" w:rsidRDefault="0015076B" w:rsidP="001F6887">
            <w:pPr>
              <w:numPr>
                <w:ilvl w:val="0"/>
                <w:numId w:val="3"/>
              </w:numPr>
              <w:jc w:val="both"/>
              <w:rPr>
                <w:rFonts w:ascii="Arial" w:hAnsi="Arial" w:cs="Arial"/>
                <w:sz w:val="16"/>
                <w:szCs w:val="16"/>
              </w:rPr>
            </w:pPr>
            <w:r w:rsidRPr="00774D20">
              <w:rPr>
                <w:rFonts w:ascii="Arial" w:hAnsi="Arial" w:cs="Arial"/>
                <w:sz w:val="16"/>
                <w:szCs w:val="16"/>
              </w:rPr>
              <w:t>Infecciones virales activas,</w:t>
            </w:r>
          </w:p>
          <w:p w14:paraId="340122C6" w14:textId="48183596" w:rsidR="0015076B" w:rsidRPr="00774D20" w:rsidRDefault="00890E86" w:rsidP="001F6887">
            <w:pPr>
              <w:numPr>
                <w:ilvl w:val="0"/>
                <w:numId w:val="3"/>
              </w:numPr>
              <w:jc w:val="both"/>
              <w:rPr>
                <w:rFonts w:ascii="Arial" w:hAnsi="Arial" w:cs="Arial"/>
                <w:sz w:val="16"/>
                <w:szCs w:val="16"/>
              </w:rPr>
            </w:pPr>
            <w:r>
              <w:rPr>
                <w:rFonts w:ascii="Arial" w:hAnsi="Arial" w:cs="Arial"/>
                <w:sz w:val="16"/>
                <w:szCs w:val="16"/>
              </w:rPr>
              <w:t>Infecciones</w:t>
            </w:r>
            <w:r w:rsidR="0015076B" w:rsidRPr="00774D20">
              <w:rPr>
                <w:rFonts w:ascii="Arial" w:hAnsi="Arial" w:cs="Arial"/>
                <w:sz w:val="16"/>
                <w:szCs w:val="16"/>
              </w:rPr>
              <w:t xml:space="preserve"> graves del TRS que requieran hospitalización y/o tratamiento sistémico o infecciones de las vías respiratorias superiores</w:t>
            </w:r>
          </w:p>
          <w:p w14:paraId="2A9FE252"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Enfermedades concomitantes graves como: insuficiencia renal o hepática grave, trastornos convulsivos, diabetes mellitus y miocardiopatías</w:t>
            </w:r>
          </w:p>
          <w:p w14:paraId="52BA243A"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Alergia conocida a prednisolona u otros glucocorticoesteroides</w:t>
            </w:r>
          </w:p>
          <w:p w14:paraId="4A0CA700"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Título de anticuerpos anti-AAV9&gt;1/50</w:t>
            </w:r>
          </w:p>
          <w:p w14:paraId="626F9459"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Valores analíticos anormales y clínicamente significativos (GGT, ALT y AST &gt;3xLSN, bilirrubina &gt; 3 mg/dL, creatinina &gt; 1 mg/dL hemoglobina &lt;8 o &gt;18 g/dL o recuento de glóbulos blancos &gt; 20.000)</w:t>
            </w:r>
          </w:p>
          <w:p w14:paraId="6D9B0301"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Participación en ensayos clínicos sobre AME o en terapia con algún producto comercial destinado a tratar la AME</w:t>
            </w:r>
          </w:p>
          <w:p w14:paraId="6ECF340C"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 xml:space="preserve">Incluido en lista de espera para intervenciones quirúrgicas </w:t>
            </w:r>
          </w:p>
          <w:p w14:paraId="1E0CA5C6" w14:textId="77777777" w:rsidR="0015076B" w:rsidRPr="00774D20" w:rsidRDefault="0015076B" w:rsidP="001F6887">
            <w:pPr>
              <w:numPr>
                <w:ilvl w:val="0"/>
                <w:numId w:val="3"/>
              </w:numPr>
              <w:jc w:val="both"/>
              <w:rPr>
                <w:rFonts w:ascii="Arial" w:hAnsi="Arial" w:cs="Arial"/>
                <w:sz w:val="16"/>
                <w:szCs w:val="16"/>
              </w:rPr>
            </w:pPr>
            <w:r w:rsidRPr="00774D20">
              <w:rPr>
                <w:rFonts w:ascii="Arial" w:hAnsi="Arial" w:cs="Arial"/>
                <w:sz w:val="16"/>
                <w:szCs w:val="16"/>
              </w:rPr>
              <w:t>Edad gestacional al nacimiento &lt; 35 semanas</w:t>
            </w:r>
          </w:p>
          <w:p w14:paraId="4FFCCD8D" w14:textId="77777777" w:rsidR="0015076B" w:rsidRPr="00774D20" w:rsidRDefault="0015076B" w:rsidP="001F6887">
            <w:pPr>
              <w:jc w:val="both"/>
              <w:rPr>
                <w:rFonts w:ascii="Arial" w:hAnsi="Arial" w:cs="Arial"/>
                <w:sz w:val="16"/>
                <w:szCs w:val="16"/>
              </w:rPr>
            </w:pPr>
            <w:r w:rsidRPr="00774D20">
              <w:rPr>
                <w:rFonts w:ascii="Arial" w:hAnsi="Arial" w:cs="Arial"/>
                <w:sz w:val="16"/>
                <w:szCs w:val="16"/>
              </w:rPr>
              <w:t xml:space="preserve">-Pérdidas: </w:t>
            </w:r>
          </w:p>
          <w:p w14:paraId="3FDD0514" w14:textId="3CBCDEC3" w:rsidR="00A76703" w:rsidRDefault="0015076B" w:rsidP="00A76703">
            <w:pPr>
              <w:numPr>
                <w:ilvl w:val="0"/>
                <w:numId w:val="3"/>
              </w:numPr>
              <w:jc w:val="both"/>
              <w:rPr>
                <w:rFonts w:ascii="Arial" w:hAnsi="Arial" w:cs="Arial"/>
                <w:sz w:val="16"/>
                <w:szCs w:val="16"/>
              </w:rPr>
            </w:pPr>
            <w:r w:rsidRPr="00774D20">
              <w:rPr>
                <w:rFonts w:ascii="Arial" w:hAnsi="Arial" w:cs="Arial"/>
                <w:sz w:val="16"/>
                <w:szCs w:val="16"/>
              </w:rPr>
              <w:t xml:space="preserve">Se incluyeron 22 pacientes de los cuáles </w:t>
            </w:r>
            <w:r w:rsidR="00A76703">
              <w:rPr>
                <w:rFonts w:ascii="Arial" w:hAnsi="Arial" w:cs="Arial"/>
                <w:sz w:val="16"/>
                <w:szCs w:val="16"/>
              </w:rPr>
              <w:t xml:space="preserve">tres </w:t>
            </w:r>
            <w:r w:rsidRPr="00774D20">
              <w:rPr>
                <w:rFonts w:ascii="Arial" w:hAnsi="Arial" w:cs="Arial"/>
                <w:sz w:val="16"/>
                <w:szCs w:val="16"/>
              </w:rPr>
              <w:t>di</w:t>
            </w:r>
            <w:r w:rsidR="003D5420" w:rsidRPr="00774D20">
              <w:rPr>
                <w:rFonts w:ascii="Arial" w:hAnsi="Arial" w:cs="Arial"/>
                <w:sz w:val="16"/>
                <w:szCs w:val="16"/>
              </w:rPr>
              <w:t>scontinuaron durante el estudio</w:t>
            </w:r>
            <w:r w:rsidR="00A76703">
              <w:rPr>
                <w:rFonts w:ascii="Arial" w:hAnsi="Arial" w:cs="Arial"/>
                <w:sz w:val="16"/>
                <w:szCs w:val="16"/>
              </w:rPr>
              <w:t>: d</w:t>
            </w:r>
            <w:r w:rsidR="00A76703" w:rsidRPr="00A76703">
              <w:rPr>
                <w:rFonts w:ascii="Arial" w:hAnsi="Arial" w:cs="Arial"/>
                <w:sz w:val="16"/>
                <w:szCs w:val="16"/>
              </w:rPr>
              <w:t xml:space="preserve">os pacientes discontinuaron el estudio </w:t>
            </w:r>
            <w:r w:rsidR="00A76703">
              <w:rPr>
                <w:rFonts w:ascii="Arial" w:hAnsi="Arial" w:cs="Arial"/>
                <w:sz w:val="16"/>
                <w:szCs w:val="16"/>
              </w:rPr>
              <w:t>antes de los 13,6 meses de edad, u</w:t>
            </w:r>
            <w:r w:rsidR="00A76703" w:rsidRPr="00A76703">
              <w:rPr>
                <w:rFonts w:ascii="Arial" w:hAnsi="Arial" w:cs="Arial"/>
                <w:sz w:val="16"/>
                <w:szCs w:val="16"/>
              </w:rPr>
              <w:t>n</w:t>
            </w:r>
            <w:r w:rsidR="00A76703">
              <w:rPr>
                <w:rFonts w:ascii="Arial" w:hAnsi="Arial" w:cs="Arial"/>
                <w:sz w:val="16"/>
                <w:szCs w:val="16"/>
              </w:rPr>
              <w:t>o de ellos</w:t>
            </w:r>
            <w:r w:rsidR="00A76703" w:rsidRPr="00A76703">
              <w:rPr>
                <w:rFonts w:ascii="Arial" w:hAnsi="Arial" w:cs="Arial"/>
                <w:sz w:val="16"/>
                <w:szCs w:val="16"/>
              </w:rPr>
              <w:t xml:space="preserve"> murió a los 7,8 meses de edad por fallo respiratorio no</w:t>
            </w:r>
            <w:r w:rsidR="00A76703">
              <w:rPr>
                <w:rFonts w:ascii="Arial" w:hAnsi="Arial" w:cs="Arial"/>
                <w:sz w:val="16"/>
                <w:szCs w:val="16"/>
              </w:rPr>
              <w:t xml:space="preserve"> relacionado con el tratamiento y un tercer</w:t>
            </w:r>
            <w:r w:rsidR="00A76703" w:rsidRPr="00A76703">
              <w:rPr>
                <w:rFonts w:ascii="Arial" w:hAnsi="Arial" w:cs="Arial"/>
                <w:sz w:val="16"/>
                <w:szCs w:val="16"/>
              </w:rPr>
              <w:t xml:space="preserve"> paciente abandonó el estudio de forma voluntaria</w:t>
            </w:r>
            <w:r w:rsidR="00A76703">
              <w:rPr>
                <w:rFonts w:ascii="Arial" w:hAnsi="Arial" w:cs="Arial"/>
                <w:sz w:val="16"/>
                <w:szCs w:val="16"/>
              </w:rPr>
              <w:t>.</w:t>
            </w:r>
          </w:p>
          <w:p w14:paraId="668D8F53" w14:textId="1E1A9B7C" w:rsidR="0015076B" w:rsidRPr="00774D20" w:rsidRDefault="0015076B" w:rsidP="001F6887">
            <w:pPr>
              <w:jc w:val="both"/>
              <w:rPr>
                <w:rFonts w:ascii="Arial" w:hAnsi="Arial" w:cs="Arial"/>
                <w:sz w:val="16"/>
                <w:szCs w:val="16"/>
              </w:rPr>
            </w:pPr>
            <w:r w:rsidRPr="00774D20">
              <w:rPr>
                <w:rFonts w:ascii="Arial" w:hAnsi="Arial" w:cs="Arial"/>
                <w:sz w:val="16"/>
                <w:szCs w:val="16"/>
              </w:rPr>
              <w:t xml:space="preserve">-Tipo de análisis: </w:t>
            </w:r>
            <w:r w:rsidR="00BB76F9">
              <w:rPr>
                <w:rFonts w:ascii="Arial" w:hAnsi="Arial" w:cs="Arial"/>
                <w:sz w:val="16"/>
                <w:szCs w:val="16"/>
              </w:rPr>
              <w:t>p</w:t>
            </w:r>
            <w:r w:rsidRPr="00774D20">
              <w:rPr>
                <w:rFonts w:ascii="Arial" w:hAnsi="Arial" w:cs="Arial"/>
                <w:sz w:val="16"/>
                <w:szCs w:val="16"/>
              </w:rPr>
              <w:t xml:space="preserve">or intención de tratar </w:t>
            </w:r>
          </w:p>
          <w:p w14:paraId="77697D83" w14:textId="6D1987CA" w:rsidR="0015076B" w:rsidRPr="00774D20" w:rsidRDefault="0015076B" w:rsidP="001F6887">
            <w:pPr>
              <w:jc w:val="both"/>
              <w:rPr>
                <w:rFonts w:ascii="Arial" w:hAnsi="Arial" w:cs="Arial"/>
                <w:sz w:val="16"/>
                <w:szCs w:val="16"/>
              </w:rPr>
            </w:pPr>
            <w:r w:rsidRPr="00774D20">
              <w:rPr>
                <w:rFonts w:ascii="Arial" w:hAnsi="Arial" w:cs="Arial"/>
                <w:sz w:val="16"/>
                <w:szCs w:val="16"/>
              </w:rPr>
              <w:t xml:space="preserve">- Cálculo de tamaño muestral: </w:t>
            </w:r>
            <w:r w:rsidR="00BB76F9">
              <w:rPr>
                <w:rFonts w:ascii="Arial" w:hAnsi="Arial" w:cs="Arial"/>
                <w:sz w:val="16"/>
                <w:szCs w:val="16"/>
              </w:rPr>
              <w:t>n</w:t>
            </w:r>
            <w:r w:rsidRPr="00774D20">
              <w:rPr>
                <w:rFonts w:ascii="Arial" w:hAnsi="Arial" w:cs="Arial"/>
                <w:sz w:val="16"/>
                <w:szCs w:val="16"/>
              </w:rPr>
              <w:t xml:space="preserve">o especificado </w:t>
            </w:r>
          </w:p>
          <w:p w14:paraId="5FC05F28" w14:textId="77777777" w:rsidR="00B0483A" w:rsidRPr="00774D20" w:rsidRDefault="00B0483A" w:rsidP="001F6887">
            <w:pPr>
              <w:jc w:val="both"/>
              <w:rPr>
                <w:rFonts w:ascii="Arial" w:hAnsi="Arial" w:cs="Arial"/>
                <w:sz w:val="16"/>
                <w:szCs w:val="16"/>
              </w:rPr>
            </w:pPr>
          </w:p>
        </w:tc>
      </w:tr>
      <w:tr w:rsidR="0015076B" w14:paraId="71DDB918" w14:textId="77777777" w:rsidTr="00EA57D3">
        <w:trPr>
          <w:cantSplit/>
          <w:trHeight w:val="230"/>
        </w:trPr>
        <w:tc>
          <w:tcPr>
            <w:tcW w:w="9493" w:type="dxa"/>
            <w:gridSpan w:val="2"/>
            <w:shd w:val="clear" w:color="auto" w:fill="CCFFCC"/>
          </w:tcPr>
          <w:p w14:paraId="55BA9472" w14:textId="77777777" w:rsidR="0015076B" w:rsidRDefault="0015076B" w:rsidP="001F6887">
            <w:pPr>
              <w:jc w:val="both"/>
              <w:rPr>
                <w:rFonts w:ascii="Arial" w:hAnsi="Arial" w:cs="Arial"/>
                <w:b/>
                <w:bCs/>
                <w:i/>
                <w:iCs/>
                <w:sz w:val="16"/>
                <w:szCs w:val="16"/>
              </w:rPr>
            </w:pPr>
            <w:r>
              <w:rPr>
                <w:rFonts w:ascii="Arial" w:hAnsi="Arial" w:cs="Arial"/>
                <w:b/>
                <w:bCs/>
                <w:i/>
                <w:iCs/>
                <w:sz w:val="16"/>
                <w:szCs w:val="16"/>
              </w:rPr>
              <w:t xml:space="preserve">Resultados  </w:t>
            </w:r>
          </w:p>
        </w:tc>
      </w:tr>
      <w:tr w:rsidR="0015076B" w14:paraId="0F5FF3B0" w14:textId="77777777" w:rsidTr="00441B69">
        <w:trPr>
          <w:trHeight w:val="230"/>
        </w:trPr>
        <w:tc>
          <w:tcPr>
            <w:tcW w:w="4606" w:type="dxa"/>
            <w:tcBorders>
              <w:bottom w:val="single" w:sz="4" w:space="0" w:color="auto"/>
            </w:tcBorders>
            <w:vAlign w:val="center"/>
          </w:tcPr>
          <w:p w14:paraId="6212CC32" w14:textId="77777777" w:rsidR="0015076B" w:rsidRDefault="0015076B" w:rsidP="001F6887">
            <w:pPr>
              <w:rPr>
                <w:rFonts w:ascii="Arial" w:hAnsi="Arial" w:cs="Arial"/>
                <w:b/>
                <w:bCs/>
                <w:i/>
                <w:iCs/>
                <w:sz w:val="16"/>
                <w:szCs w:val="16"/>
              </w:rPr>
            </w:pPr>
            <w:r>
              <w:rPr>
                <w:rFonts w:ascii="Arial" w:hAnsi="Arial" w:cs="Arial"/>
                <w:b/>
                <w:bCs/>
                <w:i/>
                <w:iCs/>
                <w:sz w:val="16"/>
                <w:szCs w:val="16"/>
              </w:rPr>
              <w:t>Variable evaluada en el estudio</w:t>
            </w:r>
          </w:p>
        </w:tc>
        <w:tc>
          <w:tcPr>
            <w:tcW w:w="4887" w:type="dxa"/>
            <w:tcBorders>
              <w:bottom w:val="single" w:sz="4" w:space="0" w:color="auto"/>
            </w:tcBorders>
            <w:vAlign w:val="center"/>
          </w:tcPr>
          <w:p w14:paraId="06308B62" w14:textId="52F94629" w:rsidR="0015076B" w:rsidRDefault="0015076B" w:rsidP="00482C21">
            <w:pPr>
              <w:jc w:val="center"/>
              <w:rPr>
                <w:rFonts w:ascii="Arial" w:hAnsi="Arial" w:cs="Arial"/>
                <w:b/>
                <w:bCs/>
                <w:i/>
                <w:iCs/>
                <w:sz w:val="16"/>
                <w:szCs w:val="16"/>
              </w:rPr>
            </w:pPr>
            <w:r>
              <w:rPr>
                <w:rFonts w:ascii="Arial" w:hAnsi="Arial" w:cs="Arial"/>
                <w:b/>
                <w:bCs/>
                <w:i/>
                <w:iCs/>
                <w:sz w:val="16"/>
                <w:szCs w:val="16"/>
              </w:rPr>
              <w:t>Pacientes infundidos con Onasemnogen  Aberparpovec (n=22)</w:t>
            </w:r>
          </w:p>
        </w:tc>
      </w:tr>
      <w:tr w:rsidR="0015076B" w14:paraId="7D9506E1" w14:textId="77777777" w:rsidTr="00441B69">
        <w:trPr>
          <w:trHeight w:val="230"/>
        </w:trPr>
        <w:tc>
          <w:tcPr>
            <w:tcW w:w="9493" w:type="dxa"/>
            <w:gridSpan w:val="2"/>
            <w:shd w:val="clear" w:color="auto" w:fill="F2F2F2" w:themeFill="background1" w:themeFillShade="F2"/>
            <w:vAlign w:val="center"/>
          </w:tcPr>
          <w:p w14:paraId="6F146C8B" w14:textId="77777777" w:rsidR="0015076B" w:rsidRDefault="0015076B" w:rsidP="001F6887">
            <w:pPr>
              <w:rPr>
                <w:rFonts w:ascii="Arial" w:hAnsi="Arial" w:cs="Arial"/>
                <w:b/>
                <w:bCs/>
                <w:i/>
                <w:iCs/>
                <w:sz w:val="16"/>
                <w:szCs w:val="16"/>
              </w:rPr>
            </w:pPr>
            <w:r>
              <w:rPr>
                <w:rFonts w:ascii="Arial" w:hAnsi="Arial" w:cs="Arial"/>
                <w:b/>
                <w:bCs/>
                <w:i/>
                <w:iCs/>
                <w:sz w:val="16"/>
                <w:szCs w:val="16"/>
              </w:rPr>
              <w:t>Variables primarias</w:t>
            </w:r>
          </w:p>
        </w:tc>
      </w:tr>
      <w:tr w:rsidR="0015076B" w:rsidRPr="00774D20" w14:paraId="36A13C68" w14:textId="77777777" w:rsidTr="00EA57D3">
        <w:trPr>
          <w:trHeight w:val="230"/>
        </w:trPr>
        <w:tc>
          <w:tcPr>
            <w:tcW w:w="4606" w:type="dxa"/>
            <w:vAlign w:val="center"/>
          </w:tcPr>
          <w:p w14:paraId="5935E5A4" w14:textId="34BAB4A2" w:rsidR="0015076B" w:rsidRPr="00774D20" w:rsidRDefault="0015076B" w:rsidP="001F6887">
            <w:pPr>
              <w:snapToGrid w:val="0"/>
              <w:rPr>
                <w:rFonts w:ascii="Arial" w:hAnsi="Arial" w:cs="Arial"/>
                <w:sz w:val="16"/>
                <w:szCs w:val="16"/>
              </w:rPr>
            </w:pPr>
            <w:r w:rsidRPr="00774D20">
              <w:rPr>
                <w:rFonts w:ascii="Arial" w:hAnsi="Arial" w:cs="Arial"/>
                <w:sz w:val="16"/>
                <w:szCs w:val="16"/>
              </w:rPr>
              <w:t>Capacidad de estar sentado erguido durante al menos 30 segundos a los 18 meses</w:t>
            </w:r>
            <w:r w:rsidR="00A76703">
              <w:rPr>
                <w:rFonts w:ascii="Arial" w:hAnsi="Arial" w:cs="Arial"/>
                <w:sz w:val="16"/>
                <w:szCs w:val="16"/>
              </w:rPr>
              <w:t xml:space="preserve"> de edad</w:t>
            </w:r>
          </w:p>
        </w:tc>
        <w:tc>
          <w:tcPr>
            <w:tcW w:w="4887" w:type="dxa"/>
            <w:vAlign w:val="center"/>
          </w:tcPr>
          <w:p w14:paraId="03B7A0D2" w14:textId="77777777" w:rsidR="0015076B" w:rsidRPr="00774D20" w:rsidRDefault="0015076B" w:rsidP="001F6887">
            <w:pPr>
              <w:jc w:val="center"/>
              <w:rPr>
                <w:rFonts w:ascii="Arial" w:hAnsi="Arial" w:cs="Arial"/>
                <w:sz w:val="16"/>
                <w:szCs w:val="16"/>
              </w:rPr>
            </w:pPr>
            <w:r w:rsidRPr="00774D20">
              <w:rPr>
                <w:rFonts w:ascii="Arial" w:hAnsi="Arial" w:cs="Arial"/>
                <w:sz w:val="16"/>
                <w:szCs w:val="16"/>
              </w:rPr>
              <w:t>13/22 (59,1%)</w:t>
            </w:r>
          </w:p>
        </w:tc>
      </w:tr>
      <w:tr w:rsidR="0015076B" w:rsidRPr="00774D20" w14:paraId="68F49CDC" w14:textId="77777777" w:rsidTr="00441B69">
        <w:trPr>
          <w:trHeight w:val="230"/>
        </w:trPr>
        <w:tc>
          <w:tcPr>
            <w:tcW w:w="4606" w:type="dxa"/>
            <w:tcBorders>
              <w:bottom w:val="single" w:sz="4" w:space="0" w:color="auto"/>
            </w:tcBorders>
            <w:vAlign w:val="center"/>
          </w:tcPr>
          <w:p w14:paraId="62972A63" w14:textId="18A19244" w:rsidR="0015076B" w:rsidRPr="00774D20" w:rsidRDefault="0015076B" w:rsidP="001F6887">
            <w:pPr>
              <w:snapToGrid w:val="0"/>
              <w:rPr>
                <w:rFonts w:ascii="Arial" w:hAnsi="Arial" w:cs="Arial"/>
                <w:sz w:val="16"/>
                <w:szCs w:val="16"/>
              </w:rPr>
            </w:pPr>
            <w:r w:rsidRPr="00774D20">
              <w:rPr>
                <w:rFonts w:ascii="Arial" w:hAnsi="Arial" w:cs="Arial"/>
                <w:sz w:val="16"/>
                <w:szCs w:val="16"/>
              </w:rPr>
              <w:t>Supervive</w:t>
            </w:r>
            <w:r w:rsidR="00DD0CD8" w:rsidRPr="00774D20">
              <w:rPr>
                <w:rFonts w:ascii="Arial" w:hAnsi="Arial" w:cs="Arial"/>
                <w:sz w:val="16"/>
                <w:szCs w:val="16"/>
              </w:rPr>
              <w:t>ncia libre de acontecimientos</w:t>
            </w:r>
            <w:r w:rsidR="00434606">
              <w:rPr>
                <w:rFonts w:ascii="Arial" w:hAnsi="Arial" w:cs="Arial"/>
                <w:sz w:val="16"/>
                <w:szCs w:val="16"/>
              </w:rPr>
              <w:t xml:space="preserve"> a los 14 meses de edad</w:t>
            </w:r>
          </w:p>
        </w:tc>
        <w:tc>
          <w:tcPr>
            <w:tcW w:w="4887" w:type="dxa"/>
            <w:tcBorders>
              <w:bottom w:val="single" w:sz="4" w:space="0" w:color="auto"/>
            </w:tcBorders>
            <w:vAlign w:val="center"/>
          </w:tcPr>
          <w:p w14:paraId="5C41F22D" w14:textId="77777777" w:rsidR="0015076B" w:rsidRPr="00774D20" w:rsidRDefault="0015076B" w:rsidP="001F6887">
            <w:pPr>
              <w:jc w:val="center"/>
              <w:rPr>
                <w:rFonts w:ascii="Arial" w:hAnsi="Arial" w:cs="Arial"/>
                <w:sz w:val="16"/>
                <w:szCs w:val="16"/>
              </w:rPr>
            </w:pPr>
            <w:r w:rsidRPr="00774D20">
              <w:rPr>
                <w:rFonts w:ascii="Arial" w:hAnsi="Arial" w:cs="Arial"/>
                <w:sz w:val="16"/>
                <w:szCs w:val="16"/>
              </w:rPr>
              <w:t>20/22 (90,9%)</w:t>
            </w:r>
          </w:p>
        </w:tc>
      </w:tr>
      <w:tr w:rsidR="0015076B" w:rsidRPr="00774D20" w14:paraId="2DA775A4" w14:textId="77777777" w:rsidTr="00441B69">
        <w:trPr>
          <w:trHeight w:val="230"/>
        </w:trPr>
        <w:tc>
          <w:tcPr>
            <w:tcW w:w="9493" w:type="dxa"/>
            <w:gridSpan w:val="2"/>
            <w:shd w:val="clear" w:color="auto" w:fill="F2F2F2" w:themeFill="background1" w:themeFillShade="F2"/>
            <w:vAlign w:val="center"/>
          </w:tcPr>
          <w:p w14:paraId="0B328F13" w14:textId="77777777" w:rsidR="0015076B" w:rsidRPr="00774D20" w:rsidRDefault="0015076B" w:rsidP="001F6887">
            <w:pPr>
              <w:rPr>
                <w:rFonts w:ascii="Arial" w:hAnsi="Arial" w:cs="Arial"/>
                <w:b/>
                <w:bCs/>
                <w:sz w:val="16"/>
                <w:szCs w:val="16"/>
              </w:rPr>
            </w:pPr>
            <w:r w:rsidRPr="00774D20">
              <w:rPr>
                <w:rFonts w:ascii="Arial" w:hAnsi="Arial" w:cs="Arial"/>
                <w:b/>
                <w:bCs/>
                <w:sz w:val="16"/>
                <w:szCs w:val="16"/>
              </w:rPr>
              <w:t>Variables secundarias</w:t>
            </w:r>
          </w:p>
        </w:tc>
      </w:tr>
      <w:tr w:rsidR="0015076B" w:rsidRPr="00774D20" w14:paraId="318B9483" w14:textId="77777777" w:rsidTr="00EA57D3">
        <w:trPr>
          <w:trHeight w:val="233"/>
        </w:trPr>
        <w:tc>
          <w:tcPr>
            <w:tcW w:w="4606" w:type="dxa"/>
            <w:vAlign w:val="center"/>
          </w:tcPr>
          <w:p w14:paraId="0C58CEBA" w14:textId="77777777" w:rsidR="0015076B" w:rsidRPr="00774D20" w:rsidRDefault="0015076B" w:rsidP="001F6887">
            <w:pPr>
              <w:jc w:val="center"/>
              <w:rPr>
                <w:rFonts w:ascii="Arial" w:hAnsi="Arial" w:cs="Arial"/>
                <w:sz w:val="16"/>
                <w:szCs w:val="16"/>
              </w:rPr>
            </w:pPr>
            <w:r w:rsidRPr="00774D20">
              <w:rPr>
                <w:rFonts w:ascii="Arial" w:hAnsi="Arial" w:cs="Arial"/>
                <w:sz w:val="16"/>
                <w:szCs w:val="16"/>
              </w:rPr>
              <w:t>Capacidad de conseguir a los 18 meses de edad estos ítems:</w:t>
            </w:r>
          </w:p>
          <w:p w14:paraId="56E61610" w14:textId="77777777" w:rsidR="00DD0CD8" w:rsidRPr="00774D20" w:rsidRDefault="0015076B" w:rsidP="001F6887">
            <w:pPr>
              <w:pStyle w:val="Prrafodelista"/>
              <w:numPr>
                <w:ilvl w:val="0"/>
                <w:numId w:val="13"/>
              </w:numPr>
              <w:rPr>
                <w:rFonts w:ascii="Arial" w:hAnsi="Arial" w:cs="Arial"/>
                <w:sz w:val="16"/>
                <w:szCs w:val="16"/>
              </w:rPr>
            </w:pPr>
            <w:r w:rsidRPr="00774D20">
              <w:rPr>
                <w:rFonts w:ascii="Arial" w:hAnsi="Arial" w:cs="Arial"/>
                <w:sz w:val="16"/>
                <w:szCs w:val="16"/>
              </w:rPr>
              <w:t>No necesitar nutrición artificial</w:t>
            </w:r>
          </w:p>
          <w:p w14:paraId="7228C622" w14:textId="53E95554" w:rsidR="0015076B" w:rsidRPr="00774D20" w:rsidRDefault="0015076B" w:rsidP="001F6887">
            <w:pPr>
              <w:pStyle w:val="Prrafodelista"/>
              <w:numPr>
                <w:ilvl w:val="0"/>
                <w:numId w:val="13"/>
              </w:numPr>
              <w:rPr>
                <w:rFonts w:ascii="Arial" w:hAnsi="Arial" w:cs="Arial"/>
                <w:sz w:val="16"/>
                <w:szCs w:val="16"/>
              </w:rPr>
            </w:pPr>
            <w:r w:rsidRPr="00774D20">
              <w:rPr>
                <w:rFonts w:ascii="Arial" w:hAnsi="Arial" w:cs="Arial"/>
                <w:sz w:val="16"/>
                <w:szCs w:val="16"/>
              </w:rPr>
              <w:t>Tolerancia de líquidos</w:t>
            </w:r>
          </w:p>
          <w:p w14:paraId="2145F5EC" w14:textId="77777777" w:rsidR="0015076B" w:rsidRPr="00774D20" w:rsidRDefault="0015076B" w:rsidP="001F6887">
            <w:pPr>
              <w:pStyle w:val="Prrafodelista"/>
              <w:numPr>
                <w:ilvl w:val="0"/>
                <w:numId w:val="13"/>
              </w:numPr>
              <w:rPr>
                <w:rFonts w:ascii="Arial" w:hAnsi="Arial" w:cs="Arial"/>
                <w:sz w:val="16"/>
                <w:szCs w:val="16"/>
              </w:rPr>
            </w:pPr>
            <w:r w:rsidRPr="00774D20">
              <w:rPr>
                <w:rFonts w:ascii="Arial" w:hAnsi="Arial" w:cs="Arial"/>
                <w:sz w:val="16"/>
                <w:szCs w:val="16"/>
              </w:rPr>
              <w:t>Mantenimiento de peso</w:t>
            </w:r>
          </w:p>
        </w:tc>
        <w:tc>
          <w:tcPr>
            <w:tcW w:w="4887" w:type="dxa"/>
          </w:tcPr>
          <w:p w14:paraId="13F8240C" w14:textId="77777777" w:rsidR="0015076B" w:rsidRPr="00774D20" w:rsidRDefault="0015076B" w:rsidP="001F6887">
            <w:pPr>
              <w:jc w:val="center"/>
              <w:rPr>
                <w:rFonts w:ascii="Arial" w:hAnsi="Arial" w:cs="Arial"/>
                <w:sz w:val="16"/>
                <w:szCs w:val="16"/>
              </w:rPr>
            </w:pPr>
            <w:r w:rsidRPr="00774D20">
              <w:rPr>
                <w:rFonts w:ascii="Arial" w:hAnsi="Arial" w:cs="Arial"/>
                <w:sz w:val="16"/>
                <w:szCs w:val="16"/>
              </w:rPr>
              <w:t>9/22 (40,9%)</w:t>
            </w:r>
          </w:p>
        </w:tc>
      </w:tr>
      <w:tr w:rsidR="0015076B" w:rsidRPr="00774D20" w14:paraId="5877209B" w14:textId="77777777" w:rsidTr="00EA57D3">
        <w:trPr>
          <w:trHeight w:val="232"/>
        </w:trPr>
        <w:tc>
          <w:tcPr>
            <w:tcW w:w="4606" w:type="dxa"/>
            <w:vAlign w:val="center"/>
          </w:tcPr>
          <w:p w14:paraId="52CD2940" w14:textId="77777777" w:rsidR="0015076B" w:rsidRPr="00774D20" w:rsidRDefault="0015076B" w:rsidP="001F6887">
            <w:pPr>
              <w:jc w:val="center"/>
              <w:rPr>
                <w:rFonts w:ascii="Arial" w:hAnsi="Arial" w:cs="Arial"/>
                <w:b/>
                <w:bCs/>
                <w:sz w:val="16"/>
                <w:szCs w:val="16"/>
              </w:rPr>
            </w:pPr>
            <w:r w:rsidRPr="00774D20">
              <w:rPr>
                <w:rFonts w:ascii="Arial" w:hAnsi="Arial" w:cs="Arial"/>
                <w:sz w:val="16"/>
                <w:szCs w:val="16"/>
              </w:rPr>
              <w:t>Independencia de soporte ventilatorio a los 18 meses de edad</w:t>
            </w:r>
          </w:p>
        </w:tc>
        <w:tc>
          <w:tcPr>
            <w:tcW w:w="4887" w:type="dxa"/>
            <w:vAlign w:val="center"/>
          </w:tcPr>
          <w:p w14:paraId="23B456EA" w14:textId="77777777" w:rsidR="0015076B" w:rsidRPr="00774D20" w:rsidRDefault="0015076B" w:rsidP="001F6887">
            <w:pPr>
              <w:jc w:val="center"/>
              <w:rPr>
                <w:rFonts w:ascii="Arial" w:hAnsi="Arial" w:cs="Arial"/>
                <w:sz w:val="16"/>
                <w:szCs w:val="16"/>
              </w:rPr>
            </w:pPr>
            <w:r w:rsidRPr="00774D20">
              <w:rPr>
                <w:rFonts w:ascii="Arial" w:hAnsi="Arial" w:cs="Arial"/>
                <w:sz w:val="16"/>
                <w:szCs w:val="16"/>
              </w:rPr>
              <w:t>18/22 (81,8%)</w:t>
            </w:r>
          </w:p>
        </w:tc>
      </w:tr>
      <w:tr w:rsidR="00DD0CD8" w:rsidRPr="00774D20" w14:paraId="3ED20023" w14:textId="77777777" w:rsidTr="00EA57D3">
        <w:trPr>
          <w:trHeight w:val="232"/>
        </w:trPr>
        <w:tc>
          <w:tcPr>
            <w:tcW w:w="4606" w:type="dxa"/>
            <w:vAlign w:val="center"/>
          </w:tcPr>
          <w:p w14:paraId="45865B63" w14:textId="4D7404CD" w:rsidR="00DD0CD8" w:rsidRPr="00774D20" w:rsidRDefault="00D11BFF" w:rsidP="001F6887">
            <w:pPr>
              <w:rPr>
                <w:rFonts w:ascii="Arial" w:hAnsi="Arial" w:cs="Arial"/>
                <w:sz w:val="16"/>
                <w:szCs w:val="16"/>
              </w:rPr>
            </w:pPr>
            <w:r w:rsidRPr="00774D20">
              <w:rPr>
                <w:rFonts w:ascii="Arial" w:hAnsi="Arial" w:cs="Arial"/>
                <w:sz w:val="16"/>
                <w:szCs w:val="16"/>
              </w:rPr>
              <w:t>Puntuación en la escala CHOP-INTEND &gt; 40*</w:t>
            </w:r>
          </w:p>
        </w:tc>
        <w:tc>
          <w:tcPr>
            <w:tcW w:w="4887" w:type="dxa"/>
            <w:vAlign w:val="center"/>
          </w:tcPr>
          <w:p w14:paraId="4E6CCBC4" w14:textId="1F4762E3" w:rsidR="00DD0CD8" w:rsidRPr="00774D20" w:rsidRDefault="00D11BFF" w:rsidP="001F6887">
            <w:pPr>
              <w:jc w:val="center"/>
              <w:rPr>
                <w:rFonts w:ascii="Arial" w:hAnsi="Arial" w:cs="Arial"/>
                <w:sz w:val="16"/>
                <w:szCs w:val="16"/>
              </w:rPr>
            </w:pPr>
            <w:r w:rsidRPr="00774D20">
              <w:rPr>
                <w:rFonts w:ascii="Arial" w:hAnsi="Arial" w:cs="Arial"/>
                <w:sz w:val="16"/>
                <w:szCs w:val="16"/>
              </w:rPr>
              <w:t>21/22 (95%)</w:t>
            </w:r>
          </w:p>
        </w:tc>
      </w:tr>
      <w:tr w:rsidR="00D11BFF" w:rsidRPr="00774D20" w14:paraId="19F0D9C1" w14:textId="77777777" w:rsidTr="00EA57D3">
        <w:trPr>
          <w:trHeight w:val="232"/>
        </w:trPr>
        <w:tc>
          <w:tcPr>
            <w:tcW w:w="4606" w:type="dxa"/>
            <w:vAlign w:val="center"/>
          </w:tcPr>
          <w:p w14:paraId="27D30063" w14:textId="5B7129C5" w:rsidR="00D11BFF" w:rsidRPr="00774D20" w:rsidRDefault="00D11BFF" w:rsidP="001F6887">
            <w:pPr>
              <w:rPr>
                <w:rFonts w:ascii="Arial" w:hAnsi="Arial" w:cs="Arial"/>
                <w:sz w:val="16"/>
                <w:szCs w:val="16"/>
              </w:rPr>
            </w:pPr>
            <w:r w:rsidRPr="00774D20">
              <w:rPr>
                <w:rFonts w:ascii="Arial" w:hAnsi="Arial" w:cs="Arial"/>
                <w:sz w:val="16"/>
                <w:szCs w:val="16"/>
              </w:rPr>
              <w:t>Puntuación en la escala CHOP-INTEND &gt; 50</w:t>
            </w:r>
          </w:p>
        </w:tc>
        <w:tc>
          <w:tcPr>
            <w:tcW w:w="4887" w:type="dxa"/>
            <w:vAlign w:val="center"/>
          </w:tcPr>
          <w:p w14:paraId="64C2A2EA" w14:textId="6D40331B" w:rsidR="00D11BFF" w:rsidRPr="00774D20" w:rsidRDefault="00D11BFF" w:rsidP="001F6887">
            <w:pPr>
              <w:jc w:val="center"/>
              <w:rPr>
                <w:rFonts w:ascii="Arial" w:hAnsi="Arial" w:cs="Arial"/>
                <w:sz w:val="16"/>
                <w:szCs w:val="16"/>
              </w:rPr>
            </w:pPr>
            <w:r w:rsidRPr="00774D20">
              <w:rPr>
                <w:rFonts w:ascii="Arial" w:hAnsi="Arial" w:cs="Arial"/>
                <w:sz w:val="16"/>
                <w:szCs w:val="16"/>
              </w:rPr>
              <w:t>14/22 (64%)</w:t>
            </w:r>
          </w:p>
        </w:tc>
      </w:tr>
      <w:tr w:rsidR="00D11BFF" w:rsidRPr="00774D20" w14:paraId="7CE6F4DE" w14:textId="77777777" w:rsidTr="00441B69">
        <w:trPr>
          <w:trHeight w:val="232"/>
        </w:trPr>
        <w:tc>
          <w:tcPr>
            <w:tcW w:w="4606" w:type="dxa"/>
            <w:tcBorders>
              <w:bottom w:val="single" w:sz="4" w:space="0" w:color="auto"/>
            </w:tcBorders>
            <w:vAlign w:val="center"/>
          </w:tcPr>
          <w:p w14:paraId="63B0E9DB" w14:textId="2495EA4C" w:rsidR="00D11BFF" w:rsidRPr="00774D20" w:rsidRDefault="00D11BFF" w:rsidP="001F6887">
            <w:pPr>
              <w:rPr>
                <w:rFonts w:ascii="Arial" w:hAnsi="Arial" w:cs="Arial"/>
                <w:sz w:val="16"/>
                <w:szCs w:val="16"/>
              </w:rPr>
            </w:pPr>
            <w:r w:rsidRPr="00774D20">
              <w:rPr>
                <w:rFonts w:ascii="Arial" w:hAnsi="Arial" w:cs="Arial"/>
                <w:sz w:val="16"/>
                <w:szCs w:val="16"/>
              </w:rPr>
              <w:t>Puntuación en la escala CHOP-INTEND &gt; 60</w:t>
            </w:r>
          </w:p>
        </w:tc>
        <w:tc>
          <w:tcPr>
            <w:tcW w:w="4887" w:type="dxa"/>
            <w:tcBorders>
              <w:bottom w:val="single" w:sz="4" w:space="0" w:color="auto"/>
            </w:tcBorders>
            <w:vAlign w:val="center"/>
          </w:tcPr>
          <w:p w14:paraId="15085D10" w14:textId="03264CD9" w:rsidR="00D11BFF" w:rsidRPr="00774D20" w:rsidRDefault="00D11BFF" w:rsidP="001F6887">
            <w:pPr>
              <w:jc w:val="center"/>
              <w:rPr>
                <w:rFonts w:ascii="Arial" w:hAnsi="Arial" w:cs="Arial"/>
                <w:sz w:val="16"/>
                <w:szCs w:val="16"/>
              </w:rPr>
            </w:pPr>
            <w:r w:rsidRPr="00774D20">
              <w:rPr>
                <w:rFonts w:ascii="Arial" w:hAnsi="Arial" w:cs="Arial"/>
                <w:sz w:val="16"/>
                <w:szCs w:val="16"/>
              </w:rPr>
              <w:t>5/22 (23%)</w:t>
            </w:r>
          </w:p>
        </w:tc>
      </w:tr>
      <w:tr w:rsidR="00D11BFF" w:rsidRPr="00995922" w14:paraId="228AC223" w14:textId="77777777" w:rsidTr="00441B69">
        <w:trPr>
          <w:trHeight w:val="232"/>
        </w:trPr>
        <w:tc>
          <w:tcPr>
            <w:tcW w:w="9493" w:type="dxa"/>
            <w:gridSpan w:val="2"/>
            <w:shd w:val="clear" w:color="auto" w:fill="F2F2F2" w:themeFill="background1" w:themeFillShade="F2"/>
            <w:vAlign w:val="center"/>
          </w:tcPr>
          <w:p w14:paraId="51FAEE09" w14:textId="2E641E6C" w:rsidR="00D11BFF" w:rsidRPr="00995922" w:rsidRDefault="00D11BFF" w:rsidP="001F6887">
            <w:pPr>
              <w:rPr>
                <w:rFonts w:ascii="Arial" w:hAnsi="Arial" w:cs="Arial"/>
                <w:sz w:val="14"/>
                <w:szCs w:val="16"/>
              </w:rPr>
            </w:pPr>
            <w:r w:rsidRPr="00995922">
              <w:rPr>
                <w:rFonts w:ascii="Arial" w:hAnsi="Arial" w:cs="Arial"/>
                <w:sz w:val="14"/>
                <w:szCs w:val="20"/>
              </w:rPr>
              <w:t>Los pacientes con AME tipo 1 no tratada casi nunca alcanzan una puntuación CHOP-INTEND = 40.</w:t>
            </w:r>
          </w:p>
        </w:tc>
      </w:tr>
    </w:tbl>
    <w:p w14:paraId="440B5845" w14:textId="77777777" w:rsidR="00DD0CD8" w:rsidRDefault="00DD0CD8" w:rsidP="001F6887">
      <w:pPr>
        <w:pStyle w:val="Default"/>
        <w:spacing w:after="0" w:line="240" w:lineRule="auto"/>
        <w:jc w:val="both"/>
        <w:rPr>
          <w:rFonts w:ascii="Arial" w:eastAsia="等?" w:hAnsi="Arial" w:cs="Arial"/>
          <w:color w:val="auto"/>
          <w:sz w:val="20"/>
          <w:szCs w:val="20"/>
          <w:lang w:eastAsia="es-ES"/>
        </w:rPr>
      </w:pPr>
    </w:p>
    <w:p w14:paraId="1C8052A7" w14:textId="77777777" w:rsidR="00C019BD" w:rsidRDefault="00C019BD" w:rsidP="001F6887">
      <w:pPr>
        <w:pStyle w:val="Default"/>
        <w:spacing w:after="0" w:line="240" w:lineRule="auto"/>
        <w:jc w:val="both"/>
        <w:rPr>
          <w:rFonts w:ascii="Arial" w:eastAsia="等?" w:hAnsi="Arial" w:cs="Arial"/>
          <w:color w:val="auto"/>
          <w:sz w:val="20"/>
          <w:szCs w:val="20"/>
          <w:lang w:eastAsia="es-ES"/>
        </w:rPr>
      </w:pPr>
    </w:p>
    <w:p w14:paraId="51EFD359" w14:textId="5BAD1EE9" w:rsidR="00D11BFF" w:rsidRDefault="0074613A" w:rsidP="001F6887">
      <w:pPr>
        <w:pStyle w:val="Default"/>
        <w:spacing w:after="255" w:line="240" w:lineRule="auto"/>
        <w:jc w:val="both"/>
        <w:rPr>
          <w:rFonts w:ascii="Arial" w:eastAsia="等?" w:hAnsi="Arial" w:cs="Arial"/>
          <w:color w:val="auto"/>
          <w:sz w:val="20"/>
          <w:szCs w:val="20"/>
          <w:lang w:eastAsia="es-ES"/>
        </w:rPr>
      </w:pPr>
      <w:r w:rsidRPr="0074613A">
        <w:rPr>
          <w:rFonts w:ascii="Arial" w:eastAsia="等?" w:hAnsi="Arial" w:cs="Arial"/>
          <w:color w:val="auto"/>
          <w:sz w:val="20"/>
          <w:szCs w:val="20"/>
          <w:lang w:eastAsia="es-ES"/>
        </w:rPr>
        <w:t xml:space="preserve">Para los 14 pacientes en el estudio </w:t>
      </w:r>
      <w:r w:rsidR="00995922">
        <w:rPr>
          <w:rFonts w:ascii="Arial" w:eastAsia="等?" w:hAnsi="Arial" w:cs="Arial"/>
          <w:color w:val="auto"/>
          <w:sz w:val="20"/>
          <w:szCs w:val="20"/>
          <w:lang w:eastAsia="es-ES"/>
        </w:rPr>
        <w:t xml:space="preserve">STRIVE-US </w:t>
      </w:r>
      <w:r w:rsidRPr="0074613A">
        <w:rPr>
          <w:rFonts w:ascii="Arial" w:eastAsia="等?" w:hAnsi="Arial" w:cs="Arial"/>
          <w:color w:val="auto"/>
          <w:sz w:val="20"/>
          <w:szCs w:val="20"/>
          <w:lang w:eastAsia="es-ES"/>
        </w:rPr>
        <w:t xml:space="preserve">CL-303 que alcanzaron </w:t>
      </w:r>
      <w:r>
        <w:rPr>
          <w:rFonts w:ascii="Arial" w:eastAsia="等?" w:hAnsi="Arial" w:cs="Arial"/>
          <w:color w:val="auto"/>
          <w:sz w:val="20"/>
          <w:szCs w:val="20"/>
          <w:lang w:eastAsia="es-ES"/>
        </w:rPr>
        <w:t>el objetivo</w:t>
      </w:r>
      <w:r w:rsidRPr="0074613A">
        <w:rPr>
          <w:rFonts w:ascii="Arial" w:eastAsia="等?" w:hAnsi="Arial" w:cs="Arial"/>
          <w:color w:val="auto"/>
          <w:sz w:val="20"/>
          <w:szCs w:val="20"/>
          <w:lang w:eastAsia="es-ES"/>
        </w:rPr>
        <w:t xml:space="preserve"> de sedestación independiente </w:t>
      </w:r>
      <w:r w:rsidR="00F74A9C">
        <w:rPr>
          <w:rFonts w:ascii="Arial" w:eastAsia="等?" w:hAnsi="Arial" w:cs="Arial"/>
          <w:color w:val="auto"/>
          <w:sz w:val="20"/>
          <w:szCs w:val="20"/>
          <w:lang w:eastAsia="es-ES"/>
        </w:rPr>
        <w:t>durante al menos</w:t>
      </w:r>
      <w:r w:rsidRPr="0074613A">
        <w:rPr>
          <w:rFonts w:ascii="Arial" w:eastAsia="等?" w:hAnsi="Arial" w:cs="Arial"/>
          <w:color w:val="auto"/>
          <w:sz w:val="20"/>
          <w:szCs w:val="20"/>
          <w:lang w:eastAsia="es-ES"/>
        </w:rPr>
        <w:t xml:space="preserve"> 30 segundos, la mediana de edad cuando se demostró est</w:t>
      </w:r>
      <w:r>
        <w:rPr>
          <w:rFonts w:ascii="Arial" w:eastAsia="等?" w:hAnsi="Arial" w:cs="Arial"/>
          <w:color w:val="auto"/>
          <w:sz w:val="20"/>
          <w:szCs w:val="20"/>
          <w:lang w:eastAsia="es-ES"/>
        </w:rPr>
        <w:t xml:space="preserve">e objetivo </w:t>
      </w:r>
      <w:r w:rsidRPr="0074613A">
        <w:rPr>
          <w:rFonts w:ascii="Arial" w:eastAsia="等?" w:hAnsi="Arial" w:cs="Arial"/>
          <w:color w:val="auto"/>
          <w:sz w:val="20"/>
          <w:szCs w:val="20"/>
          <w:lang w:eastAsia="es-ES"/>
        </w:rPr>
        <w:t>por primera vez fue de 12,5 meses (rango 9,2 a 18,6 meses).</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 xml:space="preserve">Trece pacientes confirmaron </w:t>
      </w:r>
      <w:r>
        <w:rPr>
          <w:rFonts w:ascii="Arial" w:eastAsia="等?" w:hAnsi="Arial" w:cs="Arial"/>
          <w:color w:val="auto"/>
          <w:sz w:val="20"/>
          <w:szCs w:val="20"/>
          <w:lang w:eastAsia="es-ES"/>
        </w:rPr>
        <w:lastRenderedPageBreak/>
        <w:t>el objetivo</w:t>
      </w:r>
      <w:r w:rsidR="00F74A9C">
        <w:rPr>
          <w:rFonts w:ascii="Arial" w:eastAsia="等?" w:hAnsi="Arial" w:cs="Arial"/>
          <w:color w:val="auto"/>
          <w:sz w:val="20"/>
          <w:szCs w:val="20"/>
          <w:lang w:eastAsia="es-ES"/>
        </w:rPr>
        <w:t xml:space="preserve"> de sedestación independiente durante</w:t>
      </w:r>
      <w:r w:rsidRPr="0074613A">
        <w:rPr>
          <w:rFonts w:ascii="Arial" w:eastAsia="等?" w:hAnsi="Arial" w:cs="Arial"/>
          <w:color w:val="auto"/>
          <w:sz w:val="20"/>
          <w:szCs w:val="20"/>
          <w:lang w:eastAsia="es-ES"/>
        </w:rPr>
        <w:t xml:space="preserve"> un mínimo de</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30</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segundos</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en la</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visita de 18</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meses (p&lt;0,0001).</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 xml:space="preserve">Un paciente alcanzó </w:t>
      </w:r>
      <w:r>
        <w:rPr>
          <w:rFonts w:ascii="Arial" w:eastAsia="等?" w:hAnsi="Arial" w:cs="Arial"/>
          <w:color w:val="auto"/>
          <w:sz w:val="20"/>
          <w:szCs w:val="20"/>
          <w:lang w:eastAsia="es-ES"/>
        </w:rPr>
        <w:t xml:space="preserve">el objetivo </w:t>
      </w:r>
      <w:r w:rsidRPr="0074613A">
        <w:rPr>
          <w:rFonts w:ascii="Arial" w:eastAsia="等?" w:hAnsi="Arial" w:cs="Arial"/>
          <w:color w:val="auto"/>
          <w:sz w:val="20"/>
          <w:szCs w:val="20"/>
          <w:lang w:eastAsia="es-ES"/>
        </w:rPr>
        <w:t>de sedestación independiente</w:t>
      </w:r>
      <w:r>
        <w:rPr>
          <w:rFonts w:ascii="Arial" w:eastAsia="等?" w:hAnsi="Arial" w:cs="Arial"/>
          <w:color w:val="auto"/>
          <w:sz w:val="20"/>
          <w:szCs w:val="20"/>
          <w:lang w:eastAsia="es-ES"/>
        </w:rPr>
        <w:t xml:space="preserve"> </w:t>
      </w:r>
      <w:r w:rsidR="00F74A9C">
        <w:rPr>
          <w:rFonts w:ascii="Arial" w:eastAsia="等?" w:hAnsi="Arial" w:cs="Arial"/>
          <w:color w:val="auto"/>
          <w:sz w:val="20"/>
          <w:szCs w:val="20"/>
          <w:lang w:eastAsia="es-ES"/>
        </w:rPr>
        <w:t xml:space="preserve">durante al menos </w:t>
      </w:r>
      <w:r w:rsidRPr="0074613A">
        <w:rPr>
          <w:rFonts w:ascii="Arial" w:eastAsia="等?" w:hAnsi="Arial" w:cs="Arial"/>
          <w:color w:val="auto"/>
          <w:sz w:val="20"/>
          <w:szCs w:val="20"/>
          <w:lang w:eastAsia="es-ES"/>
        </w:rPr>
        <w:t>30</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segundos</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a</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los 16</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meses, pero no</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fue confirmada en</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 xml:space="preserve">la visita de </w:t>
      </w:r>
      <w:r w:rsidR="00F74A9C">
        <w:rPr>
          <w:rFonts w:ascii="Arial" w:eastAsia="等?" w:hAnsi="Arial" w:cs="Arial"/>
          <w:color w:val="auto"/>
          <w:sz w:val="20"/>
          <w:szCs w:val="20"/>
          <w:lang w:eastAsia="es-ES"/>
        </w:rPr>
        <w:t xml:space="preserve">los </w:t>
      </w:r>
      <w:r w:rsidRPr="0074613A">
        <w:rPr>
          <w:rFonts w:ascii="Arial" w:eastAsia="等?" w:hAnsi="Arial" w:cs="Arial"/>
          <w:color w:val="auto"/>
          <w:sz w:val="20"/>
          <w:szCs w:val="20"/>
          <w:lang w:eastAsia="es-ES"/>
        </w:rPr>
        <w:t>18</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meses.</w:t>
      </w:r>
      <w:r>
        <w:rPr>
          <w:rFonts w:ascii="Arial" w:eastAsia="等?" w:hAnsi="Arial" w:cs="Arial"/>
          <w:color w:val="auto"/>
          <w:sz w:val="20"/>
          <w:szCs w:val="20"/>
          <w:lang w:eastAsia="es-ES"/>
        </w:rPr>
        <w:t xml:space="preserve"> </w:t>
      </w:r>
    </w:p>
    <w:p w14:paraId="17BB4F87" w14:textId="788BED6C" w:rsidR="0074613A" w:rsidRDefault="0074613A" w:rsidP="001F6887">
      <w:pPr>
        <w:pStyle w:val="Default"/>
        <w:spacing w:after="255" w:line="240" w:lineRule="auto"/>
        <w:jc w:val="both"/>
        <w:rPr>
          <w:rFonts w:ascii="Arial" w:eastAsia="等?" w:hAnsi="Arial" w:cs="Arial"/>
          <w:color w:val="auto"/>
          <w:sz w:val="20"/>
          <w:szCs w:val="20"/>
          <w:lang w:eastAsia="es-ES"/>
        </w:rPr>
      </w:pPr>
      <w:r w:rsidRPr="0074613A">
        <w:rPr>
          <w:rFonts w:ascii="Arial" w:eastAsia="等?" w:hAnsi="Arial" w:cs="Arial"/>
          <w:color w:val="auto"/>
          <w:sz w:val="20"/>
          <w:szCs w:val="20"/>
          <w:lang w:eastAsia="es-ES"/>
        </w:rPr>
        <w:t xml:space="preserve">Tres pacientes no alcanzaron </w:t>
      </w:r>
      <w:r>
        <w:rPr>
          <w:rFonts w:ascii="Arial" w:eastAsia="等?" w:hAnsi="Arial" w:cs="Arial"/>
          <w:color w:val="auto"/>
          <w:sz w:val="20"/>
          <w:szCs w:val="20"/>
          <w:lang w:eastAsia="es-ES"/>
        </w:rPr>
        <w:t xml:space="preserve">ningún objetivo </w:t>
      </w:r>
      <w:r w:rsidRPr="0074613A">
        <w:rPr>
          <w:rFonts w:ascii="Arial" w:eastAsia="等?" w:hAnsi="Arial" w:cs="Arial"/>
          <w:color w:val="auto"/>
          <w:sz w:val="20"/>
          <w:szCs w:val="20"/>
          <w:lang w:eastAsia="es-ES"/>
        </w:rPr>
        <w:t xml:space="preserve">motor (13,6%) y seis pacientes (27,2%) lograron control de la cabeza como </w:t>
      </w:r>
      <w:r>
        <w:rPr>
          <w:rFonts w:ascii="Arial" w:eastAsia="等?" w:hAnsi="Arial" w:cs="Arial"/>
          <w:color w:val="auto"/>
          <w:sz w:val="20"/>
          <w:szCs w:val="20"/>
          <w:lang w:eastAsia="es-ES"/>
        </w:rPr>
        <w:t xml:space="preserve">objetivo </w:t>
      </w:r>
      <w:r w:rsidRPr="0074613A">
        <w:rPr>
          <w:rFonts w:ascii="Arial" w:eastAsia="等?" w:hAnsi="Arial" w:cs="Arial"/>
          <w:color w:val="auto"/>
          <w:sz w:val="20"/>
          <w:szCs w:val="20"/>
          <w:lang w:eastAsia="es-ES"/>
        </w:rPr>
        <w:t>motor máxim</w:t>
      </w:r>
      <w:r>
        <w:rPr>
          <w:rFonts w:ascii="Arial" w:eastAsia="等?" w:hAnsi="Arial" w:cs="Arial"/>
          <w:color w:val="auto"/>
          <w:sz w:val="20"/>
          <w:szCs w:val="20"/>
          <w:lang w:eastAsia="es-ES"/>
        </w:rPr>
        <w:t>o</w:t>
      </w:r>
      <w:r w:rsidRPr="0074613A">
        <w:rPr>
          <w:rFonts w:ascii="Arial" w:eastAsia="等?" w:hAnsi="Arial" w:cs="Arial"/>
          <w:color w:val="auto"/>
          <w:sz w:val="20"/>
          <w:szCs w:val="20"/>
          <w:lang w:eastAsia="es-ES"/>
        </w:rPr>
        <w:t xml:space="preserve"> antes</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de la</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visita final del estudio a los 18</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meses de</w:t>
      </w:r>
      <w:r>
        <w:rPr>
          <w:rFonts w:ascii="Arial" w:eastAsia="等?" w:hAnsi="Arial" w:cs="Arial"/>
          <w:color w:val="auto"/>
          <w:sz w:val="20"/>
          <w:szCs w:val="20"/>
          <w:lang w:eastAsia="es-ES"/>
        </w:rPr>
        <w:t xml:space="preserve"> </w:t>
      </w:r>
      <w:r w:rsidRPr="0074613A">
        <w:rPr>
          <w:rFonts w:ascii="Arial" w:eastAsia="等?" w:hAnsi="Arial" w:cs="Arial"/>
          <w:color w:val="auto"/>
          <w:sz w:val="20"/>
          <w:szCs w:val="20"/>
          <w:lang w:eastAsia="es-ES"/>
        </w:rPr>
        <w:t>edad. Un paciente (4,5%) pudo incluso caminar con ayuda a los 12,9 meses.</w:t>
      </w:r>
    </w:p>
    <w:p w14:paraId="1B87AC36" w14:textId="77777777" w:rsidR="00995922" w:rsidRDefault="00505D4A" w:rsidP="001F6887">
      <w:pPr>
        <w:pStyle w:val="Default"/>
        <w:spacing w:after="255" w:line="240" w:lineRule="auto"/>
        <w:jc w:val="both"/>
        <w:rPr>
          <w:rFonts w:ascii="Arial" w:eastAsia="等?" w:hAnsi="Arial" w:cs="Arial"/>
          <w:color w:val="auto"/>
          <w:sz w:val="20"/>
          <w:szCs w:val="20"/>
          <w:lang w:eastAsia="es-ES"/>
        </w:rPr>
      </w:pPr>
      <w:r>
        <w:rPr>
          <w:rFonts w:ascii="Arial" w:eastAsia="等?" w:hAnsi="Arial" w:cs="Arial"/>
          <w:color w:val="auto"/>
          <w:sz w:val="20"/>
          <w:szCs w:val="20"/>
          <w:lang w:eastAsia="es-ES"/>
        </w:rPr>
        <w:t xml:space="preserve">La puntuación media basal de la escala CHOP-INTEND fue de 32,0 (+/-9,7). Todos los pacientes mostraron incremento en esta escala desde la basal. </w:t>
      </w:r>
      <w:r w:rsidR="00F74A9C">
        <w:rPr>
          <w:rFonts w:ascii="Arial" w:eastAsia="等?" w:hAnsi="Arial" w:cs="Arial"/>
          <w:color w:val="auto"/>
          <w:sz w:val="20"/>
          <w:szCs w:val="20"/>
          <w:lang w:eastAsia="es-ES"/>
        </w:rPr>
        <w:t>Los aumentos medios</w:t>
      </w:r>
      <w:r>
        <w:rPr>
          <w:rFonts w:ascii="Arial" w:eastAsia="等?" w:hAnsi="Arial" w:cs="Arial"/>
          <w:color w:val="auto"/>
          <w:sz w:val="20"/>
          <w:szCs w:val="20"/>
          <w:lang w:eastAsia="es-ES"/>
        </w:rPr>
        <w:t xml:space="preserve"> (SD) desde la basal a los meses 1, 3, 6 y 12 </w:t>
      </w:r>
      <w:r w:rsidR="00F74A9C">
        <w:rPr>
          <w:rFonts w:ascii="Arial" w:eastAsia="等?" w:hAnsi="Arial" w:cs="Arial"/>
          <w:color w:val="auto"/>
          <w:sz w:val="20"/>
          <w:szCs w:val="20"/>
          <w:lang w:eastAsia="es-ES"/>
        </w:rPr>
        <w:t xml:space="preserve">meses </w:t>
      </w:r>
      <w:r>
        <w:rPr>
          <w:rFonts w:ascii="Arial" w:eastAsia="等?" w:hAnsi="Arial" w:cs="Arial"/>
          <w:color w:val="auto"/>
          <w:sz w:val="20"/>
          <w:szCs w:val="20"/>
          <w:lang w:eastAsia="es-ES"/>
        </w:rPr>
        <w:t>tras administrar el fármaco fue</w:t>
      </w:r>
      <w:r w:rsidR="00F74A9C">
        <w:rPr>
          <w:rFonts w:ascii="Arial" w:eastAsia="等?" w:hAnsi="Arial" w:cs="Arial"/>
          <w:color w:val="auto"/>
          <w:sz w:val="20"/>
          <w:szCs w:val="20"/>
          <w:lang w:eastAsia="es-ES"/>
        </w:rPr>
        <w:t>ron</w:t>
      </w:r>
      <w:r>
        <w:rPr>
          <w:rFonts w:ascii="Arial" w:eastAsia="等?" w:hAnsi="Arial" w:cs="Arial"/>
          <w:color w:val="auto"/>
          <w:sz w:val="20"/>
          <w:szCs w:val="20"/>
          <w:lang w:eastAsia="es-ES"/>
        </w:rPr>
        <w:t xml:space="preserve"> de 6,9 (5,</w:t>
      </w:r>
      <w:r w:rsidRPr="00505D4A">
        <w:rPr>
          <w:rFonts w:ascii="Arial" w:eastAsia="等?" w:hAnsi="Arial" w:cs="Arial"/>
          <w:color w:val="auto"/>
          <w:sz w:val="20"/>
          <w:szCs w:val="20"/>
          <w:lang w:eastAsia="es-ES"/>
        </w:rPr>
        <w:t>35)</w:t>
      </w:r>
      <w:r>
        <w:rPr>
          <w:rFonts w:ascii="Arial" w:eastAsia="等?" w:hAnsi="Arial" w:cs="Arial"/>
          <w:color w:val="auto"/>
          <w:sz w:val="20"/>
          <w:szCs w:val="20"/>
          <w:lang w:eastAsia="es-ES"/>
        </w:rPr>
        <w:t>; 11,7 (6,40); 14,6 (7,</w:t>
      </w:r>
      <w:r w:rsidRPr="00505D4A">
        <w:rPr>
          <w:rFonts w:ascii="Arial" w:eastAsia="等?" w:hAnsi="Arial" w:cs="Arial"/>
          <w:color w:val="auto"/>
          <w:sz w:val="20"/>
          <w:szCs w:val="20"/>
          <w:lang w:eastAsia="es-ES"/>
        </w:rPr>
        <w:t xml:space="preserve">04) </w:t>
      </w:r>
      <w:r>
        <w:rPr>
          <w:rFonts w:ascii="Arial" w:eastAsia="等?" w:hAnsi="Arial" w:cs="Arial"/>
          <w:color w:val="auto"/>
          <w:sz w:val="20"/>
          <w:szCs w:val="20"/>
          <w:lang w:eastAsia="es-ES"/>
        </w:rPr>
        <w:t>y 16,4 (8,</w:t>
      </w:r>
      <w:r w:rsidRPr="00505D4A">
        <w:rPr>
          <w:rFonts w:ascii="Arial" w:eastAsia="等?" w:hAnsi="Arial" w:cs="Arial"/>
          <w:color w:val="auto"/>
          <w:sz w:val="20"/>
          <w:szCs w:val="20"/>
          <w:lang w:eastAsia="es-ES"/>
        </w:rPr>
        <w:t xml:space="preserve">04) </w:t>
      </w:r>
      <w:r>
        <w:rPr>
          <w:rFonts w:ascii="Arial" w:eastAsia="等?" w:hAnsi="Arial" w:cs="Arial"/>
          <w:color w:val="auto"/>
          <w:sz w:val="20"/>
          <w:szCs w:val="20"/>
          <w:lang w:eastAsia="es-ES"/>
        </w:rPr>
        <w:t>puntos respectivamente</w:t>
      </w:r>
      <w:r w:rsidRPr="00505D4A">
        <w:rPr>
          <w:rFonts w:ascii="Arial" w:eastAsia="等?" w:hAnsi="Arial" w:cs="Arial"/>
          <w:color w:val="auto"/>
          <w:sz w:val="20"/>
          <w:szCs w:val="20"/>
          <w:lang w:eastAsia="es-ES"/>
        </w:rPr>
        <w:t>.</w:t>
      </w:r>
      <w:r w:rsidR="00E3061E">
        <w:rPr>
          <w:rFonts w:ascii="Arial" w:eastAsia="等?" w:hAnsi="Arial" w:cs="Arial"/>
          <w:color w:val="auto"/>
          <w:sz w:val="20"/>
          <w:szCs w:val="20"/>
          <w:lang w:eastAsia="es-ES"/>
        </w:rPr>
        <w:t xml:space="preserve"> </w:t>
      </w:r>
    </w:p>
    <w:p w14:paraId="1D1A92B5" w14:textId="3EE645BF" w:rsidR="0048170D" w:rsidRPr="0074613A" w:rsidRDefault="0048170D" w:rsidP="001F6887">
      <w:pPr>
        <w:pStyle w:val="Default"/>
        <w:spacing w:after="255" w:line="240" w:lineRule="auto"/>
        <w:jc w:val="both"/>
        <w:rPr>
          <w:rFonts w:ascii="Arial" w:eastAsia="等?" w:hAnsi="Arial" w:cs="Arial"/>
          <w:color w:val="auto"/>
          <w:sz w:val="20"/>
          <w:szCs w:val="20"/>
          <w:lang w:eastAsia="es-ES"/>
        </w:rPr>
      </w:pPr>
      <w:r>
        <w:rPr>
          <w:rFonts w:ascii="Arial" w:eastAsia="等?" w:hAnsi="Arial" w:cs="Arial"/>
          <w:color w:val="auto"/>
          <w:sz w:val="20"/>
          <w:szCs w:val="20"/>
          <w:lang w:eastAsia="es-ES"/>
        </w:rPr>
        <w:t>Otros resultados motores se reflejan en la siguiente tabla:</w:t>
      </w:r>
    </w:p>
    <w:tbl>
      <w:tblPr>
        <w:tblW w:w="5000" w:type="pct"/>
        <w:jc w:val="center"/>
        <w:tblBorders>
          <w:top w:val="nil"/>
          <w:left w:val="nil"/>
          <w:bottom w:val="nil"/>
          <w:right w:val="nil"/>
        </w:tblBorders>
        <w:tblLook w:val="0000" w:firstRow="0" w:lastRow="0" w:firstColumn="0" w:lastColumn="0" w:noHBand="0" w:noVBand="0"/>
      </w:tblPr>
      <w:tblGrid>
        <w:gridCol w:w="2839"/>
        <w:gridCol w:w="2208"/>
        <w:gridCol w:w="1954"/>
        <w:gridCol w:w="1728"/>
      </w:tblGrid>
      <w:tr w:rsidR="0074613A" w:rsidRPr="00441B69" w14:paraId="5F3C6DF9" w14:textId="77777777" w:rsidTr="00441B69">
        <w:trPr>
          <w:trHeight w:val="552"/>
          <w:jc w:val="center"/>
        </w:trPr>
        <w:tc>
          <w:tcPr>
            <w:tcW w:w="1626" w:type="pct"/>
            <w:tcBorders>
              <w:top w:val="single" w:sz="6" w:space="0" w:color="000000"/>
              <w:left w:val="single" w:sz="4" w:space="0" w:color="000000"/>
              <w:bottom w:val="single" w:sz="2" w:space="0" w:color="000000"/>
              <w:right w:val="single" w:sz="2" w:space="0" w:color="000000"/>
            </w:tcBorders>
            <w:vAlign w:val="center"/>
          </w:tcPr>
          <w:p w14:paraId="07E69BFA" w14:textId="3503A90D" w:rsidR="0074613A" w:rsidRPr="00441B69" w:rsidRDefault="001B7104" w:rsidP="001B7104">
            <w:pPr>
              <w:autoSpaceDE w:val="0"/>
              <w:autoSpaceDN w:val="0"/>
              <w:adjustRightInd w:val="0"/>
              <w:rPr>
                <w:rFonts w:ascii="Arial" w:hAnsi="Arial" w:cs="Arial"/>
                <w:color w:val="000000"/>
                <w:sz w:val="16"/>
                <w:szCs w:val="22"/>
              </w:rPr>
            </w:pPr>
            <w:r>
              <w:rPr>
                <w:rFonts w:ascii="Arial" w:hAnsi="Arial" w:cs="Arial"/>
                <w:b/>
                <w:bCs/>
                <w:color w:val="000000"/>
                <w:sz w:val="16"/>
                <w:szCs w:val="22"/>
              </w:rPr>
              <w:t>L</w:t>
            </w:r>
            <w:r w:rsidR="0074613A" w:rsidRPr="00441B69">
              <w:rPr>
                <w:rFonts w:ascii="Arial" w:hAnsi="Arial" w:cs="Arial"/>
                <w:b/>
                <w:bCs/>
                <w:color w:val="000000"/>
                <w:sz w:val="16"/>
                <w:szCs w:val="22"/>
              </w:rPr>
              <w:t xml:space="preserve">ogro </w:t>
            </w:r>
            <w:r>
              <w:rPr>
                <w:rFonts w:ascii="Arial" w:hAnsi="Arial" w:cs="Arial"/>
                <w:b/>
                <w:bCs/>
                <w:color w:val="000000"/>
                <w:sz w:val="16"/>
                <w:szCs w:val="22"/>
              </w:rPr>
              <w:t>(</w:t>
            </w:r>
            <w:r w:rsidR="0074613A" w:rsidRPr="00441B69">
              <w:rPr>
                <w:rFonts w:ascii="Arial" w:hAnsi="Arial" w:cs="Arial"/>
                <w:b/>
                <w:bCs/>
                <w:color w:val="000000"/>
                <w:sz w:val="16"/>
                <w:szCs w:val="22"/>
              </w:rPr>
              <w:t>documentado en</w:t>
            </w:r>
            <w:r w:rsidR="0048170D" w:rsidRPr="00441B69">
              <w:rPr>
                <w:rFonts w:ascii="Arial" w:hAnsi="Arial" w:cs="Arial"/>
                <w:b/>
                <w:bCs/>
                <w:color w:val="000000"/>
                <w:sz w:val="16"/>
                <w:szCs w:val="22"/>
              </w:rPr>
              <w:t xml:space="preserve"> </w:t>
            </w:r>
            <w:r w:rsidR="0074613A" w:rsidRPr="00441B69">
              <w:rPr>
                <w:rFonts w:ascii="Arial" w:hAnsi="Arial" w:cs="Arial"/>
                <w:b/>
                <w:bCs/>
                <w:color w:val="000000"/>
                <w:sz w:val="16"/>
                <w:szCs w:val="22"/>
              </w:rPr>
              <w:t>vídeo</w:t>
            </w:r>
            <w:r>
              <w:rPr>
                <w:rFonts w:ascii="Arial" w:hAnsi="Arial" w:cs="Arial"/>
                <w:b/>
                <w:bCs/>
                <w:color w:val="000000"/>
                <w:sz w:val="16"/>
                <w:szCs w:val="22"/>
              </w:rPr>
              <w:t>)</w:t>
            </w:r>
          </w:p>
        </w:tc>
        <w:tc>
          <w:tcPr>
            <w:tcW w:w="1265" w:type="pct"/>
            <w:tcBorders>
              <w:top w:val="single" w:sz="6" w:space="0" w:color="000000"/>
              <w:left w:val="single" w:sz="2" w:space="0" w:color="000000"/>
              <w:bottom w:val="single" w:sz="2" w:space="0" w:color="000000"/>
              <w:right w:val="single" w:sz="2" w:space="0" w:color="000000"/>
            </w:tcBorders>
            <w:vAlign w:val="center"/>
          </w:tcPr>
          <w:p w14:paraId="34FA868F" w14:textId="188529FF" w:rsidR="0074613A" w:rsidRPr="00441B69" w:rsidRDefault="0074613A" w:rsidP="001F6887">
            <w:pPr>
              <w:autoSpaceDE w:val="0"/>
              <w:autoSpaceDN w:val="0"/>
              <w:adjustRightInd w:val="0"/>
              <w:jc w:val="center"/>
              <w:rPr>
                <w:rFonts w:ascii="Arial" w:hAnsi="Arial" w:cs="Arial"/>
                <w:b/>
                <w:bCs/>
                <w:color w:val="000000"/>
                <w:sz w:val="16"/>
                <w:szCs w:val="22"/>
              </w:rPr>
            </w:pPr>
            <w:r w:rsidRPr="00441B69">
              <w:rPr>
                <w:rFonts w:ascii="Arial" w:hAnsi="Arial" w:cs="Arial"/>
                <w:b/>
                <w:bCs/>
                <w:color w:val="000000"/>
                <w:sz w:val="16"/>
                <w:szCs w:val="22"/>
              </w:rPr>
              <w:t xml:space="preserve">Cantidad de pacientes que </w:t>
            </w:r>
            <w:r w:rsidR="0048170D" w:rsidRPr="00441B69">
              <w:rPr>
                <w:rFonts w:ascii="Arial" w:hAnsi="Arial" w:cs="Arial"/>
                <w:b/>
                <w:bCs/>
                <w:color w:val="000000"/>
                <w:sz w:val="16"/>
                <w:szCs w:val="22"/>
              </w:rPr>
              <w:t>alcanzan objetivo</w:t>
            </w:r>
            <w:r w:rsidR="00DD0CD8" w:rsidRPr="00441B69">
              <w:rPr>
                <w:rFonts w:ascii="Arial" w:hAnsi="Arial" w:cs="Arial"/>
                <w:b/>
                <w:bCs/>
                <w:color w:val="000000"/>
                <w:sz w:val="16"/>
                <w:szCs w:val="22"/>
              </w:rPr>
              <w:t xml:space="preserve">/N </w:t>
            </w:r>
            <w:r w:rsidRPr="00441B69">
              <w:rPr>
                <w:rFonts w:ascii="Arial" w:hAnsi="Arial" w:cs="Arial"/>
                <w:b/>
                <w:bCs/>
                <w:color w:val="000000"/>
                <w:sz w:val="16"/>
                <w:szCs w:val="22"/>
              </w:rPr>
              <w:t>(%)</w:t>
            </w:r>
          </w:p>
        </w:tc>
        <w:tc>
          <w:tcPr>
            <w:tcW w:w="1119" w:type="pct"/>
            <w:tcBorders>
              <w:top w:val="single" w:sz="6" w:space="0" w:color="000000"/>
              <w:left w:val="single" w:sz="2" w:space="0" w:color="000000"/>
              <w:bottom w:val="single" w:sz="2" w:space="0" w:color="000000"/>
              <w:right w:val="single" w:sz="2" w:space="0" w:color="000000"/>
            </w:tcBorders>
            <w:vAlign w:val="center"/>
          </w:tcPr>
          <w:p w14:paraId="0A08F365" w14:textId="6DA3127F" w:rsidR="0074613A" w:rsidRPr="00441B69" w:rsidRDefault="0074613A" w:rsidP="001F6887">
            <w:pPr>
              <w:autoSpaceDE w:val="0"/>
              <w:autoSpaceDN w:val="0"/>
              <w:adjustRightInd w:val="0"/>
              <w:jc w:val="center"/>
              <w:rPr>
                <w:rFonts w:ascii="Arial" w:hAnsi="Arial" w:cs="Arial"/>
                <w:b/>
                <w:bCs/>
                <w:color w:val="000000"/>
                <w:sz w:val="16"/>
                <w:szCs w:val="22"/>
              </w:rPr>
            </w:pPr>
            <w:r w:rsidRPr="00441B69">
              <w:rPr>
                <w:rFonts w:ascii="Arial" w:hAnsi="Arial" w:cs="Arial"/>
                <w:b/>
                <w:bCs/>
                <w:color w:val="000000"/>
                <w:sz w:val="16"/>
                <w:szCs w:val="22"/>
              </w:rPr>
              <w:t xml:space="preserve">Mediana de edad hasta </w:t>
            </w:r>
            <w:r w:rsidR="0048170D" w:rsidRPr="00441B69">
              <w:rPr>
                <w:rFonts w:ascii="Arial" w:hAnsi="Arial" w:cs="Arial"/>
                <w:b/>
                <w:bCs/>
                <w:color w:val="000000"/>
                <w:sz w:val="16"/>
                <w:szCs w:val="22"/>
              </w:rPr>
              <w:t xml:space="preserve">el logro del objetivo </w:t>
            </w:r>
            <w:r w:rsidR="00DD0CD8" w:rsidRPr="00441B69">
              <w:rPr>
                <w:rFonts w:ascii="Arial" w:hAnsi="Arial" w:cs="Arial"/>
                <w:b/>
                <w:bCs/>
                <w:color w:val="000000"/>
                <w:sz w:val="16"/>
                <w:szCs w:val="22"/>
              </w:rPr>
              <w:t>(m</w:t>
            </w:r>
            <w:r w:rsidRPr="00441B69">
              <w:rPr>
                <w:rFonts w:ascii="Arial" w:hAnsi="Arial" w:cs="Arial"/>
                <w:b/>
                <w:bCs/>
                <w:color w:val="000000"/>
                <w:sz w:val="16"/>
                <w:szCs w:val="22"/>
              </w:rPr>
              <w:t>eses)</w:t>
            </w:r>
          </w:p>
        </w:tc>
        <w:tc>
          <w:tcPr>
            <w:tcW w:w="990" w:type="pct"/>
            <w:tcBorders>
              <w:top w:val="single" w:sz="6" w:space="0" w:color="000000"/>
              <w:left w:val="single" w:sz="2" w:space="0" w:color="000000"/>
              <w:bottom w:val="single" w:sz="2" w:space="0" w:color="000000"/>
              <w:right w:val="single" w:sz="4" w:space="0" w:color="000000"/>
            </w:tcBorders>
            <w:vAlign w:val="center"/>
          </w:tcPr>
          <w:p w14:paraId="146E1C32" w14:textId="7208BDF6" w:rsidR="0074613A" w:rsidRPr="00441B69" w:rsidRDefault="0074613A" w:rsidP="001F6887">
            <w:pPr>
              <w:autoSpaceDE w:val="0"/>
              <w:autoSpaceDN w:val="0"/>
              <w:adjustRightInd w:val="0"/>
              <w:jc w:val="center"/>
              <w:rPr>
                <w:rFonts w:ascii="Arial" w:hAnsi="Arial" w:cs="Arial"/>
                <w:b/>
                <w:bCs/>
                <w:color w:val="000000"/>
                <w:sz w:val="16"/>
                <w:szCs w:val="22"/>
              </w:rPr>
            </w:pPr>
            <w:r w:rsidRPr="00441B69">
              <w:rPr>
                <w:rFonts w:ascii="Arial" w:hAnsi="Arial" w:cs="Arial"/>
                <w:b/>
                <w:bCs/>
                <w:color w:val="000000"/>
                <w:sz w:val="16"/>
                <w:szCs w:val="22"/>
              </w:rPr>
              <w:t>Intervalo de confianza del</w:t>
            </w:r>
            <w:r w:rsidR="0048170D" w:rsidRPr="00441B69">
              <w:rPr>
                <w:rFonts w:ascii="Arial" w:hAnsi="Arial" w:cs="Arial"/>
                <w:b/>
                <w:bCs/>
                <w:color w:val="000000"/>
                <w:sz w:val="16"/>
                <w:szCs w:val="22"/>
              </w:rPr>
              <w:t xml:space="preserve"> </w:t>
            </w:r>
            <w:r w:rsidRPr="00441B69">
              <w:rPr>
                <w:rFonts w:ascii="Arial" w:hAnsi="Arial" w:cs="Arial"/>
                <w:b/>
                <w:bCs/>
                <w:color w:val="000000"/>
                <w:sz w:val="16"/>
                <w:szCs w:val="22"/>
              </w:rPr>
              <w:t>95%</w:t>
            </w:r>
          </w:p>
        </w:tc>
      </w:tr>
      <w:tr w:rsidR="0074613A" w:rsidRPr="00441B69" w14:paraId="4D900F70" w14:textId="77777777" w:rsidTr="00441B69">
        <w:trPr>
          <w:trHeight w:val="552"/>
          <w:jc w:val="center"/>
        </w:trPr>
        <w:tc>
          <w:tcPr>
            <w:tcW w:w="1626" w:type="pct"/>
            <w:tcBorders>
              <w:top w:val="single" w:sz="2" w:space="0" w:color="000000"/>
              <w:left w:val="single" w:sz="4" w:space="0" w:color="000000"/>
              <w:bottom w:val="single" w:sz="2" w:space="0" w:color="000000"/>
              <w:right w:val="single" w:sz="2" w:space="0" w:color="000000"/>
            </w:tcBorders>
            <w:vAlign w:val="center"/>
          </w:tcPr>
          <w:p w14:paraId="2C53D20F" w14:textId="6087D6D3" w:rsidR="0074613A" w:rsidRPr="00441B69" w:rsidRDefault="0074613A" w:rsidP="001F6887">
            <w:pPr>
              <w:autoSpaceDE w:val="0"/>
              <w:autoSpaceDN w:val="0"/>
              <w:adjustRightInd w:val="0"/>
              <w:rPr>
                <w:rFonts w:ascii="Arial" w:hAnsi="Arial" w:cs="Arial"/>
                <w:color w:val="000000"/>
                <w:sz w:val="16"/>
                <w:szCs w:val="22"/>
              </w:rPr>
            </w:pPr>
            <w:r w:rsidRPr="00441B69">
              <w:rPr>
                <w:rFonts w:ascii="Arial" w:hAnsi="Arial" w:cs="Arial"/>
                <w:color w:val="000000"/>
                <w:sz w:val="16"/>
                <w:szCs w:val="22"/>
              </w:rPr>
              <w:t>Control de la</w:t>
            </w:r>
            <w:r w:rsidR="0048170D" w:rsidRPr="00441B69">
              <w:rPr>
                <w:rFonts w:ascii="Arial" w:hAnsi="Arial" w:cs="Arial"/>
                <w:color w:val="000000"/>
                <w:sz w:val="16"/>
                <w:szCs w:val="22"/>
              </w:rPr>
              <w:t xml:space="preserve"> </w:t>
            </w:r>
            <w:r w:rsidRPr="00441B69">
              <w:rPr>
                <w:rFonts w:ascii="Arial" w:hAnsi="Arial" w:cs="Arial"/>
                <w:color w:val="000000"/>
                <w:sz w:val="16"/>
                <w:szCs w:val="22"/>
              </w:rPr>
              <w:t>cabeza</w:t>
            </w:r>
          </w:p>
        </w:tc>
        <w:tc>
          <w:tcPr>
            <w:tcW w:w="1265" w:type="pct"/>
            <w:tcBorders>
              <w:top w:val="single" w:sz="2" w:space="0" w:color="000000"/>
              <w:left w:val="single" w:sz="2" w:space="0" w:color="000000"/>
              <w:bottom w:val="single" w:sz="2" w:space="0" w:color="000000"/>
              <w:right w:val="single" w:sz="2" w:space="0" w:color="000000"/>
            </w:tcBorders>
            <w:vAlign w:val="center"/>
          </w:tcPr>
          <w:p w14:paraId="26AE52CE" w14:textId="77777777"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17/20 (85)</w:t>
            </w:r>
          </w:p>
        </w:tc>
        <w:tc>
          <w:tcPr>
            <w:tcW w:w="1119" w:type="pct"/>
            <w:tcBorders>
              <w:top w:val="single" w:sz="2" w:space="0" w:color="000000"/>
              <w:left w:val="single" w:sz="2" w:space="0" w:color="000000"/>
              <w:bottom w:val="single" w:sz="2" w:space="0" w:color="000000"/>
              <w:right w:val="single" w:sz="2" w:space="0" w:color="000000"/>
            </w:tcBorders>
            <w:vAlign w:val="center"/>
          </w:tcPr>
          <w:p w14:paraId="08AB7C03" w14:textId="77777777"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6,8</w:t>
            </w:r>
          </w:p>
        </w:tc>
        <w:tc>
          <w:tcPr>
            <w:tcW w:w="990" w:type="pct"/>
            <w:tcBorders>
              <w:top w:val="single" w:sz="2" w:space="0" w:color="000000"/>
              <w:left w:val="single" w:sz="2" w:space="0" w:color="000000"/>
              <w:bottom w:val="single" w:sz="2" w:space="0" w:color="000000"/>
              <w:right w:val="single" w:sz="4" w:space="0" w:color="000000"/>
            </w:tcBorders>
            <w:vAlign w:val="center"/>
          </w:tcPr>
          <w:p w14:paraId="35C12408" w14:textId="42E7C9D2"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(4,77</w:t>
            </w:r>
            <w:r w:rsidR="0048170D" w:rsidRPr="00441B69">
              <w:rPr>
                <w:rFonts w:ascii="Arial" w:hAnsi="Arial" w:cs="Arial"/>
                <w:color w:val="000000"/>
                <w:sz w:val="16"/>
                <w:szCs w:val="22"/>
              </w:rPr>
              <w:t>-</w:t>
            </w:r>
            <w:r w:rsidRPr="00441B69">
              <w:rPr>
                <w:rFonts w:ascii="Arial" w:hAnsi="Arial" w:cs="Arial"/>
                <w:color w:val="000000"/>
                <w:sz w:val="16"/>
                <w:szCs w:val="22"/>
              </w:rPr>
              <w:t>7,17)</w:t>
            </w:r>
          </w:p>
        </w:tc>
      </w:tr>
      <w:tr w:rsidR="0074613A" w:rsidRPr="00441B69" w14:paraId="70622A70" w14:textId="77777777" w:rsidTr="00441B69">
        <w:trPr>
          <w:trHeight w:val="552"/>
          <w:jc w:val="center"/>
        </w:trPr>
        <w:tc>
          <w:tcPr>
            <w:tcW w:w="1626" w:type="pct"/>
            <w:tcBorders>
              <w:top w:val="single" w:sz="2" w:space="0" w:color="000000"/>
              <w:left w:val="single" w:sz="4" w:space="0" w:color="000000"/>
              <w:bottom w:val="single" w:sz="2" w:space="0" w:color="000000"/>
              <w:right w:val="single" w:sz="2" w:space="0" w:color="000000"/>
            </w:tcBorders>
            <w:vAlign w:val="center"/>
          </w:tcPr>
          <w:p w14:paraId="2AAD0EEF" w14:textId="513651E2" w:rsidR="0074613A" w:rsidRPr="00441B69" w:rsidRDefault="0074613A" w:rsidP="001F6887">
            <w:pPr>
              <w:autoSpaceDE w:val="0"/>
              <w:autoSpaceDN w:val="0"/>
              <w:adjustRightInd w:val="0"/>
              <w:rPr>
                <w:rFonts w:ascii="Arial" w:hAnsi="Arial" w:cs="Arial"/>
                <w:color w:val="000000"/>
                <w:sz w:val="16"/>
                <w:szCs w:val="22"/>
              </w:rPr>
            </w:pPr>
            <w:r w:rsidRPr="00441B69">
              <w:rPr>
                <w:rFonts w:ascii="Arial" w:hAnsi="Arial" w:cs="Arial"/>
                <w:color w:val="000000"/>
                <w:sz w:val="16"/>
                <w:szCs w:val="22"/>
              </w:rPr>
              <w:t>Giro de decúbito dorsal a</w:t>
            </w:r>
            <w:r w:rsidR="0048170D" w:rsidRPr="00441B69">
              <w:rPr>
                <w:rFonts w:ascii="Arial" w:hAnsi="Arial" w:cs="Arial"/>
                <w:color w:val="000000"/>
                <w:sz w:val="16"/>
                <w:szCs w:val="22"/>
              </w:rPr>
              <w:t xml:space="preserve"> </w:t>
            </w:r>
            <w:r w:rsidRPr="00441B69">
              <w:rPr>
                <w:rFonts w:ascii="Arial" w:hAnsi="Arial" w:cs="Arial"/>
                <w:color w:val="000000"/>
                <w:sz w:val="16"/>
                <w:szCs w:val="22"/>
              </w:rPr>
              <w:t>lateral</w:t>
            </w:r>
          </w:p>
        </w:tc>
        <w:tc>
          <w:tcPr>
            <w:tcW w:w="1265" w:type="pct"/>
            <w:tcBorders>
              <w:top w:val="single" w:sz="2" w:space="0" w:color="000000"/>
              <w:left w:val="single" w:sz="2" w:space="0" w:color="000000"/>
              <w:bottom w:val="single" w:sz="2" w:space="0" w:color="000000"/>
              <w:right w:val="single" w:sz="2" w:space="0" w:color="000000"/>
            </w:tcBorders>
            <w:vAlign w:val="center"/>
          </w:tcPr>
          <w:p w14:paraId="4C22B918" w14:textId="77777777"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13/22 (59)</w:t>
            </w:r>
          </w:p>
        </w:tc>
        <w:tc>
          <w:tcPr>
            <w:tcW w:w="1119" w:type="pct"/>
            <w:tcBorders>
              <w:top w:val="single" w:sz="2" w:space="0" w:color="000000"/>
              <w:left w:val="single" w:sz="2" w:space="0" w:color="000000"/>
              <w:bottom w:val="single" w:sz="2" w:space="0" w:color="000000"/>
              <w:right w:val="single" w:sz="2" w:space="0" w:color="000000"/>
            </w:tcBorders>
            <w:vAlign w:val="center"/>
          </w:tcPr>
          <w:p w14:paraId="6B23B87D" w14:textId="77777777"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11,5</w:t>
            </w:r>
          </w:p>
        </w:tc>
        <w:tc>
          <w:tcPr>
            <w:tcW w:w="990" w:type="pct"/>
            <w:tcBorders>
              <w:top w:val="single" w:sz="2" w:space="0" w:color="000000"/>
              <w:left w:val="single" w:sz="2" w:space="0" w:color="000000"/>
              <w:bottom w:val="single" w:sz="2" w:space="0" w:color="000000"/>
              <w:right w:val="single" w:sz="4" w:space="0" w:color="000000"/>
            </w:tcBorders>
            <w:vAlign w:val="center"/>
          </w:tcPr>
          <w:p w14:paraId="54698D64" w14:textId="55A3C90D"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(7,77</w:t>
            </w:r>
            <w:r w:rsidR="0048170D" w:rsidRPr="00441B69">
              <w:rPr>
                <w:rFonts w:ascii="Arial" w:hAnsi="Arial" w:cs="Arial"/>
                <w:color w:val="000000"/>
                <w:sz w:val="16"/>
                <w:szCs w:val="22"/>
              </w:rPr>
              <w:t>-</w:t>
            </w:r>
            <w:r w:rsidRPr="00441B69">
              <w:rPr>
                <w:rFonts w:ascii="Arial" w:hAnsi="Arial" w:cs="Arial"/>
                <w:color w:val="000000"/>
                <w:sz w:val="16"/>
                <w:szCs w:val="22"/>
              </w:rPr>
              <w:t>14,53)</w:t>
            </w:r>
          </w:p>
        </w:tc>
      </w:tr>
      <w:tr w:rsidR="0074613A" w:rsidRPr="00441B69" w14:paraId="1F3C0240" w14:textId="77777777" w:rsidTr="00441B69">
        <w:trPr>
          <w:trHeight w:val="552"/>
          <w:jc w:val="center"/>
        </w:trPr>
        <w:tc>
          <w:tcPr>
            <w:tcW w:w="1626" w:type="pct"/>
            <w:tcBorders>
              <w:top w:val="single" w:sz="2" w:space="0" w:color="000000"/>
              <w:left w:val="single" w:sz="4" w:space="0" w:color="000000"/>
              <w:bottom w:val="single" w:sz="2" w:space="0" w:color="000000"/>
              <w:right w:val="single" w:sz="2" w:space="0" w:color="000000"/>
            </w:tcBorders>
            <w:vAlign w:val="center"/>
          </w:tcPr>
          <w:p w14:paraId="01030739" w14:textId="70431B2F" w:rsidR="0074613A" w:rsidRPr="00441B69" w:rsidRDefault="0074613A" w:rsidP="001F6887">
            <w:pPr>
              <w:autoSpaceDE w:val="0"/>
              <w:autoSpaceDN w:val="0"/>
              <w:adjustRightInd w:val="0"/>
              <w:rPr>
                <w:rFonts w:ascii="Arial" w:hAnsi="Arial" w:cs="Arial"/>
                <w:color w:val="000000"/>
                <w:sz w:val="16"/>
                <w:szCs w:val="22"/>
              </w:rPr>
            </w:pPr>
            <w:r w:rsidRPr="00441B69">
              <w:rPr>
                <w:rFonts w:ascii="Arial" w:hAnsi="Arial" w:cs="Arial"/>
                <w:color w:val="000000"/>
                <w:sz w:val="16"/>
                <w:szCs w:val="22"/>
              </w:rPr>
              <w:t xml:space="preserve">Sentado sin apoyo </w:t>
            </w:r>
            <w:r w:rsidR="00DA1E86">
              <w:rPr>
                <w:rFonts w:ascii="Arial" w:hAnsi="Arial" w:cs="Arial"/>
                <w:color w:val="000000"/>
                <w:sz w:val="16"/>
                <w:szCs w:val="22"/>
              </w:rPr>
              <w:t>al menos durante</w:t>
            </w:r>
            <w:r w:rsidR="0048170D" w:rsidRPr="00441B69">
              <w:rPr>
                <w:rFonts w:ascii="Arial" w:hAnsi="Arial" w:cs="Arial"/>
                <w:color w:val="000000"/>
                <w:sz w:val="16"/>
                <w:szCs w:val="22"/>
              </w:rPr>
              <w:t xml:space="preserve"> </w:t>
            </w:r>
            <w:r w:rsidRPr="00441B69">
              <w:rPr>
                <w:rFonts w:ascii="Arial" w:hAnsi="Arial" w:cs="Arial"/>
                <w:color w:val="000000"/>
                <w:sz w:val="16"/>
                <w:szCs w:val="22"/>
              </w:rPr>
              <w:t>30</w:t>
            </w:r>
            <w:r w:rsidR="0048170D" w:rsidRPr="00441B69">
              <w:rPr>
                <w:rFonts w:ascii="Arial" w:hAnsi="Arial" w:cs="Arial"/>
                <w:color w:val="000000"/>
                <w:sz w:val="16"/>
                <w:szCs w:val="22"/>
              </w:rPr>
              <w:t xml:space="preserve"> </w:t>
            </w:r>
            <w:r w:rsidRPr="00441B69">
              <w:rPr>
                <w:rFonts w:ascii="Arial" w:hAnsi="Arial" w:cs="Arial"/>
                <w:color w:val="000000"/>
                <w:sz w:val="16"/>
                <w:szCs w:val="22"/>
              </w:rPr>
              <w:t>segundos</w:t>
            </w:r>
          </w:p>
        </w:tc>
        <w:tc>
          <w:tcPr>
            <w:tcW w:w="1265" w:type="pct"/>
            <w:tcBorders>
              <w:top w:val="single" w:sz="2" w:space="0" w:color="000000"/>
              <w:left w:val="single" w:sz="2" w:space="0" w:color="000000"/>
              <w:bottom w:val="single" w:sz="2" w:space="0" w:color="000000"/>
              <w:right w:val="single" w:sz="2" w:space="0" w:color="000000"/>
            </w:tcBorders>
            <w:vAlign w:val="center"/>
          </w:tcPr>
          <w:p w14:paraId="6C38C4FC" w14:textId="77777777"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14/22 (64)</w:t>
            </w:r>
          </w:p>
        </w:tc>
        <w:tc>
          <w:tcPr>
            <w:tcW w:w="1119" w:type="pct"/>
            <w:tcBorders>
              <w:top w:val="single" w:sz="2" w:space="0" w:color="000000"/>
              <w:left w:val="single" w:sz="2" w:space="0" w:color="000000"/>
              <w:bottom w:val="single" w:sz="2" w:space="0" w:color="000000"/>
              <w:right w:val="single" w:sz="2" w:space="0" w:color="000000"/>
            </w:tcBorders>
            <w:vAlign w:val="center"/>
          </w:tcPr>
          <w:p w14:paraId="58E9E8FD" w14:textId="53CA59C7"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12,5</w:t>
            </w:r>
          </w:p>
        </w:tc>
        <w:tc>
          <w:tcPr>
            <w:tcW w:w="990" w:type="pct"/>
            <w:tcBorders>
              <w:top w:val="single" w:sz="2" w:space="0" w:color="000000"/>
              <w:left w:val="single" w:sz="2" w:space="0" w:color="000000"/>
              <w:bottom w:val="single" w:sz="2" w:space="0" w:color="000000"/>
              <w:right w:val="single" w:sz="4" w:space="0" w:color="000000"/>
            </w:tcBorders>
            <w:vAlign w:val="center"/>
          </w:tcPr>
          <w:p w14:paraId="209C1771" w14:textId="6927F745"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(10,17</w:t>
            </w:r>
            <w:r w:rsidR="0048170D" w:rsidRPr="00441B69">
              <w:rPr>
                <w:rFonts w:ascii="Arial" w:hAnsi="Arial" w:cs="Arial"/>
                <w:color w:val="000000"/>
                <w:sz w:val="16"/>
                <w:szCs w:val="22"/>
              </w:rPr>
              <w:t>-</w:t>
            </w:r>
            <w:r w:rsidRPr="00441B69">
              <w:rPr>
                <w:rFonts w:ascii="Arial" w:hAnsi="Arial" w:cs="Arial"/>
                <w:color w:val="000000"/>
                <w:sz w:val="16"/>
                <w:szCs w:val="22"/>
              </w:rPr>
              <w:t>15,20)</w:t>
            </w:r>
          </w:p>
        </w:tc>
      </w:tr>
      <w:tr w:rsidR="0074613A" w:rsidRPr="00441B69" w14:paraId="40014617" w14:textId="77777777" w:rsidTr="00441B69">
        <w:trPr>
          <w:trHeight w:val="552"/>
          <w:jc w:val="center"/>
        </w:trPr>
        <w:tc>
          <w:tcPr>
            <w:tcW w:w="1626" w:type="pct"/>
            <w:tcBorders>
              <w:top w:val="single" w:sz="2" w:space="0" w:color="000000"/>
              <w:left w:val="single" w:sz="4" w:space="0" w:color="000000"/>
              <w:bottom w:val="single" w:sz="6" w:space="0" w:color="000000"/>
              <w:right w:val="single" w:sz="2" w:space="0" w:color="000000"/>
            </w:tcBorders>
            <w:vAlign w:val="center"/>
          </w:tcPr>
          <w:p w14:paraId="5C2F0D91" w14:textId="40755DF8" w:rsidR="0074613A" w:rsidRPr="00441B69" w:rsidRDefault="0074613A" w:rsidP="001F6887">
            <w:pPr>
              <w:autoSpaceDE w:val="0"/>
              <w:autoSpaceDN w:val="0"/>
              <w:adjustRightInd w:val="0"/>
              <w:rPr>
                <w:rFonts w:ascii="Arial" w:hAnsi="Arial" w:cs="Arial"/>
                <w:color w:val="000000"/>
                <w:sz w:val="16"/>
                <w:szCs w:val="22"/>
              </w:rPr>
            </w:pPr>
            <w:r w:rsidRPr="00441B69">
              <w:rPr>
                <w:rFonts w:ascii="Arial" w:hAnsi="Arial" w:cs="Arial"/>
                <w:color w:val="000000"/>
                <w:sz w:val="16"/>
                <w:szCs w:val="22"/>
              </w:rPr>
              <w:t xml:space="preserve">Sentado sin </w:t>
            </w:r>
            <w:r w:rsidR="00DA1E86" w:rsidRPr="00441B69">
              <w:rPr>
                <w:rFonts w:ascii="Arial" w:hAnsi="Arial" w:cs="Arial"/>
                <w:color w:val="000000"/>
                <w:sz w:val="16"/>
                <w:szCs w:val="22"/>
              </w:rPr>
              <w:t xml:space="preserve">apoyo </w:t>
            </w:r>
            <w:r w:rsidR="00DA1E86">
              <w:rPr>
                <w:rFonts w:ascii="Arial" w:hAnsi="Arial" w:cs="Arial"/>
                <w:color w:val="000000"/>
                <w:sz w:val="16"/>
                <w:szCs w:val="22"/>
              </w:rPr>
              <w:t>al menos durante</w:t>
            </w:r>
            <w:r w:rsidR="00DA1E86" w:rsidRPr="00441B69">
              <w:rPr>
                <w:rFonts w:ascii="Arial" w:hAnsi="Arial" w:cs="Arial"/>
                <w:color w:val="000000"/>
                <w:sz w:val="16"/>
                <w:szCs w:val="22"/>
              </w:rPr>
              <w:t xml:space="preserve"> </w:t>
            </w:r>
            <w:r w:rsidRPr="00441B69">
              <w:rPr>
                <w:rFonts w:ascii="Arial" w:hAnsi="Arial" w:cs="Arial"/>
                <w:color w:val="000000"/>
                <w:sz w:val="16"/>
                <w:szCs w:val="22"/>
              </w:rPr>
              <w:t>10</w:t>
            </w:r>
            <w:r w:rsidR="0048170D" w:rsidRPr="00441B69">
              <w:rPr>
                <w:rFonts w:ascii="Arial" w:hAnsi="Arial" w:cs="Arial"/>
                <w:color w:val="000000"/>
                <w:sz w:val="16"/>
                <w:szCs w:val="22"/>
              </w:rPr>
              <w:t xml:space="preserve"> </w:t>
            </w:r>
            <w:r w:rsidRPr="00441B69">
              <w:rPr>
                <w:rFonts w:ascii="Arial" w:hAnsi="Arial" w:cs="Arial"/>
                <w:color w:val="000000"/>
                <w:sz w:val="16"/>
                <w:szCs w:val="22"/>
              </w:rPr>
              <w:t xml:space="preserve">segundos </w:t>
            </w:r>
          </w:p>
        </w:tc>
        <w:tc>
          <w:tcPr>
            <w:tcW w:w="1265" w:type="pct"/>
            <w:tcBorders>
              <w:top w:val="single" w:sz="2" w:space="0" w:color="000000"/>
              <w:left w:val="single" w:sz="2" w:space="0" w:color="000000"/>
              <w:bottom w:val="single" w:sz="6" w:space="0" w:color="000000"/>
              <w:right w:val="single" w:sz="2" w:space="0" w:color="000000"/>
            </w:tcBorders>
            <w:vAlign w:val="center"/>
          </w:tcPr>
          <w:p w14:paraId="142855FC" w14:textId="77777777"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14/22 (64)</w:t>
            </w:r>
          </w:p>
        </w:tc>
        <w:tc>
          <w:tcPr>
            <w:tcW w:w="1119" w:type="pct"/>
            <w:tcBorders>
              <w:top w:val="single" w:sz="2" w:space="0" w:color="000000"/>
              <w:left w:val="single" w:sz="2" w:space="0" w:color="000000"/>
              <w:bottom w:val="single" w:sz="6" w:space="0" w:color="000000"/>
              <w:right w:val="single" w:sz="2" w:space="0" w:color="000000"/>
            </w:tcBorders>
            <w:vAlign w:val="center"/>
          </w:tcPr>
          <w:p w14:paraId="6A776402" w14:textId="77777777"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13,9</w:t>
            </w:r>
          </w:p>
        </w:tc>
        <w:tc>
          <w:tcPr>
            <w:tcW w:w="990" w:type="pct"/>
            <w:tcBorders>
              <w:top w:val="single" w:sz="2" w:space="0" w:color="000000"/>
              <w:left w:val="single" w:sz="2" w:space="0" w:color="000000"/>
              <w:bottom w:val="single" w:sz="6" w:space="0" w:color="000000"/>
              <w:right w:val="single" w:sz="4" w:space="0" w:color="000000"/>
            </w:tcBorders>
            <w:vAlign w:val="center"/>
          </w:tcPr>
          <w:p w14:paraId="01449B2A" w14:textId="70B099C5" w:rsidR="0074613A" w:rsidRPr="00441B69" w:rsidRDefault="0074613A" w:rsidP="001F6887">
            <w:pPr>
              <w:autoSpaceDE w:val="0"/>
              <w:autoSpaceDN w:val="0"/>
              <w:adjustRightInd w:val="0"/>
              <w:jc w:val="center"/>
              <w:rPr>
                <w:rFonts w:ascii="Arial" w:hAnsi="Arial" w:cs="Arial"/>
                <w:color w:val="000000"/>
                <w:sz w:val="16"/>
                <w:szCs w:val="22"/>
              </w:rPr>
            </w:pPr>
            <w:r w:rsidRPr="00441B69">
              <w:rPr>
                <w:rFonts w:ascii="Arial" w:hAnsi="Arial" w:cs="Arial"/>
                <w:color w:val="000000"/>
                <w:sz w:val="16"/>
                <w:szCs w:val="22"/>
              </w:rPr>
              <w:t>(11,00</w:t>
            </w:r>
            <w:r w:rsidR="0048170D" w:rsidRPr="00441B69">
              <w:rPr>
                <w:rFonts w:ascii="Arial" w:hAnsi="Arial" w:cs="Arial"/>
                <w:color w:val="000000"/>
                <w:sz w:val="16"/>
                <w:szCs w:val="22"/>
              </w:rPr>
              <w:t>-</w:t>
            </w:r>
            <w:r w:rsidRPr="00441B69">
              <w:rPr>
                <w:rFonts w:ascii="Arial" w:hAnsi="Arial" w:cs="Arial"/>
                <w:color w:val="000000"/>
                <w:sz w:val="16"/>
                <w:szCs w:val="22"/>
              </w:rPr>
              <w:t>16,17)</w:t>
            </w:r>
          </w:p>
        </w:tc>
      </w:tr>
    </w:tbl>
    <w:p w14:paraId="24098EBF" w14:textId="77777777" w:rsidR="00DD0CD8" w:rsidRDefault="00DD0CD8" w:rsidP="001F6887">
      <w:pPr>
        <w:autoSpaceDE w:val="0"/>
        <w:autoSpaceDN w:val="0"/>
        <w:adjustRightInd w:val="0"/>
        <w:jc w:val="both"/>
        <w:rPr>
          <w:rFonts w:ascii="Arial" w:hAnsi="Arial" w:cs="Arial"/>
          <w:sz w:val="20"/>
          <w:szCs w:val="20"/>
        </w:rPr>
      </w:pPr>
    </w:p>
    <w:p w14:paraId="10C7775F" w14:textId="0871F41B" w:rsidR="0048170D" w:rsidRDefault="002D66B3" w:rsidP="001F6887">
      <w:pPr>
        <w:autoSpaceDE w:val="0"/>
        <w:autoSpaceDN w:val="0"/>
        <w:adjustRightInd w:val="0"/>
        <w:jc w:val="both"/>
        <w:rPr>
          <w:rFonts w:ascii="Arial" w:hAnsi="Arial" w:cs="Arial"/>
          <w:sz w:val="20"/>
          <w:szCs w:val="20"/>
        </w:rPr>
      </w:pPr>
      <w:r>
        <w:rPr>
          <w:rFonts w:ascii="Arial" w:hAnsi="Arial" w:cs="Arial"/>
          <w:sz w:val="20"/>
          <w:szCs w:val="20"/>
        </w:rPr>
        <w:t>Se observó el logro de objetivos motores en algunos pacientes a pesar del amesetamiento de las puntuaciones CHOP-INTEND. No se observó una correlación clara entre las puntuaciones y el logro de objetivos motores.</w:t>
      </w:r>
    </w:p>
    <w:p w14:paraId="7B79F9A4" w14:textId="77777777" w:rsidR="00C14E15" w:rsidRDefault="00C14E15" w:rsidP="001F6887">
      <w:pPr>
        <w:autoSpaceDE w:val="0"/>
        <w:autoSpaceDN w:val="0"/>
        <w:adjustRightInd w:val="0"/>
        <w:jc w:val="both"/>
        <w:rPr>
          <w:rFonts w:ascii="Arial" w:hAnsi="Arial" w:cs="Arial"/>
          <w:sz w:val="20"/>
          <w:szCs w:val="20"/>
        </w:rPr>
      </w:pPr>
    </w:p>
    <w:p w14:paraId="1901783D" w14:textId="70847B6F" w:rsidR="00AF0DE8" w:rsidRPr="00130447" w:rsidRDefault="00AF0DE8" w:rsidP="00AF0DE8">
      <w:pPr>
        <w:autoSpaceDE w:val="0"/>
        <w:autoSpaceDN w:val="0"/>
        <w:adjustRightInd w:val="0"/>
        <w:jc w:val="both"/>
        <w:rPr>
          <w:rFonts w:ascii="Arial" w:hAnsi="Arial" w:cs="Arial"/>
          <w:sz w:val="20"/>
          <w:szCs w:val="20"/>
        </w:rPr>
      </w:pPr>
      <w:r w:rsidRPr="00441B69">
        <w:rPr>
          <w:rFonts w:ascii="Arial" w:hAnsi="Arial" w:cs="Arial"/>
          <w:sz w:val="20"/>
          <w:szCs w:val="20"/>
        </w:rPr>
        <w:t xml:space="preserve">El </w:t>
      </w:r>
      <w:r w:rsidRPr="00774D20">
        <w:rPr>
          <w:rFonts w:ascii="Arial" w:hAnsi="Arial" w:cs="Arial"/>
          <w:sz w:val="20"/>
          <w:szCs w:val="20"/>
        </w:rPr>
        <w:t xml:space="preserve">estudio </w:t>
      </w:r>
      <w:r w:rsidRPr="00774D20">
        <w:rPr>
          <w:rFonts w:ascii="Arial" w:hAnsi="Arial" w:cs="Arial"/>
          <w:b/>
          <w:sz w:val="20"/>
          <w:szCs w:val="20"/>
        </w:rPr>
        <w:t>STR1VE-EU</w:t>
      </w:r>
      <w:r w:rsidRPr="00774D20">
        <w:rPr>
          <w:rFonts w:ascii="Arial" w:hAnsi="Arial" w:cs="Arial"/>
          <w:sz w:val="20"/>
          <w:szCs w:val="20"/>
        </w:rPr>
        <w:t xml:space="preserve"> (AVXS-</w:t>
      </w:r>
      <w:r w:rsidRPr="00441B69">
        <w:rPr>
          <w:rFonts w:ascii="Arial" w:hAnsi="Arial" w:cs="Arial"/>
          <w:sz w:val="20"/>
          <w:szCs w:val="20"/>
        </w:rPr>
        <w:t>101-CL-302</w:t>
      </w:r>
      <w:r>
        <w:rPr>
          <w:rFonts w:ascii="Arial" w:hAnsi="Arial" w:cs="Arial"/>
          <w:sz w:val="20"/>
          <w:szCs w:val="20"/>
        </w:rPr>
        <w:t>)</w:t>
      </w:r>
      <w:r w:rsidRPr="00441B69">
        <w:rPr>
          <w:rFonts w:ascii="Arial" w:hAnsi="Arial" w:cs="Arial"/>
          <w:sz w:val="20"/>
          <w:szCs w:val="20"/>
        </w:rPr>
        <w:t xml:space="preserve"> es un estudio</w:t>
      </w:r>
      <w:r>
        <w:rPr>
          <w:rFonts w:ascii="Arial" w:hAnsi="Arial" w:cs="Arial"/>
          <w:sz w:val="20"/>
          <w:szCs w:val="20"/>
        </w:rPr>
        <w:t xml:space="preserve"> en curso</w:t>
      </w:r>
      <w:r w:rsidRPr="00441B69">
        <w:rPr>
          <w:rFonts w:ascii="Arial" w:hAnsi="Arial" w:cs="Arial"/>
          <w:sz w:val="20"/>
          <w:szCs w:val="20"/>
        </w:rPr>
        <w:t xml:space="preserve">, similar al estudio </w:t>
      </w:r>
      <w:r w:rsidRPr="00EA57D3">
        <w:rPr>
          <w:rFonts w:ascii="Arial" w:hAnsi="Arial" w:cs="Arial"/>
          <w:b/>
          <w:sz w:val="20"/>
          <w:szCs w:val="20"/>
        </w:rPr>
        <w:t>STR1VE-</w:t>
      </w:r>
      <w:r>
        <w:rPr>
          <w:rFonts w:ascii="Arial" w:hAnsi="Arial" w:cs="Arial"/>
          <w:b/>
          <w:sz w:val="20"/>
          <w:szCs w:val="20"/>
        </w:rPr>
        <w:t>US (</w:t>
      </w:r>
      <w:r w:rsidRPr="00441B69">
        <w:rPr>
          <w:rFonts w:ascii="Arial" w:hAnsi="Arial" w:cs="Arial"/>
          <w:sz w:val="20"/>
          <w:szCs w:val="20"/>
        </w:rPr>
        <w:t>AVXS-101-CL-303</w:t>
      </w:r>
      <w:r>
        <w:rPr>
          <w:rFonts w:ascii="Arial" w:hAnsi="Arial" w:cs="Arial"/>
          <w:sz w:val="20"/>
          <w:szCs w:val="20"/>
        </w:rPr>
        <w:t>), pero que se lleva a cabo en Europa en lugar de en EEUU</w:t>
      </w:r>
      <w:r w:rsidRPr="00441B69">
        <w:rPr>
          <w:rFonts w:ascii="Arial" w:hAnsi="Arial" w:cs="Arial"/>
          <w:sz w:val="20"/>
          <w:szCs w:val="20"/>
        </w:rPr>
        <w:t xml:space="preserve">. La edad promedio de los pacientes en el estudio al momento </w:t>
      </w:r>
      <w:r w:rsidRPr="00995922">
        <w:rPr>
          <w:rFonts w:ascii="Arial" w:hAnsi="Arial" w:cs="Arial"/>
          <w:sz w:val="20"/>
          <w:szCs w:val="20"/>
        </w:rPr>
        <w:t>del corte de datos del 31 de diciembre de 2019 es 10,62 meses (rango 1,8 a 15,4 meses). Según un análisis intermedio y con datos provisionales a 1 de Octubre de 2020</w:t>
      </w:r>
      <w:r w:rsidRPr="00995922">
        <w:rPr>
          <w:rStyle w:val="Refdenotaalpie"/>
          <w:rFonts w:ascii="Arial" w:hAnsi="Arial" w:cs="Arial"/>
          <w:sz w:val="20"/>
          <w:szCs w:val="20"/>
        </w:rPr>
        <w:footnoteReference w:id="3"/>
      </w:r>
      <w:r w:rsidRPr="00995922">
        <w:rPr>
          <w:rFonts w:ascii="Arial" w:hAnsi="Arial" w:cs="Arial"/>
          <w:sz w:val="20"/>
          <w:szCs w:val="20"/>
          <w:vertAlign w:val="superscript"/>
        </w:rPr>
        <w:t>,</w:t>
      </w:r>
      <w:r w:rsidRPr="00995922">
        <w:rPr>
          <w:rStyle w:val="Refdenotaalpie"/>
          <w:rFonts w:ascii="Arial" w:hAnsi="Arial" w:cs="Arial"/>
          <w:sz w:val="20"/>
          <w:szCs w:val="20"/>
        </w:rPr>
        <w:footnoteReference w:id="4"/>
      </w:r>
      <w:r w:rsidRPr="00995922">
        <w:rPr>
          <w:rFonts w:ascii="Arial" w:hAnsi="Arial" w:cs="Arial"/>
          <w:sz w:val="20"/>
          <w:szCs w:val="20"/>
        </w:rPr>
        <w:t xml:space="preserve">, 21 pacientes (65,6%) alcanzaron hitos motores no observados en la historia natural de la AME tipo 1. Esto incluye seis pacientes (18,8%) que pudieron sentarse de forma independiente durante ≥ 10 segundos (el criterio de valoración principal de eficacia), 20 pacientes (66,7%) que </w:t>
      </w:r>
      <w:r w:rsidR="000D7B74">
        <w:rPr>
          <w:rFonts w:ascii="Arial" w:hAnsi="Arial" w:cs="Arial"/>
          <w:sz w:val="20"/>
          <w:szCs w:val="20"/>
        </w:rPr>
        <w:t>obtuvieron control cefálico</w:t>
      </w:r>
      <w:r w:rsidRPr="00995922">
        <w:rPr>
          <w:rFonts w:ascii="Arial" w:hAnsi="Arial" w:cs="Arial"/>
          <w:sz w:val="20"/>
          <w:szCs w:val="20"/>
        </w:rPr>
        <w:t xml:space="preserve">, ocho pacientes (25%) que pudieron rodar de espaldas a los lados y un paciente que pudo estar de pie con ayuda, gatear y caminar con ayuda. El aumento medio de CHOP INTEND desde el inicio fue de 5,9 puntos (n=31), 10,1 puntos a los 3 meses (n = 29) después de la dosis y 13,3 puntos a los seis meses (n=27). Veintiún niños (65,6%) lograron y mantuvieron una puntuación CHOP INTEND de ≥ 40 puntos y 12 niños (37,5%) pudieron alcanzar una puntuación ≥ 50. </w:t>
      </w:r>
    </w:p>
    <w:p w14:paraId="686E6FEF" w14:textId="77777777" w:rsidR="00AF0DE8" w:rsidRDefault="00AF0DE8" w:rsidP="00AF0DE8">
      <w:pPr>
        <w:autoSpaceDE w:val="0"/>
        <w:autoSpaceDN w:val="0"/>
        <w:adjustRightInd w:val="0"/>
        <w:jc w:val="both"/>
        <w:rPr>
          <w:rFonts w:ascii="Arial" w:hAnsi="Arial" w:cs="Arial"/>
          <w:sz w:val="20"/>
          <w:szCs w:val="20"/>
        </w:rPr>
      </w:pPr>
    </w:p>
    <w:p w14:paraId="7AC61B9D" w14:textId="1C1481C5" w:rsidR="00FA0C0C" w:rsidRDefault="00196EBF" w:rsidP="001F6887">
      <w:pPr>
        <w:pStyle w:val="Default"/>
        <w:spacing w:after="0" w:line="240" w:lineRule="auto"/>
        <w:jc w:val="both"/>
        <w:rPr>
          <w:rFonts w:ascii="Arial" w:hAnsi="Arial" w:cs="Arial"/>
          <w:sz w:val="20"/>
          <w:szCs w:val="20"/>
        </w:rPr>
      </w:pPr>
      <w:r w:rsidRPr="00D11BFF">
        <w:rPr>
          <w:rFonts w:ascii="Arial" w:hAnsi="Arial" w:cs="Arial"/>
          <w:sz w:val="20"/>
          <w:szCs w:val="20"/>
        </w:rPr>
        <w:t xml:space="preserve">Estos </w:t>
      </w:r>
      <w:r w:rsidRPr="00774D20">
        <w:rPr>
          <w:rFonts w:ascii="Arial" w:hAnsi="Arial" w:cs="Arial"/>
          <w:sz w:val="20"/>
          <w:szCs w:val="20"/>
        </w:rPr>
        <w:t>resultados se ven</w:t>
      </w:r>
      <w:r w:rsidR="00505D4A" w:rsidRPr="00774D20">
        <w:rPr>
          <w:rFonts w:ascii="Arial" w:hAnsi="Arial" w:cs="Arial"/>
          <w:sz w:val="20"/>
          <w:szCs w:val="20"/>
        </w:rPr>
        <w:t xml:space="preserve"> apoyados</w:t>
      </w:r>
      <w:r w:rsidRPr="00774D20">
        <w:rPr>
          <w:rFonts w:ascii="Arial" w:hAnsi="Arial" w:cs="Arial"/>
          <w:sz w:val="20"/>
          <w:szCs w:val="20"/>
        </w:rPr>
        <w:t xml:space="preserve"> por el ensayo</w:t>
      </w:r>
      <w:r w:rsidRPr="00774D20">
        <w:rPr>
          <w:rFonts w:ascii="Arial" w:hAnsi="Arial" w:cs="Arial"/>
          <w:b/>
          <w:sz w:val="20"/>
          <w:szCs w:val="20"/>
        </w:rPr>
        <w:t xml:space="preserve"> START</w:t>
      </w:r>
      <w:r w:rsidRPr="00774D20">
        <w:rPr>
          <w:rFonts w:ascii="Arial" w:hAnsi="Arial" w:cs="Arial"/>
          <w:sz w:val="20"/>
          <w:szCs w:val="20"/>
        </w:rPr>
        <w:t xml:space="preserve"> de fase I (AVXS-101-CL-101)</w:t>
      </w:r>
      <w:r w:rsidR="00E3061E" w:rsidRPr="00774D20">
        <w:rPr>
          <w:rFonts w:ascii="Arial" w:hAnsi="Arial" w:cs="Arial"/>
          <w:sz w:val="20"/>
          <w:szCs w:val="20"/>
          <w:vertAlign w:val="superscript"/>
        </w:rPr>
        <w:fldChar w:fldCharType="begin"/>
      </w:r>
      <w:r w:rsidR="00E3061E" w:rsidRPr="00774D20">
        <w:rPr>
          <w:rFonts w:ascii="Arial" w:hAnsi="Arial" w:cs="Arial"/>
          <w:sz w:val="20"/>
          <w:szCs w:val="20"/>
          <w:vertAlign w:val="superscript"/>
        </w:rPr>
        <w:instrText xml:space="preserve"> NOTEREF _Ref52278219 \h  \* MERGEFORMAT </w:instrText>
      </w:r>
      <w:r w:rsidR="00E3061E" w:rsidRPr="00774D20">
        <w:rPr>
          <w:rFonts w:ascii="Arial" w:hAnsi="Arial" w:cs="Arial"/>
          <w:sz w:val="20"/>
          <w:szCs w:val="20"/>
          <w:vertAlign w:val="superscript"/>
        </w:rPr>
      </w:r>
      <w:r w:rsidR="00E3061E" w:rsidRPr="00774D20">
        <w:rPr>
          <w:rFonts w:ascii="Arial" w:hAnsi="Arial" w:cs="Arial"/>
          <w:sz w:val="20"/>
          <w:szCs w:val="20"/>
          <w:vertAlign w:val="superscript"/>
        </w:rPr>
        <w:fldChar w:fldCharType="separate"/>
      </w:r>
      <w:r w:rsidR="00E277F2">
        <w:rPr>
          <w:rFonts w:ascii="Arial" w:hAnsi="Arial" w:cs="Arial"/>
          <w:sz w:val="20"/>
          <w:szCs w:val="20"/>
          <w:vertAlign w:val="superscript"/>
        </w:rPr>
        <w:t>15</w:t>
      </w:r>
      <w:r w:rsidR="00E3061E" w:rsidRPr="00774D20">
        <w:rPr>
          <w:rFonts w:ascii="Arial" w:hAnsi="Arial" w:cs="Arial"/>
          <w:sz w:val="20"/>
          <w:szCs w:val="20"/>
          <w:vertAlign w:val="superscript"/>
        </w:rPr>
        <w:fldChar w:fldCharType="end"/>
      </w:r>
      <w:r w:rsidR="00FB16ED" w:rsidRPr="00774D20">
        <w:rPr>
          <w:rFonts w:ascii="Arial" w:hAnsi="Arial" w:cs="Arial"/>
          <w:sz w:val="20"/>
          <w:szCs w:val="20"/>
          <w:vertAlign w:val="superscript"/>
        </w:rPr>
        <w:t xml:space="preserve"> </w:t>
      </w:r>
      <w:r w:rsidR="00FB16ED" w:rsidRPr="00774D20">
        <w:rPr>
          <w:rFonts w:ascii="Arial" w:eastAsia="等?" w:hAnsi="Arial" w:cs="Arial"/>
          <w:color w:val="auto"/>
          <w:sz w:val="20"/>
          <w:szCs w:val="20"/>
          <w:lang w:eastAsia="es-ES"/>
        </w:rPr>
        <w:t>en el que se administró onasemnogén abeparvovec en forma de perfusión intravenosa única en 12 pacientes de 2,6 kg a 8,5 kg (0,9 a 7,9 meses de edad).</w:t>
      </w:r>
      <w:r w:rsidR="00096CFE" w:rsidRPr="00774D20">
        <w:rPr>
          <w:rFonts w:ascii="Arial" w:eastAsia="等?" w:hAnsi="Arial" w:cs="Arial"/>
          <w:color w:val="auto"/>
          <w:sz w:val="20"/>
          <w:szCs w:val="20"/>
          <w:lang w:eastAsia="es-ES"/>
        </w:rPr>
        <w:t xml:space="preserve"> </w:t>
      </w:r>
      <w:r w:rsidR="00505D4A" w:rsidRPr="00774D20">
        <w:rPr>
          <w:rFonts w:ascii="Arial" w:eastAsia="等?" w:hAnsi="Arial" w:cs="Arial"/>
          <w:color w:val="auto"/>
          <w:sz w:val="20"/>
          <w:szCs w:val="20"/>
          <w:lang w:eastAsia="es-ES"/>
        </w:rPr>
        <w:t>En la fase de seguimiento, a</w:t>
      </w:r>
      <w:r w:rsidR="00FB16ED" w:rsidRPr="00774D20">
        <w:rPr>
          <w:rFonts w:ascii="Arial" w:eastAsia="等?" w:hAnsi="Arial" w:cs="Arial"/>
          <w:color w:val="auto"/>
          <w:sz w:val="20"/>
          <w:szCs w:val="20"/>
          <w:lang w:eastAsia="es-ES"/>
        </w:rPr>
        <w:t xml:space="preserve"> los 14 meses de edad, todos los pacientes tratados estaban libres de acontecimientos</w:t>
      </w:r>
      <w:r w:rsidR="00505D4A" w:rsidRPr="00774D20">
        <w:rPr>
          <w:rFonts w:ascii="Arial" w:eastAsia="等?" w:hAnsi="Arial" w:cs="Arial"/>
          <w:color w:val="auto"/>
          <w:sz w:val="20"/>
          <w:szCs w:val="20"/>
          <w:lang w:eastAsia="es-ES"/>
        </w:rPr>
        <w:t>,</w:t>
      </w:r>
      <w:r w:rsidR="00FB16ED" w:rsidRPr="00774D20">
        <w:rPr>
          <w:rFonts w:ascii="Arial" w:eastAsia="等?" w:hAnsi="Arial" w:cs="Arial"/>
          <w:color w:val="auto"/>
          <w:sz w:val="20"/>
          <w:szCs w:val="20"/>
          <w:lang w:eastAsia="es-ES"/>
        </w:rPr>
        <w:t xml:space="preserve"> es decir, sobrevivían sin necesidad de ventilación permanente</w:t>
      </w:r>
      <w:r w:rsidR="00E3061E" w:rsidRPr="00774D20">
        <w:rPr>
          <w:rFonts w:ascii="Arial" w:eastAsia="等?" w:hAnsi="Arial" w:cs="Arial"/>
          <w:color w:val="auto"/>
          <w:sz w:val="20"/>
          <w:szCs w:val="20"/>
          <w:vertAlign w:val="superscript"/>
          <w:lang w:eastAsia="es-ES"/>
        </w:rPr>
        <w:fldChar w:fldCharType="begin"/>
      </w:r>
      <w:r w:rsidR="00E3061E" w:rsidRPr="00774D20">
        <w:rPr>
          <w:rFonts w:ascii="Arial" w:eastAsia="等?" w:hAnsi="Arial" w:cs="Arial"/>
          <w:color w:val="auto"/>
          <w:sz w:val="20"/>
          <w:szCs w:val="20"/>
          <w:vertAlign w:val="superscript"/>
          <w:lang w:eastAsia="es-ES"/>
        </w:rPr>
        <w:instrText xml:space="preserve"> NOTEREF _Ref52276623 \h  \* MERGEFORMAT </w:instrText>
      </w:r>
      <w:r w:rsidR="00E3061E" w:rsidRPr="00774D20">
        <w:rPr>
          <w:rFonts w:ascii="Arial" w:eastAsia="等?" w:hAnsi="Arial" w:cs="Arial"/>
          <w:color w:val="auto"/>
          <w:sz w:val="20"/>
          <w:szCs w:val="20"/>
          <w:vertAlign w:val="superscript"/>
          <w:lang w:eastAsia="es-ES"/>
        </w:rPr>
      </w:r>
      <w:r w:rsidR="00E3061E" w:rsidRPr="00774D20">
        <w:rPr>
          <w:rFonts w:ascii="Arial" w:eastAsia="等?" w:hAnsi="Arial" w:cs="Arial"/>
          <w:color w:val="auto"/>
          <w:sz w:val="20"/>
          <w:szCs w:val="20"/>
          <w:vertAlign w:val="superscript"/>
          <w:lang w:eastAsia="es-ES"/>
        </w:rPr>
        <w:fldChar w:fldCharType="separate"/>
      </w:r>
      <w:r w:rsidR="00E277F2">
        <w:rPr>
          <w:rFonts w:ascii="Arial" w:eastAsia="等?" w:hAnsi="Arial" w:cs="Arial"/>
          <w:color w:val="auto"/>
          <w:sz w:val="20"/>
          <w:szCs w:val="20"/>
          <w:vertAlign w:val="superscript"/>
          <w:lang w:eastAsia="es-ES"/>
        </w:rPr>
        <w:t>16</w:t>
      </w:r>
      <w:r w:rsidR="00E3061E" w:rsidRPr="00774D20">
        <w:rPr>
          <w:rFonts w:ascii="Arial" w:eastAsia="等?" w:hAnsi="Arial" w:cs="Arial"/>
          <w:color w:val="auto"/>
          <w:sz w:val="20"/>
          <w:szCs w:val="20"/>
          <w:vertAlign w:val="superscript"/>
          <w:lang w:eastAsia="es-ES"/>
        </w:rPr>
        <w:fldChar w:fldCharType="end"/>
      </w:r>
      <w:r w:rsidR="00096CFE" w:rsidRPr="00774D20">
        <w:rPr>
          <w:rFonts w:ascii="Arial" w:eastAsia="等?" w:hAnsi="Arial" w:cs="Arial"/>
          <w:color w:val="auto"/>
          <w:sz w:val="20"/>
          <w:szCs w:val="20"/>
          <w:lang w:eastAsia="es-ES"/>
        </w:rPr>
        <w:t xml:space="preserve">. </w:t>
      </w:r>
      <w:r w:rsidR="00FB16ED" w:rsidRPr="00774D20">
        <w:rPr>
          <w:rFonts w:ascii="Arial" w:eastAsia="等?" w:hAnsi="Arial" w:cs="Arial"/>
          <w:color w:val="auto"/>
          <w:sz w:val="20"/>
          <w:szCs w:val="20"/>
          <w:lang w:eastAsia="es-ES"/>
        </w:rPr>
        <w:t xml:space="preserve">Al final del estudio (24 meses después de la administración), todos los pacientes tratados </w:t>
      </w:r>
      <w:r w:rsidR="003C4B39" w:rsidRPr="00774D20">
        <w:rPr>
          <w:rFonts w:ascii="Arial" w:eastAsia="等?" w:hAnsi="Arial" w:cs="Arial"/>
          <w:color w:val="auto"/>
          <w:sz w:val="20"/>
          <w:szCs w:val="20"/>
          <w:lang w:eastAsia="es-ES"/>
        </w:rPr>
        <w:t>seguían estando</w:t>
      </w:r>
      <w:r w:rsidR="00FB16ED" w:rsidRPr="00774D20">
        <w:rPr>
          <w:rFonts w:ascii="Arial" w:eastAsia="等?" w:hAnsi="Arial" w:cs="Arial"/>
          <w:color w:val="auto"/>
          <w:sz w:val="20"/>
          <w:szCs w:val="20"/>
          <w:lang w:eastAsia="es-ES"/>
        </w:rPr>
        <w:t xml:space="preserve"> libres de acontecimientos</w:t>
      </w:r>
      <w:r w:rsidR="00096CFE" w:rsidRPr="00774D20">
        <w:rPr>
          <w:rFonts w:ascii="Arial" w:eastAsia="等?" w:hAnsi="Arial" w:cs="Arial"/>
          <w:color w:val="auto"/>
          <w:sz w:val="20"/>
          <w:szCs w:val="20"/>
          <w:lang w:eastAsia="es-ES"/>
        </w:rPr>
        <w:t>.</w:t>
      </w:r>
      <w:r w:rsidR="00FB16ED" w:rsidRPr="00774D20">
        <w:rPr>
          <w:rFonts w:ascii="Arial" w:eastAsia="等?" w:hAnsi="Arial" w:cs="Arial"/>
          <w:color w:val="auto"/>
          <w:sz w:val="20"/>
          <w:szCs w:val="20"/>
          <w:lang w:eastAsia="es-ES"/>
        </w:rPr>
        <w:t xml:space="preserve"> </w:t>
      </w:r>
      <w:r w:rsidR="00FB16ED" w:rsidRPr="00774D20">
        <w:rPr>
          <w:rFonts w:ascii="Arial" w:hAnsi="Arial" w:cs="Arial"/>
          <w:sz w:val="20"/>
          <w:szCs w:val="20"/>
        </w:rPr>
        <w:t xml:space="preserve">A los 24 meses de seguimiento post-administración, 10 de 12 pacientes eran capaces de sentarse sin apoyo </w:t>
      </w:r>
      <w:r w:rsidR="00E3061E" w:rsidRPr="00774D20">
        <w:rPr>
          <w:rFonts w:ascii="Arial" w:hAnsi="Arial" w:cs="Arial"/>
          <w:sz w:val="20"/>
          <w:szCs w:val="20"/>
        </w:rPr>
        <w:t>durante un tiempo</w:t>
      </w:r>
      <w:r w:rsidR="00FB16ED" w:rsidRPr="00774D20">
        <w:rPr>
          <w:rFonts w:ascii="Arial" w:hAnsi="Arial" w:cs="Arial"/>
          <w:sz w:val="20"/>
          <w:szCs w:val="20"/>
        </w:rPr>
        <w:t xml:space="preserve"> ≥ 10 </w:t>
      </w:r>
      <w:r w:rsidR="00FB16ED" w:rsidRPr="00774D20">
        <w:rPr>
          <w:rFonts w:ascii="Arial" w:hAnsi="Arial" w:cs="Arial"/>
          <w:sz w:val="20"/>
          <w:szCs w:val="20"/>
        </w:rPr>
        <w:lastRenderedPageBreak/>
        <w:t xml:space="preserve">segundos, 9 pacientes podían sentarse sin apoyo </w:t>
      </w:r>
      <w:r w:rsidR="00E3061E" w:rsidRPr="00774D20">
        <w:rPr>
          <w:rFonts w:ascii="Arial" w:hAnsi="Arial" w:cs="Arial"/>
          <w:sz w:val="20"/>
          <w:szCs w:val="20"/>
        </w:rPr>
        <w:t>durante un tiempo</w:t>
      </w:r>
      <w:r w:rsidR="00FB16ED" w:rsidRPr="00774D20">
        <w:rPr>
          <w:rFonts w:ascii="Arial" w:hAnsi="Arial" w:cs="Arial"/>
          <w:sz w:val="20"/>
          <w:szCs w:val="20"/>
        </w:rPr>
        <w:t xml:space="preserve"> ≥ 30 segundos y 2 pacientes podían</w:t>
      </w:r>
      <w:r w:rsidR="00096CFE" w:rsidRPr="00774D20">
        <w:rPr>
          <w:rFonts w:ascii="Arial" w:hAnsi="Arial" w:cs="Arial"/>
          <w:sz w:val="20"/>
          <w:szCs w:val="20"/>
        </w:rPr>
        <w:t xml:space="preserve"> </w:t>
      </w:r>
      <w:r w:rsidR="00FB16ED" w:rsidRPr="00774D20">
        <w:rPr>
          <w:rFonts w:ascii="Arial" w:hAnsi="Arial" w:cs="Arial"/>
          <w:sz w:val="20"/>
          <w:szCs w:val="20"/>
        </w:rPr>
        <w:t xml:space="preserve">estar de pie y caminar sin asistencia. Uno de 12 pacientes no alcanzó el control de la cabeza como meta motora máxima antes de la edad de 24 meses. Diez de </w:t>
      </w:r>
      <w:r w:rsidR="00E3061E" w:rsidRPr="00774D20">
        <w:rPr>
          <w:rFonts w:ascii="Arial" w:hAnsi="Arial" w:cs="Arial"/>
          <w:sz w:val="20"/>
          <w:szCs w:val="20"/>
        </w:rPr>
        <w:t xml:space="preserve">los </w:t>
      </w:r>
      <w:r w:rsidR="00FB16ED" w:rsidRPr="00774D20">
        <w:rPr>
          <w:rFonts w:ascii="Arial" w:hAnsi="Arial" w:cs="Arial"/>
          <w:sz w:val="20"/>
          <w:szCs w:val="20"/>
        </w:rPr>
        <w:t xml:space="preserve">12 pacientes del estudio CL-101 que recibieron la dosis terapéutica propuesta de onasemnogén abeparvovec </w:t>
      </w:r>
      <w:r w:rsidR="00E3061E" w:rsidRPr="00774D20">
        <w:rPr>
          <w:rFonts w:ascii="Arial" w:hAnsi="Arial" w:cs="Arial"/>
          <w:sz w:val="20"/>
          <w:szCs w:val="20"/>
        </w:rPr>
        <w:t>permanecen</w:t>
      </w:r>
      <w:r w:rsidR="00FB16ED" w:rsidRPr="00774D20">
        <w:rPr>
          <w:rFonts w:ascii="Arial" w:hAnsi="Arial" w:cs="Arial"/>
          <w:sz w:val="20"/>
          <w:szCs w:val="20"/>
        </w:rPr>
        <w:t xml:space="preserve"> en seguimiento en un estudio de largo plazo (por un máximo de 5,7 años después de la administración), y todos han mantenido la totalidad de las metas logradas previamente, o incluso han logrado nuevas metas, como sentarse con apoyo, estar de pie con asistencia y caminar solos. Cuatro de los 10 pacientes recibieron tratamiento concomitante con nusinersen en algún punto durante el estudio de largo plazo</w:t>
      </w:r>
      <w:r w:rsidR="00FB16ED" w:rsidRPr="00D11BFF">
        <w:rPr>
          <w:rFonts w:ascii="Arial" w:hAnsi="Arial" w:cs="Arial"/>
          <w:sz w:val="20"/>
          <w:szCs w:val="20"/>
        </w:rPr>
        <w:t>. En consecuencia, el mantenimiento de la eficacia y el logro de metas no pueden atribuirse exclusivamente al onasemnogén abeparvovec en todos los pacientes. La meta de estar de pie con asistencia fue lograda por primera vez por dos pacientes que no estaban recibiendo nusinersen.</w:t>
      </w:r>
    </w:p>
    <w:p w14:paraId="7DCBA0BC" w14:textId="77777777" w:rsidR="00BB76F9" w:rsidRDefault="00BB76F9" w:rsidP="001F6887">
      <w:pPr>
        <w:autoSpaceDE w:val="0"/>
        <w:autoSpaceDN w:val="0"/>
        <w:adjustRightInd w:val="0"/>
        <w:jc w:val="both"/>
        <w:rPr>
          <w:rFonts w:ascii="Arial" w:hAnsi="Arial" w:cs="Arial"/>
          <w:sz w:val="20"/>
          <w:szCs w:val="20"/>
        </w:rPr>
      </w:pPr>
    </w:p>
    <w:p w14:paraId="1B5268B6" w14:textId="78A9B0A4" w:rsidR="00703A3E" w:rsidRPr="00D33B1A" w:rsidRDefault="00703A3E" w:rsidP="001F6887">
      <w:pPr>
        <w:pBdr>
          <w:top w:val="single" w:sz="4" w:space="1" w:color="auto"/>
          <w:left w:val="single" w:sz="4" w:space="4" w:color="auto"/>
          <w:bottom w:val="single" w:sz="4" w:space="1" w:color="auto"/>
          <w:right w:val="single" w:sz="4" w:space="4" w:color="auto"/>
        </w:pBdr>
        <w:jc w:val="both"/>
        <w:rPr>
          <w:rFonts w:ascii="Arial" w:hAnsi="Arial" w:cs="Arial"/>
          <w:b/>
          <w:sz w:val="20"/>
          <w:szCs w:val="20"/>
        </w:rPr>
      </w:pPr>
      <w:r w:rsidRPr="00BB76F9">
        <w:rPr>
          <w:rFonts w:ascii="Arial" w:hAnsi="Arial" w:cs="Arial"/>
          <w:b/>
          <w:sz w:val="20"/>
          <w:szCs w:val="20"/>
        </w:rPr>
        <w:t xml:space="preserve">AME </w:t>
      </w:r>
      <w:r w:rsidRPr="00D33B1A">
        <w:rPr>
          <w:rFonts w:ascii="Arial" w:hAnsi="Arial" w:cs="Arial"/>
          <w:b/>
          <w:sz w:val="20"/>
          <w:szCs w:val="20"/>
        </w:rPr>
        <w:t>en pacientes presintomáticos</w:t>
      </w:r>
    </w:p>
    <w:p w14:paraId="327E14D7" w14:textId="77777777" w:rsidR="00441B69" w:rsidRPr="00D33B1A" w:rsidRDefault="00441B69" w:rsidP="001F6887">
      <w:pPr>
        <w:autoSpaceDE w:val="0"/>
        <w:autoSpaceDN w:val="0"/>
        <w:adjustRightInd w:val="0"/>
        <w:jc w:val="both"/>
        <w:rPr>
          <w:rFonts w:ascii="Arial" w:hAnsi="Arial" w:cs="Arial"/>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FA0C0C" w:rsidRPr="00D33B1A" w14:paraId="60602E08" w14:textId="77777777" w:rsidTr="00CF6657">
        <w:tc>
          <w:tcPr>
            <w:tcW w:w="8890" w:type="dxa"/>
            <w:shd w:val="clear" w:color="auto" w:fill="CCFFCC"/>
          </w:tcPr>
          <w:p w14:paraId="5B9C5081" w14:textId="4412330F" w:rsidR="00703A3E" w:rsidRPr="00D33B1A" w:rsidRDefault="00703A3E" w:rsidP="001F6887">
            <w:pPr>
              <w:rPr>
                <w:rFonts w:ascii="Arial" w:hAnsi="Arial" w:cs="Arial"/>
                <w:i/>
                <w:iCs/>
                <w:sz w:val="18"/>
                <w:szCs w:val="18"/>
                <w:lang w:val="en-US"/>
              </w:rPr>
            </w:pPr>
            <w:r w:rsidRPr="00D33B1A">
              <w:rPr>
                <w:rFonts w:ascii="Arial" w:hAnsi="Arial" w:cs="Arial"/>
                <w:b/>
                <w:bCs/>
                <w:i/>
                <w:iCs/>
                <w:sz w:val="18"/>
                <w:szCs w:val="18"/>
                <w:lang w:val="en-US"/>
              </w:rPr>
              <w:t>Tabla 5.2.a.2.</w:t>
            </w:r>
          </w:p>
          <w:p w14:paraId="2CC017DC" w14:textId="40057221" w:rsidR="00FA0C0C" w:rsidRPr="00D33B1A" w:rsidRDefault="00C15BA2" w:rsidP="00482C21">
            <w:pPr>
              <w:jc w:val="both"/>
              <w:rPr>
                <w:rFonts w:ascii="Arial" w:hAnsi="Arial" w:cs="Arial"/>
                <w:b/>
                <w:i/>
                <w:iCs/>
                <w:sz w:val="18"/>
                <w:szCs w:val="18"/>
                <w:lang w:val="en-US"/>
              </w:rPr>
            </w:pPr>
            <w:r w:rsidRPr="00D33B1A">
              <w:rPr>
                <w:rFonts w:ascii="Arial" w:hAnsi="Arial" w:cs="Arial"/>
                <w:b/>
                <w:bCs/>
                <w:i/>
                <w:iCs/>
                <w:sz w:val="18"/>
                <w:szCs w:val="18"/>
                <w:lang w:val="en-US"/>
              </w:rPr>
              <w:t>Referencia: Pre-Symptomatic Study of Intravenous Onasemnogen Abeparvovec-xioi in Spinal Muscular Atrophy (SMA) for Patients With Multiple Copies of SMN2 (SPR1NT).</w:t>
            </w:r>
            <w:r w:rsidR="0026648B" w:rsidRPr="00D33B1A">
              <w:rPr>
                <w:rFonts w:ascii="Arial" w:hAnsi="Arial" w:cs="Arial"/>
                <w:b/>
                <w:bCs/>
                <w:i/>
                <w:iCs/>
                <w:sz w:val="18"/>
                <w:szCs w:val="18"/>
                <w:lang w:val="en-US"/>
              </w:rPr>
              <w:t xml:space="preserve"> ClinicalTrials.gov Identifier: NCT03</w:t>
            </w:r>
            <w:r w:rsidRPr="00D33B1A">
              <w:rPr>
                <w:rFonts w:ascii="Arial" w:hAnsi="Arial" w:cs="Arial"/>
                <w:b/>
                <w:bCs/>
                <w:i/>
                <w:iCs/>
                <w:sz w:val="18"/>
                <w:szCs w:val="18"/>
                <w:lang w:val="en-US"/>
              </w:rPr>
              <w:t>505099</w:t>
            </w:r>
            <w:r w:rsidR="0026648B" w:rsidRPr="00D33B1A">
              <w:rPr>
                <w:rFonts w:ascii="Arial" w:hAnsi="Arial" w:cs="Arial"/>
                <w:b/>
                <w:bCs/>
                <w:i/>
                <w:iCs/>
                <w:sz w:val="18"/>
                <w:szCs w:val="18"/>
                <w:lang w:val="en-US"/>
              </w:rPr>
              <w:t>. Estudio AVXS-101-CL-30</w:t>
            </w:r>
            <w:r w:rsidRPr="00D33B1A">
              <w:rPr>
                <w:rFonts w:ascii="Arial" w:hAnsi="Arial" w:cs="Arial"/>
                <w:b/>
                <w:bCs/>
                <w:i/>
                <w:iCs/>
                <w:sz w:val="18"/>
                <w:szCs w:val="18"/>
                <w:lang w:val="en-US"/>
              </w:rPr>
              <w:t>4</w:t>
            </w:r>
            <w:r w:rsidR="00DA1E86" w:rsidRPr="00D33B1A">
              <w:rPr>
                <w:rFonts w:ascii="Arial" w:hAnsi="Arial" w:cs="Arial"/>
                <w:b/>
                <w:bCs/>
                <w:i/>
                <w:iCs/>
                <w:sz w:val="18"/>
                <w:szCs w:val="18"/>
                <w:lang w:val="en-US"/>
              </w:rPr>
              <w:t>.</w:t>
            </w:r>
            <w:r w:rsidR="00DA1E86" w:rsidRPr="00D33B1A">
              <w:rPr>
                <w:rFonts w:ascii="Arial" w:hAnsi="Arial" w:cs="Arial"/>
                <w:b/>
                <w:bCs/>
                <w:i/>
                <w:iCs/>
                <w:sz w:val="18"/>
                <w:szCs w:val="18"/>
                <w:vertAlign w:val="superscript"/>
                <w:lang w:val="en-US"/>
              </w:rPr>
              <w:fldChar w:fldCharType="begin"/>
            </w:r>
            <w:r w:rsidR="00DA1E86" w:rsidRPr="00D33B1A">
              <w:rPr>
                <w:rFonts w:ascii="Arial" w:hAnsi="Arial" w:cs="Arial"/>
                <w:b/>
                <w:bCs/>
                <w:i/>
                <w:iCs/>
                <w:sz w:val="18"/>
                <w:szCs w:val="18"/>
                <w:vertAlign w:val="superscript"/>
                <w:lang w:val="en-US"/>
              </w:rPr>
              <w:instrText xml:space="preserve"> NOTEREF _Ref52276661 \h  \* MERGEFORMAT </w:instrText>
            </w:r>
            <w:r w:rsidR="00DA1E86" w:rsidRPr="00D33B1A">
              <w:rPr>
                <w:rFonts w:ascii="Arial" w:hAnsi="Arial" w:cs="Arial"/>
                <w:b/>
                <w:bCs/>
                <w:i/>
                <w:iCs/>
                <w:sz w:val="18"/>
                <w:szCs w:val="18"/>
                <w:vertAlign w:val="superscript"/>
                <w:lang w:val="en-US"/>
              </w:rPr>
            </w:r>
            <w:r w:rsidR="00DA1E86" w:rsidRPr="00D33B1A">
              <w:rPr>
                <w:rFonts w:ascii="Arial" w:hAnsi="Arial" w:cs="Arial"/>
                <w:b/>
                <w:bCs/>
                <w:i/>
                <w:iCs/>
                <w:sz w:val="18"/>
                <w:szCs w:val="18"/>
                <w:vertAlign w:val="superscript"/>
                <w:lang w:val="en-US"/>
              </w:rPr>
              <w:fldChar w:fldCharType="separate"/>
            </w:r>
            <w:r w:rsidR="00E277F2">
              <w:rPr>
                <w:rFonts w:ascii="Arial" w:hAnsi="Arial" w:cs="Arial"/>
                <w:b/>
                <w:bCs/>
                <w:i/>
                <w:iCs/>
                <w:sz w:val="18"/>
                <w:szCs w:val="18"/>
                <w:vertAlign w:val="superscript"/>
                <w:lang w:val="en-US"/>
              </w:rPr>
              <w:t>17</w:t>
            </w:r>
            <w:r w:rsidR="00DA1E86" w:rsidRPr="00D33B1A">
              <w:rPr>
                <w:rFonts w:ascii="Arial" w:hAnsi="Arial" w:cs="Arial"/>
                <w:b/>
                <w:bCs/>
                <w:i/>
                <w:iCs/>
                <w:sz w:val="18"/>
                <w:szCs w:val="18"/>
                <w:vertAlign w:val="superscript"/>
                <w:lang w:val="en-US"/>
              </w:rPr>
              <w:fldChar w:fldCharType="end"/>
            </w:r>
          </w:p>
        </w:tc>
      </w:tr>
      <w:tr w:rsidR="00FA0C0C" w14:paraId="4E3B8CAB" w14:textId="77777777" w:rsidTr="00CF6657">
        <w:tc>
          <w:tcPr>
            <w:tcW w:w="8890" w:type="dxa"/>
          </w:tcPr>
          <w:p w14:paraId="64D2E450" w14:textId="7C96E451" w:rsidR="00FA0C0C" w:rsidRPr="00D33B1A" w:rsidRDefault="00FA0C0C" w:rsidP="001F6887">
            <w:pPr>
              <w:jc w:val="both"/>
              <w:rPr>
                <w:rFonts w:ascii="Arial" w:hAnsi="Arial" w:cs="Arial"/>
                <w:sz w:val="16"/>
                <w:szCs w:val="16"/>
              </w:rPr>
            </w:pPr>
            <w:r w:rsidRPr="00D33B1A">
              <w:rPr>
                <w:rFonts w:ascii="Arial" w:hAnsi="Arial" w:cs="Arial"/>
                <w:b/>
                <w:bCs/>
                <w:sz w:val="16"/>
                <w:szCs w:val="16"/>
              </w:rPr>
              <w:t xml:space="preserve">Breve descripción </w:t>
            </w:r>
            <w:r w:rsidRPr="00D33B1A">
              <w:rPr>
                <w:rFonts w:ascii="Arial" w:hAnsi="Arial" w:cs="Arial"/>
                <w:sz w:val="16"/>
                <w:szCs w:val="16"/>
              </w:rPr>
              <w:t>del ensayo:</w:t>
            </w:r>
          </w:p>
          <w:p w14:paraId="098DB120" w14:textId="4F142392" w:rsidR="00FA0C0C" w:rsidRPr="00D33B1A" w:rsidRDefault="00703A3E" w:rsidP="001F6887">
            <w:pPr>
              <w:jc w:val="both"/>
              <w:rPr>
                <w:rFonts w:ascii="Arial" w:hAnsi="Arial" w:cs="Arial"/>
                <w:sz w:val="16"/>
                <w:szCs w:val="16"/>
              </w:rPr>
            </w:pPr>
            <w:r w:rsidRPr="00D33B1A">
              <w:rPr>
                <w:rFonts w:ascii="Arial" w:hAnsi="Arial" w:cs="Arial"/>
                <w:sz w:val="16"/>
                <w:szCs w:val="16"/>
              </w:rPr>
              <w:t>-Nº de pacientes: 30</w:t>
            </w:r>
          </w:p>
          <w:p w14:paraId="33699C2C" w14:textId="78E2241D" w:rsidR="00FA0C0C" w:rsidRPr="00D33B1A" w:rsidRDefault="00FA0C0C" w:rsidP="001F6887">
            <w:pPr>
              <w:jc w:val="both"/>
              <w:rPr>
                <w:rFonts w:ascii="Arial" w:hAnsi="Arial" w:cs="Arial"/>
                <w:sz w:val="16"/>
                <w:szCs w:val="16"/>
              </w:rPr>
            </w:pPr>
            <w:r w:rsidRPr="00D33B1A">
              <w:rPr>
                <w:rFonts w:ascii="Arial" w:hAnsi="Arial" w:cs="Arial"/>
                <w:sz w:val="16"/>
                <w:szCs w:val="16"/>
              </w:rPr>
              <w:t>-Diseño:</w:t>
            </w:r>
            <w:r w:rsidR="00703A3E" w:rsidRPr="00D33B1A">
              <w:rPr>
                <w:rFonts w:ascii="Arial" w:hAnsi="Arial" w:cs="Arial"/>
                <w:sz w:val="16"/>
                <w:szCs w:val="16"/>
              </w:rPr>
              <w:t xml:space="preserve"> e</w:t>
            </w:r>
            <w:r w:rsidRPr="00D33B1A">
              <w:rPr>
                <w:rFonts w:ascii="Arial" w:hAnsi="Arial" w:cs="Arial"/>
                <w:sz w:val="16"/>
                <w:szCs w:val="16"/>
              </w:rPr>
              <w:t>nsayo fase I</w:t>
            </w:r>
            <w:r w:rsidR="001E6E93" w:rsidRPr="00D33B1A">
              <w:rPr>
                <w:rFonts w:ascii="Arial" w:hAnsi="Arial" w:cs="Arial"/>
                <w:sz w:val="16"/>
                <w:szCs w:val="16"/>
              </w:rPr>
              <w:t>II</w:t>
            </w:r>
            <w:r w:rsidRPr="00D33B1A">
              <w:rPr>
                <w:rFonts w:ascii="Arial" w:hAnsi="Arial" w:cs="Arial"/>
                <w:sz w:val="16"/>
                <w:szCs w:val="16"/>
              </w:rPr>
              <w:t xml:space="preserve">, </w:t>
            </w:r>
            <w:r w:rsidR="00345B4D" w:rsidRPr="00D33B1A">
              <w:rPr>
                <w:rFonts w:ascii="Arial" w:hAnsi="Arial" w:cs="Arial"/>
                <w:sz w:val="16"/>
                <w:szCs w:val="16"/>
              </w:rPr>
              <w:t xml:space="preserve">multicéntrico, </w:t>
            </w:r>
            <w:r w:rsidRPr="00D33B1A">
              <w:rPr>
                <w:rFonts w:ascii="Arial" w:hAnsi="Arial" w:cs="Arial"/>
                <w:sz w:val="16"/>
                <w:szCs w:val="16"/>
              </w:rPr>
              <w:t>abierto y no controlado</w:t>
            </w:r>
            <w:r w:rsidR="001E6E93" w:rsidRPr="00D33B1A">
              <w:rPr>
                <w:rFonts w:ascii="Arial" w:hAnsi="Arial" w:cs="Arial"/>
                <w:sz w:val="16"/>
                <w:szCs w:val="16"/>
              </w:rPr>
              <w:t xml:space="preserve"> (un solo brazo)</w:t>
            </w:r>
          </w:p>
          <w:p w14:paraId="331CA204" w14:textId="2BF830A9" w:rsidR="0071188F" w:rsidRPr="00D33B1A" w:rsidRDefault="00FA0C0C" w:rsidP="001F6887">
            <w:pPr>
              <w:jc w:val="both"/>
              <w:rPr>
                <w:rFonts w:ascii="Arial" w:hAnsi="Arial" w:cs="Arial"/>
                <w:sz w:val="16"/>
                <w:szCs w:val="16"/>
              </w:rPr>
            </w:pPr>
            <w:r w:rsidRPr="00D33B1A">
              <w:rPr>
                <w:rFonts w:ascii="Arial" w:hAnsi="Arial" w:cs="Arial"/>
                <w:sz w:val="16"/>
                <w:szCs w:val="16"/>
              </w:rPr>
              <w:t>-Tratamiento grupo activo:</w:t>
            </w:r>
            <w:r w:rsidR="00703A3E" w:rsidRPr="00D33B1A">
              <w:rPr>
                <w:rFonts w:ascii="Arial" w:hAnsi="Arial" w:cs="Arial"/>
                <w:sz w:val="16"/>
                <w:szCs w:val="16"/>
              </w:rPr>
              <w:t xml:space="preserve"> d</w:t>
            </w:r>
            <w:r w:rsidR="0071188F" w:rsidRPr="00D33B1A">
              <w:rPr>
                <w:rFonts w:ascii="Arial" w:hAnsi="Arial" w:cs="Arial"/>
                <w:sz w:val="16"/>
                <w:szCs w:val="16"/>
              </w:rPr>
              <w:t>osis única de onasemnogen abeparvovec a dosis nominal de 1,1 x 10</w:t>
            </w:r>
            <w:r w:rsidR="0071188F" w:rsidRPr="00D33B1A">
              <w:rPr>
                <w:rFonts w:ascii="Arial" w:hAnsi="Arial" w:cs="Arial"/>
                <w:sz w:val="16"/>
                <w:szCs w:val="16"/>
                <w:vertAlign w:val="superscript"/>
              </w:rPr>
              <w:t>14</w:t>
            </w:r>
            <w:r w:rsidR="0071188F" w:rsidRPr="00D33B1A">
              <w:rPr>
                <w:rFonts w:ascii="Arial" w:hAnsi="Arial" w:cs="Arial"/>
                <w:sz w:val="16"/>
                <w:szCs w:val="16"/>
              </w:rPr>
              <w:t xml:space="preserve"> vg/kg </w:t>
            </w:r>
          </w:p>
          <w:p w14:paraId="025DD2D3" w14:textId="7CF4D468" w:rsidR="006E27F7" w:rsidRPr="00D33B1A" w:rsidRDefault="00930AF5" w:rsidP="001F6887">
            <w:pPr>
              <w:jc w:val="both"/>
              <w:rPr>
                <w:rFonts w:ascii="Arial" w:hAnsi="Arial" w:cs="Arial"/>
                <w:sz w:val="16"/>
                <w:szCs w:val="16"/>
              </w:rPr>
            </w:pPr>
            <w:r w:rsidRPr="00D33B1A">
              <w:rPr>
                <w:rFonts w:ascii="Arial" w:hAnsi="Arial" w:cs="Arial"/>
                <w:sz w:val="16"/>
                <w:szCs w:val="16"/>
              </w:rPr>
              <w:t>-</w:t>
            </w:r>
            <w:r w:rsidR="006E27F7" w:rsidRPr="00D33B1A">
              <w:rPr>
                <w:rFonts w:ascii="Arial" w:hAnsi="Arial" w:cs="Arial"/>
                <w:sz w:val="16"/>
                <w:szCs w:val="16"/>
              </w:rPr>
              <w:t xml:space="preserve">Criterios de inclusión: </w:t>
            </w:r>
          </w:p>
          <w:p w14:paraId="3429AF9F" w14:textId="1739E751" w:rsidR="00930AF5" w:rsidRPr="00D33B1A" w:rsidRDefault="00703A3E" w:rsidP="001F6887">
            <w:pPr>
              <w:numPr>
                <w:ilvl w:val="0"/>
                <w:numId w:val="2"/>
              </w:numPr>
              <w:jc w:val="both"/>
              <w:rPr>
                <w:rFonts w:ascii="Arial" w:hAnsi="Arial" w:cs="Arial"/>
                <w:sz w:val="16"/>
                <w:szCs w:val="16"/>
              </w:rPr>
            </w:pPr>
            <w:r w:rsidRPr="00D33B1A">
              <w:rPr>
                <w:rFonts w:ascii="Arial" w:hAnsi="Arial" w:cs="Arial"/>
                <w:sz w:val="16"/>
                <w:szCs w:val="16"/>
              </w:rPr>
              <w:t xml:space="preserve">Edad &lt; </w:t>
            </w:r>
            <w:r w:rsidR="006E27F7" w:rsidRPr="00D33B1A">
              <w:rPr>
                <w:rFonts w:ascii="Arial" w:hAnsi="Arial" w:cs="Arial"/>
                <w:sz w:val="16"/>
                <w:szCs w:val="16"/>
              </w:rPr>
              <w:t xml:space="preserve">6 </w:t>
            </w:r>
            <w:r w:rsidR="00930AF5" w:rsidRPr="00D33B1A">
              <w:rPr>
                <w:rFonts w:ascii="Arial" w:hAnsi="Arial" w:cs="Arial"/>
                <w:sz w:val="16"/>
                <w:szCs w:val="16"/>
              </w:rPr>
              <w:t>semanas</w:t>
            </w:r>
            <w:r w:rsidR="006E27F7" w:rsidRPr="00D33B1A">
              <w:rPr>
                <w:rFonts w:ascii="Arial" w:hAnsi="Arial" w:cs="Arial"/>
                <w:sz w:val="16"/>
                <w:szCs w:val="16"/>
              </w:rPr>
              <w:t xml:space="preserve"> en el momento de la administración del fármaco</w:t>
            </w:r>
          </w:p>
          <w:p w14:paraId="6DAB4F31" w14:textId="60DBC4BE" w:rsidR="00930AF5" w:rsidRPr="00D33B1A" w:rsidRDefault="00930AF5" w:rsidP="001F6887">
            <w:pPr>
              <w:numPr>
                <w:ilvl w:val="0"/>
                <w:numId w:val="2"/>
              </w:numPr>
              <w:jc w:val="both"/>
              <w:rPr>
                <w:rFonts w:ascii="Arial" w:hAnsi="Arial" w:cs="Arial"/>
                <w:sz w:val="16"/>
                <w:szCs w:val="16"/>
              </w:rPr>
            </w:pPr>
            <w:r w:rsidRPr="00D33B1A">
              <w:rPr>
                <w:rFonts w:ascii="Arial" w:hAnsi="Arial" w:cs="Arial"/>
                <w:sz w:val="16"/>
                <w:szCs w:val="16"/>
              </w:rPr>
              <w:t>Potencial de</w:t>
            </w:r>
            <w:r w:rsidR="00241AFD">
              <w:rPr>
                <w:rFonts w:ascii="Arial" w:hAnsi="Arial" w:cs="Arial"/>
                <w:sz w:val="16"/>
                <w:szCs w:val="16"/>
              </w:rPr>
              <w:t xml:space="preserve"> acción motor compuesto (CMAP) ≥</w:t>
            </w:r>
            <w:r w:rsidRPr="00D33B1A">
              <w:rPr>
                <w:rFonts w:ascii="Arial" w:hAnsi="Arial" w:cs="Arial"/>
                <w:sz w:val="16"/>
                <w:szCs w:val="16"/>
              </w:rPr>
              <w:t xml:space="preserve"> 2 mV</w:t>
            </w:r>
          </w:p>
          <w:p w14:paraId="5DFF9929" w14:textId="0768B7E0" w:rsidR="006E27F7" w:rsidRPr="00D33B1A" w:rsidRDefault="00930AF5" w:rsidP="001F6887">
            <w:pPr>
              <w:numPr>
                <w:ilvl w:val="0"/>
                <w:numId w:val="2"/>
              </w:numPr>
              <w:jc w:val="both"/>
              <w:rPr>
                <w:rFonts w:ascii="Arial" w:hAnsi="Arial" w:cs="Arial"/>
                <w:sz w:val="16"/>
                <w:szCs w:val="16"/>
              </w:rPr>
            </w:pPr>
            <w:r w:rsidRPr="00D33B1A">
              <w:rPr>
                <w:rFonts w:ascii="Arial" w:hAnsi="Arial" w:cs="Arial"/>
                <w:sz w:val="16"/>
                <w:szCs w:val="16"/>
              </w:rPr>
              <w:t>Edad gestacional entre 35 y 42 semanas</w:t>
            </w:r>
          </w:p>
          <w:p w14:paraId="5762D3C8" w14:textId="2FB66A3D" w:rsidR="00930AF5" w:rsidRPr="00D33B1A" w:rsidRDefault="00930AF5" w:rsidP="001F6887">
            <w:pPr>
              <w:numPr>
                <w:ilvl w:val="0"/>
                <w:numId w:val="2"/>
              </w:numPr>
              <w:jc w:val="both"/>
              <w:rPr>
                <w:rFonts w:ascii="Arial" w:hAnsi="Arial" w:cs="Arial"/>
                <w:sz w:val="16"/>
                <w:szCs w:val="16"/>
              </w:rPr>
            </w:pPr>
            <w:r w:rsidRPr="00D33B1A">
              <w:rPr>
                <w:rFonts w:ascii="Arial" w:hAnsi="Arial" w:cs="Arial"/>
                <w:sz w:val="16"/>
                <w:szCs w:val="16"/>
              </w:rPr>
              <w:t xml:space="preserve">Pacientes presintomáticos </w:t>
            </w:r>
            <w:r w:rsidRPr="00D33B1A">
              <w:rPr>
                <w:rFonts w:ascii="Arial" w:hAnsi="Arial" w:cs="Arial"/>
                <w:b/>
                <w:sz w:val="16"/>
                <w:szCs w:val="16"/>
              </w:rPr>
              <w:t>con 2 copias de SMN2</w:t>
            </w:r>
          </w:p>
          <w:p w14:paraId="0CA605E8" w14:textId="04166BC6" w:rsidR="00930AF5" w:rsidRPr="00D33B1A" w:rsidRDefault="00930AF5" w:rsidP="001F6887">
            <w:pPr>
              <w:numPr>
                <w:ilvl w:val="0"/>
                <w:numId w:val="2"/>
              </w:numPr>
              <w:jc w:val="both"/>
              <w:rPr>
                <w:rFonts w:ascii="Arial" w:hAnsi="Arial" w:cs="Arial"/>
                <w:sz w:val="16"/>
                <w:szCs w:val="16"/>
              </w:rPr>
            </w:pPr>
            <w:r w:rsidRPr="00D33B1A">
              <w:rPr>
                <w:rFonts w:ascii="Arial" w:hAnsi="Arial" w:cs="Arial"/>
                <w:sz w:val="16"/>
                <w:szCs w:val="16"/>
              </w:rPr>
              <w:t xml:space="preserve">Pacientes presintomáticos </w:t>
            </w:r>
            <w:r w:rsidRPr="00D33B1A">
              <w:rPr>
                <w:rFonts w:ascii="Arial" w:hAnsi="Arial" w:cs="Arial"/>
                <w:b/>
                <w:sz w:val="16"/>
                <w:szCs w:val="16"/>
              </w:rPr>
              <w:t>con 3 copias de SMN2</w:t>
            </w:r>
          </w:p>
          <w:p w14:paraId="0D83F8A1" w14:textId="77777777" w:rsidR="006E27F7" w:rsidRPr="00D33B1A" w:rsidRDefault="006E27F7" w:rsidP="001F6887">
            <w:pPr>
              <w:jc w:val="both"/>
              <w:rPr>
                <w:rFonts w:ascii="Arial" w:hAnsi="Arial" w:cs="Arial"/>
                <w:sz w:val="16"/>
                <w:szCs w:val="16"/>
              </w:rPr>
            </w:pPr>
            <w:r w:rsidRPr="00D33B1A">
              <w:rPr>
                <w:rFonts w:ascii="Arial" w:hAnsi="Arial" w:cs="Arial"/>
                <w:sz w:val="16"/>
                <w:szCs w:val="16"/>
              </w:rPr>
              <w:t>-Criterios de exclusión:</w:t>
            </w:r>
          </w:p>
          <w:p w14:paraId="1AE5F02A" w14:textId="62CA0942" w:rsidR="006E27F7" w:rsidRPr="00D33B1A" w:rsidRDefault="00834CB1" w:rsidP="001F6887">
            <w:pPr>
              <w:numPr>
                <w:ilvl w:val="0"/>
                <w:numId w:val="3"/>
              </w:numPr>
              <w:jc w:val="both"/>
              <w:rPr>
                <w:rFonts w:ascii="Arial" w:hAnsi="Arial" w:cs="Arial"/>
                <w:sz w:val="16"/>
                <w:szCs w:val="16"/>
              </w:rPr>
            </w:pPr>
            <w:r w:rsidRPr="00D33B1A">
              <w:rPr>
                <w:rFonts w:ascii="Arial" w:hAnsi="Arial" w:cs="Arial"/>
                <w:sz w:val="16"/>
                <w:szCs w:val="16"/>
              </w:rPr>
              <w:t>Peso en la visita de selección &lt; 2 kg</w:t>
            </w:r>
          </w:p>
          <w:p w14:paraId="023B2D2A" w14:textId="77777777" w:rsidR="006E27F7" w:rsidRPr="00D33B1A" w:rsidRDefault="006E27F7" w:rsidP="001F6887">
            <w:pPr>
              <w:numPr>
                <w:ilvl w:val="0"/>
                <w:numId w:val="3"/>
              </w:numPr>
              <w:jc w:val="both"/>
              <w:rPr>
                <w:rFonts w:ascii="Arial" w:hAnsi="Arial" w:cs="Arial"/>
                <w:sz w:val="16"/>
                <w:szCs w:val="16"/>
              </w:rPr>
            </w:pPr>
            <w:r w:rsidRPr="00D33B1A">
              <w:rPr>
                <w:rFonts w:ascii="Arial" w:hAnsi="Arial" w:cs="Arial"/>
                <w:sz w:val="16"/>
                <w:szCs w:val="16"/>
              </w:rPr>
              <w:t>Saturación de oxígeno &lt; 96%</w:t>
            </w:r>
          </w:p>
          <w:p w14:paraId="334056B0" w14:textId="29A6DAFA" w:rsidR="006E27F7" w:rsidRPr="00D33B1A" w:rsidRDefault="006E27F7" w:rsidP="001F6887">
            <w:pPr>
              <w:numPr>
                <w:ilvl w:val="0"/>
                <w:numId w:val="3"/>
              </w:numPr>
              <w:jc w:val="both"/>
              <w:rPr>
                <w:rFonts w:ascii="Arial" w:hAnsi="Arial" w:cs="Arial"/>
                <w:sz w:val="16"/>
                <w:szCs w:val="16"/>
              </w:rPr>
            </w:pPr>
            <w:r w:rsidRPr="00D33B1A">
              <w:rPr>
                <w:rFonts w:ascii="Arial" w:hAnsi="Arial" w:cs="Arial"/>
                <w:sz w:val="16"/>
                <w:szCs w:val="16"/>
              </w:rPr>
              <w:t xml:space="preserve">Traqueostomía o uso actual de soporte ventilatorio no invasivo </w:t>
            </w:r>
          </w:p>
          <w:p w14:paraId="464A5AC8" w14:textId="77777777" w:rsidR="006E27F7" w:rsidRPr="00D33B1A" w:rsidRDefault="006E27F7" w:rsidP="001F6887">
            <w:pPr>
              <w:numPr>
                <w:ilvl w:val="0"/>
                <w:numId w:val="3"/>
              </w:numPr>
              <w:jc w:val="both"/>
              <w:rPr>
                <w:rFonts w:ascii="Arial" w:hAnsi="Arial" w:cs="Arial"/>
                <w:sz w:val="16"/>
                <w:szCs w:val="16"/>
              </w:rPr>
            </w:pPr>
            <w:r w:rsidRPr="00D33B1A">
              <w:rPr>
                <w:rFonts w:ascii="Arial" w:hAnsi="Arial" w:cs="Arial"/>
                <w:sz w:val="16"/>
                <w:szCs w:val="16"/>
              </w:rPr>
              <w:t>Pacientes con signos de aspiración o incapacidad para tomar líquidos no espesados durante el test de capacidad de deglución.</w:t>
            </w:r>
          </w:p>
          <w:p w14:paraId="2D898805" w14:textId="1B97213C" w:rsidR="006E27F7" w:rsidRPr="00D33B1A" w:rsidRDefault="00EA1794" w:rsidP="001F6887">
            <w:pPr>
              <w:numPr>
                <w:ilvl w:val="0"/>
                <w:numId w:val="3"/>
              </w:numPr>
              <w:jc w:val="both"/>
              <w:rPr>
                <w:rFonts w:ascii="Arial" w:hAnsi="Arial" w:cs="Arial"/>
                <w:sz w:val="16"/>
                <w:szCs w:val="16"/>
              </w:rPr>
            </w:pPr>
            <w:r w:rsidRPr="00D33B1A">
              <w:rPr>
                <w:rFonts w:ascii="Arial" w:hAnsi="Arial" w:cs="Arial"/>
                <w:sz w:val="16"/>
                <w:szCs w:val="16"/>
              </w:rPr>
              <w:t>Anormalidades clínicamente significativas en los parámetros bioquímicos y/o hematológicos de laboratorio</w:t>
            </w:r>
          </w:p>
          <w:p w14:paraId="04954AF7" w14:textId="77777777" w:rsidR="00241AFD" w:rsidRDefault="00241AFD" w:rsidP="001F6887">
            <w:pPr>
              <w:numPr>
                <w:ilvl w:val="0"/>
                <w:numId w:val="3"/>
              </w:numPr>
              <w:jc w:val="both"/>
              <w:rPr>
                <w:rFonts w:ascii="Arial" w:hAnsi="Arial" w:cs="Arial"/>
                <w:sz w:val="16"/>
                <w:szCs w:val="16"/>
              </w:rPr>
            </w:pPr>
            <w:r>
              <w:rPr>
                <w:rFonts w:ascii="Arial" w:hAnsi="Arial" w:cs="Arial"/>
                <w:sz w:val="16"/>
                <w:szCs w:val="16"/>
              </w:rPr>
              <w:t>Madre biológica son i</w:t>
            </w:r>
            <w:r w:rsidR="006E27F7" w:rsidRPr="00D33B1A">
              <w:rPr>
                <w:rFonts w:ascii="Arial" w:hAnsi="Arial" w:cs="Arial"/>
                <w:sz w:val="16"/>
                <w:szCs w:val="16"/>
              </w:rPr>
              <w:t>nfecciones virales activas,</w:t>
            </w:r>
          </w:p>
          <w:p w14:paraId="1033E7BC" w14:textId="72296D18" w:rsidR="006E27F7" w:rsidRPr="00D33B1A" w:rsidRDefault="00241AFD" w:rsidP="001F6887">
            <w:pPr>
              <w:numPr>
                <w:ilvl w:val="0"/>
                <w:numId w:val="3"/>
              </w:numPr>
              <w:jc w:val="both"/>
              <w:rPr>
                <w:rFonts w:ascii="Arial" w:hAnsi="Arial" w:cs="Arial"/>
                <w:sz w:val="16"/>
                <w:szCs w:val="16"/>
              </w:rPr>
            </w:pPr>
            <w:r>
              <w:rPr>
                <w:rFonts w:ascii="Arial" w:hAnsi="Arial" w:cs="Arial"/>
                <w:sz w:val="16"/>
                <w:szCs w:val="16"/>
              </w:rPr>
              <w:t>Infecciones</w:t>
            </w:r>
            <w:r w:rsidR="006E27F7" w:rsidRPr="00D33B1A">
              <w:rPr>
                <w:rFonts w:ascii="Arial" w:hAnsi="Arial" w:cs="Arial"/>
                <w:sz w:val="16"/>
                <w:szCs w:val="16"/>
              </w:rPr>
              <w:t xml:space="preserve"> graves del TRS que requieran hospitalización y/o tratamiento sistémico o infecciones de las vías respiratorias superiores</w:t>
            </w:r>
          </w:p>
          <w:p w14:paraId="324DC873" w14:textId="06898200" w:rsidR="006E27F7" w:rsidRPr="00D33B1A" w:rsidRDefault="006E27F7" w:rsidP="001F6887">
            <w:pPr>
              <w:numPr>
                <w:ilvl w:val="0"/>
                <w:numId w:val="3"/>
              </w:numPr>
              <w:jc w:val="both"/>
              <w:rPr>
                <w:rFonts w:ascii="Arial" w:hAnsi="Arial" w:cs="Arial"/>
                <w:sz w:val="16"/>
                <w:szCs w:val="16"/>
              </w:rPr>
            </w:pPr>
            <w:r w:rsidRPr="00D33B1A">
              <w:rPr>
                <w:rFonts w:ascii="Arial" w:hAnsi="Arial" w:cs="Arial"/>
                <w:sz w:val="16"/>
                <w:szCs w:val="16"/>
              </w:rPr>
              <w:t>Enfermedades concomitantes graves como: insuficiencia renal o hepática grave, trastornos convulsivos, diabetes mellitus y miocardiopatías</w:t>
            </w:r>
          </w:p>
          <w:p w14:paraId="4ACEDA3B" w14:textId="77777777" w:rsidR="00241AFD" w:rsidRDefault="00241AFD" w:rsidP="001F6887">
            <w:pPr>
              <w:numPr>
                <w:ilvl w:val="0"/>
                <w:numId w:val="3"/>
              </w:numPr>
              <w:jc w:val="both"/>
              <w:rPr>
                <w:rFonts w:ascii="Arial" w:hAnsi="Arial" w:cs="Arial"/>
                <w:sz w:val="16"/>
                <w:szCs w:val="16"/>
              </w:rPr>
            </w:pPr>
            <w:r w:rsidRPr="00774D20">
              <w:rPr>
                <w:rFonts w:ascii="Arial" w:hAnsi="Arial" w:cs="Arial"/>
                <w:sz w:val="16"/>
                <w:szCs w:val="16"/>
              </w:rPr>
              <w:t>Pac</w:t>
            </w:r>
            <w:r>
              <w:rPr>
                <w:rFonts w:ascii="Arial" w:hAnsi="Arial" w:cs="Arial"/>
                <w:sz w:val="16"/>
                <w:szCs w:val="16"/>
              </w:rPr>
              <w:t>ientes con percentil de peso menor del tercer percentil</w:t>
            </w:r>
            <w:r w:rsidRPr="00774D20">
              <w:rPr>
                <w:rFonts w:ascii="Arial" w:hAnsi="Arial" w:cs="Arial"/>
                <w:sz w:val="16"/>
                <w:szCs w:val="16"/>
              </w:rPr>
              <w:t xml:space="preserve"> según los patrones de crecimiento infantil de la OMS</w:t>
            </w:r>
            <w:r>
              <w:rPr>
                <w:rFonts w:ascii="Arial" w:hAnsi="Arial" w:cs="Arial"/>
                <w:sz w:val="16"/>
                <w:szCs w:val="16"/>
              </w:rPr>
              <w:t>.</w:t>
            </w:r>
          </w:p>
          <w:p w14:paraId="72F5C414" w14:textId="43C2044B" w:rsidR="00EA1794" w:rsidRPr="00D33B1A" w:rsidRDefault="00EA1794" w:rsidP="001F6887">
            <w:pPr>
              <w:numPr>
                <w:ilvl w:val="0"/>
                <w:numId w:val="3"/>
              </w:numPr>
              <w:jc w:val="both"/>
              <w:rPr>
                <w:rFonts w:ascii="Arial" w:hAnsi="Arial" w:cs="Arial"/>
                <w:sz w:val="16"/>
                <w:szCs w:val="16"/>
              </w:rPr>
            </w:pPr>
            <w:r w:rsidRPr="00D33B1A">
              <w:rPr>
                <w:rFonts w:ascii="Arial" w:hAnsi="Arial" w:cs="Arial"/>
                <w:sz w:val="16"/>
                <w:szCs w:val="16"/>
              </w:rPr>
              <w:t>Cirugía previa de corrección de escoliosis o planificada durante el período de evaluación del estudio</w:t>
            </w:r>
          </w:p>
          <w:p w14:paraId="644CFD35" w14:textId="5D6CE828" w:rsidR="00EA1794" w:rsidRPr="00D33B1A" w:rsidRDefault="00EA1794" w:rsidP="001F6887">
            <w:pPr>
              <w:numPr>
                <w:ilvl w:val="0"/>
                <w:numId w:val="3"/>
              </w:numPr>
              <w:jc w:val="both"/>
              <w:rPr>
                <w:rFonts w:ascii="Arial" w:hAnsi="Arial" w:cs="Arial"/>
                <w:sz w:val="16"/>
                <w:szCs w:val="16"/>
              </w:rPr>
            </w:pPr>
            <w:r w:rsidRPr="00D33B1A">
              <w:rPr>
                <w:rFonts w:ascii="Arial" w:hAnsi="Arial" w:cs="Arial"/>
                <w:sz w:val="16"/>
                <w:szCs w:val="16"/>
              </w:rPr>
              <w:t>Uso concomitante de cualquiera de medicamentos para el tratamiento de la miopatía o neuropatía, agentes utilizados para tratar la diabetes mellitus, terapia inmunosupresora en curso, plasmaféresis, inmunomoduladores como adalimumab y/o terapia inmunosupresora en las 4 semanas anteriores a la terapia de reemplazo génico</w:t>
            </w:r>
          </w:p>
          <w:p w14:paraId="6D0FC39C" w14:textId="77777777" w:rsidR="006E27F7" w:rsidRPr="00D33B1A" w:rsidRDefault="006E27F7" w:rsidP="001F6887">
            <w:pPr>
              <w:numPr>
                <w:ilvl w:val="0"/>
                <w:numId w:val="3"/>
              </w:numPr>
              <w:jc w:val="both"/>
              <w:rPr>
                <w:rFonts w:ascii="Arial" w:hAnsi="Arial" w:cs="Arial"/>
                <w:sz w:val="16"/>
                <w:szCs w:val="16"/>
              </w:rPr>
            </w:pPr>
            <w:r w:rsidRPr="00D33B1A">
              <w:rPr>
                <w:rFonts w:ascii="Arial" w:hAnsi="Arial" w:cs="Arial"/>
                <w:sz w:val="16"/>
                <w:szCs w:val="16"/>
              </w:rPr>
              <w:t>Alergia conocida a prednisolona u otros glucocorticoesteroides</w:t>
            </w:r>
          </w:p>
          <w:p w14:paraId="10D01DBA" w14:textId="77777777" w:rsidR="006E27F7" w:rsidRPr="00D33B1A" w:rsidRDefault="006E27F7" w:rsidP="001F6887">
            <w:pPr>
              <w:numPr>
                <w:ilvl w:val="0"/>
                <w:numId w:val="3"/>
              </w:numPr>
              <w:jc w:val="both"/>
              <w:rPr>
                <w:rFonts w:ascii="Arial" w:hAnsi="Arial" w:cs="Arial"/>
                <w:sz w:val="16"/>
                <w:szCs w:val="16"/>
              </w:rPr>
            </w:pPr>
            <w:r w:rsidRPr="00D33B1A">
              <w:rPr>
                <w:rFonts w:ascii="Arial" w:hAnsi="Arial" w:cs="Arial"/>
                <w:sz w:val="16"/>
                <w:szCs w:val="16"/>
              </w:rPr>
              <w:t>Título de anticuerpos anti-AAV9&gt;1/50</w:t>
            </w:r>
          </w:p>
          <w:p w14:paraId="0B4387A5" w14:textId="33CF353D" w:rsidR="006E27F7" w:rsidRPr="00D33B1A" w:rsidRDefault="006E27F7" w:rsidP="001F6887">
            <w:pPr>
              <w:numPr>
                <w:ilvl w:val="0"/>
                <w:numId w:val="3"/>
              </w:numPr>
              <w:jc w:val="both"/>
              <w:rPr>
                <w:rFonts w:ascii="Arial" w:hAnsi="Arial" w:cs="Arial"/>
                <w:sz w:val="16"/>
                <w:szCs w:val="16"/>
              </w:rPr>
            </w:pPr>
            <w:r w:rsidRPr="00D33B1A">
              <w:rPr>
                <w:rFonts w:ascii="Arial" w:hAnsi="Arial" w:cs="Arial"/>
                <w:sz w:val="16"/>
                <w:szCs w:val="16"/>
              </w:rPr>
              <w:t>Participación en ensayos clínicos sobre AME o en terapia con algún producto comercial destinado a tratar la AME</w:t>
            </w:r>
          </w:p>
          <w:p w14:paraId="7159F520" w14:textId="7687E5DF" w:rsidR="006E27F7" w:rsidRPr="00D33B1A" w:rsidRDefault="006E27F7" w:rsidP="001F6887">
            <w:pPr>
              <w:jc w:val="both"/>
              <w:rPr>
                <w:rFonts w:ascii="Arial" w:hAnsi="Arial" w:cs="Arial"/>
                <w:sz w:val="16"/>
                <w:szCs w:val="16"/>
              </w:rPr>
            </w:pPr>
            <w:r w:rsidRPr="00D33B1A">
              <w:rPr>
                <w:rFonts w:ascii="Arial" w:hAnsi="Arial" w:cs="Arial"/>
                <w:sz w:val="16"/>
                <w:szCs w:val="16"/>
              </w:rPr>
              <w:t xml:space="preserve">-Pérdidas: </w:t>
            </w:r>
            <w:r w:rsidR="00703A3E" w:rsidRPr="00D33B1A">
              <w:rPr>
                <w:rFonts w:ascii="Arial" w:hAnsi="Arial" w:cs="Arial"/>
                <w:sz w:val="16"/>
                <w:szCs w:val="16"/>
              </w:rPr>
              <w:t>n</w:t>
            </w:r>
            <w:r w:rsidR="00345B4D" w:rsidRPr="00D33B1A">
              <w:rPr>
                <w:rFonts w:ascii="Arial" w:hAnsi="Arial" w:cs="Arial"/>
                <w:sz w:val="16"/>
                <w:szCs w:val="16"/>
              </w:rPr>
              <w:t>o especificado</w:t>
            </w:r>
          </w:p>
          <w:p w14:paraId="231DD213" w14:textId="28EF409E" w:rsidR="006E27F7" w:rsidRPr="00D33B1A" w:rsidRDefault="00FC43C7" w:rsidP="001F6887">
            <w:pPr>
              <w:jc w:val="both"/>
              <w:rPr>
                <w:rFonts w:ascii="Arial" w:hAnsi="Arial" w:cs="Arial"/>
                <w:sz w:val="16"/>
                <w:szCs w:val="16"/>
              </w:rPr>
            </w:pPr>
            <w:r w:rsidRPr="00D33B1A">
              <w:rPr>
                <w:rFonts w:ascii="Arial" w:hAnsi="Arial" w:cs="Arial"/>
                <w:sz w:val="16"/>
                <w:szCs w:val="16"/>
              </w:rPr>
              <w:t>-Tipo de análisis: p</w:t>
            </w:r>
            <w:r w:rsidR="006E27F7" w:rsidRPr="00D33B1A">
              <w:rPr>
                <w:rFonts w:ascii="Arial" w:hAnsi="Arial" w:cs="Arial"/>
                <w:sz w:val="16"/>
                <w:szCs w:val="16"/>
              </w:rPr>
              <w:t xml:space="preserve">or intención de tratar </w:t>
            </w:r>
          </w:p>
          <w:p w14:paraId="1B16A16D" w14:textId="191CA8A1" w:rsidR="00B0483A" w:rsidRDefault="00ED7A6D" w:rsidP="001F6887">
            <w:pPr>
              <w:jc w:val="both"/>
              <w:rPr>
                <w:rFonts w:ascii="Arial" w:hAnsi="Arial" w:cs="Arial"/>
                <w:sz w:val="16"/>
                <w:szCs w:val="16"/>
              </w:rPr>
            </w:pPr>
            <w:r w:rsidRPr="00D33B1A">
              <w:rPr>
                <w:rFonts w:ascii="Arial" w:hAnsi="Arial" w:cs="Arial"/>
                <w:sz w:val="16"/>
                <w:szCs w:val="16"/>
              </w:rPr>
              <w:t>- Cálculo del tamaño muestral</w:t>
            </w:r>
            <w:r w:rsidR="003C4B39" w:rsidRPr="00D33B1A">
              <w:rPr>
                <w:rFonts w:ascii="Arial" w:hAnsi="Arial" w:cs="Arial"/>
                <w:sz w:val="16"/>
                <w:szCs w:val="16"/>
              </w:rPr>
              <w:t xml:space="preserve">: </w:t>
            </w:r>
            <w:r w:rsidR="00FC43C7" w:rsidRPr="00D33B1A">
              <w:rPr>
                <w:rFonts w:ascii="Arial" w:hAnsi="Arial" w:cs="Arial"/>
                <w:sz w:val="16"/>
                <w:szCs w:val="16"/>
              </w:rPr>
              <w:t>n</w:t>
            </w:r>
            <w:r w:rsidRPr="00D33B1A">
              <w:rPr>
                <w:rFonts w:ascii="Arial" w:hAnsi="Arial" w:cs="Arial"/>
                <w:sz w:val="16"/>
                <w:szCs w:val="16"/>
              </w:rPr>
              <w:t>o especificado</w:t>
            </w:r>
          </w:p>
        </w:tc>
      </w:tr>
    </w:tbl>
    <w:p w14:paraId="3348E549" w14:textId="77777777" w:rsidR="00C41EE3" w:rsidRDefault="00C41EE3" w:rsidP="001F6887">
      <w:pPr>
        <w:autoSpaceDE w:val="0"/>
        <w:autoSpaceDN w:val="0"/>
        <w:adjustRightInd w:val="0"/>
        <w:jc w:val="both"/>
        <w:rPr>
          <w:rFonts w:ascii="Arial" w:hAnsi="Arial" w:cs="Arial"/>
          <w:sz w:val="20"/>
          <w:szCs w:val="20"/>
          <w:u w:val="single"/>
        </w:rPr>
      </w:pPr>
    </w:p>
    <w:p w14:paraId="56A8656B" w14:textId="69F6BE49" w:rsidR="00E718CC" w:rsidRPr="00D33B1A" w:rsidRDefault="00D11FCA" w:rsidP="001F6887">
      <w:pPr>
        <w:autoSpaceDE w:val="0"/>
        <w:autoSpaceDN w:val="0"/>
        <w:adjustRightInd w:val="0"/>
        <w:jc w:val="both"/>
        <w:rPr>
          <w:rFonts w:ascii="Arial" w:hAnsi="Arial" w:cs="Arial"/>
          <w:sz w:val="20"/>
          <w:szCs w:val="20"/>
          <w:u w:val="single"/>
        </w:rPr>
      </w:pPr>
      <w:r w:rsidRPr="00D33B1A">
        <w:rPr>
          <w:rFonts w:ascii="Arial" w:hAnsi="Arial" w:cs="Arial"/>
          <w:sz w:val="20"/>
          <w:szCs w:val="20"/>
          <w:u w:val="single"/>
        </w:rPr>
        <w:t>Cohorte 1</w:t>
      </w:r>
    </w:p>
    <w:p w14:paraId="19FCCC16" w14:textId="524A5355" w:rsidR="00E718CC" w:rsidRDefault="00E718CC" w:rsidP="001F6887">
      <w:pPr>
        <w:autoSpaceDE w:val="0"/>
        <w:autoSpaceDN w:val="0"/>
        <w:adjustRightInd w:val="0"/>
        <w:jc w:val="both"/>
        <w:rPr>
          <w:rFonts w:ascii="Arial" w:hAnsi="Arial" w:cs="Arial"/>
          <w:sz w:val="20"/>
          <w:szCs w:val="20"/>
        </w:rPr>
      </w:pPr>
      <w:r w:rsidRPr="00D33B1A">
        <w:rPr>
          <w:rFonts w:ascii="Arial" w:hAnsi="Arial" w:cs="Arial"/>
          <w:sz w:val="20"/>
          <w:szCs w:val="20"/>
        </w:rPr>
        <w:t>Al momento de la última visita del estudio antes del 31 de diciembre de 2019, los pacientes tratados con 2 copias de SMN2 tenían entre 6 meses y 18,6 meses de edad, y habían estado en el estudio por un promedio de 10,5 meses (rango: 5,1</w:t>
      </w:r>
      <w:r w:rsidR="00D11FCA" w:rsidRPr="00D33B1A">
        <w:rPr>
          <w:rFonts w:ascii="Arial" w:hAnsi="Arial" w:cs="Arial"/>
          <w:sz w:val="20"/>
          <w:szCs w:val="20"/>
        </w:rPr>
        <w:t>-</w:t>
      </w:r>
      <w:r w:rsidRPr="00D33B1A">
        <w:rPr>
          <w:rFonts w:ascii="Arial" w:hAnsi="Arial" w:cs="Arial"/>
          <w:sz w:val="20"/>
          <w:szCs w:val="20"/>
        </w:rPr>
        <w:t>18,0 meses).</w:t>
      </w:r>
      <w:r w:rsidR="00D11FCA" w:rsidRPr="00D33B1A">
        <w:rPr>
          <w:rFonts w:ascii="Arial" w:hAnsi="Arial" w:cs="Arial"/>
          <w:sz w:val="20"/>
          <w:szCs w:val="20"/>
        </w:rPr>
        <w:t xml:space="preserve"> </w:t>
      </w:r>
      <w:r w:rsidRPr="00D33B1A">
        <w:rPr>
          <w:rFonts w:ascii="Arial" w:hAnsi="Arial" w:cs="Arial"/>
          <w:sz w:val="20"/>
          <w:szCs w:val="20"/>
        </w:rPr>
        <w:t>Todos</w:t>
      </w:r>
      <w:r w:rsidR="00325262">
        <w:rPr>
          <w:rFonts w:ascii="Arial" w:hAnsi="Arial" w:cs="Arial"/>
          <w:sz w:val="20"/>
          <w:szCs w:val="20"/>
        </w:rPr>
        <w:t xml:space="preserve"> </w:t>
      </w:r>
      <w:r w:rsidRPr="00D33B1A">
        <w:rPr>
          <w:rFonts w:ascii="Arial" w:hAnsi="Arial" w:cs="Arial"/>
          <w:sz w:val="20"/>
          <w:szCs w:val="20"/>
        </w:rPr>
        <w:t xml:space="preserve">los pacientes </w:t>
      </w:r>
      <w:r w:rsidR="00325262">
        <w:rPr>
          <w:rFonts w:ascii="Arial" w:hAnsi="Arial" w:cs="Arial"/>
          <w:sz w:val="20"/>
          <w:szCs w:val="20"/>
        </w:rPr>
        <w:t xml:space="preserve">(14/14) </w:t>
      </w:r>
      <w:r w:rsidRPr="00D33B1A">
        <w:rPr>
          <w:rFonts w:ascii="Arial" w:hAnsi="Arial" w:cs="Arial"/>
          <w:sz w:val="20"/>
          <w:szCs w:val="20"/>
        </w:rPr>
        <w:t>estaban vivo</w:t>
      </w:r>
      <w:r w:rsidR="00C41EE3" w:rsidRPr="00D33B1A">
        <w:rPr>
          <w:rFonts w:ascii="Arial" w:hAnsi="Arial" w:cs="Arial"/>
          <w:sz w:val="20"/>
          <w:szCs w:val="20"/>
        </w:rPr>
        <w:t xml:space="preserve">s y sin ventilación permanente. </w:t>
      </w:r>
      <w:r w:rsidRPr="00D33B1A">
        <w:rPr>
          <w:rFonts w:ascii="Arial" w:hAnsi="Arial" w:cs="Arial"/>
          <w:sz w:val="20"/>
          <w:szCs w:val="20"/>
        </w:rPr>
        <w:t xml:space="preserve">Ocho pacientes lograron sedestación independiente por un mínimo de 30 segundos, a edades que iban de los 6,4 a 11,8 meses, con 7 de estos 8 (87,5%) que lograron sedestación independiente antes de los 9,2 meses de edad. Cuatro pacientes alcanzaron </w:t>
      </w:r>
      <w:r w:rsidR="00D11FCA" w:rsidRPr="00D33B1A">
        <w:rPr>
          <w:rFonts w:ascii="Arial" w:hAnsi="Arial" w:cs="Arial"/>
          <w:sz w:val="20"/>
          <w:szCs w:val="20"/>
        </w:rPr>
        <w:t xml:space="preserve">el objetivo </w:t>
      </w:r>
      <w:r w:rsidRPr="00D33B1A">
        <w:rPr>
          <w:rFonts w:ascii="Arial" w:hAnsi="Arial" w:cs="Arial"/>
          <w:sz w:val="20"/>
          <w:szCs w:val="20"/>
        </w:rPr>
        <w:t xml:space="preserve">de caminar solos (28,6%). Doce pacientes (85,7%) </w:t>
      </w:r>
      <w:r w:rsidR="006702C9" w:rsidRPr="00D33B1A">
        <w:rPr>
          <w:rFonts w:ascii="Arial" w:hAnsi="Arial" w:cs="Arial"/>
          <w:sz w:val="20"/>
          <w:szCs w:val="20"/>
        </w:rPr>
        <w:t>alcanzaron</w:t>
      </w:r>
      <w:r w:rsidRPr="00D33B1A">
        <w:rPr>
          <w:rFonts w:ascii="Arial" w:hAnsi="Arial" w:cs="Arial"/>
          <w:sz w:val="20"/>
          <w:szCs w:val="20"/>
        </w:rPr>
        <w:t xml:space="preserve"> puntuaciones CHOP-INTEND ≥ 60 al corte de datos al 31 de diciembre de 2019</w:t>
      </w:r>
      <w:r w:rsidR="00D11FCA" w:rsidRPr="00D33B1A">
        <w:rPr>
          <w:rFonts w:ascii="Arial" w:hAnsi="Arial" w:cs="Arial"/>
          <w:sz w:val="20"/>
          <w:szCs w:val="20"/>
        </w:rPr>
        <w:t>.</w:t>
      </w:r>
    </w:p>
    <w:p w14:paraId="34AFF018" w14:textId="50973135" w:rsidR="000453E1" w:rsidRPr="00D33B1A" w:rsidRDefault="000453E1" w:rsidP="001F6887">
      <w:pPr>
        <w:autoSpaceDE w:val="0"/>
        <w:autoSpaceDN w:val="0"/>
        <w:adjustRightInd w:val="0"/>
        <w:jc w:val="both"/>
        <w:rPr>
          <w:rFonts w:ascii="Arial" w:hAnsi="Arial" w:cs="Arial"/>
          <w:sz w:val="20"/>
          <w:szCs w:val="20"/>
        </w:rPr>
      </w:pPr>
      <w:r w:rsidRPr="000453E1">
        <w:rPr>
          <w:rFonts w:ascii="Arial" w:hAnsi="Arial" w:cs="Arial"/>
          <w:sz w:val="20"/>
          <w:szCs w:val="20"/>
        </w:rPr>
        <w:t xml:space="preserve">En la prueba de motricidad gruesa, los pacientes mejoraron su puntuación bruta media </w:t>
      </w:r>
      <w:r w:rsidR="00273AA0">
        <w:rPr>
          <w:rFonts w:ascii="Arial" w:hAnsi="Arial" w:cs="Arial"/>
          <w:sz w:val="20"/>
          <w:szCs w:val="20"/>
        </w:rPr>
        <w:t xml:space="preserve">según la escala de Bayley </w:t>
      </w:r>
      <w:r w:rsidRPr="000453E1">
        <w:rPr>
          <w:rFonts w:ascii="Arial" w:hAnsi="Arial" w:cs="Arial"/>
          <w:sz w:val="20"/>
          <w:szCs w:val="20"/>
        </w:rPr>
        <w:t xml:space="preserve">en 0,9 puntos en el mes 1 después de la dosis (n = 14), en 16,6 </w:t>
      </w:r>
      <w:r w:rsidR="00273AA0">
        <w:rPr>
          <w:rFonts w:ascii="Arial" w:hAnsi="Arial" w:cs="Arial"/>
          <w:sz w:val="20"/>
          <w:szCs w:val="20"/>
        </w:rPr>
        <w:t>puntos en el mes 6 (n = 8)</w:t>
      </w:r>
      <w:r w:rsidRPr="000453E1">
        <w:rPr>
          <w:rFonts w:ascii="Arial" w:hAnsi="Arial" w:cs="Arial"/>
          <w:sz w:val="20"/>
          <w:szCs w:val="20"/>
        </w:rPr>
        <w:t>, en 29,3 puntos en el mes 12 (n = 4) y en 33,5 puntos en el mes 15 (n = 4)</w:t>
      </w:r>
      <w:r w:rsidR="00273AA0">
        <w:rPr>
          <w:rFonts w:ascii="Arial" w:hAnsi="Arial" w:cs="Arial"/>
          <w:sz w:val="20"/>
          <w:szCs w:val="20"/>
        </w:rPr>
        <w:t>.</w:t>
      </w:r>
      <w:r w:rsidRPr="000453E1">
        <w:rPr>
          <w:rFonts w:ascii="Arial" w:hAnsi="Arial" w:cs="Arial"/>
          <w:sz w:val="20"/>
          <w:szCs w:val="20"/>
        </w:rPr>
        <w:t xml:space="preserve"> En la prueba </w:t>
      </w:r>
      <w:r w:rsidRPr="000453E1">
        <w:rPr>
          <w:rFonts w:ascii="Arial" w:hAnsi="Arial" w:cs="Arial"/>
          <w:sz w:val="20"/>
          <w:szCs w:val="20"/>
        </w:rPr>
        <w:lastRenderedPageBreak/>
        <w:t xml:space="preserve">de motricidad fina, los pacientes mejoraron su puntuación bruta media en 1,5 puntos en el mes 1 después de la dosis (n = 13), en 16,4 puntos en el mes 6 (n = 8), </w:t>
      </w:r>
      <w:r w:rsidR="00273AA0">
        <w:rPr>
          <w:rFonts w:ascii="Arial" w:hAnsi="Arial" w:cs="Arial"/>
          <w:sz w:val="20"/>
          <w:szCs w:val="20"/>
        </w:rPr>
        <w:t>en</w:t>
      </w:r>
      <w:r w:rsidRPr="000453E1">
        <w:rPr>
          <w:rFonts w:ascii="Arial" w:hAnsi="Arial" w:cs="Arial"/>
          <w:sz w:val="20"/>
          <w:szCs w:val="20"/>
        </w:rPr>
        <w:t xml:space="preserve"> 27,3 (en el mes 12 (n = 4) y </w:t>
      </w:r>
      <w:r w:rsidR="00273AA0">
        <w:rPr>
          <w:rFonts w:ascii="Arial" w:hAnsi="Arial" w:cs="Arial"/>
          <w:sz w:val="20"/>
          <w:szCs w:val="20"/>
        </w:rPr>
        <w:t>en 30,5</w:t>
      </w:r>
      <w:r w:rsidRPr="000453E1">
        <w:rPr>
          <w:rFonts w:ascii="Arial" w:hAnsi="Arial" w:cs="Arial"/>
          <w:sz w:val="20"/>
          <w:szCs w:val="20"/>
        </w:rPr>
        <w:t xml:space="preserve"> en el mes 15 (n = 4)</w:t>
      </w:r>
      <w:r w:rsidR="00273AA0">
        <w:rPr>
          <w:rFonts w:ascii="Arial" w:hAnsi="Arial" w:cs="Arial"/>
          <w:sz w:val="20"/>
          <w:szCs w:val="20"/>
        </w:rPr>
        <w:t xml:space="preserve">.  Siete </w:t>
      </w:r>
      <w:r w:rsidR="00273AA0" w:rsidRPr="00273AA0">
        <w:rPr>
          <w:rFonts w:ascii="Arial" w:hAnsi="Arial" w:cs="Arial"/>
          <w:sz w:val="20"/>
          <w:szCs w:val="20"/>
        </w:rPr>
        <w:t xml:space="preserve">pacientes (de 14; 50%) </w:t>
      </w:r>
      <w:r w:rsidR="00273AA0">
        <w:rPr>
          <w:rFonts w:ascii="Arial" w:hAnsi="Arial" w:cs="Arial"/>
          <w:sz w:val="20"/>
          <w:szCs w:val="20"/>
        </w:rPr>
        <w:t>tuviero</w:t>
      </w:r>
      <w:r w:rsidR="00273AA0" w:rsidRPr="00273AA0">
        <w:rPr>
          <w:rFonts w:ascii="Arial" w:hAnsi="Arial" w:cs="Arial"/>
          <w:sz w:val="20"/>
          <w:szCs w:val="20"/>
        </w:rPr>
        <w:t>n puntuaciones escaladas de la prueba motora gruesa de Bayley dentro de</w:t>
      </w:r>
      <w:r w:rsidR="00273AA0">
        <w:rPr>
          <w:rFonts w:ascii="Arial" w:hAnsi="Arial" w:cs="Arial"/>
          <w:sz w:val="20"/>
          <w:szCs w:val="20"/>
        </w:rPr>
        <w:t xml:space="preserve"> 2 DE de la media para la edad </w:t>
      </w:r>
      <w:r w:rsidR="00273AA0" w:rsidRPr="00273AA0">
        <w:rPr>
          <w:rFonts w:ascii="Arial" w:hAnsi="Arial" w:cs="Arial"/>
          <w:sz w:val="20"/>
          <w:szCs w:val="20"/>
        </w:rPr>
        <w:t xml:space="preserve">en su visita más reciente antes del corte de datos. Todos los pacientes (14 de 14; 100%) </w:t>
      </w:r>
      <w:r w:rsidR="00273AA0">
        <w:rPr>
          <w:rFonts w:ascii="Arial" w:hAnsi="Arial" w:cs="Arial"/>
          <w:sz w:val="20"/>
          <w:szCs w:val="20"/>
        </w:rPr>
        <w:t>tuvieron</w:t>
      </w:r>
      <w:r w:rsidR="00273AA0" w:rsidRPr="00273AA0">
        <w:rPr>
          <w:rFonts w:ascii="Arial" w:hAnsi="Arial" w:cs="Arial"/>
          <w:sz w:val="20"/>
          <w:szCs w:val="20"/>
        </w:rPr>
        <w:t xml:space="preserve"> puntuaciones escaladas de motricidad fina de Bayley dentro de 2 DE de la media de la edad.</w:t>
      </w:r>
    </w:p>
    <w:p w14:paraId="78C2A20B" w14:textId="5DCF65AC" w:rsidR="00E718CC" w:rsidRPr="00D33B1A" w:rsidRDefault="00E718CC" w:rsidP="001F6887">
      <w:pPr>
        <w:autoSpaceDE w:val="0"/>
        <w:autoSpaceDN w:val="0"/>
        <w:adjustRightInd w:val="0"/>
        <w:jc w:val="both"/>
        <w:rPr>
          <w:rFonts w:ascii="Arial" w:hAnsi="Arial" w:cs="Arial"/>
          <w:sz w:val="20"/>
          <w:szCs w:val="20"/>
        </w:rPr>
      </w:pPr>
    </w:p>
    <w:p w14:paraId="4950BEE1" w14:textId="7A96965A" w:rsidR="00E718CC" w:rsidRPr="00D33B1A" w:rsidRDefault="00E718CC" w:rsidP="001F6887">
      <w:pPr>
        <w:autoSpaceDE w:val="0"/>
        <w:autoSpaceDN w:val="0"/>
        <w:adjustRightInd w:val="0"/>
        <w:jc w:val="both"/>
        <w:rPr>
          <w:rFonts w:ascii="Arial" w:hAnsi="Arial" w:cs="Arial"/>
          <w:sz w:val="20"/>
          <w:szCs w:val="20"/>
          <w:u w:val="single"/>
        </w:rPr>
      </w:pPr>
      <w:r w:rsidRPr="00D33B1A">
        <w:rPr>
          <w:rFonts w:ascii="Arial" w:hAnsi="Arial" w:cs="Arial"/>
          <w:sz w:val="20"/>
          <w:szCs w:val="20"/>
          <w:u w:val="single"/>
        </w:rPr>
        <w:t>Cohorte 2</w:t>
      </w:r>
    </w:p>
    <w:p w14:paraId="7E12FF51" w14:textId="45B2494D" w:rsidR="00E718CC" w:rsidRPr="00E718CC" w:rsidRDefault="00E718CC" w:rsidP="001F6887">
      <w:pPr>
        <w:autoSpaceDE w:val="0"/>
        <w:autoSpaceDN w:val="0"/>
        <w:adjustRightInd w:val="0"/>
        <w:jc w:val="both"/>
        <w:rPr>
          <w:rFonts w:ascii="Arial" w:hAnsi="Arial" w:cs="Arial"/>
          <w:sz w:val="20"/>
          <w:szCs w:val="20"/>
        </w:rPr>
      </w:pPr>
      <w:r w:rsidRPr="00D33B1A">
        <w:rPr>
          <w:rFonts w:ascii="Arial" w:hAnsi="Arial" w:cs="Arial"/>
          <w:sz w:val="20"/>
          <w:szCs w:val="20"/>
        </w:rPr>
        <w:t xml:space="preserve">Al momento de la última visita antes del 31 de diciembre de 2019, los pacientes tratados con 3 copias de SMN2 tenían entre 3,3 meses y 15,1 meses de edad, y habían estado en el estudio por un promedio de 8,74 meses (rango: 2-13,9 meses). Todos los pacientes </w:t>
      </w:r>
      <w:r w:rsidR="005A0D50">
        <w:rPr>
          <w:rFonts w:ascii="Arial" w:hAnsi="Arial" w:cs="Arial"/>
          <w:sz w:val="20"/>
          <w:szCs w:val="20"/>
        </w:rPr>
        <w:t xml:space="preserve">(15/15) </w:t>
      </w:r>
      <w:r w:rsidRPr="00D33B1A">
        <w:rPr>
          <w:rFonts w:ascii="Arial" w:hAnsi="Arial" w:cs="Arial"/>
          <w:sz w:val="20"/>
          <w:szCs w:val="20"/>
        </w:rPr>
        <w:t xml:space="preserve">estaban vivos y sin ventilación permanente. </w:t>
      </w:r>
      <w:r w:rsidR="00C14E15" w:rsidRPr="00D33B1A">
        <w:rPr>
          <w:rFonts w:ascii="Arial" w:hAnsi="Arial" w:cs="Arial"/>
          <w:sz w:val="20"/>
          <w:szCs w:val="20"/>
        </w:rPr>
        <w:t xml:space="preserve">Diez </w:t>
      </w:r>
      <w:r w:rsidRPr="00D33B1A">
        <w:rPr>
          <w:rFonts w:ascii="Arial" w:hAnsi="Arial" w:cs="Arial"/>
          <w:sz w:val="20"/>
          <w:szCs w:val="20"/>
        </w:rPr>
        <w:t xml:space="preserve">de </w:t>
      </w:r>
      <w:r w:rsidR="00C14E15" w:rsidRPr="00D33B1A">
        <w:rPr>
          <w:rFonts w:ascii="Arial" w:hAnsi="Arial" w:cs="Arial"/>
          <w:sz w:val="20"/>
          <w:szCs w:val="20"/>
        </w:rPr>
        <w:t>los</w:t>
      </w:r>
      <w:r w:rsidR="003D06FE">
        <w:rPr>
          <w:rFonts w:ascii="Arial" w:hAnsi="Arial" w:cs="Arial"/>
          <w:sz w:val="20"/>
          <w:szCs w:val="20"/>
        </w:rPr>
        <w:t xml:space="preserve"> </w:t>
      </w:r>
      <w:r w:rsidRPr="00D33B1A">
        <w:rPr>
          <w:rFonts w:ascii="Arial" w:hAnsi="Arial" w:cs="Arial"/>
          <w:sz w:val="20"/>
          <w:szCs w:val="20"/>
        </w:rPr>
        <w:t xml:space="preserve">15 pacientes pudieron sentarse sin apoyo </w:t>
      </w:r>
      <w:r w:rsidR="00C41EE3" w:rsidRPr="00D33B1A">
        <w:rPr>
          <w:rFonts w:ascii="Arial" w:hAnsi="Arial" w:cs="Arial"/>
          <w:sz w:val="20"/>
          <w:szCs w:val="20"/>
        </w:rPr>
        <w:t>durante</w:t>
      </w:r>
      <w:r w:rsidRPr="00D33B1A">
        <w:rPr>
          <w:rFonts w:ascii="Arial" w:hAnsi="Arial" w:cs="Arial"/>
          <w:sz w:val="20"/>
          <w:szCs w:val="20"/>
        </w:rPr>
        <w:t xml:space="preserve"> </w:t>
      </w:r>
      <w:r w:rsidR="00C41EE3" w:rsidRPr="00D33B1A">
        <w:rPr>
          <w:rFonts w:ascii="Arial" w:hAnsi="Arial" w:cs="Arial"/>
          <w:sz w:val="20"/>
          <w:szCs w:val="20"/>
        </w:rPr>
        <w:t>al menos</w:t>
      </w:r>
      <w:r w:rsidRPr="00D33B1A">
        <w:rPr>
          <w:rFonts w:ascii="Arial" w:hAnsi="Arial" w:cs="Arial"/>
          <w:sz w:val="20"/>
          <w:szCs w:val="20"/>
        </w:rPr>
        <w:t xml:space="preserve"> 30 segundos. </w:t>
      </w:r>
      <w:r w:rsidR="00C41EE3" w:rsidRPr="00D33B1A">
        <w:rPr>
          <w:rFonts w:ascii="Arial" w:hAnsi="Arial" w:cs="Arial"/>
          <w:sz w:val="20"/>
          <w:szCs w:val="20"/>
        </w:rPr>
        <w:t>Cuatro</w:t>
      </w:r>
      <w:r w:rsidRPr="00D33B1A">
        <w:rPr>
          <w:rFonts w:ascii="Arial" w:hAnsi="Arial" w:cs="Arial"/>
          <w:sz w:val="20"/>
          <w:szCs w:val="20"/>
        </w:rPr>
        <w:t xml:space="preserve"> pacientes pudieron estar de pie solos sin apoyo </w:t>
      </w:r>
      <w:r w:rsidR="00F74A9C" w:rsidRPr="00D33B1A">
        <w:rPr>
          <w:rFonts w:ascii="Arial" w:hAnsi="Arial" w:cs="Arial"/>
          <w:sz w:val="20"/>
          <w:szCs w:val="20"/>
        </w:rPr>
        <w:t>durante</w:t>
      </w:r>
      <w:r w:rsidRPr="00D33B1A">
        <w:rPr>
          <w:rFonts w:ascii="Arial" w:hAnsi="Arial" w:cs="Arial"/>
          <w:sz w:val="20"/>
          <w:szCs w:val="20"/>
        </w:rPr>
        <w:t xml:space="preserve"> un mínimo de 3 segundos, y 2 pacientes caminaron</w:t>
      </w:r>
      <w:r w:rsidRPr="00D11FCA">
        <w:rPr>
          <w:rFonts w:ascii="Arial" w:hAnsi="Arial" w:cs="Arial"/>
          <w:sz w:val="20"/>
          <w:szCs w:val="20"/>
        </w:rPr>
        <w:t xml:space="preserve"> un mínimo de cinco pasos de forma independiente.</w:t>
      </w:r>
    </w:p>
    <w:p w14:paraId="0BF15BEA" w14:textId="1B1881DF" w:rsidR="00273AA0" w:rsidRPr="00D33B1A" w:rsidRDefault="00273AA0" w:rsidP="00273AA0">
      <w:pPr>
        <w:autoSpaceDE w:val="0"/>
        <w:autoSpaceDN w:val="0"/>
        <w:adjustRightInd w:val="0"/>
        <w:jc w:val="both"/>
        <w:rPr>
          <w:rFonts w:ascii="Arial" w:hAnsi="Arial" w:cs="Arial"/>
          <w:sz w:val="20"/>
          <w:szCs w:val="20"/>
        </w:rPr>
      </w:pPr>
      <w:r>
        <w:rPr>
          <w:rFonts w:ascii="Arial" w:hAnsi="Arial" w:cs="Arial"/>
          <w:sz w:val="20"/>
          <w:szCs w:val="20"/>
        </w:rPr>
        <w:t>L</w:t>
      </w:r>
      <w:r w:rsidR="005A0D50">
        <w:rPr>
          <w:rFonts w:ascii="Arial" w:hAnsi="Arial" w:cs="Arial"/>
          <w:sz w:val="20"/>
          <w:szCs w:val="20"/>
        </w:rPr>
        <w:t>os</w:t>
      </w:r>
      <w:r>
        <w:rPr>
          <w:rFonts w:ascii="Arial" w:hAnsi="Arial" w:cs="Arial"/>
          <w:sz w:val="20"/>
          <w:szCs w:val="20"/>
        </w:rPr>
        <w:t xml:space="preserve"> 15 </w:t>
      </w:r>
      <w:r w:rsidRPr="00273AA0">
        <w:rPr>
          <w:rFonts w:ascii="Arial" w:hAnsi="Arial" w:cs="Arial"/>
          <w:sz w:val="20"/>
          <w:szCs w:val="20"/>
        </w:rPr>
        <w:t>pacientes (</w:t>
      </w:r>
      <w:r>
        <w:rPr>
          <w:rFonts w:ascii="Arial" w:hAnsi="Arial" w:cs="Arial"/>
          <w:sz w:val="20"/>
          <w:szCs w:val="20"/>
        </w:rPr>
        <w:t>10</w:t>
      </w:r>
      <w:r w:rsidRPr="00273AA0">
        <w:rPr>
          <w:rFonts w:ascii="Arial" w:hAnsi="Arial" w:cs="Arial"/>
          <w:sz w:val="20"/>
          <w:szCs w:val="20"/>
        </w:rPr>
        <w:t xml:space="preserve">0%) </w:t>
      </w:r>
      <w:r>
        <w:rPr>
          <w:rFonts w:ascii="Arial" w:hAnsi="Arial" w:cs="Arial"/>
          <w:sz w:val="20"/>
          <w:szCs w:val="20"/>
        </w:rPr>
        <w:t>tuviero</w:t>
      </w:r>
      <w:r w:rsidRPr="00273AA0">
        <w:rPr>
          <w:rFonts w:ascii="Arial" w:hAnsi="Arial" w:cs="Arial"/>
          <w:sz w:val="20"/>
          <w:szCs w:val="20"/>
        </w:rPr>
        <w:t>n puntuaciones escaladas de la prueba motora gruesa de Bayley dentro de</w:t>
      </w:r>
      <w:r>
        <w:rPr>
          <w:rFonts w:ascii="Arial" w:hAnsi="Arial" w:cs="Arial"/>
          <w:sz w:val="20"/>
          <w:szCs w:val="20"/>
        </w:rPr>
        <w:t xml:space="preserve"> 2 DE de la media para la edad </w:t>
      </w:r>
      <w:r w:rsidRPr="00273AA0">
        <w:rPr>
          <w:rFonts w:ascii="Arial" w:hAnsi="Arial" w:cs="Arial"/>
          <w:sz w:val="20"/>
          <w:szCs w:val="20"/>
        </w:rPr>
        <w:t>en su visita más reciente antes del corte de datos</w:t>
      </w:r>
      <w:r w:rsidR="005A0D50">
        <w:rPr>
          <w:rFonts w:ascii="Arial" w:hAnsi="Arial" w:cs="Arial"/>
          <w:sz w:val="20"/>
          <w:szCs w:val="20"/>
        </w:rPr>
        <w:t xml:space="preserve"> y 14 de los 15</w:t>
      </w:r>
      <w:r w:rsidRPr="00273AA0">
        <w:rPr>
          <w:rFonts w:ascii="Arial" w:hAnsi="Arial" w:cs="Arial"/>
          <w:sz w:val="20"/>
          <w:szCs w:val="20"/>
        </w:rPr>
        <w:t xml:space="preserve"> pacientes (</w:t>
      </w:r>
      <w:r w:rsidR="005A0D50">
        <w:rPr>
          <w:rFonts w:ascii="Arial" w:hAnsi="Arial" w:cs="Arial"/>
          <w:sz w:val="20"/>
          <w:szCs w:val="20"/>
        </w:rPr>
        <w:t>93,3</w:t>
      </w:r>
      <w:r w:rsidRPr="00273AA0">
        <w:rPr>
          <w:rFonts w:ascii="Arial" w:hAnsi="Arial" w:cs="Arial"/>
          <w:sz w:val="20"/>
          <w:szCs w:val="20"/>
        </w:rPr>
        <w:t xml:space="preserve">%) </w:t>
      </w:r>
      <w:r>
        <w:rPr>
          <w:rFonts w:ascii="Arial" w:hAnsi="Arial" w:cs="Arial"/>
          <w:sz w:val="20"/>
          <w:szCs w:val="20"/>
        </w:rPr>
        <w:t>tuvieron</w:t>
      </w:r>
      <w:r w:rsidRPr="00273AA0">
        <w:rPr>
          <w:rFonts w:ascii="Arial" w:hAnsi="Arial" w:cs="Arial"/>
          <w:sz w:val="20"/>
          <w:szCs w:val="20"/>
        </w:rPr>
        <w:t xml:space="preserve"> puntuaciones escaladas de motricidad fina de Bayley dentro de 2 DE de la media de la edad.</w:t>
      </w:r>
    </w:p>
    <w:p w14:paraId="65DE29B2" w14:textId="77777777" w:rsidR="004342C4" w:rsidRDefault="004342C4" w:rsidP="001F6887">
      <w:pPr>
        <w:autoSpaceDE w:val="0"/>
        <w:autoSpaceDN w:val="0"/>
        <w:adjustRightInd w:val="0"/>
        <w:rPr>
          <w:color w:val="000000"/>
          <w:sz w:val="22"/>
          <w:szCs w:val="22"/>
        </w:rPr>
      </w:pPr>
    </w:p>
    <w:p w14:paraId="7B7DF2E4" w14:textId="77777777" w:rsidR="002F2C46" w:rsidRDefault="002F2C46" w:rsidP="001F6887">
      <w:pPr>
        <w:autoSpaceDE w:val="0"/>
        <w:autoSpaceDN w:val="0"/>
        <w:adjustRightInd w:val="0"/>
        <w:rPr>
          <w:color w:val="000000"/>
          <w:sz w:val="22"/>
          <w:szCs w:val="22"/>
        </w:rPr>
      </w:pPr>
    </w:p>
    <w:p w14:paraId="2C1CF2EB" w14:textId="2CA93CFB" w:rsidR="00FA0C0C" w:rsidRPr="00703A3E"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48" w:name="_Toc344399636"/>
      <w:bookmarkStart w:id="49" w:name="_Toc348931363"/>
      <w:r w:rsidRPr="00703A3E">
        <w:rPr>
          <w:rFonts w:ascii="Arial" w:hAnsi="Arial" w:cs="Arial"/>
          <w:sz w:val="20"/>
          <w:szCs w:val="20"/>
        </w:rPr>
        <w:t>5.2.b Evaluación de la validez y de la utilidad práctica de los resultados</w:t>
      </w:r>
      <w:bookmarkEnd w:id="48"/>
      <w:bookmarkEnd w:id="49"/>
      <w:r w:rsidRPr="00703A3E">
        <w:rPr>
          <w:rFonts w:ascii="Arial" w:hAnsi="Arial" w:cs="Arial"/>
          <w:sz w:val="20"/>
          <w:szCs w:val="20"/>
        </w:rPr>
        <w:t xml:space="preserve"> </w:t>
      </w:r>
    </w:p>
    <w:p w14:paraId="6D9FF537" w14:textId="77777777" w:rsidR="00FA0C0C" w:rsidRDefault="00FA0C0C" w:rsidP="001F6887">
      <w:pPr>
        <w:jc w:val="both"/>
        <w:rPr>
          <w:rFonts w:ascii="Arial" w:hAnsi="Arial" w:cs="Arial"/>
          <w:color w:val="000080"/>
          <w:sz w:val="20"/>
          <w:szCs w:val="20"/>
        </w:rPr>
      </w:pPr>
    </w:p>
    <w:p w14:paraId="2C8F22A3" w14:textId="77777777" w:rsidR="00FA0C0C" w:rsidRPr="00703A3E" w:rsidRDefault="00FA0C0C" w:rsidP="001F6887">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Arial" w:hAnsi="Arial" w:cs="Arial"/>
          <w:color w:val="333300"/>
          <w:sz w:val="20"/>
          <w:szCs w:val="20"/>
        </w:rPr>
      </w:pPr>
      <w:bookmarkStart w:id="50" w:name="_Toc344399637"/>
      <w:bookmarkStart w:id="51" w:name="_Toc348931364"/>
      <w:r w:rsidRPr="00703A3E">
        <w:rPr>
          <w:rFonts w:ascii="Arial" w:hAnsi="Arial" w:cs="Arial"/>
          <w:color w:val="333300"/>
          <w:sz w:val="20"/>
          <w:szCs w:val="20"/>
        </w:rPr>
        <w:t>A. Validez interna. Limitaciones de diseño y/o comentarios</w:t>
      </w:r>
      <w:bookmarkEnd w:id="50"/>
      <w:bookmarkEnd w:id="51"/>
    </w:p>
    <w:p w14:paraId="7BEDE405" w14:textId="77777777" w:rsidR="002F2C46" w:rsidRDefault="002F2C46" w:rsidP="001F6887">
      <w:pPr>
        <w:pStyle w:val="HTMLconformatoprevio"/>
        <w:shd w:val="clear" w:color="auto" w:fill="FFFFFF" w:themeFill="background1"/>
        <w:jc w:val="both"/>
        <w:rPr>
          <w:rFonts w:ascii="Arial" w:hAnsi="Arial" w:cs="Arial"/>
        </w:rPr>
      </w:pPr>
    </w:p>
    <w:p w14:paraId="0A30912C" w14:textId="1CAC1939" w:rsidR="00FA0C0C" w:rsidRPr="00D33B1A" w:rsidRDefault="00FA0C0C" w:rsidP="001F6887">
      <w:pPr>
        <w:pStyle w:val="HTMLconformatoprevio"/>
        <w:shd w:val="clear" w:color="auto" w:fill="FFFFFF" w:themeFill="background1"/>
        <w:jc w:val="both"/>
        <w:rPr>
          <w:rFonts w:ascii="Arial" w:hAnsi="Arial" w:cs="Arial"/>
        </w:rPr>
      </w:pPr>
      <w:r>
        <w:rPr>
          <w:rFonts w:ascii="Arial" w:hAnsi="Arial" w:cs="Arial"/>
        </w:rPr>
        <w:t xml:space="preserve">La </w:t>
      </w:r>
      <w:r w:rsidRPr="00D33B1A">
        <w:rPr>
          <w:rFonts w:ascii="Arial" w:hAnsi="Arial" w:cs="Arial"/>
        </w:rPr>
        <w:t xml:space="preserve">principal limitación </w:t>
      </w:r>
      <w:r w:rsidR="00AC3B0C" w:rsidRPr="00D33B1A">
        <w:rPr>
          <w:rFonts w:ascii="Arial" w:hAnsi="Arial" w:cs="Arial"/>
        </w:rPr>
        <w:t xml:space="preserve">de </w:t>
      </w:r>
      <w:r w:rsidR="00C970F4" w:rsidRPr="00D33B1A">
        <w:rPr>
          <w:rFonts w:ascii="Arial" w:hAnsi="Arial" w:cs="Arial"/>
        </w:rPr>
        <w:t xml:space="preserve">todos los </w:t>
      </w:r>
      <w:r w:rsidR="00AC3B0C" w:rsidRPr="00D33B1A">
        <w:rPr>
          <w:rFonts w:ascii="Arial" w:hAnsi="Arial" w:cs="Arial"/>
        </w:rPr>
        <w:t>ensayos clínicos</w:t>
      </w:r>
      <w:r w:rsidRPr="00D33B1A">
        <w:rPr>
          <w:rFonts w:ascii="Arial" w:hAnsi="Arial" w:cs="Arial"/>
        </w:rPr>
        <w:t xml:space="preserve"> </w:t>
      </w:r>
      <w:r w:rsidR="00C970F4" w:rsidRPr="00D33B1A">
        <w:rPr>
          <w:rFonts w:ascii="Arial" w:hAnsi="Arial" w:cs="Arial"/>
        </w:rPr>
        <w:t>dispo</w:t>
      </w:r>
      <w:r w:rsidR="00C32DB6" w:rsidRPr="00D33B1A">
        <w:rPr>
          <w:rFonts w:ascii="Arial" w:hAnsi="Arial" w:cs="Arial"/>
        </w:rPr>
        <w:t>n</w:t>
      </w:r>
      <w:r w:rsidR="00C970F4" w:rsidRPr="00D33B1A">
        <w:rPr>
          <w:rFonts w:ascii="Arial" w:hAnsi="Arial" w:cs="Arial"/>
        </w:rPr>
        <w:t>ible</w:t>
      </w:r>
      <w:r w:rsidR="008737B1">
        <w:rPr>
          <w:rFonts w:ascii="Arial" w:hAnsi="Arial" w:cs="Arial"/>
        </w:rPr>
        <w:t>s</w:t>
      </w:r>
      <w:r w:rsidR="00C970F4" w:rsidRPr="00D33B1A">
        <w:rPr>
          <w:rFonts w:ascii="Arial" w:hAnsi="Arial" w:cs="Arial"/>
        </w:rPr>
        <w:t xml:space="preserve"> </w:t>
      </w:r>
      <w:r w:rsidRPr="00D33B1A">
        <w:rPr>
          <w:rFonts w:ascii="Arial" w:hAnsi="Arial" w:cs="Arial"/>
        </w:rPr>
        <w:t xml:space="preserve">es la falta de un grupo control, lo que dificulta valorar la magnitud del efecto obtenido. </w:t>
      </w:r>
    </w:p>
    <w:p w14:paraId="70518149" w14:textId="77777777" w:rsidR="002F2C46" w:rsidRDefault="002F2C46" w:rsidP="001F6887">
      <w:pPr>
        <w:pStyle w:val="HTMLconformatoprevio"/>
        <w:shd w:val="clear" w:color="auto" w:fill="FFFFFF" w:themeFill="background1"/>
        <w:jc w:val="both"/>
        <w:rPr>
          <w:rFonts w:ascii="Arial" w:hAnsi="Arial" w:cs="Arial"/>
        </w:rPr>
      </w:pPr>
    </w:p>
    <w:p w14:paraId="4486A7DC" w14:textId="44B18D68" w:rsidR="00871F1C" w:rsidRPr="00D33B1A" w:rsidRDefault="00C970F4" w:rsidP="001F6887">
      <w:pPr>
        <w:pStyle w:val="HTMLconformatoprevio"/>
        <w:shd w:val="clear" w:color="auto" w:fill="FFFFFF" w:themeFill="background1"/>
        <w:jc w:val="both"/>
        <w:rPr>
          <w:rFonts w:ascii="Arial" w:hAnsi="Arial" w:cs="Arial"/>
        </w:rPr>
      </w:pPr>
      <w:r w:rsidRPr="00D33B1A">
        <w:rPr>
          <w:rFonts w:ascii="Arial" w:hAnsi="Arial" w:cs="Arial"/>
        </w:rPr>
        <w:t>El análisis se realizó en todos ellos por intención de tratar.</w:t>
      </w:r>
    </w:p>
    <w:p w14:paraId="01D9B5E6" w14:textId="77777777" w:rsidR="002F2C46" w:rsidRDefault="002F2C46" w:rsidP="001F6887">
      <w:pPr>
        <w:pStyle w:val="HTMLconformatoprevio"/>
        <w:shd w:val="clear" w:color="auto" w:fill="FFFFFF" w:themeFill="background1"/>
        <w:jc w:val="both"/>
        <w:rPr>
          <w:rFonts w:ascii="Arial" w:hAnsi="Arial" w:cs="Arial"/>
        </w:rPr>
      </w:pPr>
    </w:p>
    <w:p w14:paraId="606FFC94" w14:textId="68E1D186" w:rsidR="00E85D48" w:rsidRDefault="00C970F4" w:rsidP="001F6887">
      <w:pPr>
        <w:pStyle w:val="HTMLconformatoprevio"/>
        <w:shd w:val="clear" w:color="auto" w:fill="FFFFFF" w:themeFill="background1"/>
        <w:jc w:val="both"/>
        <w:rPr>
          <w:rFonts w:ascii="Arial" w:hAnsi="Arial" w:cs="Arial"/>
        </w:rPr>
      </w:pPr>
      <w:r w:rsidRPr="00D33B1A">
        <w:rPr>
          <w:rFonts w:ascii="Arial" w:hAnsi="Arial" w:cs="Arial"/>
        </w:rPr>
        <w:t>El seguimiento de los pacientes fue riguroso, aunque insuficiente para determinar si el efecto se mantiene a largo plazo o serían necesarias dosis adicionales del fármaco o el tratamiento con algún otro fármaco de diferente mecanismo de acción. El escaso tiempo de seguimiento también imposibilita la detección de posibles efectos adversos de aparición tardía o desconocidos</w:t>
      </w:r>
      <w:r>
        <w:rPr>
          <w:rFonts w:ascii="Arial" w:hAnsi="Arial" w:cs="Arial"/>
        </w:rPr>
        <w:t xml:space="preserve"> ante esta nueva terapia génica. </w:t>
      </w:r>
    </w:p>
    <w:p w14:paraId="1823ED15" w14:textId="77777777" w:rsidR="002F2C46" w:rsidRDefault="002F2C46" w:rsidP="001F6887">
      <w:pPr>
        <w:jc w:val="both"/>
        <w:rPr>
          <w:rFonts w:ascii="Arial" w:hAnsi="Arial" w:cs="Arial"/>
          <w:sz w:val="20"/>
          <w:szCs w:val="20"/>
        </w:rPr>
      </w:pPr>
    </w:p>
    <w:p w14:paraId="3E7997AA" w14:textId="45D3EDCE" w:rsidR="00C32DB6" w:rsidRDefault="00FA0C0C" w:rsidP="001F6887">
      <w:pPr>
        <w:jc w:val="both"/>
        <w:rPr>
          <w:rFonts w:ascii="Arial" w:hAnsi="Arial" w:cs="Arial"/>
          <w:sz w:val="20"/>
          <w:szCs w:val="20"/>
        </w:rPr>
      </w:pPr>
      <w:r>
        <w:rPr>
          <w:rFonts w:ascii="Arial" w:hAnsi="Arial" w:cs="Arial"/>
          <w:sz w:val="20"/>
          <w:szCs w:val="20"/>
        </w:rPr>
        <w:t xml:space="preserve">Por último, un </w:t>
      </w:r>
      <w:r w:rsidR="002B5A78">
        <w:rPr>
          <w:rFonts w:ascii="Arial" w:hAnsi="Arial" w:cs="Arial"/>
          <w:sz w:val="20"/>
          <w:szCs w:val="20"/>
        </w:rPr>
        <w:t>aspecto</w:t>
      </w:r>
      <w:r>
        <w:rPr>
          <w:rFonts w:ascii="Arial" w:hAnsi="Arial" w:cs="Arial"/>
          <w:sz w:val="20"/>
          <w:szCs w:val="20"/>
        </w:rPr>
        <w:t xml:space="preserve"> importante de</w:t>
      </w:r>
      <w:r w:rsidR="002B5A78">
        <w:rPr>
          <w:rFonts w:ascii="Arial" w:hAnsi="Arial" w:cs="Arial"/>
          <w:sz w:val="20"/>
          <w:szCs w:val="20"/>
        </w:rPr>
        <w:t>l</w:t>
      </w:r>
      <w:r>
        <w:rPr>
          <w:rFonts w:ascii="Arial" w:hAnsi="Arial" w:cs="Arial"/>
          <w:sz w:val="20"/>
          <w:szCs w:val="20"/>
        </w:rPr>
        <w:t xml:space="preserve"> ensayo </w:t>
      </w:r>
      <w:r w:rsidR="002B5A78">
        <w:rPr>
          <w:rFonts w:ascii="Arial" w:hAnsi="Arial" w:cs="Arial"/>
          <w:sz w:val="20"/>
          <w:szCs w:val="20"/>
        </w:rPr>
        <w:t>STR1VE</w:t>
      </w:r>
      <w:r w:rsidR="00C970F4">
        <w:rPr>
          <w:rFonts w:ascii="Arial" w:hAnsi="Arial" w:cs="Arial"/>
          <w:sz w:val="20"/>
          <w:szCs w:val="20"/>
        </w:rPr>
        <w:t>-US</w:t>
      </w:r>
      <w:r w:rsidR="002B5A78">
        <w:rPr>
          <w:rFonts w:ascii="Arial" w:hAnsi="Arial" w:cs="Arial"/>
          <w:sz w:val="20"/>
          <w:szCs w:val="20"/>
        </w:rPr>
        <w:t xml:space="preserve"> </w:t>
      </w:r>
      <w:r>
        <w:rPr>
          <w:rFonts w:ascii="Arial" w:hAnsi="Arial" w:cs="Arial"/>
          <w:sz w:val="20"/>
          <w:szCs w:val="20"/>
        </w:rPr>
        <w:t>es la procedencia de los pacientes</w:t>
      </w:r>
      <w:r w:rsidR="002B5A78">
        <w:rPr>
          <w:rFonts w:ascii="Arial" w:hAnsi="Arial" w:cs="Arial"/>
          <w:sz w:val="20"/>
          <w:szCs w:val="20"/>
        </w:rPr>
        <w:t xml:space="preserve"> ya que se limitó a 16 centros estadounidenses </w:t>
      </w:r>
      <w:r w:rsidR="001D26D6">
        <w:rPr>
          <w:rFonts w:ascii="Arial" w:hAnsi="Arial" w:cs="Arial"/>
          <w:sz w:val="20"/>
          <w:szCs w:val="20"/>
        </w:rPr>
        <w:t>donde no se especificaba la etnia, salvo una diferenciación entre hispanos/latinos (4 pacientes) y no hispanos/la</w:t>
      </w:r>
      <w:r w:rsidR="00C32DB6">
        <w:rPr>
          <w:rFonts w:ascii="Arial" w:hAnsi="Arial" w:cs="Arial"/>
          <w:sz w:val="20"/>
          <w:szCs w:val="20"/>
        </w:rPr>
        <w:t>tinos (18 pacientes). Está en marcha un ensayo similar con población Europea (STR1VE-EU).</w:t>
      </w:r>
    </w:p>
    <w:p w14:paraId="193FEC0C" w14:textId="77777777" w:rsidR="00977803" w:rsidRDefault="00977803" w:rsidP="001F6887">
      <w:pPr>
        <w:jc w:val="both"/>
        <w:rPr>
          <w:rFonts w:ascii="Arial" w:hAnsi="Arial" w:cs="Arial"/>
          <w:sz w:val="20"/>
          <w:szCs w:val="20"/>
        </w:rPr>
      </w:pPr>
    </w:p>
    <w:p w14:paraId="03731736" w14:textId="77777777" w:rsidR="00215DE5" w:rsidRDefault="00215DE5" w:rsidP="001F6887">
      <w:pPr>
        <w:jc w:val="both"/>
        <w:rPr>
          <w:rFonts w:ascii="Arial" w:hAnsi="Arial" w:cs="Arial"/>
          <w:sz w:val="20"/>
          <w:szCs w:val="20"/>
        </w:rPr>
      </w:pPr>
    </w:p>
    <w:p w14:paraId="137BEECE" w14:textId="77777777" w:rsidR="00FA0C0C" w:rsidRPr="00670C38" w:rsidRDefault="00FA0C0C" w:rsidP="001F6887">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Arial" w:hAnsi="Arial" w:cs="Arial"/>
          <w:color w:val="333300"/>
          <w:sz w:val="20"/>
          <w:szCs w:val="20"/>
        </w:rPr>
      </w:pPr>
      <w:bookmarkStart w:id="52" w:name="_Toc348931365"/>
      <w:bookmarkStart w:id="53" w:name="_Toc344399638"/>
      <w:r w:rsidRPr="00670C38">
        <w:rPr>
          <w:rFonts w:ascii="Arial" w:hAnsi="Arial" w:cs="Arial"/>
          <w:color w:val="333300"/>
          <w:sz w:val="20"/>
          <w:szCs w:val="20"/>
        </w:rPr>
        <w:t>B. Aplicabilidad del ensayo a la práctica del hospital</w:t>
      </w:r>
      <w:bookmarkEnd w:id="52"/>
      <w:bookmarkEnd w:id="53"/>
    </w:p>
    <w:p w14:paraId="199A0FD7" w14:textId="77777777" w:rsidR="004342C4" w:rsidRDefault="004342C4" w:rsidP="001F6887">
      <w:pPr>
        <w:jc w:val="both"/>
        <w:rPr>
          <w:rFonts w:ascii="Arial" w:hAnsi="Arial" w:cs="Arial"/>
          <w:sz w:val="20"/>
          <w:szCs w:val="20"/>
        </w:rPr>
      </w:pPr>
    </w:p>
    <w:p w14:paraId="3F206EF7" w14:textId="041275C7" w:rsidR="00C970F4" w:rsidRDefault="00C32DB6" w:rsidP="001F6887">
      <w:pPr>
        <w:jc w:val="both"/>
        <w:rPr>
          <w:rFonts w:ascii="Arial" w:hAnsi="Arial" w:cs="Arial"/>
          <w:sz w:val="20"/>
          <w:szCs w:val="20"/>
        </w:rPr>
      </w:pPr>
      <w:r w:rsidRPr="00D33B1A">
        <w:rPr>
          <w:rFonts w:ascii="Arial" w:hAnsi="Arial" w:cs="Arial"/>
          <w:sz w:val="20"/>
          <w:szCs w:val="20"/>
        </w:rPr>
        <w:t>L</w:t>
      </w:r>
      <w:r w:rsidR="00C970F4" w:rsidRPr="00D33B1A">
        <w:rPr>
          <w:rFonts w:ascii="Arial" w:hAnsi="Arial" w:cs="Arial"/>
          <w:sz w:val="20"/>
          <w:szCs w:val="20"/>
        </w:rPr>
        <w:t xml:space="preserve">os estrictos criterios de exclusión y el pequeño número de participantes </w:t>
      </w:r>
      <w:r w:rsidR="000D7B74" w:rsidRPr="00D33B1A">
        <w:rPr>
          <w:rFonts w:ascii="Arial" w:hAnsi="Arial" w:cs="Arial"/>
          <w:sz w:val="20"/>
          <w:szCs w:val="20"/>
        </w:rPr>
        <w:t>plantean</w:t>
      </w:r>
      <w:r w:rsidR="00C970F4" w:rsidRPr="00D33B1A">
        <w:rPr>
          <w:rFonts w:ascii="Arial" w:hAnsi="Arial" w:cs="Arial"/>
          <w:sz w:val="20"/>
          <w:szCs w:val="20"/>
        </w:rPr>
        <w:t xml:space="preserve"> dudas sobre la generalización de los resultados a la población de pacientes con AME en general (p. ej., aquellos más gravemente afectados, inicios de tratamiento más tardío, pacientes con comorbilidades como la escoliosis</w:t>
      </w:r>
      <w:r w:rsidR="00DF1ED2">
        <w:rPr>
          <w:rFonts w:ascii="Arial" w:hAnsi="Arial" w:cs="Arial"/>
          <w:sz w:val="20"/>
          <w:szCs w:val="20"/>
        </w:rPr>
        <w:t>, pacientes con mayor peso o edad…</w:t>
      </w:r>
      <w:r w:rsidR="00C970F4" w:rsidRPr="00D33B1A">
        <w:rPr>
          <w:rFonts w:ascii="Arial" w:hAnsi="Arial" w:cs="Arial"/>
          <w:sz w:val="20"/>
          <w:szCs w:val="20"/>
        </w:rPr>
        <w:t>).</w:t>
      </w:r>
    </w:p>
    <w:p w14:paraId="533D0964" w14:textId="77777777" w:rsidR="00DF1ED2" w:rsidRDefault="00DF1ED2" w:rsidP="001F6887">
      <w:pPr>
        <w:jc w:val="both"/>
        <w:rPr>
          <w:rFonts w:ascii="Arial" w:hAnsi="Arial" w:cs="Arial"/>
          <w:sz w:val="20"/>
          <w:szCs w:val="20"/>
        </w:rPr>
      </w:pPr>
    </w:p>
    <w:p w14:paraId="679E20B6" w14:textId="2F68AD67" w:rsidR="00DF1ED2" w:rsidRDefault="00DF1ED2" w:rsidP="00DF1ED2">
      <w:pPr>
        <w:jc w:val="both"/>
        <w:rPr>
          <w:rFonts w:ascii="Arial" w:hAnsi="Arial" w:cs="Arial"/>
          <w:sz w:val="20"/>
          <w:szCs w:val="20"/>
        </w:rPr>
      </w:pPr>
      <w:r>
        <w:rPr>
          <w:rFonts w:ascii="Arial" w:hAnsi="Arial" w:cs="Arial"/>
          <w:sz w:val="20"/>
          <w:szCs w:val="20"/>
        </w:rPr>
        <w:t xml:space="preserve">En el ensayo START </w:t>
      </w:r>
      <w:r w:rsidRPr="00DF1ED2">
        <w:rPr>
          <w:rFonts w:ascii="Arial" w:hAnsi="Arial" w:cs="Arial"/>
          <w:sz w:val="20"/>
          <w:szCs w:val="20"/>
        </w:rPr>
        <w:t>de los 15 pacientes tratados, 12</w:t>
      </w:r>
      <w:r>
        <w:rPr>
          <w:rFonts w:ascii="Arial" w:hAnsi="Arial" w:cs="Arial"/>
          <w:sz w:val="20"/>
          <w:szCs w:val="20"/>
        </w:rPr>
        <w:t xml:space="preserve"> lo hicieron a dosis altas de 2,</w:t>
      </w:r>
      <w:r w:rsidRPr="00DF1ED2">
        <w:rPr>
          <w:rFonts w:ascii="Arial" w:hAnsi="Arial" w:cs="Arial"/>
          <w:sz w:val="20"/>
          <w:szCs w:val="20"/>
        </w:rPr>
        <w:t>0</w:t>
      </w:r>
      <w:r>
        <w:rPr>
          <w:rFonts w:ascii="Arial" w:hAnsi="Arial" w:cs="Arial"/>
          <w:sz w:val="20"/>
          <w:szCs w:val="20"/>
        </w:rPr>
        <w:t xml:space="preserve"> </w:t>
      </w:r>
      <w:r w:rsidRPr="00DF1ED2">
        <w:rPr>
          <w:rFonts w:ascii="Arial" w:hAnsi="Arial" w:cs="Arial"/>
          <w:sz w:val="20"/>
          <w:szCs w:val="20"/>
        </w:rPr>
        <w:t>x 10</w:t>
      </w:r>
      <w:r w:rsidRPr="00DF1ED2">
        <w:rPr>
          <w:rFonts w:ascii="Arial" w:hAnsi="Arial" w:cs="Arial"/>
          <w:sz w:val="20"/>
          <w:szCs w:val="20"/>
          <w:vertAlign w:val="superscript"/>
        </w:rPr>
        <w:t>14</w:t>
      </w:r>
      <w:r w:rsidRPr="00DF1ED2">
        <w:rPr>
          <w:rFonts w:ascii="Arial" w:hAnsi="Arial" w:cs="Arial"/>
          <w:sz w:val="20"/>
          <w:szCs w:val="20"/>
        </w:rPr>
        <w:t xml:space="preserve"> vg/kg (por encima de la dosis indicada</w:t>
      </w:r>
      <w:r>
        <w:rPr>
          <w:rFonts w:ascii="Arial" w:hAnsi="Arial" w:cs="Arial"/>
          <w:sz w:val="20"/>
          <w:szCs w:val="20"/>
        </w:rPr>
        <w:t xml:space="preserve"> en FT</w:t>
      </w:r>
      <w:r w:rsidRPr="00DF1ED2">
        <w:rPr>
          <w:rFonts w:ascii="Arial" w:hAnsi="Arial" w:cs="Arial"/>
          <w:sz w:val="20"/>
          <w:szCs w:val="20"/>
        </w:rPr>
        <w:t>) y 3 a dosis baja (6</w:t>
      </w:r>
      <w:r>
        <w:rPr>
          <w:rFonts w:ascii="Arial" w:hAnsi="Arial" w:cs="Arial"/>
          <w:sz w:val="20"/>
          <w:szCs w:val="20"/>
        </w:rPr>
        <w:t>,</w:t>
      </w:r>
      <w:r w:rsidRPr="00DF1ED2">
        <w:rPr>
          <w:rFonts w:ascii="Arial" w:hAnsi="Arial" w:cs="Arial"/>
          <w:sz w:val="20"/>
          <w:szCs w:val="20"/>
        </w:rPr>
        <w:t>7×10</w:t>
      </w:r>
      <w:r w:rsidRPr="00DF1ED2">
        <w:rPr>
          <w:rFonts w:ascii="Arial" w:hAnsi="Arial" w:cs="Arial"/>
          <w:sz w:val="20"/>
          <w:szCs w:val="20"/>
          <w:vertAlign w:val="superscript"/>
        </w:rPr>
        <w:t>13</w:t>
      </w:r>
      <w:r w:rsidRPr="00DF1ED2">
        <w:rPr>
          <w:rFonts w:ascii="Arial" w:hAnsi="Arial" w:cs="Arial"/>
          <w:sz w:val="20"/>
          <w:szCs w:val="20"/>
        </w:rPr>
        <w:t xml:space="preserve"> vg/kg por</w:t>
      </w:r>
      <w:r>
        <w:rPr>
          <w:rFonts w:ascii="Arial" w:hAnsi="Arial" w:cs="Arial"/>
          <w:sz w:val="20"/>
          <w:szCs w:val="20"/>
        </w:rPr>
        <w:t xml:space="preserve"> </w:t>
      </w:r>
      <w:r w:rsidRPr="00DF1ED2">
        <w:rPr>
          <w:rFonts w:ascii="Arial" w:hAnsi="Arial" w:cs="Arial"/>
          <w:sz w:val="20"/>
          <w:szCs w:val="20"/>
        </w:rPr>
        <w:t>debajo de la dosis indicada</w:t>
      </w:r>
      <w:r>
        <w:rPr>
          <w:rFonts w:ascii="Arial" w:hAnsi="Arial" w:cs="Arial"/>
          <w:sz w:val="20"/>
          <w:szCs w:val="20"/>
        </w:rPr>
        <w:t xml:space="preserve"> en FT</w:t>
      </w:r>
      <w:r w:rsidRPr="00DF1ED2">
        <w:rPr>
          <w:rFonts w:ascii="Arial" w:hAnsi="Arial" w:cs="Arial"/>
          <w:sz w:val="20"/>
          <w:szCs w:val="20"/>
        </w:rPr>
        <w:t>).</w:t>
      </w:r>
    </w:p>
    <w:p w14:paraId="35ECA6CA" w14:textId="77777777" w:rsidR="00197FA2" w:rsidRPr="00D33B1A" w:rsidRDefault="00197FA2" w:rsidP="001F6887">
      <w:pPr>
        <w:jc w:val="both"/>
        <w:rPr>
          <w:rFonts w:ascii="Arial" w:hAnsi="Arial" w:cs="Arial"/>
          <w:sz w:val="20"/>
          <w:szCs w:val="20"/>
        </w:rPr>
      </w:pPr>
    </w:p>
    <w:p w14:paraId="7CB585CA" w14:textId="3B64B16A" w:rsidR="00E85D48" w:rsidRPr="00D33B1A" w:rsidRDefault="002A7DEB" w:rsidP="001F6887">
      <w:pPr>
        <w:autoSpaceDE w:val="0"/>
        <w:autoSpaceDN w:val="0"/>
        <w:adjustRightInd w:val="0"/>
        <w:spacing w:after="240"/>
        <w:jc w:val="both"/>
        <w:rPr>
          <w:rFonts w:ascii="Arial" w:hAnsi="Arial" w:cs="Arial"/>
          <w:sz w:val="20"/>
          <w:szCs w:val="20"/>
        </w:rPr>
      </w:pPr>
      <w:r w:rsidRPr="00D33B1A">
        <w:rPr>
          <w:rFonts w:ascii="Arial" w:hAnsi="Arial" w:cs="Arial"/>
          <w:sz w:val="20"/>
          <w:szCs w:val="20"/>
        </w:rPr>
        <w:t xml:space="preserve">La supervivencia libre de </w:t>
      </w:r>
      <w:r w:rsidR="00C32DB6" w:rsidRPr="00D33B1A">
        <w:rPr>
          <w:rFonts w:ascii="Arial" w:hAnsi="Arial" w:cs="Arial"/>
          <w:sz w:val="20"/>
          <w:szCs w:val="20"/>
        </w:rPr>
        <w:t>acontecimientos</w:t>
      </w:r>
      <w:r w:rsidRPr="00D33B1A">
        <w:rPr>
          <w:rFonts w:ascii="Arial" w:hAnsi="Arial" w:cs="Arial"/>
          <w:sz w:val="20"/>
          <w:szCs w:val="20"/>
        </w:rPr>
        <w:t xml:space="preserve"> como variable </w:t>
      </w:r>
      <w:r w:rsidR="00C32DB6" w:rsidRPr="00D33B1A">
        <w:rPr>
          <w:rFonts w:ascii="Arial" w:hAnsi="Arial" w:cs="Arial"/>
          <w:sz w:val="20"/>
          <w:szCs w:val="20"/>
        </w:rPr>
        <w:t>podría considerarse adecuada</w:t>
      </w:r>
      <w:r w:rsidRPr="00D33B1A">
        <w:rPr>
          <w:rFonts w:ascii="Arial" w:hAnsi="Arial" w:cs="Arial"/>
          <w:sz w:val="20"/>
          <w:szCs w:val="20"/>
        </w:rPr>
        <w:t xml:space="preserve">. Es una variable compuesta que refleja perfectamente los principales eventos de morbi-mortalidad de estos pacientes que son la supervivencia y la independencia de ventilación permanente. </w:t>
      </w:r>
    </w:p>
    <w:p w14:paraId="23CA4FF4" w14:textId="6B6F809C" w:rsidR="00C32DB6" w:rsidRPr="00D33B1A" w:rsidRDefault="00C32DB6" w:rsidP="001F6887">
      <w:pPr>
        <w:autoSpaceDE w:val="0"/>
        <w:autoSpaceDN w:val="0"/>
        <w:adjustRightInd w:val="0"/>
        <w:spacing w:after="240"/>
        <w:jc w:val="both"/>
        <w:rPr>
          <w:rFonts w:ascii="Arial" w:hAnsi="Arial" w:cs="Arial"/>
          <w:sz w:val="20"/>
          <w:szCs w:val="20"/>
        </w:rPr>
      </w:pPr>
      <w:r w:rsidRPr="00D33B1A">
        <w:rPr>
          <w:rFonts w:ascii="Arial" w:hAnsi="Arial" w:cs="Arial"/>
          <w:sz w:val="20"/>
          <w:szCs w:val="20"/>
        </w:rPr>
        <w:t>Actualmente se dispone de un tratamiento</w:t>
      </w:r>
      <w:r w:rsidR="00670C38" w:rsidRPr="00D33B1A">
        <w:rPr>
          <w:rFonts w:ascii="Arial" w:hAnsi="Arial" w:cs="Arial"/>
          <w:color w:val="C00000"/>
          <w:sz w:val="20"/>
          <w:szCs w:val="20"/>
        </w:rPr>
        <w:t xml:space="preserve"> </w:t>
      </w:r>
      <w:r w:rsidR="00670C38" w:rsidRPr="00BB76F9">
        <w:rPr>
          <w:rFonts w:ascii="Arial" w:hAnsi="Arial" w:cs="Arial"/>
          <w:sz w:val="20"/>
          <w:szCs w:val="20"/>
        </w:rPr>
        <w:t>aprobado</w:t>
      </w:r>
      <w:r w:rsidR="00670C38" w:rsidRPr="00D33B1A">
        <w:rPr>
          <w:rFonts w:ascii="Arial" w:hAnsi="Arial" w:cs="Arial"/>
          <w:color w:val="C00000"/>
          <w:sz w:val="20"/>
          <w:szCs w:val="20"/>
        </w:rPr>
        <w:t xml:space="preserve"> </w:t>
      </w:r>
      <w:r w:rsidR="00670C38" w:rsidRPr="00D33B1A">
        <w:rPr>
          <w:rFonts w:ascii="Arial" w:hAnsi="Arial" w:cs="Arial"/>
          <w:sz w:val="20"/>
          <w:szCs w:val="20"/>
        </w:rPr>
        <w:t xml:space="preserve">y financiado para el tratamiento de la AME (nusinersen). Por lo tanto, la realización de un estudio comparativo de onasemnogen abeparvovec </w:t>
      </w:r>
      <w:r w:rsidR="00670C38" w:rsidRPr="00D33B1A">
        <w:rPr>
          <w:rFonts w:ascii="Arial" w:hAnsi="Arial" w:cs="Arial"/>
          <w:sz w:val="20"/>
          <w:szCs w:val="20"/>
        </w:rPr>
        <w:lastRenderedPageBreak/>
        <w:t>frente a esta alternativa hubiera proporcionado más información respecto al beneficio real del fá</w:t>
      </w:r>
      <w:r w:rsidR="00DA1E86" w:rsidRPr="00D33B1A">
        <w:rPr>
          <w:rFonts w:ascii="Arial" w:hAnsi="Arial" w:cs="Arial"/>
          <w:sz w:val="20"/>
          <w:szCs w:val="20"/>
        </w:rPr>
        <w:t>r</w:t>
      </w:r>
      <w:r w:rsidR="00670C38" w:rsidRPr="00D33B1A">
        <w:rPr>
          <w:rFonts w:ascii="Arial" w:hAnsi="Arial" w:cs="Arial"/>
          <w:sz w:val="20"/>
          <w:szCs w:val="20"/>
        </w:rPr>
        <w:t>maco.</w:t>
      </w:r>
    </w:p>
    <w:p w14:paraId="58F8F45B" w14:textId="3590160F" w:rsidR="00670C38" w:rsidRPr="00D33B1A" w:rsidRDefault="00670C38" w:rsidP="001F6887">
      <w:pPr>
        <w:autoSpaceDE w:val="0"/>
        <w:autoSpaceDN w:val="0"/>
        <w:adjustRightInd w:val="0"/>
        <w:spacing w:after="240"/>
        <w:jc w:val="both"/>
        <w:rPr>
          <w:rFonts w:ascii="Arial" w:hAnsi="Arial" w:cs="Arial"/>
          <w:sz w:val="20"/>
          <w:szCs w:val="20"/>
        </w:rPr>
      </w:pPr>
      <w:r w:rsidRPr="00D33B1A">
        <w:rPr>
          <w:rFonts w:ascii="Arial" w:hAnsi="Arial" w:cs="Arial"/>
          <w:sz w:val="20"/>
          <w:szCs w:val="20"/>
        </w:rPr>
        <w:t>También s</w:t>
      </w:r>
      <w:r w:rsidR="002A7DEB" w:rsidRPr="00D33B1A">
        <w:rPr>
          <w:rFonts w:ascii="Arial" w:hAnsi="Arial" w:cs="Arial"/>
          <w:sz w:val="20"/>
          <w:szCs w:val="20"/>
        </w:rPr>
        <w:t xml:space="preserve">e desconoce cómo habrían progresado los pacientes si no hubieran sido tratados con </w:t>
      </w:r>
      <w:r w:rsidRPr="00D33B1A">
        <w:rPr>
          <w:rFonts w:ascii="Arial" w:hAnsi="Arial" w:cs="Arial"/>
          <w:sz w:val="20"/>
          <w:szCs w:val="20"/>
        </w:rPr>
        <w:t>ningún fármaco. L</w:t>
      </w:r>
      <w:r w:rsidR="002A7DEB" w:rsidRPr="00D33B1A">
        <w:rPr>
          <w:rFonts w:ascii="Arial" w:hAnsi="Arial" w:cs="Arial"/>
          <w:sz w:val="20"/>
          <w:szCs w:val="20"/>
        </w:rPr>
        <w:t xml:space="preserve">as comparaciones con los controles históricos pueden exagerar los efectos percibidos del tratamiento, particularmente cuando los tratamientos de cuidados básicos mejoran con el tiempo o cuando hay una historia natural variable, como ocurre con la AME. </w:t>
      </w:r>
    </w:p>
    <w:p w14:paraId="4DAB4199" w14:textId="73752DFA" w:rsidR="00FA0C0C" w:rsidRDefault="00DE4BA8" w:rsidP="001F6887">
      <w:pPr>
        <w:jc w:val="both"/>
        <w:rPr>
          <w:rFonts w:ascii="Arial" w:hAnsi="Arial" w:cs="Arial"/>
          <w:color w:val="000000"/>
          <w:sz w:val="20"/>
          <w:szCs w:val="20"/>
        </w:rPr>
      </w:pPr>
      <w:r w:rsidRPr="00D33B1A">
        <w:rPr>
          <w:rFonts w:ascii="Arial" w:hAnsi="Arial" w:cs="Arial"/>
          <w:color w:val="000000"/>
          <w:sz w:val="20"/>
          <w:szCs w:val="20"/>
        </w:rPr>
        <w:t>E</w:t>
      </w:r>
      <w:r w:rsidR="00E85D48" w:rsidRPr="00D33B1A">
        <w:rPr>
          <w:rFonts w:ascii="Arial" w:hAnsi="Arial" w:cs="Arial"/>
          <w:color w:val="000000"/>
          <w:sz w:val="20"/>
          <w:szCs w:val="20"/>
        </w:rPr>
        <w:t>n la población presintomática</w:t>
      </w:r>
      <w:r w:rsidRPr="00D33B1A">
        <w:rPr>
          <w:rFonts w:ascii="Arial" w:hAnsi="Arial" w:cs="Arial"/>
          <w:color w:val="000000"/>
          <w:sz w:val="20"/>
          <w:szCs w:val="20"/>
        </w:rPr>
        <w:t>, aunque los resultados</w:t>
      </w:r>
      <w:r w:rsidR="00E85D48" w:rsidRPr="00D33B1A">
        <w:rPr>
          <w:rFonts w:ascii="Arial" w:hAnsi="Arial" w:cs="Arial"/>
          <w:color w:val="000000"/>
          <w:sz w:val="20"/>
          <w:szCs w:val="20"/>
        </w:rPr>
        <w:t xml:space="preserve"> pueden indicar que anticiparse a la aparición de síntomas con la administración del fármaco puede conllevar una m</w:t>
      </w:r>
      <w:r w:rsidR="00670C38" w:rsidRPr="00D33B1A">
        <w:rPr>
          <w:rFonts w:ascii="Arial" w:hAnsi="Arial" w:cs="Arial"/>
          <w:color w:val="000000"/>
          <w:sz w:val="20"/>
          <w:szCs w:val="20"/>
        </w:rPr>
        <w:t>ejor evolución de la enfermedad, surge la necesidad de disponer de</w:t>
      </w:r>
      <w:r w:rsidR="00E85D48" w:rsidRPr="00D33B1A">
        <w:rPr>
          <w:rFonts w:ascii="Arial" w:hAnsi="Arial" w:cs="Arial"/>
          <w:color w:val="000000"/>
          <w:sz w:val="20"/>
          <w:szCs w:val="20"/>
        </w:rPr>
        <w:t xml:space="preserve"> t</w:t>
      </w:r>
      <w:r w:rsidRPr="00D33B1A">
        <w:rPr>
          <w:rFonts w:ascii="Arial" w:hAnsi="Arial" w:cs="Arial"/>
          <w:color w:val="000000"/>
          <w:sz w:val="20"/>
          <w:szCs w:val="20"/>
        </w:rPr>
        <w:t>est genéticos en recién nacidos, algo que actualmente no está generalizado.</w:t>
      </w:r>
    </w:p>
    <w:p w14:paraId="2E9A26BE" w14:textId="77777777" w:rsidR="00F92427" w:rsidRDefault="00F92427" w:rsidP="001F6887">
      <w:pPr>
        <w:jc w:val="both"/>
        <w:rPr>
          <w:rFonts w:ascii="Arial" w:hAnsi="Arial" w:cs="Arial"/>
          <w:color w:val="000000"/>
          <w:sz w:val="20"/>
          <w:szCs w:val="20"/>
        </w:rPr>
      </w:pPr>
    </w:p>
    <w:p w14:paraId="714E16BB" w14:textId="77777777" w:rsidR="00215DE5" w:rsidRDefault="00215DE5" w:rsidP="001F6887">
      <w:pPr>
        <w:jc w:val="both"/>
        <w:rPr>
          <w:rFonts w:ascii="Arial" w:hAnsi="Arial" w:cs="Arial"/>
          <w:color w:val="000000"/>
          <w:sz w:val="20"/>
          <w:szCs w:val="20"/>
        </w:rPr>
      </w:pPr>
    </w:p>
    <w:p w14:paraId="302A9422" w14:textId="77777777" w:rsidR="00FA0C0C" w:rsidRPr="00581B73" w:rsidRDefault="00FA0C0C" w:rsidP="001F6887">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Arial" w:hAnsi="Arial" w:cs="Arial"/>
          <w:color w:val="333300"/>
          <w:sz w:val="20"/>
          <w:szCs w:val="20"/>
        </w:rPr>
      </w:pPr>
      <w:bookmarkStart w:id="54" w:name="_Toc348931366"/>
      <w:bookmarkStart w:id="55" w:name="_Toc344399639"/>
      <w:r w:rsidRPr="00581B73">
        <w:rPr>
          <w:rFonts w:ascii="Arial" w:hAnsi="Arial" w:cs="Arial"/>
          <w:color w:val="333300"/>
          <w:sz w:val="20"/>
          <w:szCs w:val="20"/>
        </w:rPr>
        <w:t>C. Relevancia clínica de los resultados</w:t>
      </w:r>
      <w:bookmarkEnd w:id="54"/>
      <w:bookmarkEnd w:id="55"/>
    </w:p>
    <w:p w14:paraId="6C819D03" w14:textId="77777777" w:rsidR="00FA0C0C" w:rsidRPr="00581B73" w:rsidRDefault="00FA0C0C" w:rsidP="001F6887">
      <w:pPr>
        <w:pStyle w:val="Textoindependiente3"/>
        <w:rPr>
          <w:rFonts w:ascii="Arial" w:hAnsi="Arial" w:cs="Arial"/>
          <w:color w:val="333300"/>
          <w:sz w:val="20"/>
          <w:szCs w:val="20"/>
        </w:rPr>
      </w:pPr>
    </w:p>
    <w:p w14:paraId="437172ED" w14:textId="77777777" w:rsidR="00FA0C0C" w:rsidRPr="00581B73" w:rsidRDefault="00FA0C0C" w:rsidP="001F6887">
      <w:pPr>
        <w:pStyle w:val="Textoindependiente3"/>
        <w:pBdr>
          <w:top w:val="single" w:sz="4" w:space="1" w:color="auto"/>
          <w:left w:val="single" w:sz="4" w:space="4" w:color="auto"/>
          <w:bottom w:val="single" w:sz="4" w:space="1" w:color="auto"/>
          <w:right w:val="single" w:sz="4" w:space="4" w:color="auto"/>
        </w:pBdr>
        <w:shd w:val="clear" w:color="auto" w:fill="E6E6E6"/>
        <w:outlineLvl w:val="2"/>
        <w:rPr>
          <w:rFonts w:ascii="Arial" w:hAnsi="Arial" w:cs="Arial"/>
          <w:color w:val="333300"/>
          <w:sz w:val="20"/>
          <w:szCs w:val="20"/>
        </w:rPr>
      </w:pPr>
      <w:bookmarkStart w:id="56" w:name="_Toc344399640"/>
      <w:bookmarkStart w:id="57" w:name="_Toc348931367"/>
      <w:r w:rsidRPr="00581B73">
        <w:rPr>
          <w:rFonts w:ascii="Arial" w:hAnsi="Arial" w:cs="Arial"/>
          <w:color w:val="333300"/>
          <w:sz w:val="20"/>
          <w:szCs w:val="20"/>
        </w:rPr>
        <w:t xml:space="preserve">C.1 Valorar si la </w:t>
      </w:r>
      <w:r w:rsidRPr="00581B73">
        <w:rPr>
          <w:rFonts w:ascii="Arial" w:hAnsi="Arial" w:cs="Arial"/>
          <w:color w:val="333300"/>
          <w:sz w:val="20"/>
          <w:szCs w:val="20"/>
          <w:u w:val="single"/>
        </w:rPr>
        <w:t>magnitud del efecto</w:t>
      </w:r>
      <w:r w:rsidRPr="00581B73">
        <w:rPr>
          <w:rFonts w:ascii="Arial" w:hAnsi="Arial" w:cs="Arial"/>
          <w:color w:val="333300"/>
          <w:sz w:val="20"/>
          <w:szCs w:val="20"/>
        </w:rPr>
        <w:t xml:space="preserve"> del tratamiento es de relevancia clínica</w:t>
      </w:r>
      <w:bookmarkEnd w:id="56"/>
      <w:bookmarkEnd w:id="57"/>
      <w:r w:rsidRPr="00581B73">
        <w:rPr>
          <w:rFonts w:ascii="Arial" w:hAnsi="Arial" w:cs="Arial"/>
          <w:color w:val="333300"/>
          <w:sz w:val="20"/>
          <w:szCs w:val="20"/>
        </w:rPr>
        <w:t xml:space="preserve"> </w:t>
      </w:r>
    </w:p>
    <w:p w14:paraId="122AEA4C" w14:textId="77777777" w:rsidR="00BB76F9" w:rsidRDefault="00BB76F9" w:rsidP="001F6887">
      <w:pPr>
        <w:autoSpaceDE w:val="0"/>
        <w:autoSpaceDN w:val="0"/>
        <w:adjustRightInd w:val="0"/>
        <w:jc w:val="both"/>
        <w:rPr>
          <w:rFonts w:ascii="Arial" w:hAnsi="Arial" w:cs="Arial"/>
          <w:color w:val="000000"/>
          <w:sz w:val="20"/>
          <w:szCs w:val="20"/>
        </w:rPr>
      </w:pPr>
    </w:p>
    <w:p w14:paraId="160B0EFE" w14:textId="3C601E74" w:rsidR="009E4640" w:rsidRDefault="00FA0C0C" w:rsidP="001F6887">
      <w:pPr>
        <w:autoSpaceDE w:val="0"/>
        <w:autoSpaceDN w:val="0"/>
        <w:adjustRightInd w:val="0"/>
        <w:jc w:val="both"/>
        <w:rPr>
          <w:rFonts w:ascii="Arial" w:hAnsi="Arial" w:cs="Arial"/>
          <w:color w:val="000000"/>
          <w:sz w:val="20"/>
          <w:szCs w:val="20"/>
        </w:rPr>
      </w:pPr>
      <w:r w:rsidRPr="00D33B1A">
        <w:rPr>
          <w:rFonts w:ascii="Arial" w:hAnsi="Arial" w:cs="Arial"/>
          <w:color w:val="000000"/>
          <w:sz w:val="20"/>
          <w:szCs w:val="20"/>
        </w:rPr>
        <w:t xml:space="preserve">La falta de un comparador dificulta valorar la magnitud del efecto del </w:t>
      </w:r>
      <w:r w:rsidR="00810DDE" w:rsidRPr="00D33B1A">
        <w:rPr>
          <w:rFonts w:ascii="Arial" w:hAnsi="Arial" w:cs="Arial"/>
          <w:color w:val="000000"/>
          <w:sz w:val="20"/>
          <w:szCs w:val="20"/>
        </w:rPr>
        <w:t>fármaco,</w:t>
      </w:r>
      <w:r w:rsidRPr="00D33B1A">
        <w:rPr>
          <w:rFonts w:ascii="Arial" w:hAnsi="Arial" w:cs="Arial"/>
          <w:color w:val="000000"/>
          <w:sz w:val="20"/>
          <w:szCs w:val="20"/>
        </w:rPr>
        <w:t xml:space="preserve"> así como su impacto en la práctica clínica.</w:t>
      </w:r>
      <w:r>
        <w:rPr>
          <w:rFonts w:ascii="Arial" w:hAnsi="Arial" w:cs="Arial"/>
          <w:color w:val="000000"/>
          <w:sz w:val="20"/>
          <w:szCs w:val="20"/>
        </w:rPr>
        <w:t xml:space="preserve"> </w:t>
      </w:r>
    </w:p>
    <w:p w14:paraId="485B5616" w14:textId="77777777" w:rsidR="00861ADA" w:rsidRDefault="00861ADA" w:rsidP="001F6887">
      <w:pPr>
        <w:autoSpaceDE w:val="0"/>
        <w:autoSpaceDN w:val="0"/>
        <w:adjustRightInd w:val="0"/>
        <w:jc w:val="both"/>
        <w:rPr>
          <w:rFonts w:ascii="Arial" w:hAnsi="Arial" w:cs="Arial"/>
          <w:color w:val="000000"/>
          <w:sz w:val="20"/>
          <w:szCs w:val="20"/>
        </w:rPr>
      </w:pPr>
    </w:p>
    <w:p w14:paraId="7302664D" w14:textId="2FA5C9DF" w:rsidR="00861ADA" w:rsidRDefault="00225621" w:rsidP="001F6887">
      <w:pPr>
        <w:autoSpaceDE w:val="0"/>
        <w:autoSpaceDN w:val="0"/>
        <w:adjustRightInd w:val="0"/>
        <w:jc w:val="both"/>
        <w:rPr>
          <w:rFonts w:ascii="Arial" w:hAnsi="Arial" w:cs="Arial"/>
          <w:color w:val="000000"/>
          <w:sz w:val="20"/>
          <w:szCs w:val="23"/>
        </w:rPr>
      </w:pPr>
      <w:r>
        <w:rPr>
          <w:rFonts w:ascii="Arial" w:hAnsi="Arial" w:cs="Arial"/>
          <w:color w:val="000000"/>
          <w:sz w:val="20"/>
          <w:szCs w:val="20"/>
        </w:rPr>
        <w:t>Si utilizamos como referencia dos estudios publicados de historia natural de la enfermedad (Paediatric Neuromuscular Clinical Research Database: PNCR</w:t>
      </w:r>
      <w:r w:rsidR="00BA64E0">
        <w:rPr>
          <w:rStyle w:val="Refdenotaalfinal"/>
          <w:rFonts w:ascii="Arial" w:hAnsi="Arial" w:cs="Arial"/>
          <w:color w:val="000000"/>
          <w:sz w:val="20"/>
          <w:szCs w:val="20"/>
        </w:rPr>
        <w:endnoteReference w:id="18"/>
      </w:r>
      <w:r>
        <w:rPr>
          <w:rFonts w:ascii="Arial" w:hAnsi="Arial" w:cs="Arial"/>
          <w:color w:val="000000"/>
          <w:sz w:val="20"/>
          <w:szCs w:val="20"/>
        </w:rPr>
        <w:t xml:space="preserve"> y NeuroNext</w:t>
      </w:r>
      <w:r w:rsidR="00BA64E0">
        <w:rPr>
          <w:rStyle w:val="Refdenotaalfinal"/>
          <w:rFonts w:ascii="Arial" w:hAnsi="Arial" w:cs="Arial"/>
          <w:color w:val="000000"/>
          <w:sz w:val="20"/>
          <w:szCs w:val="20"/>
        </w:rPr>
        <w:endnoteReference w:id="19"/>
      </w:r>
      <w:r>
        <w:rPr>
          <w:rFonts w:ascii="Arial" w:hAnsi="Arial" w:cs="Arial"/>
          <w:color w:val="000000"/>
          <w:sz w:val="20"/>
          <w:szCs w:val="20"/>
        </w:rPr>
        <w:t xml:space="preserve">) en AME tipo 1, se intuye que los resultados con </w:t>
      </w:r>
      <w:r w:rsidRPr="00F22C2B">
        <w:rPr>
          <w:rFonts w:ascii="Arial" w:hAnsi="Arial" w:cs="Arial"/>
          <w:color w:val="000000"/>
          <w:sz w:val="20"/>
          <w:szCs w:val="23"/>
        </w:rPr>
        <w:t>onasemnogen abeparvovec</w:t>
      </w:r>
      <w:r>
        <w:rPr>
          <w:rFonts w:ascii="Arial" w:hAnsi="Arial" w:cs="Arial"/>
          <w:color w:val="000000"/>
          <w:sz w:val="20"/>
          <w:szCs w:val="23"/>
        </w:rPr>
        <w:t xml:space="preserve"> son superiores (con todas las limitaciones que este tipo de comparaciones suponen): </w:t>
      </w:r>
    </w:p>
    <w:p w14:paraId="7C25605E" w14:textId="77777777" w:rsidR="00215DE5" w:rsidRDefault="00215DE5" w:rsidP="001F6887">
      <w:pPr>
        <w:autoSpaceDE w:val="0"/>
        <w:autoSpaceDN w:val="0"/>
        <w:adjustRightInd w:val="0"/>
        <w:jc w:val="both"/>
        <w:rPr>
          <w:rFonts w:ascii="Arial" w:hAnsi="Arial" w:cs="Arial"/>
          <w:color w:val="000000"/>
          <w:sz w:val="20"/>
          <w:szCs w:val="23"/>
        </w:rPr>
      </w:pPr>
    </w:p>
    <w:p w14:paraId="37F70E74" w14:textId="62E4D41C" w:rsidR="00225621" w:rsidRDefault="00225621" w:rsidP="00225621">
      <w:pPr>
        <w:pStyle w:val="Prrafodelista"/>
        <w:numPr>
          <w:ilvl w:val="0"/>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PNCR:</w:t>
      </w:r>
    </w:p>
    <w:p w14:paraId="01DE9425" w14:textId="2E48B771" w:rsidR="00225621" w:rsidRDefault="00225621"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supervivencia a los 13,6 meses: 25%</w:t>
      </w:r>
    </w:p>
    <w:p w14:paraId="466BE765" w14:textId="0D47A26C" w:rsidR="00C5427C" w:rsidRDefault="00C5427C"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supervivencia a los 24 meses: 8%</w:t>
      </w:r>
    </w:p>
    <w:p w14:paraId="36B23A26" w14:textId="69BAA8AA" w:rsidR="00225621" w:rsidRDefault="00225621"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mediana de supervivencia: 10,5 meses</w:t>
      </w:r>
    </w:p>
    <w:p w14:paraId="38E5785F" w14:textId="06AD76F5" w:rsidR="00225621" w:rsidRDefault="00225621"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capacidad de sentarse sin ayuda durante al menos 10 segundos: 0%</w:t>
      </w:r>
    </w:p>
    <w:p w14:paraId="36428580" w14:textId="3481EEFF" w:rsidR="00225621" w:rsidRDefault="00225621"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CHOP-INTEND&gt;40 a los 6 meses: 0%</w:t>
      </w:r>
    </w:p>
    <w:p w14:paraId="13D56236" w14:textId="77777777" w:rsidR="00215DE5" w:rsidRDefault="00215DE5" w:rsidP="00215DE5">
      <w:pPr>
        <w:pStyle w:val="Prrafodelista"/>
        <w:autoSpaceDE w:val="0"/>
        <w:autoSpaceDN w:val="0"/>
        <w:adjustRightInd w:val="0"/>
        <w:ind w:left="1440"/>
        <w:jc w:val="both"/>
        <w:rPr>
          <w:rFonts w:ascii="Arial" w:hAnsi="Arial" w:cs="Arial"/>
          <w:color w:val="000000"/>
          <w:sz w:val="20"/>
          <w:szCs w:val="20"/>
        </w:rPr>
      </w:pPr>
    </w:p>
    <w:p w14:paraId="77BA7A1C" w14:textId="687EC8A8" w:rsidR="00225621" w:rsidRDefault="00225621" w:rsidP="00225621">
      <w:pPr>
        <w:pStyle w:val="Prrafodelista"/>
        <w:numPr>
          <w:ilvl w:val="0"/>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Neuronext:</w:t>
      </w:r>
    </w:p>
    <w:p w14:paraId="7FAA1268" w14:textId="48595C5C" w:rsidR="00225621" w:rsidRDefault="00225621"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Sedestación (con o sin ayuda): 0%</w:t>
      </w:r>
    </w:p>
    <w:p w14:paraId="6A3792E1" w14:textId="032FB5F4" w:rsidR="00225621" w:rsidRDefault="00225621"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Gateo: 0%</w:t>
      </w:r>
    </w:p>
    <w:p w14:paraId="1D7EAF92" w14:textId="031E9C28" w:rsidR="00225621" w:rsidRDefault="00225621"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Caminar (con o sin ayuda: 0%</w:t>
      </w:r>
    </w:p>
    <w:p w14:paraId="0CB278A3" w14:textId="34F1D3BC" w:rsidR="00225621" w:rsidRDefault="00225621"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Capacidad de mantenerse de pie (con o sin ayuda): 0%</w:t>
      </w:r>
    </w:p>
    <w:p w14:paraId="1CE09231" w14:textId="55346764" w:rsidR="00225621" w:rsidRDefault="00225621" w:rsidP="00225621">
      <w:pPr>
        <w:pStyle w:val="Prrafodelista"/>
        <w:numPr>
          <w:ilvl w:val="1"/>
          <w:numId w:val="32"/>
        </w:numPr>
        <w:autoSpaceDE w:val="0"/>
        <w:autoSpaceDN w:val="0"/>
        <w:adjustRightInd w:val="0"/>
        <w:jc w:val="both"/>
        <w:rPr>
          <w:rFonts w:ascii="Arial" w:hAnsi="Arial" w:cs="Arial"/>
          <w:color w:val="000000"/>
          <w:sz w:val="20"/>
          <w:szCs w:val="20"/>
        </w:rPr>
      </w:pPr>
      <w:r>
        <w:rPr>
          <w:rFonts w:ascii="Arial" w:hAnsi="Arial" w:cs="Arial"/>
          <w:color w:val="000000"/>
          <w:sz w:val="20"/>
          <w:szCs w:val="20"/>
        </w:rPr>
        <w:t>CHOP-INTEND&gt;33 a los 6 meses: 0%</w:t>
      </w:r>
    </w:p>
    <w:p w14:paraId="334C1DA6" w14:textId="77777777" w:rsidR="00977803" w:rsidRDefault="00977803" w:rsidP="001F6887">
      <w:pPr>
        <w:autoSpaceDE w:val="0"/>
        <w:autoSpaceDN w:val="0"/>
        <w:adjustRightInd w:val="0"/>
        <w:jc w:val="both"/>
        <w:rPr>
          <w:rFonts w:ascii="Arial" w:hAnsi="Arial" w:cs="Arial"/>
          <w:color w:val="000000"/>
          <w:sz w:val="20"/>
          <w:szCs w:val="20"/>
        </w:rPr>
      </w:pPr>
    </w:p>
    <w:p w14:paraId="484702BA" w14:textId="77777777" w:rsidR="0024027B" w:rsidRDefault="0024027B" w:rsidP="001F6887">
      <w:pPr>
        <w:autoSpaceDE w:val="0"/>
        <w:autoSpaceDN w:val="0"/>
        <w:adjustRightInd w:val="0"/>
        <w:jc w:val="both"/>
        <w:rPr>
          <w:rFonts w:ascii="Arial" w:hAnsi="Arial" w:cs="Arial"/>
          <w:color w:val="000000"/>
          <w:sz w:val="20"/>
          <w:szCs w:val="20"/>
        </w:rPr>
      </w:pPr>
    </w:p>
    <w:p w14:paraId="59F22C06" w14:textId="77777777" w:rsidR="00FA0C0C" w:rsidRPr="00581B73" w:rsidRDefault="00FA0C0C" w:rsidP="001F6887">
      <w:pPr>
        <w:pStyle w:val="Textoindependiente3"/>
        <w:pBdr>
          <w:top w:val="single" w:sz="4" w:space="1" w:color="auto"/>
          <w:left w:val="single" w:sz="4" w:space="4" w:color="auto"/>
          <w:bottom w:val="single" w:sz="4" w:space="1" w:color="auto"/>
          <w:right w:val="single" w:sz="4" w:space="4" w:color="auto"/>
        </w:pBdr>
        <w:shd w:val="clear" w:color="auto" w:fill="E6E6E6"/>
        <w:outlineLvl w:val="2"/>
        <w:rPr>
          <w:rFonts w:ascii="Arial" w:hAnsi="Arial" w:cs="Arial"/>
          <w:sz w:val="20"/>
          <w:szCs w:val="20"/>
        </w:rPr>
      </w:pPr>
      <w:bookmarkStart w:id="58" w:name="_Toc348931368"/>
      <w:bookmarkStart w:id="59" w:name="_Toc344399641"/>
      <w:r w:rsidRPr="00581B73">
        <w:rPr>
          <w:rFonts w:ascii="Arial" w:hAnsi="Arial" w:cs="Arial"/>
          <w:sz w:val="20"/>
          <w:szCs w:val="20"/>
        </w:rPr>
        <w:t>C.2 La evidencia de equivalencia terapéutica.</w:t>
      </w:r>
      <w:bookmarkEnd w:id="58"/>
      <w:bookmarkEnd w:id="59"/>
      <w:r w:rsidRPr="00581B73">
        <w:rPr>
          <w:rFonts w:ascii="Arial" w:hAnsi="Arial" w:cs="Arial"/>
          <w:sz w:val="20"/>
          <w:szCs w:val="20"/>
        </w:rPr>
        <w:t xml:space="preserve"> </w:t>
      </w:r>
    </w:p>
    <w:p w14:paraId="136B11AC" w14:textId="77777777" w:rsidR="00BB76F9" w:rsidRDefault="00BB76F9" w:rsidP="001F6887">
      <w:pPr>
        <w:autoSpaceDE w:val="0"/>
        <w:autoSpaceDN w:val="0"/>
        <w:adjustRightInd w:val="0"/>
        <w:jc w:val="both"/>
        <w:rPr>
          <w:rFonts w:ascii="Arial" w:hAnsi="Arial" w:cs="Arial"/>
          <w:color w:val="000000"/>
          <w:sz w:val="20"/>
          <w:szCs w:val="20"/>
        </w:rPr>
      </w:pPr>
    </w:p>
    <w:p w14:paraId="603CC6A0" w14:textId="6A13B885" w:rsidR="00AE6CFF" w:rsidRDefault="00FA0C0C" w:rsidP="00197FA2">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Actualmente </w:t>
      </w:r>
      <w:r w:rsidR="00C14E15">
        <w:rPr>
          <w:rFonts w:ascii="Arial" w:hAnsi="Arial" w:cs="Arial"/>
          <w:color w:val="000000"/>
          <w:sz w:val="20"/>
          <w:szCs w:val="20"/>
        </w:rPr>
        <w:t>la única alternativa disponible</w:t>
      </w:r>
      <w:r w:rsidR="00C70FF8">
        <w:rPr>
          <w:rFonts w:ascii="Arial" w:hAnsi="Arial" w:cs="Arial"/>
          <w:color w:val="000000"/>
          <w:sz w:val="20"/>
          <w:szCs w:val="20"/>
        </w:rPr>
        <w:t xml:space="preserve"> es </w:t>
      </w:r>
      <w:r w:rsidR="00AE6CFF" w:rsidRPr="007720C1">
        <w:rPr>
          <w:rFonts w:ascii="Arial" w:hAnsi="Arial" w:cs="Arial"/>
          <w:b/>
          <w:color w:val="000000"/>
          <w:sz w:val="20"/>
          <w:szCs w:val="20"/>
        </w:rPr>
        <w:t>nusinersen</w:t>
      </w:r>
      <w:r w:rsidR="00C14E15">
        <w:rPr>
          <w:rFonts w:ascii="Arial" w:hAnsi="Arial" w:cs="Arial"/>
          <w:color w:val="000000"/>
          <w:sz w:val="20"/>
          <w:szCs w:val="20"/>
        </w:rPr>
        <w:t>,</w:t>
      </w:r>
      <w:r w:rsidR="00AE6CFF">
        <w:rPr>
          <w:rFonts w:ascii="Arial" w:hAnsi="Arial" w:cs="Arial"/>
          <w:color w:val="000000"/>
          <w:sz w:val="20"/>
          <w:szCs w:val="20"/>
        </w:rPr>
        <w:t xml:space="preserve"> que presenta ensayos pivotales para pacientes con AME tipo I y presintomáticos. </w:t>
      </w:r>
    </w:p>
    <w:p w14:paraId="5EE1E3EC" w14:textId="77777777" w:rsidR="00197FA2" w:rsidRDefault="00197FA2" w:rsidP="00197FA2">
      <w:pPr>
        <w:pStyle w:val="Default"/>
        <w:pBdr>
          <w:bottom w:val="single" w:sz="4" w:space="1" w:color="auto"/>
        </w:pBdr>
        <w:spacing w:after="0" w:line="240" w:lineRule="auto"/>
        <w:jc w:val="both"/>
        <w:rPr>
          <w:rFonts w:ascii="Arial" w:eastAsia="等?" w:hAnsi="Arial" w:cs="Arial"/>
          <w:b/>
          <w:sz w:val="20"/>
          <w:szCs w:val="20"/>
          <w:lang w:eastAsia="es-ES"/>
        </w:rPr>
      </w:pPr>
    </w:p>
    <w:p w14:paraId="6B9D49D9" w14:textId="36FA8E37" w:rsidR="00B24AF0" w:rsidRPr="00D33B1A" w:rsidRDefault="00B24AF0" w:rsidP="00197FA2">
      <w:pPr>
        <w:pStyle w:val="Default"/>
        <w:pBdr>
          <w:bottom w:val="single" w:sz="4" w:space="1" w:color="auto"/>
        </w:pBdr>
        <w:spacing w:after="0" w:line="240" w:lineRule="auto"/>
        <w:jc w:val="both"/>
        <w:rPr>
          <w:rFonts w:ascii="Arial" w:eastAsia="等?" w:hAnsi="Arial" w:cs="Arial"/>
          <w:sz w:val="20"/>
          <w:szCs w:val="20"/>
          <w:lang w:eastAsia="es-ES"/>
        </w:rPr>
      </w:pPr>
      <w:r w:rsidRPr="00D33B1A">
        <w:rPr>
          <w:rFonts w:ascii="Arial" w:eastAsia="等?" w:hAnsi="Arial" w:cs="Arial"/>
          <w:b/>
          <w:sz w:val="20"/>
          <w:szCs w:val="20"/>
          <w:lang w:eastAsia="es-ES"/>
        </w:rPr>
        <w:t xml:space="preserve">AME tipo I                                                                                                                                          </w:t>
      </w:r>
      <w:r w:rsidRPr="00D33B1A">
        <w:rPr>
          <w:rFonts w:ascii="Arial" w:eastAsia="等?" w:hAnsi="Arial" w:cs="Arial"/>
          <w:sz w:val="20"/>
          <w:szCs w:val="20"/>
          <w:lang w:eastAsia="es-ES"/>
        </w:rPr>
        <w:t xml:space="preserve">                   </w:t>
      </w:r>
    </w:p>
    <w:p w14:paraId="728CFD84" w14:textId="77777777" w:rsidR="00197FA2" w:rsidRDefault="00197FA2" w:rsidP="00197FA2">
      <w:pPr>
        <w:pStyle w:val="Default"/>
        <w:spacing w:after="0" w:line="240" w:lineRule="auto"/>
        <w:jc w:val="both"/>
        <w:rPr>
          <w:rFonts w:ascii="Arial" w:eastAsia="等?" w:hAnsi="Arial" w:cs="Arial"/>
          <w:sz w:val="20"/>
          <w:szCs w:val="20"/>
          <w:lang w:eastAsia="es-ES"/>
        </w:rPr>
      </w:pPr>
    </w:p>
    <w:p w14:paraId="308F8729" w14:textId="0C26F2E3" w:rsidR="00CD7138" w:rsidRPr="00CD7138" w:rsidRDefault="00AE6CFF" w:rsidP="00197FA2">
      <w:pPr>
        <w:pStyle w:val="Default"/>
        <w:spacing w:after="0" w:line="240" w:lineRule="auto"/>
        <w:jc w:val="both"/>
        <w:rPr>
          <w:rFonts w:ascii="Arial" w:eastAsia="等?" w:hAnsi="Arial" w:cs="Arial"/>
          <w:sz w:val="20"/>
          <w:szCs w:val="20"/>
          <w:lang w:eastAsia="es-ES"/>
        </w:rPr>
      </w:pPr>
      <w:r w:rsidRPr="00D33B1A">
        <w:rPr>
          <w:rFonts w:ascii="Arial" w:eastAsia="等?" w:hAnsi="Arial" w:cs="Arial"/>
          <w:sz w:val="20"/>
          <w:szCs w:val="20"/>
          <w:lang w:eastAsia="es-ES"/>
        </w:rPr>
        <w:t xml:space="preserve">En </w:t>
      </w:r>
      <w:r w:rsidR="00DE4BA8" w:rsidRPr="00D33B1A">
        <w:rPr>
          <w:rFonts w:ascii="Arial" w:eastAsia="等?" w:hAnsi="Arial" w:cs="Arial"/>
          <w:sz w:val="20"/>
          <w:szCs w:val="20"/>
          <w:lang w:eastAsia="es-ES"/>
        </w:rPr>
        <w:t xml:space="preserve">la </w:t>
      </w:r>
      <w:r w:rsidR="00DE4BA8" w:rsidRPr="00D33B1A">
        <w:rPr>
          <w:rFonts w:ascii="Arial" w:eastAsia="等?" w:hAnsi="Arial" w:cs="Arial"/>
          <w:b/>
          <w:sz w:val="20"/>
          <w:szCs w:val="20"/>
          <w:lang w:eastAsia="es-ES"/>
        </w:rPr>
        <w:t xml:space="preserve">AME </w:t>
      </w:r>
      <w:r w:rsidRPr="00D33B1A">
        <w:rPr>
          <w:rFonts w:ascii="Arial" w:eastAsia="等?" w:hAnsi="Arial" w:cs="Arial"/>
          <w:b/>
          <w:sz w:val="20"/>
          <w:szCs w:val="20"/>
          <w:lang w:eastAsia="es-ES"/>
        </w:rPr>
        <w:t>tipo I</w:t>
      </w:r>
      <w:r w:rsidRPr="00D33B1A">
        <w:rPr>
          <w:rFonts w:ascii="Arial" w:eastAsia="等?" w:hAnsi="Arial" w:cs="Arial"/>
          <w:sz w:val="20"/>
          <w:szCs w:val="20"/>
          <w:lang w:eastAsia="es-ES"/>
        </w:rPr>
        <w:t xml:space="preserve">, </w:t>
      </w:r>
      <w:r w:rsidR="00AE3249" w:rsidRPr="00D33B1A">
        <w:rPr>
          <w:rFonts w:ascii="Arial" w:eastAsia="等?" w:hAnsi="Arial" w:cs="Arial"/>
          <w:sz w:val="20"/>
          <w:szCs w:val="20"/>
          <w:lang w:eastAsia="es-ES"/>
        </w:rPr>
        <w:t xml:space="preserve">el estudio </w:t>
      </w:r>
      <w:r w:rsidR="00AE3249" w:rsidRPr="00D33B1A">
        <w:rPr>
          <w:rFonts w:ascii="Arial" w:eastAsia="等?" w:hAnsi="Arial" w:cs="Arial"/>
          <w:b/>
          <w:sz w:val="20"/>
          <w:szCs w:val="20"/>
          <w:lang w:eastAsia="es-ES"/>
        </w:rPr>
        <w:t>ENDEAR</w:t>
      </w:r>
      <w:r w:rsidR="004342C4" w:rsidRPr="00D33B1A">
        <w:rPr>
          <w:rStyle w:val="Refdenotaalfinal"/>
          <w:rFonts w:ascii="Arial" w:eastAsia="等?" w:hAnsi="Arial" w:cs="Arial"/>
          <w:sz w:val="20"/>
          <w:szCs w:val="20"/>
          <w:lang w:eastAsia="es-ES"/>
        </w:rPr>
        <w:endnoteReference w:id="20"/>
      </w:r>
      <w:r w:rsidR="001B3795" w:rsidRPr="00D33B1A">
        <w:rPr>
          <w:rFonts w:ascii="Arial" w:eastAsia="等?" w:hAnsi="Arial" w:cs="Arial"/>
          <w:sz w:val="20"/>
          <w:szCs w:val="20"/>
          <w:lang w:eastAsia="es-ES"/>
        </w:rPr>
        <w:t>, f</w:t>
      </w:r>
      <w:r w:rsidR="00CD7138" w:rsidRPr="00D33B1A">
        <w:rPr>
          <w:rFonts w:ascii="Arial" w:eastAsia="等?" w:hAnsi="Arial" w:cs="Arial"/>
          <w:sz w:val="20"/>
          <w:szCs w:val="20"/>
          <w:lang w:eastAsia="es-ES"/>
        </w:rPr>
        <w:t>ase III, multicéntrico, aleatorizado</w:t>
      </w:r>
      <w:r w:rsidR="001B3795" w:rsidRPr="00D33B1A">
        <w:rPr>
          <w:rFonts w:ascii="Arial" w:eastAsia="等?" w:hAnsi="Arial" w:cs="Arial"/>
          <w:sz w:val="20"/>
          <w:szCs w:val="20"/>
          <w:lang w:eastAsia="es-ES"/>
        </w:rPr>
        <w:t xml:space="preserve"> </w:t>
      </w:r>
      <w:r w:rsidR="00CD7138" w:rsidRPr="00D33B1A">
        <w:rPr>
          <w:rFonts w:ascii="Arial" w:eastAsia="等?" w:hAnsi="Arial" w:cs="Arial"/>
          <w:sz w:val="20"/>
          <w:szCs w:val="20"/>
          <w:lang w:eastAsia="es-ES"/>
        </w:rPr>
        <w:t>y doble ciego</w:t>
      </w:r>
      <w:r w:rsidR="001B3795" w:rsidRPr="00D33B1A">
        <w:rPr>
          <w:rFonts w:ascii="Arial" w:eastAsia="等?" w:hAnsi="Arial" w:cs="Arial"/>
          <w:sz w:val="20"/>
          <w:szCs w:val="20"/>
          <w:lang w:eastAsia="es-ES"/>
        </w:rPr>
        <w:t>,</w:t>
      </w:r>
      <w:r w:rsidR="00CD7138" w:rsidRPr="00D33B1A">
        <w:rPr>
          <w:rFonts w:ascii="Arial" w:eastAsia="等?" w:hAnsi="Arial" w:cs="Arial"/>
          <w:sz w:val="20"/>
          <w:szCs w:val="20"/>
          <w:lang w:eastAsia="es-ES"/>
        </w:rPr>
        <w:t xml:space="preserve"> evaluó la eficacia y seguridad de nusinersen 12 mg, comparado con un procedimiento simulado de control. La duración total del estudio </w:t>
      </w:r>
      <w:r w:rsidR="001B3795" w:rsidRPr="00D33B1A">
        <w:rPr>
          <w:rFonts w:ascii="Arial" w:eastAsia="等?" w:hAnsi="Arial" w:cs="Arial"/>
          <w:sz w:val="20"/>
          <w:szCs w:val="20"/>
          <w:lang w:eastAsia="es-ES"/>
        </w:rPr>
        <w:t>fue</w:t>
      </w:r>
      <w:r w:rsidR="00CD7138" w:rsidRPr="00D33B1A">
        <w:rPr>
          <w:rFonts w:ascii="Arial" w:eastAsia="等?" w:hAnsi="Arial" w:cs="Arial"/>
          <w:sz w:val="20"/>
          <w:szCs w:val="20"/>
          <w:lang w:eastAsia="es-ES"/>
        </w:rPr>
        <w:t xml:space="preserve"> de 14 meses</w:t>
      </w:r>
      <w:r w:rsidR="001B3795" w:rsidRPr="00D33B1A">
        <w:rPr>
          <w:rFonts w:ascii="Arial" w:eastAsia="等?" w:hAnsi="Arial" w:cs="Arial"/>
          <w:sz w:val="20"/>
          <w:szCs w:val="20"/>
          <w:lang w:eastAsia="es-ES"/>
        </w:rPr>
        <w:t xml:space="preserve">, incluyéndose </w:t>
      </w:r>
      <w:r w:rsidR="00CD7138" w:rsidRPr="00D33B1A">
        <w:rPr>
          <w:rFonts w:ascii="Arial" w:hAnsi="Arial" w:cs="Arial"/>
          <w:sz w:val="20"/>
          <w:szCs w:val="20"/>
        </w:rPr>
        <w:t>pacientes menores de 7 meses de edad que hubieran presentado síntomas antes de los 6 meses de vida</w:t>
      </w:r>
      <w:r w:rsidR="001B3795" w:rsidRPr="00D33B1A">
        <w:rPr>
          <w:rFonts w:ascii="Arial" w:hAnsi="Arial" w:cs="Arial"/>
          <w:sz w:val="20"/>
          <w:szCs w:val="20"/>
        </w:rPr>
        <w:t xml:space="preserve">. </w:t>
      </w:r>
      <w:r w:rsidR="00CD7138" w:rsidRPr="00D33B1A">
        <w:rPr>
          <w:rFonts w:ascii="Arial" w:hAnsi="Arial" w:cs="Arial"/>
          <w:sz w:val="20"/>
          <w:szCs w:val="20"/>
        </w:rPr>
        <w:t>Se aleatorizaron un total de 122 pacientes y 121 recibieron tratamiento (80 en nusinersen y 41 en control). Un total de 89 pacientes (74%) completaron el estudio (81% sujetos del grupo de nusinersen y 59% del grupo control).</w:t>
      </w:r>
      <w:r w:rsidR="00CD7138" w:rsidRPr="00CD7138">
        <w:rPr>
          <w:rFonts w:ascii="Arial" w:hAnsi="Arial" w:cs="Arial"/>
          <w:sz w:val="20"/>
          <w:szCs w:val="20"/>
        </w:rPr>
        <w:t xml:space="preserve"> </w:t>
      </w:r>
    </w:p>
    <w:p w14:paraId="6FA6F189" w14:textId="77777777" w:rsidR="00197FA2" w:rsidRDefault="00197FA2" w:rsidP="001F6887">
      <w:pPr>
        <w:autoSpaceDE w:val="0"/>
        <w:autoSpaceDN w:val="0"/>
        <w:adjustRightInd w:val="0"/>
        <w:jc w:val="both"/>
        <w:rPr>
          <w:rFonts w:ascii="Arial" w:hAnsi="Arial" w:cs="Arial"/>
          <w:color w:val="000000"/>
          <w:sz w:val="20"/>
          <w:szCs w:val="23"/>
        </w:rPr>
      </w:pPr>
    </w:p>
    <w:p w14:paraId="7E9AF3E8" w14:textId="1EC68051" w:rsidR="003D527B" w:rsidRPr="00F22C2B" w:rsidRDefault="00F22C2B" w:rsidP="001F6887">
      <w:pPr>
        <w:autoSpaceDE w:val="0"/>
        <w:autoSpaceDN w:val="0"/>
        <w:adjustRightInd w:val="0"/>
        <w:jc w:val="both"/>
        <w:rPr>
          <w:rFonts w:ascii="Arial" w:hAnsi="Arial" w:cs="Arial"/>
          <w:color w:val="000000"/>
          <w:sz w:val="20"/>
          <w:szCs w:val="23"/>
        </w:rPr>
      </w:pPr>
      <w:r w:rsidRPr="00F22C2B">
        <w:rPr>
          <w:rFonts w:ascii="Arial" w:hAnsi="Arial" w:cs="Arial"/>
          <w:color w:val="000000"/>
          <w:sz w:val="20"/>
          <w:szCs w:val="23"/>
        </w:rPr>
        <w:lastRenderedPageBreak/>
        <w:t xml:space="preserve">En la siguiente tabla se presentan las </w:t>
      </w:r>
      <w:r w:rsidRPr="00463AEF">
        <w:rPr>
          <w:rFonts w:ascii="Arial" w:hAnsi="Arial" w:cs="Arial"/>
          <w:b/>
          <w:color w:val="000000"/>
          <w:sz w:val="20"/>
          <w:szCs w:val="23"/>
        </w:rPr>
        <w:t>características basales</w:t>
      </w:r>
      <w:r w:rsidRPr="00F22C2B">
        <w:rPr>
          <w:rFonts w:ascii="Arial" w:hAnsi="Arial" w:cs="Arial"/>
          <w:color w:val="000000"/>
          <w:sz w:val="20"/>
          <w:szCs w:val="23"/>
        </w:rPr>
        <w:t xml:space="preserve"> comparadas de los pacientes del estudio ENDEAR (t</w:t>
      </w:r>
      <w:r w:rsidR="00C14E15">
        <w:rPr>
          <w:rFonts w:ascii="Arial" w:hAnsi="Arial" w:cs="Arial"/>
          <w:color w:val="000000"/>
          <w:sz w:val="20"/>
          <w:szCs w:val="23"/>
        </w:rPr>
        <w:t>r</w:t>
      </w:r>
      <w:r w:rsidRPr="00F22C2B">
        <w:rPr>
          <w:rFonts w:ascii="Arial" w:hAnsi="Arial" w:cs="Arial"/>
          <w:color w:val="000000"/>
          <w:sz w:val="20"/>
          <w:szCs w:val="23"/>
        </w:rPr>
        <w:t>at</w:t>
      </w:r>
      <w:r w:rsidR="00C14E15">
        <w:rPr>
          <w:rFonts w:ascii="Arial" w:hAnsi="Arial" w:cs="Arial"/>
          <w:color w:val="000000"/>
          <w:sz w:val="20"/>
          <w:szCs w:val="23"/>
        </w:rPr>
        <w:t>a</w:t>
      </w:r>
      <w:r w:rsidRPr="00F22C2B">
        <w:rPr>
          <w:rFonts w:ascii="Arial" w:hAnsi="Arial" w:cs="Arial"/>
          <w:color w:val="000000"/>
          <w:sz w:val="20"/>
          <w:szCs w:val="23"/>
        </w:rPr>
        <w:t>dos con nusinersen o placebo) y los de los estudios START y ST</w:t>
      </w:r>
      <w:r w:rsidR="00482C21">
        <w:rPr>
          <w:rFonts w:ascii="Arial" w:hAnsi="Arial" w:cs="Arial"/>
          <w:color w:val="000000"/>
          <w:sz w:val="20"/>
          <w:szCs w:val="23"/>
        </w:rPr>
        <w:t>R1VE-US tratado con onasemnogen</w:t>
      </w:r>
      <w:r w:rsidRPr="00F22C2B">
        <w:rPr>
          <w:rFonts w:ascii="Arial" w:hAnsi="Arial" w:cs="Arial"/>
          <w:color w:val="000000"/>
          <w:sz w:val="20"/>
          <w:szCs w:val="23"/>
        </w:rPr>
        <w:t xml:space="preserve"> abeparvovec.</w:t>
      </w:r>
    </w:p>
    <w:p w14:paraId="61F9C2C4" w14:textId="77777777" w:rsidR="00F22C2B" w:rsidRPr="00197FA2" w:rsidRDefault="00F22C2B" w:rsidP="001F6887">
      <w:pPr>
        <w:autoSpaceDE w:val="0"/>
        <w:autoSpaceDN w:val="0"/>
        <w:adjustRightInd w:val="0"/>
        <w:jc w:val="both"/>
        <w:rPr>
          <w:rFonts w:ascii="Calibri" w:hAnsi="Calibri" w:cs="Calibri"/>
          <w:color w:val="000000"/>
          <w:sz w:val="20"/>
          <w:szCs w:val="23"/>
        </w:rPr>
      </w:pPr>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1194"/>
        <w:gridCol w:w="1194"/>
        <w:gridCol w:w="1741"/>
        <w:gridCol w:w="1984"/>
      </w:tblGrid>
      <w:tr w:rsidR="00DC1809" w:rsidRPr="00F22C2B" w14:paraId="31941757" w14:textId="6FE6A42B" w:rsidTr="00977803">
        <w:trPr>
          <w:trHeight w:val="150"/>
        </w:trPr>
        <w:tc>
          <w:tcPr>
            <w:tcW w:w="2523" w:type="dxa"/>
          </w:tcPr>
          <w:p w14:paraId="59B066CB" w14:textId="77777777" w:rsidR="00DC1809" w:rsidRPr="00F22C2B" w:rsidRDefault="00DC1809" w:rsidP="001F6887">
            <w:pPr>
              <w:autoSpaceDE w:val="0"/>
              <w:autoSpaceDN w:val="0"/>
              <w:adjustRightInd w:val="0"/>
              <w:rPr>
                <w:rFonts w:ascii="Arial" w:hAnsi="Arial" w:cs="Arial"/>
                <w:b/>
                <w:bCs/>
                <w:color w:val="000000"/>
                <w:sz w:val="16"/>
                <w:szCs w:val="16"/>
              </w:rPr>
            </w:pPr>
          </w:p>
        </w:tc>
        <w:tc>
          <w:tcPr>
            <w:tcW w:w="2388" w:type="dxa"/>
            <w:gridSpan w:val="2"/>
          </w:tcPr>
          <w:p w14:paraId="2AFDC417" w14:textId="4511D365" w:rsidR="00DC1809" w:rsidRPr="00F22C2B" w:rsidRDefault="00DC1809" w:rsidP="001F6887">
            <w:pPr>
              <w:autoSpaceDE w:val="0"/>
              <w:autoSpaceDN w:val="0"/>
              <w:adjustRightInd w:val="0"/>
              <w:jc w:val="center"/>
              <w:rPr>
                <w:rFonts w:ascii="Arial" w:hAnsi="Arial" w:cs="Arial"/>
                <w:b/>
                <w:bCs/>
                <w:color w:val="000000"/>
                <w:sz w:val="16"/>
                <w:szCs w:val="16"/>
              </w:rPr>
            </w:pPr>
            <w:r w:rsidRPr="00F22C2B">
              <w:rPr>
                <w:rFonts w:ascii="Arial" w:hAnsi="Arial" w:cs="Arial"/>
                <w:b/>
                <w:bCs/>
                <w:color w:val="000000"/>
                <w:sz w:val="16"/>
                <w:szCs w:val="16"/>
              </w:rPr>
              <w:t>ENDEAR</w:t>
            </w:r>
          </w:p>
        </w:tc>
        <w:tc>
          <w:tcPr>
            <w:tcW w:w="1741" w:type="dxa"/>
          </w:tcPr>
          <w:p w14:paraId="64587BD9" w14:textId="62564292" w:rsidR="00DC1809" w:rsidRPr="00F22C2B" w:rsidRDefault="00DC1809" w:rsidP="001F6887">
            <w:pPr>
              <w:autoSpaceDE w:val="0"/>
              <w:autoSpaceDN w:val="0"/>
              <w:adjustRightInd w:val="0"/>
              <w:jc w:val="center"/>
              <w:rPr>
                <w:rFonts w:ascii="Arial" w:hAnsi="Arial" w:cs="Arial"/>
                <w:b/>
                <w:bCs/>
                <w:color w:val="000000"/>
                <w:sz w:val="16"/>
                <w:szCs w:val="16"/>
              </w:rPr>
            </w:pPr>
            <w:r w:rsidRPr="00F22C2B">
              <w:rPr>
                <w:rFonts w:ascii="Arial" w:hAnsi="Arial" w:cs="Arial"/>
                <w:b/>
                <w:bCs/>
                <w:color w:val="000000"/>
                <w:sz w:val="16"/>
                <w:szCs w:val="16"/>
              </w:rPr>
              <w:t xml:space="preserve"> START (CL-101)</w:t>
            </w:r>
          </w:p>
        </w:tc>
        <w:tc>
          <w:tcPr>
            <w:tcW w:w="1984" w:type="dxa"/>
          </w:tcPr>
          <w:p w14:paraId="5BCAF2E7" w14:textId="77777777" w:rsidR="00DC1809" w:rsidRDefault="00DC1809" w:rsidP="001F6887">
            <w:pPr>
              <w:autoSpaceDE w:val="0"/>
              <w:autoSpaceDN w:val="0"/>
              <w:adjustRightInd w:val="0"/>
              <w:jc w:val="center"/>
              <w:rPr>
                <w:rFonts w:ascii="Arial" w:hAnsi="Arial" w:cs="Arial"/>
                <w:b/>
                <w:bCs/>
                <w:color w:val="000000"/>
                <w:sz w:val="16"/>
                <w:szCs w:val="16"/>
              </w:rPr>
            </w:pPr>
            <w:r w:rsidRPr="00F22C2B">
              <w:rPr>
                <w:rFonts w:ascii="Arial" w:hAnsi="Arial" w:cs="Arial"/>
                <w:b/>
                <w:bCs/>
                <w:color w:val="000000"/>
                <w:sz w:val="16"/>
                <w:szCs w:val="16"/>
              </w:rPr>
              <w:t>STR1VE-US</w:t>
            </w:r>
            <w:r w:rsidR="00F22C2B" w:rsidRPr="00F22C2B">
              <w:rPr>
                <w:rFonts w:ascii="Arial" w:hAnsi="Arial" w:cs="Arial"/>
                <w:b/>
                <w:bCs/>
                <w:color w:val="000000"/>
                <w:sz w:val="16"/>
                <w:szCs w:val="16"/>
              </w:rPr>
              <w:t xml:space="preserve"> (CL-303)</w:t>
            </w:r>
          </w:p>
          <w:p w14:paraId="7E34F1F7" w14:textId="6B272F06" w:rsidR="00215DE5" w:rsidRPr="00F22C2B" w:rsidRDefault="00215DE5" w:rsidP="001F6887">
            <w:pPr>
              <w:autoSpaceDE w:val="0"/>
              <w:autoSpaceDN w:val="0"/>
              <w:adjustRightInd w:val="0"/>
              <w:jc w:val="center"/>
              <w:rPr>
                <w:rFonts w:ascii="Arial" w:hAnsi="Arial" w:cs="Arial"/>
                <w:b/>
                <w:bCs/>
                <w:color w:val="000000"/>
                <w:sz w:val="16"/>
                <w:szCs w:val="16"/>
              </w:rPr>
            </w:pPr>
          </w:p>
        </w:tc>
      </w:tr>
      <w:tr w:rsidR="00DC1809" w:rsidRPr="00F22C2B" w14:paraId="124B8F80" w14:textId="503383BF" w:rsidTr="00977803">
        <w:trPr>
          <w:trHeight w:val="150"/>
        </w:trPr>
        <w:tc>
          <w:tcPr>
            <w:tcW w:w="2523" w:type="dxa"/>
          </w:tcPr>
          <w:p w14:paraId="5B617B0C" w14:textId="59919C44" w:rsidR="00DC1809" w:rsidRPr="003D527B" w:rsidRDefault="00DC1809" w:rsidP="001F6887">
            <w:pPr>
              <w:autoSpaceDE w:val="0"/>
              <w:autoSpaceDN w:val="0"/>
              <w:adjustRightInd w:val="0"/>
              <w:rPr>
                <w:rFonts w:ascii="Arial" w:hAnsi="Arial" w:cs="Arial"/>
                <w:color w:val="000000"/>
                <w:sz w:val="16"/>
                <w:szCs w:val="16"/>
              </w:rPr>
            </w:pPr>
          </w:p>
        </w:tc>
        <w:tc>
          <w:tcPr>
            <w:tcW w:w="1194" w:type="dxa"/>
          </w:tcPr>
          <w:p w14:paraId="45BA6D8D" w14:textId="7FA7E3F0" w:rsidR="00DC1809" w:rsidRPr="003D527B" w:rsidRDefault="00F22C2B" w:rsidP="001F6887">
            <w:pPr>
              <w:autoSpaceDE w:val="0"/>
              <w:autoSpaceDN w:val="0"/>
              <w:adjustRightInd w:val="0"/>
              <w:jc w:val="center"/>
              <w:rPr>
                <w:rFonts w:ascii="Arial" w:hAnsi="Arial" w:cs="Arial"/>
                <w:color w:val="000000"/>
                <w:sz w:val="16"/>
                <w:szCs w:val="16"/>
              </w:rPr>
            </w:pPr>
            <w:r>
              <w:rPr>
                <w:rFonts w:ascii="Arial" w:hAnsi="Arial" w:cs="Arial"/>
                <w:b/>
                <w:bCs/>
                <w:color w:val="000000"/>
                <w:sz w:val="16"/>
                <w:szCs w:val="16"/>
              </w:rPr>
              <w:t>Nusinersen</w:t>
            </w:r>
          </w:p>
        </w:tc>
        <w:tc>
          <w:tcPr>
            <w:tcW w:w="1194" w:type="dxa"/>
          </w:tcPr>
          <w:p w14:paraId="1C098D2C" w14:textId="28CF9D15"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b/>
                <w:bCs/>
                <w:color w:val="000000"/>
                <w:sz w:val="16"/>
                <w:szCs w:val="16"/>
              </w:rPr>
              <w:t>Control</w:t>
            </w:r>
          </w:p>
        </w:tc>
        <w:tc>
          <w:tcPr>
            <w:tcW w:w="1741" w:type="dxa"/>
          </w:tcPr>
          <w:p w14:paraId="35798762" w14:textId="5D58BF4A" w:rsidR="00DC1809" w:rsidRPr="003D527B" w:rsidRDefault="00482C21" w:rsidP="001F6887">
            <w:pPr>
              <w:autoSpaceDE w:val="0"/>
              <w:autoSpaceDN w:val="0"/>
              <w:adjustRightInd w:val="0"/>
              <w:jc w:val="center"/>
              <w:rPr>
                <w:rFonts w:ascii="Arial" w:hAnsi="Arial" w:cs="Arial"/>
                <w:color w:val="000000"/>
                <w:sz w:val="16"/>
                <w:szCs w:val="16"/>
              </w:rPr>
            </w:pPr>
            <w:r>
              <w:rPr>
                <w:rFonts w:ascii="Arial" w:hAnsi="Arial" w:cs="Arial"/>
                <w:b/>
                <w:bCs/>
                <w:color w:val="000000"/>
                <w:sz w:val="16"/>
                <w:szCs w:val="16"/>
              </w:rPr>
              <w:t>onasemnogen</w:t>
            </w:r>
            <w:r w:rsidR="00F22C2B" w:rsidRPr="00F22C2B">
              <w:rPr>
                <w:rFonts w:ascii="Arial" w:hAnsi="Arial" w:cs="Arial"/>
                <w:b/>
                <w:bCs/>
                <w:color w:val="000000"/>
                <w:sz w:val="16"/>
                <w:szCs w:val="16"/>
              </w:rPr>
              <w:t xml:space="preserve"> abeparvovec </w:t>
            </w:r>
          </w:p>
        </w:tc>
        <w:tc>
          <w:tcPr>
            <w:tcW w:w="1984" w:type="dxa"/>
          </w:tcPr>
          <w:p w14:paraId="63520955" w14:textId="6349BCB9" w:rsidR="00DC1809" w:rsidRPr="00F22C2B" w:rsidRDefault="00482C21" w:rsidP="001F6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onasemnogen </w:t>
            </w:r>
            <w:r w:rsidR="00F22C2B" w:rsidRPr="00F22C2B">
              <w:rPr>
                <w:rFonts w:ascii="Arial" w:hAnsi="Arial" w:cs="Arial"/>
                <w:b/>
                <w:bCs/>
                <w:color w:val="000000"/>
                <w:sz w:val="16"/>
                <w:szCs w:val="16"/>
              </w:rPr>
              <w:t xml:space="preserve">abeparvovec </w:t>
            </w:r>
          </w:p>
        </w:tc>
      </w:tr>
      <w:tr w:rsidR="00DC1809" w:rsidRPr="00F22C2B" w14:paraId="280E87AF" w14:textId="5D3CDEA4" w:rsidTr="00977803">
        <w:trPr>
          <w:trHeight w:val="150"/>
        </w:trPr>
        <w:tc>
          <w:tcPr>
            <w:tcW w:w="2523" w:type="dxa"/>
          </w:tcPr>
          <w:p w14:paraId="77CCCD41" w14:textId="2028A4EB" w:rsidR="00DC1809" w:rsidRPr="003D527B" w:rsidRDefault="00DC1809" w:rsidP="001F6887">
            <w:pPr>
              <w:autoSpaceDE w:val="0"/>
              <w:autoSpaceDN w:val="0"/>
              <w:adjustRightInd w:val="0"/>
              <w:rPr>
                <w:rFonts w:ascii="Arial" w:hAnsi="Arial" w:cs="Arial"/>
                <w:color w:val="000000"/>
                <w:sz w:val="16"/>
                <w:szCs w:val="16"/>
              </w:rPr>
            </w:pPr>
            <w:r w:rsidRPr="00F22C2B">
              <w:rPr>
                <w:rFonts w:ascii="Arial" w:hAnsi="Arial" w:cs="Arial"/>
                <w:b/>
                <w:bCs/>
                <w:color w:val="000000"/>
                <w:sz w:val="16"/>
                <w:szCs w:val="16"/>
              </w:rPr>
              <w:t>Nº de pacientes</w:t>
            </w:r>
            <w:r w:rsidRPr="003D527B">
              <w:rPr>
                <w:rFonts w:ascii="Arial" w:hAnsi="Arial" w:cs="Arial"/>
                <w:b/>
                <w:bCs/>
                <w:color w:val="000000"/>
                <w:sz w:val="16"/>
                <w:szCs w:val="16"/>
              </w:rPr>
              <w:t xml:space="preserve"> </w:t>
            </w:r>
          </w:p>
        </w:tc>
        <w:tc>
          <w:tcPr>
            <w:tcW w:w="1194" w:type="dxa"/>
          </w:tcPr>
          <w:p w14:paraId="06EB39D1" w14:textId="33BB56C6"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80</w:t>
            </w:r>
          </w:p>
        </w:tc>
        <w:tc>
          <w:tcPr>
            <w:tcW w:w="1194" w:type="dxa"/>
          </w:tcPr>
          <w:p w14:paraId="0915BC81" w14:textId="34FCC172"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41</w:t>
            </w:r>
          </w:p>
        </w:tc>
        <w:tc>
          <w:tcPr>
            <w:tcW w:w="1741" w:type="dxa"/>
          </w:tcPr>
          <w:p w14:paraId="21ED4F79" w14:textId="5F96123F"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12</w:t>
            </w:r>
          </w:p>
        </w:tc>
        <w:tc>
          <w:tcPr>
            <w:tcW w:w="1984" w:type="dxa"/>
          </w:tcPr>
          <w:p w14:paraId="03360E7A" w14:textId="524B8344" w:rsidR="00DC1809" w:rsidRPr="00F22C2B" w:rsidRDefault="00DC1809" w:rsidP="001F6887">
            <w:pPr>
              <w:autoSpaceDE w:val="0"/>
              <w:autoSpaceDN w:val="0"/>
              <w:adjustRightInd w:val="0"/>
              <w:jc w:val="center"/>
              <w:rPr>
                <w:rFonts w:ascii="Arial" w:hAnsi="Arial" w:cs="Arial"/>
                <w:color w:val="000000"/>
                <w:sz w:val="16"/>
                <w:szCs w:val="16"/>
              </w:rPr>
            </w:pPr>
            <w:r w:rsidRPr="00F22C2B">
              <w:rPr>
                <w:rFonts w:ascii="Arial" w:hAnsi="Arial" w:cs="Arial"/>
                <w:color w:val="000000"/>
                <w:sz w:val="16"/>
                <w:szCs w:val="16"/>
              </w:rPr>
              <w:t>22</w:t>
            </w:r>
          </w:p>
        </w:tc>
      </w:tr>
      <w:tr w:rsidR="00DC1809" w:rsidRPr="00F22C2B" w14:paraId="35752AC7" w14:textId="4BD60A14" w:rsidTr="00977803">
        <w:trPr>
          <w:trHeight w:val="150"/>
        </w:trPr>
        <w:tc>
          <w:tcPr>
            <w:tcW w:w="2523" w:type="dxa"/>
          </w:tcPr>
          <w:p w14:paraId="50781D4A" w14:textId="670A5035" w:rsidR="00DC1809" w:rsidRPr="003D527B" w:rsidRDefault="00DC1809" w:rsidP="001F6887">
            <w:pPr>
              <w:autoSpaceDE w:val="0"/>
              <w:autoSpaceDN w:val="0"/>
              <w:adjustRightInd w:val="0"/>
              <w:rPr>
                <w:rFonts w:ascii="Arial" w:hAnsi="Arial" w:cs="Arial"/>
                <w:color w:val="000000"/>
                <w:sz w:val="16"/>
                <w:szCs w:val="16"/>
              </w:rPr>
            </w:pPr>
            <w:r w:rsidRPr="00F22C2B">
              <w:rPr>
                <w:rFonts w:ascii="Arial" w:hAnsi="Arial" w:cs="Arial"/>
                <w:b/>
                <w:bCs/>
                <w:color w:val="000000"/>
                <w:sz w:val="16"/>
                <w:szCs w:val="16"/>
              </w:rPr>
              <w:t>Edad al inicio, meses</w:t>
            </w:r>
            <w:r w:rsidRPr="003D527B">
              <w:rPr>
                <w:rFonts w:ascii="Arial" w:hAnsi="Arial" w:cs="Arial"/>
                <w:b/>
                <w:bCs/>
                <w:color w:val="000000"/>
                <w:sz w:val="16"/>
                <w:szCs w:val="16"/>
              </w:rPr>
              <w:t xml:space="preserve"> </w:t>
            </w:r>
          </w:p>
        </w:tc>
        <w:tc>
          <w:tcPr>
            <w:tcW w:w="1194" w:type="dxa"/>
          </w:tcPr>
          <w:p w14:paraId="2B087C1F" w14:textId="70589255" w:rsidR="00DC1809" w:rsidRPr="003D527B" w:rsidRDefault="00DC1809" w:rsidP="001F6887">
            <w:pPr>
              <w:autoSpaceDE w:val="0"/>
              <w:autoSpaceDN w:val="0"/>
              <w:adjustRightInd w:val="0"/>
              <w:jc w:val="center"/>
              <w:rPr>
                <w:rFonts w:ascii="Arial" w:hAnsi="Arial" w:cs="Arial"/>
                <w:color w:val="000000"/>
                <w:sz w:val="16"/>
                <w:szCs w:val="16"/>
              </w:rPr>
            </w:pPr>
            <w:r w:rsidRPr="00F22C2B">
              <w:rPr>
                <w:rFonts w:ascii="Arial" w:hAnsi="Arial" w:cs="Arial"/>
                <w:color w:val="000000"/>
                <w:sz w:val="16"/>
                <w:szCs w:val="16"/>
              </w:rPr>
              <w:t>1,8 (0,5-4,</w:t>
            </w:r>
            <w:r w:rsidRPr="003D527B">
              <w:rPr>
                <w:rFonts w:ascii="Arial" w:hAnsi="Arial" w:cs="Arial"/>
                <w:color w:val="000000"/>
                <w:sz w:val="16"/>
                <w:szCs w:val="16"/>
              </w:rPr>
              <w:t>2)</w:t>
            </w:r>
          </w:p>
        </w:tc>
        <w:tc>
          <w:tcPr>
            <w:tcW w:w="1194" w:type="dxa"/>
          </w:tcPr>
          <w:p w14:paraId="7F8E7BBD" w14:textId="0709F916" w:rsidR="00DC1809" w:rsidRPr="003D527B" w:rsidRDefault="00DC1809" w:rsidP="001F6887">
            <w:pPr>
              <w:autoSpaceDE w:val="0"/>
              <w:autoSpaceDN w:val="0"/>
              <w:adjustRightInd w:val="0"/>
              <w:jc w:val="center"/>
              <w:rPr>
                <w:rFonts w:ascii="Arial" w:hAnsi="Arial" w:cs="Arial"/>
                <w:color w:val="000000"/>
                <w:sz w:val="16"/>
                <w:szCs w:val="16"/>
              </w:rPr>
            </w:pPr>
            <w:r w:rsidRPr="00F22C2B">
              <w:rPr>
                <w:rFonts w:ascii="Arial" w:hAnsi="Arial" w:cs="Arial"/>
                <w:color w:val="000000"/>
                <w:sz w:val="16"/>
                <w:szCs w:val="16"/>
              </w:rPr>
              <w:t>2,2 (0,2-4,</w:t>
            </w:r>
            <w:r w:rsidRPr="003D527B">
              <w:rPr>
                <w:rFonts w:ascii="Arial" w:hAnsi="Arial" w:cs="Arial"/>
                <w:color w:val="000000"/>
                <w:sz w:val="16"/>
                <w:szCs w:val="16"/>
              </w:rPr>
              <w:t>6)</w:t>
            </w:r>
          </w:p>
        </w:tc>
        <w:tc>
          <w:tcPr>
            <w:tcW w:w="1741" w:type="dxa"/>
          </w:tcPr>
          <w:p w14:paraId="182DF0A2" w14:textId="74433987" w:rsidR="00DC1809" w:rsidRPr="003D527B" w:rsidRDefault="00DC1809" w:rsidP="001F6887">
            <w:pPr>
              <w:autoSpaceDE w:val="0"/>
              <w:autoSpaceDN w:val="0"/>
              <w:adjustRightInd w:val="0"/>
              <w:jc w:val="center"/>
              <w:rPr>
                <w:rFonts w:ascii="Arial" w:hAnsi="Arial" w:cs="Arial"/>
                <w:color w:val="000000"/>
                <w:sz w:val="16"/>
                <w:szCs w:val="16"/>
              </w:rPr>
            </w:pPr>
            <w:r w:rsidRPr="00F22C2B">
              <w:rPr>
                <w:rFonts w:ascii="Arial" w:hAnsi="Arial" w:cs="Arial"/>
                <w:color w:val="000000"/>
                <w:sz w:val="16"/>
                <w:szCs w:val="16"/>
              </w:rPr>
              <w:t>1,4 (0-3,</w:t>
            </w:r>
            <w:r w:rsidRPr="003D527B">
              <w:rPr>
                <w:rFonts w:ascii="Arial" w:hAnsi="Arial" w:cs="Arial"/>
                <w:color w:val="000000"/>
                <w:sz w:val="16"/>
                <w:szCs w:val="16"/>
              </w:rPr>
              <w:t>0)</w:t>
            </w:r>
          </w:p>
        </w:tc>
        <w:tc>
          <w:tcPr>
            <w:tcW w:w="1984" w:type="dxa"/>
          </w:tcPr>
          <w:p w14:paraId="6D4D7E1A" w14:textId="18F25C24" w:rsidR="00DC1809" w:rsidRPr="00F22C2B" w:rsidRDefault="00DC1809" w:rsidP="001F6887">
            <w:pPr>
              <w:autoSpaceDE w:val="0"/>
              <w:autoSpaceDN w:val="0"/>
              <w:adjustRightInd w:val="0"/>
              <w:jc w:val="center"/>
              <w:rPr>
                <w:rFonts w:ascii="Arial" w:hAnsi="Arial" w:cs="Arial"/>
                <w:color w:val="000000"/>
                <w:sz w:val="16"/>
                <w:szCs w:val="16"/>
              </w:rPr>
            </w:pPr>
            <w:r w:rsidRPr="00F22C2B">
              <w:rPr>
                <w:rFonts w:ascii="Arial" w:hAnsi="Arial" w:cs="Arial"/>
                <w:color w:val="000000"/>
                <w:sz w:val="16"/>
                <w:szCs w:val="16"/>
              </w:rPr>
              <w:t>3,7 (0,5-5,9)</w:t>
            </w:r>
          </w:p>
        </w:tc>
      </w:tr>
      <w:tr w:rsidR="00DC1809" w:rsidRPr="00F22C2B" w14:paraId="3369691E" w14:textId="25CD9CA2" w:rsidTr="00977803">
        <w:trPr>
          <w:trHeight w:val="150"/>
        </w:trPr>
        <w:tc>
          <w:tcPr>
            <w:tcW w:w="2523" w:type="dxa"/>
          </w:tcPr>
          <w:p w14:paraId="163AAA2B" w14:textId="5F8376C3" w:rsidR="00DC1809" w:rsidRPr="003D527B" w:rsidRDefault="00F22C2B" w:rsidP="001F6887">
            <w:pPr>
              <w:autoSpaceDE w:val="0"/>
              <w:autoSpaceDN w:val="0"/>
              <w:adjustRightInd w:val="0"/>
              <w:rPr>
                <w:rFonts w:ascii="Arial" w:hAnsi="Arial" w:cs="Arial"/>
                <w:color w:val="000000"/>
                <w:sz w:val="16"/>
                <w:szCs w:val="16"/>
              </w:rPr>
            </w:pPr>
            <w:r w:rsidRPr="00F22C2B">
              <w:rPr>
                <w:rFonts w:ascii="Arial" w:hAnsi="Arial" w:cs="Arial"/>
                <w:b/>
                <w:bCs/>
                <w:color w:val="000000"/>
                <w:sz w:val="16"/>
                <w:szCs w:val="16"/>
              </w:rPr>
              <w:t>Soporte de ventilación</w:t>
            </w:r>
            <w:r w:rsidR="00DC1809" w:rsidRPr="003D527B">
              <w:rPr>
                <w:rFonts w:ascii="Arial" w:hAnsi="Arial" w:cs="Arial"/>
                <w:b/>
                <w:bCs/>
                <w:color w:val="000000"/>
                <w:sz w:val="16"/>
                <w:szCs w:val="16"/>
              </w:rPr>
              <w:t xml:space="preserve">, n (%) </w:t>
            </w:r>
          </w:p>
        </w:tc>
        <w:tc>
          <w:tcPr>
            <w:tcW w:w="1194" w:type="dxa"/>
          </w:tcPr>
          <w:p w14:paraId="639EE7D8" w14:textId="7EFA09A4"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21 (26)</w:t>
            </w:r>
          </w:p>
        </w:tc>
        <w:tc>
          <w:tcPr>
            <w:tcW w:w="1194" w:type="dxa"/>
          </w:tcPr>
          <w:p w14:paraId="62313A75" w14:textId="5950C752"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6 (15)</w:t>
            </w:r>
          </w:p>
        </w:tc>
        <w:tc>
          <w:tcPr>
            <w:tcW w:w="1741" w:type="dxa"/>
          </w:tcPr>
          <w:p w14:paraId="159C976A" w14:textId="0AFB809D"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2 (17)</w:t>
            </w:r>
          </w:p>
        </w:tc>
        <w:tc>
          <w:tcPr>
            <w:tcW w:w="1984" w:type="dxa"/>
          </w:tcPr>
          <w:p w14:paraId="5BFEB9F5" w14:textId="798AB787" w:rsidR="00DC1809" w:rsidRPr="00F22C2B" w:rsidRDefault="00DC1809" w:rsidP="001F6887">
            <w:pPr>
              <w:autoSpaceDE w:val="0"/>
              <w:autoSpaceDN w:val="0"/>
              <w:adjustRightInd w:val="0"/>
              <w:jc w:val="center"/>
              <w:rPr>
                <w:rFonts w:ascii="Arial" w:hAnsi="Arial" w:cs="Arial"/>
                <w:color w:val="000000"/>
                <w:sz w:val="16"/>
                <w:szCs w:val="16"/>
              </w:rPr>
            </w:pPr>
            <w:r w:rsidRPr="00F22C2B">
              <w:rPr>
                <w:rFonts w:ascii="Arial" w:hAnsi="Arial" w:cs="Arial"/>
                <w:color w:val="000000"/>
                <w:sz w:val="16"/>
                <w:szCs w:val="16"/>
              </w:rPr>
              <w:t>0</w:t>
            </w:r>
          </w:p>
        </w:tc>
      </w:tr>
      <w:tr w:rsidR="00DC1809" w:rsidRPr="00F22C2B" w14:paraId="7A492D1F" w14:textId="5630D44E" w:rsidTr="00977803">
        <w:trPr>
          <w:trHeight w:val="150"/>
        </w:trPr>
        <w:tc>
          <w:tcPr>
            <w:tcW w:w="2523" w:type="dxa"/>
          </w:tcPr>
          <w:p w14:paraId="6DF272CC" w14:textId="2674D924" w:rsidR="00DC1809" w:rsidRPr="003D527B" w:rsidRDefault="00F22C2B" w:rsidP="001F6887">
            <w:pPr>
              <w:autoSpaceDE w:val="0"/>
              <w:autoSpaceDN w:val="0"/>
              <w:adjustRightInd w:val="0"/>
              <w:rPr>
                <w:rFonts w:ascii="Arial" w:hAnsi="Arial" w:cs="Arial"/>
                <w:color w:val="000000"/>
                <w:sz w:val="16"/>
                <w:szCs w:val="16"/>
              </w:rPr>
            </w:pPr>
            <w:r w:rsidRPr="00F22C2B">
              <w:rPr>
                <w:rFonts w:ascii="Arial" w:hAnsi="Arial" w:cs="Arial"/>
                <w:b/>
                <w:bCs/>
                <w:color w:val="000000"/>
                <w:sz w:val="16"/>
                <w:szCs w:val="16"/>
              </w:rPr>
              <w:t>Soporte n</w:t>
            </w:r>
            <w:r w:rsidR="00092000">
              <w:rPr>
                <w:rFonts w:ascii="Arial" w:hAnsi="Arial" w:cs="Arial"/>
                <w:b/>
                <w:bCs/>
                <w:color w:val="000000"/>
                <w:sz w:val="16"/>
                <w:szCs w:val="16"/>
              </w:rPr>
              <w:t>u</w:t>
            </w:r>
            <w:r w:rsidRPr="00F22C2B">
              <w:rPr>
                <w:rFonts w:ascii="Arial" w:hAnsi="Arial" w:cs="Arial"/>
                <w:b/>
                <w:bCs/>
                <w:color w:val="000000"/>
                <w:sz w:val="16"/>
                <w:szCs w:val="16"/>
              </w:rPr>
              <w:t>tricional</w:t>
            </w:r>
            <w:r w:rsidR="00DC1809" w:rsidRPr="003D527B">
              <w:rPr>
                <w:rFonts w:ascii="Arial" w:hAnsi="Arial" w:cs="Arial"/>
                <w:b/>
                <w:bCs/>
                <w:color w:val="000000"/>
                <w:sz w:val="16"/>
                <w:szCs w:val="16"/>
              </w:rPr>
              <w:t xml:space="preserve">, n (%) </w:t>
            </w:r>
          </w:p>
        </w:tc>
        <w:tc>
          <w:tcPr>
            <w:tcW w:w="1194" w:type="dxa"/>
          </w:tcPr>
          <w:p w14:paraId="092AE038" w14:textId="6D81C91F"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7 (9)</w:t>
            </w:r>
          </w:p>
        </w:tc>
        <w:tc>
          <w:tcPr>
            <w:tcW w:w="1194" w:type="dxa"/>
          </w:tcPr>
          <w:p w14:paraId="4CE86B3B" w14:textId="270D8C0C"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5 (12)</w:t>
            </w:r>
          </w:p>
        </w:tc>
        <w:tc>
          <w:tcPr>
            <w:tcW w:w="1741" w:type="dxa"/>
          </w:tcPr>
          <w:p w14:paraId="0B669AB1" w14:textId="4DC25D7C"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5 (42)</w:t>
            </w:r>
          </w:p>
        </w:tc>
        <w:tc>
          <w:tcPr>
            <w:tcW w:w="1984" w:type="dxa"/>
          </w:tcPr>
          <w:p w14:paraId="2A4D882F" w14:textId="229560F3" w:rsidR="00DC1809" w:rsidRPr="00F22C2B" w:rsidRDefault="00F22C2B" w:rsidP="001F6887">
            <w:pPr>
              <w:autoSpaceDE w:val="0"/>
              <w:autoSpaceDN w:val="0"/>
              <w:adjustRightInd w:val="0"/>
              <w:jc w:val="center"/>
              <w:rPr>
                <w:rFonts w:ascii="Arial" w:hAnsi="Arial" w:cs="Arial"/>
                <w:color w:val="000000"/>
                <w:sz w:val="16"/>
                <w:szCs w:val="16"/>
              </w:rPr>
            </w:pPr>
            <w:r w:rsidRPr="00F22C2B">
              <w:rPr>
                <w:rFonts w:ascii="Arial" w:hAnsi="Arial" w:cs="Arial"/>
                <w:color w:val="000000"/>
                <w:sz w:val="16"/>
                <w:szCs w:val="16"/>
              </w:rPr>
              <w:t>0</w:t>
            </w:r>
          </w:p>
        </w:tc>
      </w:tr>
      <w:tr w:rsidR="00DC1809" w:rsidRPr="00F22C2B" w14:paraId="2EB2548D" w14:textId="7B6E305D" w:rsidTr="00977803">
        <w:trPr>
          <w:trHeight w:val="150"/>
        </w:trPr>
        <w:tc>
          <w:tcPr>
            <w:tcW w:w="2523" w:type="dxa"/>
          </w:tcPr>
          <w:p w14:paraId="645500A3" w14:textId="51E50956" w:rsidR="00DC1809" w:rsidRPr="003D527B" w:rsidRDefault="00F22C2B" w:rsidP="001F6887">
            <w:pPr>
              <w:autoSpaceDE w:val="0"/>
              <w:autoSpaceDN w:val="0"/>
              <w:adjustRightInd w:val="0"/>
              <w:rPr>
                <w:rFonts w:ascii="Arial" w:hAnsi="Arial" w:cs="Arial"/>
                <w:color w:val="000000"/>
                <w:sz w:val="16"/>
                <w:szCs w:val="16"/>
              </w:rPr>
            </w:pPr>
            <w:r w:rsidRPr="00F22C2B">
              <w:rPr>
                <w:rFonts w:ascii="Arial" w:hAnsi="Arial" w:cs="Arial"/>
                <w:b/>
                <w:bCs/>
                <w:color w:val="000000"/>
                <w:sz w:val="16"/>
                <w:szCs w:val="16"/>
              </w:rPr>
              <w:t>Media</w:t>
            </w:r>
            <w:r w:rsidR="00DC1809" w:rsidRPr="003D527B">
              <w:rPr>
                <w:rFonts w:ascii="Arial" w:hAnsi="Arial" w:cs="Arial"/>
                <w:b/>
                <w:bCs/>
                <w:color w:val="000000"/>
                <w:sz w:val="16"/>
                <w:szCs w:val="16"/>
              </w:rPr>
              <w:t xml:space="preserve"> HINE-2 Score </w:t>
            </w:r>
          </w:p>
        </w:tc>
        <w:tc>
          <w:tcPr>
            <w:tcW w:w="1194" w:type="dxa"/>
          </w:tcPr>
          <w:p w14:paraId="2C064927" w14:textId="63F64EE0" w:rsidR="00DC1809" w:rsidRPr="003D527B" w:rsidRDefault="00F22C2B" w:rsidP="001F6887">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 ± 1,</w:t>
            </w:r>
            <w:r w:rsidR="00DC1809" w:rsidRPr="003D527B">
              <w:rPr>
                <w:rFonts w:ascii="Arial" w:hAnsi="Arial" w:cs="Arial"/>
                <w:color w:val="000000"/>
                <w:sz w:val="16"/>
                <w:szCs w:val="16"/>
              </w:rPr>
              <w:t>07</w:t>
            </w:r>
          </w:p>
        </w:tc>
        <w:tc>
          <w:tcPr>
            <w:tcW w:w="1194" w:type="dxa"/>
          </w:tcPr>
          <w:p w14:paraId="08313224" w14:textId="32789865" w:rsidR="00DC1809" w:rsidRPr="003D527B" w:rsidRDefault="00F22C2B" w:rsidP="001F6887">
            <w:pPr>
              <w:autoSpaceDE w:val="0"/>
              <w:autoSpaceDN w:val="0"/>
              <w:adjustRightInd w:val="0"/>
              <w:jc w:val="center"/>
              <w:rPr>
                <w:rFonts w:ascii="Arial" w:hAnsi="Arial" w:cs="Arial"/>
                <w:color w:val="000000"/>
                <w:sz w:val="16"/>
                <w:szCs w:val="16"/>
              </w:rPr>
            </w:pPr>
            <w:r>
              <w:rPr>
                <w:rFonts w:ascii="Arial" w:hAnsi="Arial" w:cs="Arial"/>
                <w:color w:val="000000"/>
                <w:sz w:val="16"/>
                <w:szCs w:val="16"/>
              </w:rPr>
              <w:t>1,54 ± 1,</w:t>
            </w:r>
            <w:r w:rsidR="00DC1809" w:rsidRPr="003D527B">
              <w:rPr>
                <w:rFonts w:ascii="Arial" w:hAnsi="Arial" w:cs="Arial"/>
                <w:color w:val="000000"/>
                <w:sz w:val="16"/>
                <w:szCs w:val="16"/>
              </w:rPr>
              <w:t>29</w:t>
            </w:r>
          </w:p>
        </w:tc>
        <w:tc>
          <w:tcPr>
            <w:tcW w:w="1741" w:type="dxa"/>
          </w:tcPr>
          <w:p w14:paraId="625D41CE" w14:textId="252F4C78" w:rsidR="00DC1809" w:rsidRPr="003D527B" w:rsidRDefault="00DC1809" w:rsidP="001F6887">
            <w:pPr>
              <w:autoSpaceDE w:val="0"/>
              <w:autoSpaceDN w:val="0"/>
              <w:adjustRightInd w:val="0"/>
              <w:jc w:val="center"/>
              <w:rPr>
                <w:rFonts w:ascii="Arial" w:hAnsi="Arial" w:cs="Arial"/>
                <w:color w:val="000000"/>
                <w:sz w:val="16"/>
                <w:szCs w:val="16"/>
              </w:rPr>
            </w:pPr>
            <w:r w:rsidRPr="00F22C2B">
              <w:rPr>
                <w:rFonts w:ascii="Arial" w:hAnsi="Arial" w:cs="Arial"/>
                <w:color w:val="000000"/>
                <w:sz w:val="16"/>
                <w:szCs w:val="16"/>
              </w:rPr>
              <w:t>N</w:t>
            </w:r>
            <w:r w:rsidR="00F22C2B" w:rsidRPr="00F22C2B">
              <w:rPr>
                <w:rFonts w:ascii="Arial" w:hAnsi="Arial" w:cs="Arial"/>
                <w:color w:val="000000"/>
                <w:sz w:val="16"/>
                <w:szCs w:val="16"/>
              </w:rPr>
              <w:t>D</w:t>
            </w:r>
          </w:p>
        </w:tc>
        <w:tc>
          <w:tcPr>
            <w:tcW w:w="1984" w:type="dxa"/>
          </w:tcPr>
          <w:p w14:paraId="4D424FF4" w14:textId="16ADC3D3" w:rsidR="00DC1809" w:rsidRPr="00F22C2B" w:rsidRDefault="00F22C2B" w:rsidP="001F6887">
            <w:pPr>
              <w:autoSpaceDE w:val="0"/>
              <w:autoSpaceDN w:val="0"/>
              <w:adjustRightInd w:val="0"/>
              <w:jc w:val="center"/>
              <w:rPr>
                <w:rFonts w:ascii="Arial" w:hAnsi="Arial" w:cs="Arial"/>
                <w:color w:val="000000"/>
                <w:sz w:val="16"/>
                <w:szCs w:val="16"/>
              </w:rPr>
            </w:pPr>
            <w:r w:rsidRPr="00F22C2B">
              <w:rPr>
                <w:rFonts w:ascii="Arial" w:hAnsi="Arial" w:cs="Arial"/>
                <w:color w:val="000000"/>
                <w:sz w:val="16"/>
                <w:szCs w:val="16"/>
              </w:rPr>
              <w:t>ND</w:t>
            </w:r>
          </w:p>
        </w:tc>
      </w:tr>
      <w:tr w:rsidR="00DC1809" w:rsidRPr="00F22C2B" w14:paraId="79F87434" w14:textId="04021A56" w:rsidTr="00977803">
        <w:trPr>
          <w:trHeight w:val="150"/>
        </w:trPr>
        <w:tc>
          <w:tcPr>
            <w:tcW w:w="2523" w:type="dxa"/>
          </w:tcPr>
          <w:p w14:paraId="0A628177" w14:textId="4E8F7684" w:rsidR="00DC1809" w:rsidRPr="003D527B" w:rsidRDefault="00F22C2B" w:rsidP="001F6887">
            <w:pPr>
              <w:autoSpaceDE w:val="0"/>
              <w:autoSpaceDN w:val="0"/>
              <w:adjustRightInd w:val="0"/>
              <w:rPr>
                <w:rFonts w:ascii="Arial" w:hAnsi="Arial" w:cs="Arial"/>
                <w:color w:val="000000"/>
                <w:sz w:val="16"/>
                <w:szCs w:val="16"/>
              </w:rPr>
            </w:pPr>
            <w:r w:rsidRPr="00F22C2B">
              <w:rPr>
                <w:rFonts w:ascii="Arial" w:hAnsi="Arial" w:cs="Arial"/>
                <w:b/>
                <w:bCs/>
                <w:color w:val="000000"/>
                <w:sz w:val="16"/>
                <w:szCs w:val="16"/>
              </w:rPr>
              <w:t>Media</w:t>
            </w:r>
            <w:r w:rsidR="00DC1809" w:rsidRPr="003D527B">
              <w:rPr>
                <w:rFonts w:ascii="Arial" w:hAnsi="Arial" w:cs="Arial"/>
                <w:b/>
                <w:bCs/>
                <w:color w:val="000000"/>
                <w:sz w:val="16"/>
                <w:szCs w:val="16"/>
              </w:rPr>
              <w:t xml:space="preserve"> CHOP-INTEND </w:t>
            </w:r>
            <w:r w:rsidR="00977803">
              <w:rPr>
                <w:rFonts w:ascii="Arial" w:hAnsi="Arial" w:cs="Arial"/>
                <w:b/>
                <w:bCs/>
                <w:color w:val="000000"/>
                <w:sz w:val="16"/>
                <w:szCs w:val="16"/>
              </w:rPr>
              <w:t>s</w:t>
            </w:r>
            <w:r w:rsidR="00DC1809" w:rsidRPr="003D527B">
              <w:rPr>
                <w:rFonts w:ascii="Arial" w:hAnsi="Arial" w:cs="Arial"/>
                <w:b/>
                <w:bCs/>
                <w:color w:val="000000"/>
                <w:sz w:val="16"/>
                <w:szCs w:val="16"/>
              </w:rPr>
              <w:t xml:space="preserve">core </w:t>
            </w:r>
          </w:p>
        </w:tc>
        <w:tc>
          <w:tcPr>
            <w:tcW w:w="1194" w:type="dxa"/>
          </w:tcPr>
          <w:p w14:paraId="000D565A" w14:textId="377BCFED" w:rsidR="00DC1809" w:rsidRPr="003D527B" w:rsidRDefault="00F22C2B" w:rsidP="001F6887">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26,63 ± 8,</w:t>
            </w:r>
            <w:r w:rsidR="00DC1809" w:rsidRPr="003D527B">
              <w:rPr>
                <w:rFonts w:ascii="Arial" w:hAnsi="Arial" w:cs="Arial"/>
                <w:color w:val="000000"/>
                <w:sz w:val="16"/>
                <w:szCs w:val="16"/>
              </w:rPr>
              <w:t>13</w:t>
            </w:r>
          </w:p>
        </w:tc>
        <w:tc>
          <w:tcPr>
            <w:tcW w:w="1194" w:type="dxa"/>
          </w:tcPr>
          <w:p w14:paraId="1AB65CF1" w14:textId="70D6FB06" w:rsidR="00DC1809" w:rsidRPr="003D527B" w:rsidRDefault="00F22C2B" w:rsidP="001F6887">
            <w:pPr>
              <w:autoSpaceDE w:val="0"/>
              <w:autoSpaceDN w:val="0"/>
              <w:adjustRightInd w:val="0"/>
              <w:jc w:val="center"/>
              <w:rPr>
                <w:rFonts w:ascii="Arial" w:hAnsi="Arial" w:cs="Arial"/>
                <w:color w:val="000000"/>
                <w:sz w:val="16"/>
                <w:szCs w:val="16"/>
              </w:rPr>
            </w:pPr>
            <w:r>
              <w:rPr>
                <w:rFonts w:ascii="Arial" w:hAnsi="Arial" w:cs="Arial"/>
                <w:color w:val="000000"/>
                <w:sz w:val="16"/>
                <w:szCs w:val="16"/>
              </w:rPr>
              <w:t>28,43 ± 7,</w:t>
            </w:r>
            <w:r w:rsidR="00DC1809" w:rsidRPr="003D527B">
              <w:rPr>
                <w:rFonts w:ascii="Arial" w:hAnsi="Arial" w:cs="Arial"/>
                <w:color w:val="000000"/>
                <w:sz w:val="16"/>
                <w:szCs w:val="16"/>
              </w:rPr>
              <w:t>56</w:t>
            </w:r>
          </w:p>
        </w:tc>
        <w:tc>
          <w:tcPr>
            <w:tcW w:w="1741" w:type="dxa"/>
          </w:tcPr>
          <w:p w14:paraId="61183D67" w14:textId="0062638C" w:rsidR="00DC1809" w:rsidRPr="003D527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28 (12-50)</w:t>
            </w:r>
          </w:p>
        </w:tc>
        <w:tc>
          <w:tcPr>
            <w:tcW w:w="1984" w:type="dxa"/>
          </w:tcPr>
          <w:p w14:paraId="5FB90EC9" w14:textId="1FAF5D55" w:rsidR="00DC1809" w:rsidRPr="00F22C2B" w:rsidRDefault="00DC1809" w:rsidP="001F6887">
            <w:pPr>
              <w:autoSpaceDE w:val="0"/>
              <w:autoSpaceDN w:val="0"/>
              <w:adjustRightInd w:val="0"/>
              <w:jc w:val="center"/>
              <w:rPr>
                <w:rFonts w:ascii="Arial" w:hAnsi="Arial" w:cs="Arial"/>
                <w:color w:val="000000"/>
                <w:sz w:val="16"/>
                <w:szCs w:val="16"/>
              </w:rPr>
            </w:pPr>
            <w:r w:rsidRPr="003D527B">
              <w:rPr>
                <w:rFonts w:ascii="Arial" w:hAnsi="Arial" w:cs="Arial"/>
                <w:color w:val="000000"/>
                <w:sz w:val="16"/>
                <w:szCs w:val="16"/>
              </w:rPr>
              <w:t>32 (18–52)</w:t>
            </w:r>
          </w:p>
        </w:tc>
      </w:tr>
    </w:tbl>
    <w:p w14:paraId="0379E4D3" w14:textId="77777777" w:rsidR="003D527B" w:rsidRDefault="003D527B" w:rsidP="001F6887">
      <w:pPr>
        <w:autoSpaceDE w:val="0"/>
        <w:autoSpaceDN w:val="0"/>
        <w:adjustRightInd w:val="0"/>
        <w:jc w:val="both"/>
        <w:rPr>
          <w:rFonts w:ascii="Arial" w:hAnsi="Arial" w:cs="Arial"/>
          <w:color w:val="000000"/>
          <w:sz w:val="20"/>
          <w:szCs w:val="20"/>
        </w:rPr>
      </w:pPr>
    </w:p>
    <w:p w14:paraId="100026ED" w14:textId="77C4E179" w:rsidR="00CD7138" w:rsidRDefault="00CD7138" w:rsidP="001F6887">
      <w:pPr>
        <w:autoSpaceDE w:val="0"/>
        <w:autoSpaceDN w:val="0"/>
        <w:adjustRightInd w:val="0"/>
        <w:jc w:val="both"/>
        <w:rPr>
          <w:rFonts w:ascii="Arial" w:hAnsi="Arial" w:cs="Arial"/>
          <w:color w:val="000000"/>
          <w:sz w:val="20"/>
          <w:szCs w:val="20"/>
        </w:rPr>
      </w:pPr>
      <w:r w:rsidRPr="00CD7138">
        <w:rPr>
          <w:rFonts w:ascii="Arial" w:hAnsi="Arial" w:cs="Arial"/>
          <w:color w:val="000000"/>
          <w:sz w:val="20"/>
          <w:szCs w:val="20"/>
        </w:rPr>
        <w:t xml:space="preserve">En este estudio </w:t>
      </w:r>
      <w:r w:rsidR="00C14E15">
        <w:rPr>
          <w:rFonts w:ascii="Arial" w:hAnsi="Arial" w:cs="Arial"/>
          <w:color w:val="000000"/>
          <w:sz w:val="20"/>
          <w:szCs w:val="20"/>
        </w:rPr>
        <w:t xml:space="preserve">(ENDEAR) </w:t>
      </w:r>
      <w:r w:rsidRPr="00CD7138">
        <w:rPr>
          <w:rFonts w:ascii="Arial" w:hAnsi="Arial" w:cs="Arial"/>
          <w:color w:val="000000"/>
          <w:sz w:val="20"/>
          <w:szCs w:val="20"/>
        </w:rPr>
        <w:t xml:space="preserve">se definieron dos variables principales: </w:t>
      </w:r>
    </w:p>
    <w:p w14:paraId="6D9EF708" w14:textId="77777777" w:rsidR="00DF4F8E" w:rsidRDefault="00CD7138" w:rsidP="00DF4F8E">
      <w:pPr>
        <w:pStyle w:val="Prrafodelista"/>
        <w:numPr>
          <w:ilvl w:val="0"/>
          <w:numId w:val="31"/>
        </w:numPr>
        <w:autoSpaceDE w:val="0"/>
        <w:autoSpaceDN w:val="0"/>
        <w:adjustRightInd w:val="0"/>
        <w:spacing w:after="5"/>
        <w:jc w:val="both"/>
        <w:rPr>
          <w:rFonts w:ascii="Arial" w:hAnsi="Arial" w:cs="Arial"/>
          <w:color w:val="000000"/>
          <w:sz w:val="20"/>
          <w:szCs w:val="20"/>
        </w:rPr>
      </w:pPr>
      <w:r w:rsidRPr="00DF4F8E">
        <w:rPr>
          <w:rFonts w:ascii="Arial" w:hAnsi="Arial" w:cs="Arial"/>
          <w:color w:val="000000"/>
          <w:sz w:val="20"/>
          <w:szCs w:val="20"/>
        </w:rPr>
        <w:t>La función motora</w:t>
      </w:r>
      <w:r w:rsidR="000F28F2" w:rsidRPr="00DF4F8E">
        <w:rPr>
          <w:rFonts w:ascii="Arial" w:hAnsi="Arial" w:cs="Arial"/>
          <w:color w:val="000000"/>
          <w:sz w:val="20"/>
          <w:szCs w:val="20"/>
        </w:rPr>
        <w:t>, que</w:t>
      </w:r>
      <w:r w:rsidRPr="00DF4F8E">
        <w:rPr>
          <w:rFonts w:ascii="Arial" w:hAnsi="Arial" w:cs="Arial"/>
          <w:color w:val="000000"/>
          <w:sz w:val="20"/>
          <w:szCs w:val="20"/>
        </w:rPr>
        <w:t xml:space="preserve"> se midió como porcentaje de respondedores según la escala Hammersmith Infant Neurological Examination [HINE]. </w:t>
      </w:r>
      <w:r w:rsidR="001B3795" w:rsidRPr="00DF4F8E">
        <w:rPr>
          <w:rFonts w:ascii="Arial" w:hAnsi="Arial" w:cs="Arial"/>
          <w:color w:val="000000"/>
          <w:sz w:val="20"/>
          <w:szCs w:val="20"/>
        </w:rPr>
        <w:t xml:space="preserve">Se </w:t>
      </w:r>
      <w:r w:rsidRPr="00DF4F8E">
        <w:rPr>
          <w:rFonts w:ascii="Arial" w:hAnsi="Arial" w:cs="Arial"/>
          <w:color w:val="000000"/>
          <w:sz w:val="20"/>
          <w:szCs w:val="20"/>
        </w:rPr>
        <w:t xml:space="preserve">definió </w:t>
      </w:r>
      <w:r w:rsidR="000F28F2" w:rsidRPr="00DF4F8E">
        <w:rPr>
          <w:rFonts w:ascii="Arial" w:hAnsi="Arial" w:cs="Arial"/>
          <w:color w:val="000000"/>
          <w:sz w:val="20"/>
          <w:szCs w:val="20"/>
        </w:rPr>
        <w:t xml:space="preserve">como </w:t>
      </w:r>
      <w:r w:rsidRPr="00DF4F8E">
        <w:rPr>
          <w:rFonts w:ascii="Arial" w:hAnsi="Arial" w:cs="Arial"/>
          <w:color w:val="000000"/>
          <w:sz w:val="20"/>
          <w:szCs w:val="20"/>
        </w:rPr>
        <w:t xml:space="preserve">respondedor aquel que consiguió un aumento ≥ 2 puntos en la categoría de la capacidad de dar patadas o alcanzó la máxima puntuación en esa categoría (tocarse los dedos de los pies), o un aumento ≥ 1 punto en los hitos motores de control de la cabeza, girar, sentarse, gatear, sostenerse de pie o caminar, y entre las 7 categorías se observaron más categorías de hitos motores con mejoría que con empeoramiento. </w:t>
      </w:r>
    </w:p>
    <w:p w14:paraId="6ACD208F" w14:textId="77777777" w:rsidR="00F92427" w:rsidRDefault="00F92427" w:rsidP="00F92427">
      <w:pPr>
        <w:pStyle w:val="Prrafodelista"/>
        <w:autoSpaceDE w:val="0"/>
        <w:autoSpaceDN w:val="0"/>
        <w:adjustRightInd w:val="0"/>
        <w:spacing w:after="5"/>
        <w:ind w:left="720"/>
        <w:jc w:val="both"/>
        <w:rPr>
          <w:rFonts w:ascii="Arial" w:hAnsi="Arial" w:cs="Arial"/>
          <w:color w:val="000000"/>
          <w:sz w:val="20"/>
          <w:szCs w:val="20"/>
        </w:rPr>
      </w:pPr>
    </w:p>
    <w:p w14:paraId="292233E8" w14:textId="0677E426" w:rsidR="00CD7138" w:rsidRPr="00DF4F8E" w:rsidRDefault="00CD7138" w:rsidP="00DF4F8E">
      <w:pPr>
        <w:pStyle w:val="Prrafodelista"/>
        <w:numPr>
          <w:ilvl w:val="0"/>
          <w:numId w:val="31"/>
        </w:numPr>
        <w:autoSpaceDE w:val="0"/>
        <w:autoSpaceDN w:val="0"/>
        <w:adjustRightInd w:val="0"/>
        <w:spacing w:after="5"/>
        <w:jc w:val="both"/>
        <w:rPr>
          <w:rFonts w:ascii="Arial" w:hAnsi="Arial" w:cs="Arial"/>
          <w:color w:val="000000"/>
          <w:sz w:val="20"/>
          <w:szCs w:val="20"/>
        </w:rPr>
      </w:pPr>
      <w:r w:rsidRPr="00DF4F8E">
        <w:rPr>
          <w:rFonts w:ascii="Arial" w:hAnsi="Arial" w:cs="Arial"/>
          <w:color w:val="000000"/>
          <w:sz w:val="20"/>
          <w:szCs w:val="20"/>
        </w:rPr>
        <w:t xml:space="preserve">Tiempo hasta fallecimiento o ventilación permanente (≥16 horas/día ventilación durante &gt;21 días en ausencia de episodio agudo reversible o traqueostomía). </w:t>
      </w:r>
    </w:p>
    <w:p w14:paraId="1897756C" w14:textId="77777777" w:rsidR="00CD7138" w:rsidRPr="00CD7138" w:rsidRDefault="00CD7138" w:rsidP="001F6887">
      <w:pPr>
        <w:autoSpaceDE w:val="0"/>
        <w:autoSpaceDN w:val="0"/>
        <w:adjustRightInd w:val="0"/>
        <w:jc w:val="both"/>
        <w:rPr>
          <w:rFonts w:ascii="Arial" w:hAnsi="Arial" w:cs="Arial"/>
          <w:color w:val="000000"/>
          <w:sz w:val="20"/>
          <w:szCs w:val="20"/>
        </w:rPr>
      </w:pPr>
    </w:p>
    <w:p w14:paraId="3A8FD186" w14:textId="6EB91E96" w:rsidR="00FA0C0C" w:rsidRDefault="00CD7138" w:rsidP="001F6887">
      <w:pPr>
        <w:autoSpaceDE w:val="0"/>
        <w:autoSpaceDN w:val="0"/>
        <w:adjustRightInd w:val="0"/>
        <w:jc w:val="both"/>
        <w:rPr>
          <w:rFonts w:ascii="Arial" w:hAnsi="Arial" w:cs="Arial"/>
          <w:color w:val="000000"/>
          <w:sz w:val="20"/>
          <w:szCs w:val="20"/>
        </w:rPr>
      </w:pPr>
      <w:r w:rsidRPr="00CD7138">
        <w:rPr>
          <w:rFonts w:ascii="Arial" w:hAnsi="Arial" w:cs="Arial"/>
          <w:color w:val="000000"/>
          <w:sz w:val="20"/>
          <w:szCs w:val="20"/>
        </w:rPr>
        <w:t>Durante el estudio se realizó un análisis intermedio planificado cuando alrededor de 80 pacientes habían sido evaluados en la visita del día 183. En este análisis sólo se analizó la proporción de pacientes respondedores en los hitos motores. En el grupo de 51 paciente tratados con nusinersen</w:t>
      </w:r>
      <w:r w:rsidR="001B3795">
        <w:rPr>
          <w:rFonts w:ascii="Arial" w:hAnsi="Arial" w:cs="Arial"/>
          <w:color w:val="000000"/>
          <w:sz w:val="20"/>
          <w:szCs w:val="20"/>
        </w:rPr>
        <w:t>,</w:t>
      </w:r>
      <w:r w:rsidRPr="00CD7138">
        <w:rPr>
          <w:rFonts w:ascii="Arial" w:hAnsi="Arial" w:cs="Arial"/>
          <w:color w:val="000000"/>
          <w:sz w:val="20"/>
          <w:szCs w:val="20"/>
        </w:rPr>
        <w:t xml:space="preserve"> 21 (41%) fueron considerados respondedores, y en el grupo de 27 pacientes del procedimiento simulado</w:t>
      </w:r>
      <w:r w:rsidR="00B6649B">
        <w:rPr>
          <w:rFonts w:ascii="Arial" w:hAnsi="Arial" w:cs="Arial"/>
          <w:color w:val="000000"/>
          <w:sz w:val="20"/>
          <w:szCs w:val="20"/>
        </w:rPr>
        <w:t>,</w:t>
      </w:r>
      <w:r w:rsidRPr="00CD7138">
        <w:rPr>
          <w:rFonts w:ascii="Arial" w:hAnsi="Arial" w:cs="Arial"/>
          <w:color w:val="000000"/>
          <w:sz w:val="20"/>
          <w:szCs w:val="20"/>
        </w:rPr>
        <w:t xml:space="preserve"> ninguno (p&lt;0,0001). Para el análisis final, entre los pacientes que recibieron nusinersen (n=73), 16 sujetos (22%) consiguieron el control de la cabeza, 6 (8%)</w:t>
      </w:r>
      <w:r w:rsidR="001B3795">
        <w:rPr>
          <w:rFonts w:ascii="Arial" w:hAnsi="Arial" w:cs="Arial"/>
          <w:color w:val="000000"/>
          <w:sz w:val="20"/>
          <w:szCs w:val="20"/>
        </w:rPr>
        <w:t xml:space="preserve"> </w:t>
      </w:r>
      <w:r w:rsidRPr="00CD7138">
        <w:rPr>
          <w:rFonts w:ascii="Arial" w:hAnsi="Arial" w:cs="Arial"/>
          <w:color w:val="000000"/>
          <w:sz w:val="20"/>
          <w:szCs w:val="20"/>
        </w:rPr>
        <w:t>alcanzaron la sedestación independiente y uno (1%) logró ponerse de pie con apoyo; ningún paciente en el grupo control (n=37) obtuvo estos logros.</w:t>
      </w:r>
    </w:p>
    <w:p w14:paraId="5AD549F9" w14:textId="77777777" w:rsidR="00092000" w:rsidRDefault="00092000" w:rsidP="001F6887">
      <w:pPr>
        <w:autoSpaceDE w:val="0"/>
        <w:autoSpaceDN w:val="0"/>
        <w:adjustRightInd w:val="0"/>
        <w:jc w:val="both"/>
        <w:rPr>
          <w:rFonts w:ascii="Arial" w:hAnsi="Arial" w:cs="Arial"/>
          <w:color w:val="000000"/>
          <w:sz w:val="20"/>
          <w:szCs w:val="20"/>
        </w:rPr>
      </w:pPr>
    </w:p>
    <w:p w14:paraId="4383CA92" w14:textId="68FB98A8" w:rsidR="00092000" w:rsidRPr="00D33B1A" w:rsidRDefault="00092000" w:rsidP="001F6887">
      <w:pPr>
        <w:autoSpaceDE w:val="0"/>
        <w:autoSpaceDN w:val="0"/>
        <w:adjustRightInd w:val="0"/>
        <w:jc w:val="both"/>
        <w:rPr>
          <w:rFonts w:ascii="Arial" w:hAnsi="Arial" w:cs="Arial"/>
          <w:color w:val="000000"/>
          <w:sz w:val="20"/>
          <w:szCs w:val="20"/>
        </w:rPr>
      </w:pPr>
      <w:r w:rsidRPr="00D33B1A">
        <w:rPr>
          <w:rFonts w:ascii="Arial" w:hAnsi="Arial" w:cs="Arial"/>
          <w:color w:val="000000"/>
          <w:sz w:val="20"/>
          <w:szCs w:val="20"/>
        </w:rPr>
        <w:t>En la siguiente tabla se enumeran de manera descriptiva los resultados de los estudios ENDEAR y STR1VE-US en algunas variables de interés:</w:t>
      </w:r>
    </w:p>
    <w:p w14:paraId="269F89F9" w14:textId="77777777" w:rsidR="00BB76F9" w:rsidRPr="00D33B1A" w:rsidRDefault="00BB76F9" w:rsidP="001F6887">
      <w:pPr>
        <w:autoSpaceDE w:val="0"/>
        <w:autoSpaceDN w:val="0"/>
        <w:adjustRightInd w:val="0"/>
        <w:jc w:val="both"/>
        <w:rPr>
          <w:rFonts w:ascii="Arial" w:hAnsi="Arial" w:cs="Arial"/>
          <w:color w:val="000000"/>
          <w:sz w:val="20"/>
          <w:szCs w:val="20"/>
        </w:rPr>
      </w:pPr>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1194"/>
        <w:gridCol w:w="1194"/>
        <w:gridCol w:w="1741"/>
        <w:gridCol w:w="1984"/>
      </w:tblGrid>
      <w:tr w:rsidR="00092000" w:rsidRPr="00D33B1A" w14:paraId="562F4BA2" w14:textId="77777777" w:rsidTr="00F92427">
        <w:trPr>
          <w:trHeight w:val="296"/>
        </w:trPr>
        <w:tc>
          <w:tcPr>
            <w:tcW w:w="2523" w:type="dxa"/>
            <w:vAlign w:val="center"/>
          </w:tcPr>
          <w:p w14:paraId="54D26B64" w14:textId="77777777" w:rsidR="00092000" w:rsidRPr="00D33B1A" w:rsidRDefault="00092000" w:rsidP="001F6887">
            <w:pPr>
              <w:autoSpaceDE w:val="0"/>
              <w:autoSpaceDN w:val="0"/>
              <w:adjustRightInd w:val="0"/>
              <w:rPr>
                <w:rFonts w:ascii="Arial" w:hAnsi="Arial" w:cs="Arial"/>
                <w:b/>
                <w:bCs/>
                <w:color w:val="000000"/>
                <w:sz w:val="16"/>
                <w:szCs w:val="16"/>
              </w:rPr>
            </w:pPr>
          </w:p>
        </w:tc>
        <w:tc>
          <w:tcPr>
            <w:tcW w:w="2388" w:type="dxa"/>
            <w:gridSpan w:val="2"/>
            <w:vAlign w:val="center"/>
          </w:tcPr>
          <w:p w14:paraId="276EBA6A" w14:textId="3EEFDBFB" w:rsidR="00F92427" w:rsidRPr="00D33B1A" w:rsidRDefault="00092000" w:rsidP="00F92427">
            <w:pPr>
              <w:autoSpaceDE w:val="0"/>
              <w:autoSpaceDN w:val="0"/>
              <w:adjustRightInd w:val="0"/>
              <w:jc w:val="center"/>
              <w:rPr>
                <w:rFonts w:ascii="Arial" w:hAnsi="Arial" w:cs="Arial"/>
                <w:b/>
                <w:bCs/>
                <w:color w:val="000000"/>
                <w:sz w:val="16"/>
                <w:szCs w:val="16"/>
              </w:rPr>
            </w:pPr>
            <w:r w:rsidRPr="00D33B1A">
              <w:rPr>
                <w:rFonts w:ascii="Arial" w:hAnsi="Arial" w:cs="Arial"/>
                <w:b/>
                <w:bCs/>
                <w:color w:val="000000"/>
                <w:sz w:val="16"/>
                <w:szCs w:val="16"/>
              </w:rPr>
              <w:t>ENDEAR</w:t>
            </w:r>
            <w:r w:rsidR="00EF0026">
              <w:rPr>
                <w:rFonts w:ascii="Arial" w:hAnsi="Arial" w:cs="Arial"/>
                <w:b/>
                <w:bCs/>
                <w:color w:val="000000"/>
                <w:sz w:val="16"/>
                <w:szCs w:val="16"/>
              </w:rPr>
              <w:t xml:space="preserve"> (1)</w:t>
            </w:r>
          </w:p>
        </w:tc>
        <w:tc>
          <w:tcPr>
            <w:tcW w:w="1741" w:type="dxa"/>
            <w:vAlign w:val="center"/>
          </w:tcPr>
          <w:p w14:paraId="5DF23B3D" w14:textId="1F90842F" w:rsidR="00092000" w:rsidRPr="00D33B1A" w:rsidRDefault="00092000" w:rsidP="001F6887">
            <w:pPr>
              <w:autoSpaceDE w:val="0"/>
              <w:autoSpaceDN w:val="0"/>
              <w:adjustRightInd w:val="0"/>
              <w:jc w:val="center"/>
              <w:rPr>
                <w:rFonts w:ascii="Arial" w:hAnsi="Arial" w:cs="Arial"/>
                <w:b/>
                <w:bCs/>
                <w:color w:val="000000"/>
                <w:sz w:val="16"/>
                <w:szCs w:val="16"/>
              </w:rPr>
            </w:pPr>
            <w:r w:rsidRPr="00D33B1A">
              <w:rPr>
                <w:rFonts w:ascii="Arial" w:hAnsi="Arial" w:cs="Arial"/>
                <w:b/>
                <w:bCs/>
                <w:color w:val="000000"/>
                <w:sz w:val="16"/>
                <w:szCs w:val="16"/>
              </w:rPr>
              <w:t>START (CL-101)</w:t>
            </w:r>
            <w:r w:rsidR="00F92427">
              <w:rPr>
                <w:rFonts w:ascii="Arial" w:hAnsi="Arial" w:cs="Arial"/>
                <w:b/>
                <w:bCs/>
                <w:color w:val="000000"/>
                <w:sz w:val="16"/>
                <w:szCs w:val="16"/>
              </w:rPr>
              <w:t xml:space="preserve"> (2)</w:t>
            </w:r>
          </w:p>
        </w:tc>
        <w:tc>
          <w:tcPr>
            <w:tcW w:w="1984" w:type="dxa"/>
            <w:vAlign w:val="center"/>
          </w:tcPr>
          <w:p w14:paraId="30D77EFC" w14:textId="77777777" w:rsidR="00092000" w:rsidRPr="00D33B1A" w:rsidRDefault="00092000" w:rsidP="001F6887">
            <w:pPr>
              <w:autoSpaceDE w:val="0"/>
              <w:autoSpaceDN w:val="0"/>
              <w:adjustRightInd w:val="0"/>
              <w:jc w:val="center"/>
              <w:rPr>
                <w:rFonts w:ascii="Arial" w:hAnsi="Arial" w:cs="Arial"/>
                <w:b/>
                <w:bCs/>
                <w:color w:val="000000"/>
                <w:sz w:val="16"/>
                <w:szCs w:val="16"/>
              </w:rPr>
            </w:pPr>
            <w:r w:rsidRPr="00D33B1A">
              <w:rPr>
                <w:rFonts w:ascii="Arial" w:hAnsi="Arial" w:cs="Arial"/>
                <w:b/>
                <w:bCs/>
                <w:color w:val="000000"/>
                <w:sz w:val="16"/>
                <w:szCs w:val="16"/>
              </w:rPr>
              <w:t>STR1VE-US (CL-303)</w:t>
            </w:r>
          </w:p>
        </w:tc>
      </w:tr>
      <w:tr w:rsidR="00092000" w:rsidRPr="00D33B1A" w14:paraId="34F13BF4" w14:textId="77777777" w:rsidTr="00E75CF2">
        <w:trPr>
          <w:trHeight w:val="150"/>
        </w:trPr>
        <w:tc>
          <w:tcPr>
            <w:tcW w:w="2523" w:type="dxa"/>
            <w:vAlign w:val="center"/>
          </w:tcPr>
          <w:p w14:paraId="6F7567A1" w14:textId="77777777" w:rsidR="00092000" w:rsidRPr="00D33B1A" w:rsidRDefault="00092000" w:rsidP="001F6887">
            <w:pPr>
              <w:autoSpaceDE w:val="0"/>
              <w:autoSpaceDN w:val="0"/>
              <w:adjustRightInd w:val="0"/>
              <w:rPr>
                <w:rFonts w:ascii="Arial" w:hAnsi="Arial" w:cs="Arial"/>
                <w:color w:val="000000"/>
                <w:sz w:val="16"/>
                <w:szCs w:val="16"/>
              </w:rPr>
            </w:pPr>
          </w:p>
        </w:tc>
        <w:tc>
          <w:tcPr>
            <w:tcW w:w="1194" w:type="dxa"/>
            <w:vAlign w:val="center"/>
          </w:tcPr>
          <w:p w14:paraId="06158D45" w14:textId="77777777" w:rsidR="00092000" w:rsidRPr="00D33B1A" w:rsidRDefault="00092000" w:rsidP="001F6887">
            <w:pPr>
              <w:autoSpaceDE w:val="0"/>
              <w:autoSpaceDN w:val="0"/>
              <w:adjustRightInd w:val="0"/>
              <w:jc w:val="center"/>
              <w:rPr>
                <w:rFonts w:ascii="Arial" w:hAnsi="Arial" w:cs="Arial"/>
                <w:color w:val="000000"/>
                <w:sz w:val="16"/>
                <w:szCs w:val="16"/>
              </w:rPr>
            </w:pPr>
            <w:r w:rsidRPr="00D33B1A">
              <w:rPr>
                <w:rFonts w:ascii="Arial" w:hAnsi="Arial" w:cs="Arial"/>
                <w:b/>
                <w:bCs/>
                <w:color w:val="000000"/>
                <w:sz w:val="16"/>
                <w:szCs w:val="16"/>
              </w:rPr>
              <w:t>Nusinersen</w:t>
            </w:r>
          </w:p>
        </w:tc>
        <w:tc>
          <w:tcPr>
            <w:tcW w:w="1194" w:type="dxa"/>
            <w:vAlign w:val="center"/>
          </w:tcPr>
          <w:p w14:paraId="03D93443" w14:textId="77777777" w:rsidR="00092000" w:rsidRPr="00D33B1A" w:rsidRDefault="00092000" w:rsidP="001F6887">
            <w:pPr>
              <w:autoSpaceDE w:val="0"/>
              <w:autoSpaceDN w:val="0"/>
              <w:adjustRightInd w:val="0"/>
              <w:jc w:val="center"/>
              <w:rPr>
                <w:rFonts w:ascii="Arial" w:hAnsi="Arial" w:cs="Arial"/>
                <w:color w:val="000000"/>
                <w:sz w:val="16"/>
                <w:szCs w:val="16"/>
              </w:rPr>
            </w:pPr>
            <w:r w:rsidRPr="00D33B1A">
              <w:rPr>
                <w:rFonts w:ascii="Arial" w:hAnsi="Arial" w:cs="Arial"/>
                <w:b/>
                <w:bCs/>
                <w:color w:val="000000"/>
                <w:sz w:val="16"/>
                <w:szCs w:val="16"/>
              </w:rPr>
              <w:t>Control</w:t>
            </w:r>
          </w:p>
        </w:tc>
        <w:tc>
          <w:tcPr>
            <w:tcW w:w="1741" w:type="dxa"/>
            <w:vAlign w:val="center"/>
          </w:tcPr>
          <w:p w14:paraId="3EB6978D" w14:textId="2B6AB1B3" w:rsidR="00092000" w:rsidRPr="00D33B1A" w:rsidRDefault="00482C21" w:rsidP="001F6887">
            <w:pPr>
              <w:autoSpaceDE w:val="0"/>
              <w:autoSpaceDN w:val="0"/>
              <w:adjustRightInd w:val="0"/>
              <w:jc w:val="center"/>
              <w:rPr>
                <w:rFonts w:ascii="Arial" w:hAnsi="Arial" w:cs="Arial"/>
                <w:color w:val="000000"/>
                <w:sz w:val="16"/>
                <w:szCs w:val="16"/>
              </w:rPr>
            </w:pPr>
            <w:r>
              <w:rPr>
                <w:rFonts w:ascii="Arial" w:hAnsi="Arial" w:cs="Arial"/>
                <w:b/>
                <w:bCs/>
                <w:color w:val="000000"/>
                <w:sz w:val="16"/>
                <w:szCs w:val="16"/>
              </w:rPr>
              <w:t>onasemnogen</w:t>
            </w:r>
            <w:r w:rsidR="00092000" w:rsidRPr="00D33B1A">
              <w:rPr>
                <w:rFonts w:ascii="Arial" w:hAnsi="Arial" w:cs="Arial"/>
                <w:b/>
                <w:bCs/>
                <w:color w:val="000000"/>
                <w:sz w:val="16"/>
                <w:szCs w:val="16"/>
              </w:rPr>
              <w:t xml:space="preserve"> abeparvovec</w:t>
            </w:r>
          </w:p>
        </w:tc>
        <w:tc>
          <w:tcPr>
            <w:tcW w:w="1984" w:type="dxa"/>
            <w:vAlign w:val="center"/>
          </w:tcPr>
          <w:p w14:paraId="7DE0D250" w14:textId="44AEA10C" w:rsidR="00092000" w:rsidRPr="00D33B1A" w:rsidRDefault="00482C21" w:rsidP="001F6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onasemnogen</w:t>
            </w:r>
            <w:r w:rsidR="00092000" w:rsidRPr="00D33B1A">
              <w:rPr>
                <w:rFonts w:ascii="Arial" w:hAnsi="Arial" w:cs="Arial"/>
                <w:b/>
                <w:bCs/>
                <w:color w:val="000000"/>
                <w:sz w:val="16"/>
                <w:szCs w:val="16"/>
              </w:rPr>
              <w:t xml:space="preserve"> abeparvovec</w:t>
            </w:r>
          </w:p>
        </w:tc>
      </w:tr>
      <w:tr w:rsidR="00092000" w:rsidRPr="00D33B1A" w14:paraId="6CA75074" w14:textId="77777777" w:rsidTr="0024027B">
        <w:trPr>
          <w:trHeight w:val="552"/>
        </w:trPr>
        <w:tc>
          <w:tcPr>
            <w:tcW w:w="2523" w:type="dxa"/>
            <w:vAlign w:val="center"/>
          </w:tcPr>
          <w:p w14:paraId="2595C0E8" w14:textId="1B6A4514" w:rsidR="00092000" w:rsidRPr="00D33B1A" w:rsidRDefault="00E75CF2" w:rsidP="001F6887">
            <w:pPr>
              <w:autoSpaceDE w:val="0"/>
              <w:autoSpaceDN w:val="0"/>
              <w:adjustRightInd w:val="0"/>
              <w:rPr>
                <w:rFonts w:ascii="Arial" w:hAnsi="Arial" w:cs="Arial"/>
                <w:color w:val="000000"/>
                <w:sz w:val="16"/>
                <w:szCs w:val="16"/>
              </w:rPr>
            </w:pPr>
            <w:r w:rsidRPr="00D33B1A">
              <w:rPr>
                <w:rFonts w:ascii="Arial" w:hAnsi="Arial" w:cs="Arial"/>
                <w:color w:val="000000"/>
                <w:sz w:val="16"/>
                <w:szCs w:val="16"/>
              </w:rPr>
              <w:t xml:space="preserve">Pacientes que </w:t>
            </w:r>
            <w:r w:rsidR="00B24AF0" w:rsidRPr="00D33B1A">
              <w:rPr>
                <w:rFonts w:ascii="Arial" w:hAnsi="Arial" w:cs="Arial"/>
                <w:color w:val="000000"/>
                <w:sz w:val="16"/>
                <w:szCs w:val="16"/>
              </w:rPr>
              <w:t>sobrevivieron sin necesidad de</w:t>
            </w:r>
            <w:r w:rsidRPr="00D33B1A">
              <w:rPr>
                <w:rFonts w:ascii="Arial" w:hAnsi="Arial" w:cs="Arial"/>
                <w:color w:val="000000"/>
                <w:sz w:val="16"/>
                <w:szCs w:val="16"/>
              </w:rPr>
              <w:t xml:space="preserve"> ventilación permanente</w:t>
            </w:r>
          </w:p>
        </w:tc>
        <w:tc>
          <w:tcPr>
            <w:tcW w:w="1194" w:type="dxa"/>
            <w:vAlign w:val="center"/>
          </w:tcPr>
          <w:p w14:paraId="7D163FC5" w14:textId="699B432E" w:rsidR="00E75CF2" w:rsidRPr="00D33B1A" w:rsidRDefault="00B24AF0"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49</w:t>
            </w:r>
            <w:r w:rsidR="00E75CF2" w:rsidRPr="00D33B1A">
              <w:rPr>
                <w:rFonts w:ascii="Arial" w:hAnsi="Arial" w:cs="Arial"/>
                <w:color w:val="000000"/>
                <w:sz w:val="16"/>
                <w:szCs w:val="16"/>
              </w:rPr>
              <w:t>/80 (</w:t>
            </w:r>
            <w:r w:rsidRPr="00D33B1A">
              <w:rPr>
                <w:rFonts w:ascii="Arial" w:hAnsi="Arial" w:cs="Arial"/>
                <w:color w:val="000000"/>
                <w:sz w:val="16"/>
                <w:szCs w:val="16"/>
              </w:rPr>
              <w:t>61</w:t>
            </w:r>
            <w:r w:rsidR="00E75CF2" w:rsidRPr="00D33B1A">
              <w:rPr>
                <w:rFonts w:ascii="Arial" w:hAnsi="Arial" w:cs="Arial"/>
                <w:color w:val="000000"/>
                <w:sz w:val="16"/>
                <w:szCs w:val="16"/>
              </w:rPr>
              <w:t>%)</w:t>
            </w:r>
          </w:p>
        </w:tc>
        <w:tc>
          <w:tcPr>
            <w:tcW w:w="1194" w:type="dxa"/>
            <w:vAlign w:val="center"/>
          </w:tcPr>
          <w:p w14:paraId="5999714F" w14:textId="6681C4DD" w:rsidR="00092000" w:rsidRPr="00D33B1A" w:rsidRDefault="00B24AF0"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13</w:t>
            </w:r>
            <w:r w:rsidR="00E75CF2" w:rsidRPr="00D33B1A">
              <w:rPr>
                <w:rFonts w:ascii="Arial" w:hAnsi="Arial" w:cs="Arial"/>
                <w:color w:val="000000"/>
                <w:sz w:val="16"/>
                <w:szCs w:val="16"/>
              </w:rPr>
              <w:t>/41 (</w:t>
            </w:r>
            <w:r w:rsidRPr="00D33B1A">
              <w:rPr>
                <w:rFonts w:ascii="Arial" w:hAnsi="Arial" w:cs="Arial"/>
                <w:color w:val="000000"/>
                <w:sz w:val="16"/>
                <w:szCs w:val="16"/>
              </w:rPr>
              <w:t>32</w:t>
            </w:r>
            <w:r w:rsidR="00E75CF2" w:rsidRPr="00D33B1A">
              <w:rPr>
                <w:rFonts w:ascii="Arial" w:hAnsi="Arial" w:cs="Arial"/>
                <w:color w:val="000000"/>
                <w:sz w:val="16"/>
                <w:szCs w:val="16"/>
              </w:rPr>
              <w:t>%)</w:t>
            </w:r>
          </w:p>
        </w:tc>
        <w:tc>
          <w:tcPr>
            <w:tcW w:w="1741" w:type="dxa"/>
            <w:vAlign w:val="center"/>
          </w:tcPr>
          <w:p w14:paraId="6E9CD091" w14:textId="241C1C38" w:rsidR="00092000" w:rsidRPr="00D33B1A" w:rsidRDefault="00B24AF0"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12</w:t>
            </w:r>
            <w:r w:rsidR="00E75CF2" w:rsidRPr="00D33B1A">
              <w:rPr>
                <w:rFonts w:ascii="Arial" w:hAnsi="Arial" w:cs="Arial"/>
                <w:color w:val="000000"/>
                <w:sz w:val="16"/>
                <w:szCs w:val="16"/>
              </w:rPr>
              <w:t>/12 (</w:t>
            </w:r>
            <w:r w:rsidRPr="00D33B1A">
              <w:rPr>
                <w:rFonts w:ascii="Arial" w:hAnsi="Arial" w:cs="Arial"/>
                <w:color w:val="000000"/>
                <w:sz w:val="16"/>
                <w:szCs w:val="16"/>
              </w:rPr>
              <w:t>10</w:t>
            </w:r>
            <w:r w:rsidR="00E75CF2" w:rsidRPr="00D33B1A">
              <w:rPr>
                <w:rFonts w:ascii="Arial" w:hAnsi="Arial" w:cs="Arial"/>
                <w:color w:val="000000"/>
                <w:sz w:val="16"/>
                <w:szCs w:val="16"/>
              </w:rPr>
              <w:t>0%)</w:t>
            </w:r>
          </w:p>
        </w:tc>
        <w:tc>
          <w:tcPr>
            <w:tcW w:w="1984" w:type="dxa"/>
            <w:vAlign w:val="center"/>
          </w:tcPr>
          <w:p w14:paraId="10FA47F6" w14:textId="6D56878D" w:rsidR="00092000" w:rsidRPr="00D33B1A" w:rsidRDefault="00E75CF2"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2</w:t>
            </w:r>
            <w:r w:rsidR="00B24AF0" w:rsidRPr="00D33B1A">
              <w:rPr>
                <w:rFonts w:ascii="Arial" w:hAnsi="Arial" w:cs="Arial"/>
                <w:color w:val="000000"/>
                <w:sz w:val="16"/>
                <w:szCs w:val="16"/>
              </w:rPr>
              <w:t>0</w:t>
            </w:r>
            <w:r w:rsidRPr="00D33B1A">
              <w:rPr>
                <w:rFonts w:ascii="Arial" w:hAnsi="Arial" w:cs="Arial"/>
                <w:color w:val="000000"/>
                <w:sz w:val="16"/>
                <w:szCs w:val="16"/>
              </w:rPr>
              <w:t>/22 (</w:t>
            </w:r>
            <w:r w:rsidR="00B24AF0" w:rsidRPr="00D33B1A">
              <w:rPr>
                <w:rFonts w:ascii="Arial" w:hAnsi="Arial" w:cs="Arial"/>
                <w:color w:val="000000"/>
                <w:sz w:val="16"/>
                <w:szCs w:val="16"/>
              </w:rPr>
              <w:t>90,9</w:t>
            </w:r>
            <w:r w:rsidRPr="00D33B1A">
              <w:rPr>
                <w:rFonts w:ascii="Arial" w:hAnsi="Arial" w:cs="Arial"/>
                <w:color w:val="000000"/>
                <w:sz w:val="16"/>
                <w:szCs w:val="16"/>
              </w:rPr>
              <w:t>%)</w:t>
            </w:r>
            <w:r w:rsidR="00F92427">
              <w:rPr>
                <w:rFonts w:ascii="Arial" w:hAnsi="Arial" w:cs="Arial"/>
                <w:color w:val="000000"/>
                <w:sz w:val="16"/>
                <w:szCs w:val="16"/>
              </w:rPr>
              <w:t xml:space="preserve"> </w:t>
            </w:r>
            <w:r w:rsidR="00EF0026">
              <w:rPr>
                <w:rFonts w:ascii="Arial" w:hAnsi="Arial" w:cs="Arial"/>
                <w:color w:val="000000"/>
                <w:sz w:val="16"/>
                <w:szCs w:val="16"/>
              </w:rPr>
              <w:t>(</w:t>
            </w:r>
            <w:r w:rsidR="00F92427">
              <w:rPr>
                <w:rFonts w:ascii="Arial" w:hAnsi="Arial" w:cs="Arial"/>
                <w:color w:val="000000"/>
                <w:sz w:val="16"/>
                <w:szCs w:val="16"/>
              </w:rPr>
              <w:t>3</w:t>
            </w:r>
            <w:r w:rsidR="00EF0026">
              <w:rPr>
                <w:rFonts w:ascii="Arial" w:hAnsi="Arial" w:cs="Arial"/>
                <w:color w:val="000000"/>
                <w:sz w:val="16"/>
                <w:szCs w:val="16"/>
              </w:rPr>
              <w:t>)</w:t>
            </w:r>
          </w:p>
        </w:tc>
      </w:tr>
      <w:tr w:rsidR="00092000" w:rsidRPr="00D33B1A" w14:paraId="6F7EEB61" w14:textId="77777777" w:rsidTr="0024027B">
        <w:trPr>
          <w:trHeight w:val="552"/>
        </w:trPr>
        <w:tc>
          <w:tcPr>
            <w:tcW w:w="2523" w:type="dxa"/>
            <w:vAlign w:val="center"/>
          </w:tcPr>
          <w:p w14:paraId="69C652CC" w14:textId="12BE5581" w:rsidR="00092000" w:rsidRPr="00D33B1A" w:rsidRDefault="00E75CF2" w:rsidP="001F6887">
            <w:pPr>
              <w:autoSpaceDE w:val="0"/>
              <w:autoSpaceDN w:val="0"/>
              <w:adjustRightInd w:val="0"/>
              <w:rPr>
                <w:rFonts w:ascii="Arial" w:hAnsi="Arial" w:cs="Arial"/>
                <w:color w:val="000000"/>
                <w:sz w:val="16"/>
                <w:szCs w:val="16"/>
              </w:rPr>
            </w:pPr>
            <w:r w:rsidRPr="00D33B1A">
              <w:rPr>
                <w:rFonts w:ascii="Arial" w:hAnsi="Arial" w:cs="Arial"/>
                <w:color w:val="000000"/>
                <w:sz w:val="16"/>
                <w:szCs w:val="16"/>
              </w:rPr>
              <w:t>Capacidad de estar sentado sin asistencia</w:t>
            </w:r>
          </w:p>
        </w:tc>
        <w:tc>
          <w:tcPr>
            <w:tcW w:w="1194" w:type="dxa"/>
            <w:vAlign w:val="center"/>
          </w:tcPr>
          <w:p w14:paraId="7863423C" w14:textId="431F953F" w:rsidR="00092000" w:rsidRPr="00D33B1A" w:rsidRDefault="00E75CF2"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6/73 (8%)</w:t>
            </w:r>
          </w:p>
        </w:tc>
        <w:tc>
          <w:tcPr>
            <w:tcW w:w="1194" w:type="dxa"/>
            <w:vAlign w:val="center"/>
          </w:tcPr>
          <w:p w14:paraId="12F0E7BE" w14:textId="208774E3" w:rsidR="00092000" w:rsidRPr="00D33B1A" w:rsidRDefault="00E75CF2"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0/37 (0%)</w:t>
            </w:r>
          </w:p>
        </w:tc>
        <w:tc>
          <w:tcPr>
            <w:tcW w:w="1741" w:type="dxa"/>
            <w:vAlign w:val="center"/>
          </w:tcPr>
          <w:p w14:paraId="3EF725E3" w14:textId="52A94233" w:rsidR="00092000" w:rsidRPr="00D33B1A" w:rsidRDefault="00E75CF2"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10/12 (83%)</w:t>
            </w:r>
          </w:p>
        </w:tc>
        <w:tc>
          <w:tcPr>
            <w:tcW w:w="1984" w:type="dxa"/>
            <w:vAlign w:val="center"/>
          </w:tcPr>
          <w:p w14:paraId="2A754258" w14:textId="770A911F" w:rsidR="00092000" w:rsidRPr="00D33B1A" w:rsidRDefault="00E75CF2"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14/22 (64%)</w:t>
            </w:r>
            <w:r w:rsidR="00EF0026">
              <w:rPr>
                <w:rFonts w:ascii="Arial" w:hAnsi="Arial" w:cs="Arial"/>
                <w:color w:val="000000"/>
                <w:sz w:val="16"/>
                <w:szCs w:val="16"/>
              </w:rPr>
              <w:t xml:space="preserve"> (</w:t>
            </w:r>
            <w:r w:rsidR="00F92427">
              <w:rPr>
                <w:rFonts w:ascii="Arial" w:hAnsi="Arial" w:cs="Arial"/>
                <w:color w:val="000000"/>
                <w:sz w:val="16"/>
                <w:szCs w:val="16"/>
              </w:rPr>
              <w:t>4</w:t>
            </w:r>
            <w:r w:rsidR="00EF0026">
              <w:rPr>
                <w:rFonts w:ascii="Arial" w:hAnsi="Arial" w:cs="Arial"/>
                <w:color w:val="000000"/>
                <w:sz w:val="16"/>
                <w:szCs w:val="16"/>
              </w:rPr>
              <w:t>)</w:t>
            </w:r>
          </w:p>
        </w:tc>
      </w:tr>
      <w:tr w:rsidR="00E75CF2" w:rsidRPr="00D33B1A" w14:paraId="77BD354F" w14:textId="77777777" w:rsidTr="0024027B">
        <w:trPr>
          <w:trHeight w:val="552"/>
        </w:trPr>
        <w:tc>
          <w:tcPr>
            <w:tcW w:w="2523" w:type="dxa"/>
            <w:vAlign w:val="center"/>
          </w:tcPr>
          <w:p w14:paraId="7318D807" w14:textId="6C0024DB" w:rsidR="0024027B" w:rsidRPr="00D33B1A" w:rsidRDefault="00E75CF2" w:rsidP="001F6887">
            <w:pPr>
              <w:autoSpaceDE w:val="0"/>
              <w:autoSpaceDN w:val="0"/>
              <w:adjustRightInd w:val="0"/>
              <w:rPr>
                <w:rFonts w:ascii="Arial" w:hAnsi="Arial" w:cs="Arial"/>
                <w:color w:val="000000"/>
                <w:sz w:val="16"/>
                <w:szCs w:val="16"/>
              </w:rPr>
            </w:pPr>
            <w:r w:rsidRPr="00D33B1A">
              <w:rPr>
                <w:rFonts w:ascii="Arial" w:hAnsi="Arial" w:cs="Arial"/>
                <w:color w:val="000000"/>
                <w:sz w:val="16"/>
                <w:szCs w:val="16"/>
              </w:rPr>
              <w:t>Control de la cabeza</w:t>
            </w:r>
          </w:p>
        </w:tc>
        <w:tc>
          <w:tcPr>
            <w:tcW w:w="1194" w:type="dxa"/>
            <w:vAlign w:val="center"/>
          </w:tcPr>
          <w:p w14:paraId="1B24850C" w14:textId="70A3C5B3" w:rsidR="00E75CF2" w:rsidRPr="00D33B1A" w:rsidRDefault="00E75CF2"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16/73 (22%)</w:t>
            </w:r>
          </w:p>
        </w:tc>
        <w:tc>
          <w:tcPr>
            <w:tcW w:w="1194" w:type="dxa"/>
            <w:vAlign w:val="center"/>
          </w:tcPr>
          <w:p w14:paraId="6310E49D" w14:textId="55E4607B" w:rsidR="00E75CF2" w:rsidRPr="00D33B1A" w:rsidRDefault="00E75CF2"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0/37 (0%)</w:t>
            </w:r>
          </w:p>
        </w:tc>
        <w:tc>
          <w:tcPr>
            <w:tcW w:w="1741" w:type="dxa"/>
            <w:vAlign w:val="center"/>
          </w:tcPr>
          <w:p w14:paraId="1A1F5146" w14:textId="355643A6" w:rsidR="00E75CF2" w:rsidRPr="00D33B1A" w:rsidRDefault="00E75CF2"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11/12 (92%)</w:t>
            </w:r>
          </w:p>
        </w:tc>
        <w:tc>
          <w:tcPr>
            <w:tcW w:w="1984" w:type="dxa"/>
            <w:vAlign w:val="center"/>
          </w:tcPr>
          <w:p w14:paraId="3E7DB608" w14:textId="0380C3D8" w:rsidR="00E75CF2" w:rsidRPr="00D33B1A" w:rsidRDefault="00E75CF2"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17/20 (85%)</w:t>
            </w:r>
            <w:r w:rsidR="00F92427">
              <w:rPr>
                <w:rFonts w:ascii="Arial" w:hAnsi="Arial" w:cs="Arial"/>
                <w:color w:val="000000"/>
                <w:sz w:val="16"/>
                <w:szCs w:val="16"/>
              </w:rPr>
              <w:t xml:space="preserve"> (5)</w:t>
            </w:r>
          </w:p>
        </w:tc>
      </w:tr>
      <w:tr w:rsidR="00E75CF2" w:rsidRPr="00D33B1A" w14:paraId="4A53F1EA" w14:textId="77777777" w:rsidTr="0024027B">
        <w:trPr>
          <w:trHeight w:val="552"/>
        </w:trPr>
        <w:tc>
          <w:tcPr>
            <w:tcW w:w="2523" w:type="dxa"/>
            <w:vAlign w:val="center"/>
          </w:tcPr>
          <w:p w14:paraId="30B300D3" w14:textId="7A5D6BBE" w:rsidR="00E75CF2" w:rsidRPr="00D33B1A" w:rsidRDefault="00B24AF0" w:rsidP="001F6887">
            <w:pPr>
              <w:autoSpaceDE w:val="0"/>
              <w:autoSpaceDN w:val="0"/>
              <w:adjustRightInd w:val="0"/>
              <w:rPr>
                <w:rFonts w:ascii="Arial" w:hAnsi="Arial" w:cs="Arial"/>
                <w:color w:val="000000"/>
                <w:sz w:val="16"/>
                <w:szCs w:val="16"/>
              </w:rPr>
            </w:pPr>
            <w:r w:rsidRPr="00D33B1A">
              <w:rPr>
                <w:rFonts w:ascii="Arial" w:hAnsi="Arial" w:cs="Arial"/>
                <w:color w:val="000000"/>
                <w:sz w:val="16"/>
                <w:szCs w:val="16"/>
              </w:rPr>
              <w:t>Giro de decúbito dorsal a lateral</w:t>
            </w:r>
          </w:p>
        </w:tc>
        <w:tc>
          <w:tcPr>
            <w:tcW w:w="1194" w:type="dxa"/>
            <w:vAlign w:val="center"/>
          </w:tcPr>
          <w:p w14:paraId="5E33727F" w14:textId="1748F01F" w:rsidR="00E75CF2" w:rsidRPr="00D33B1A" w:rsidRDefault="00B24AF0"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7/73 (10%)</w:t>
            </w:r>
          </w:p>
        </w:tc>
        <w:tc>
          <w:tcPr>
            <w:tcW w:w="1194" w:type="dxa"/>
            <w:vAlign w:val="center"/>
          </w:tcPr>
          <w:p w14:paraId="76BC55CA" w14:textId="46632912" w:rsidR="00E75CF2" w:rsidRPr="00D33B1A" w:rsidRDefault="00B24AF0"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0/37 (0%)</w:t>
            </w:r>
          </w:p>
        </w:tc>
        <w:tc>
          <w:tcPr>
            <w:tcW w:w="1741" w:type="dxa"/>
            <w:vAlign w:val="center"/>
          </w:tcPr>
          <w:p w14:paraId="3234168D" w14:textId="1BFBC25A" w:rsidR="00E75CF2" w:rsidRPr="00D33B1A" w:rsidRDefault="00B24AF0"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9/12 (75%)</w:t>
            </w:r>
          </w:p>
        </w:tc>
        <w:tc>
          <w:tcPr>
            <w:tcW w:w="1984" w:type="dxa"/>
            <w:vAlign w:val="center"/>
          </w:tcPr>
          <w:p w14:paraId="1351F5EB" w14:textId="78F55445" w:rsidR="00E75CF2" w:rsidRPr="00D33B1A" w:rsidRDefault="00B24AF0"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13/22 (59%)</w:t>
            </w:r>
            <w:r w:rsidR="00F92427">
              <w:rPr>
                <w:rFonts w:ascii="Arial" w:hAnsi="Arial" w:cs="Arial"/>
                <w:color w:val="000000"/>
                <w:sz w:val="16"/>
                <w:szCs w:val="16"/>
              </w:rPr>
              <w:t xml:space="preserve"> (6)</w:t>
            </w:r>
          </w:p>
        </w:tc>
      </w:tr>
      <w:tr w:rsidR="00EF0026" w:rsidRPr="00F92427" w14:paraId="6B83FF59" w14:textId="77777777" w:rsidTr="00AA7AFB">
        <w:trPr>
          <w:trHeight w:val="150"/>
        </w:trPr>
        <w:tc>
          <w:tcPr>
            <w:tcW w:w="8636" w:type="dxa"/>
            <w:gridSpan w:val="5"/>
            <w:vAlign w:val="center"/>
          </w:tcPr>
          <w:p w14:paraId="277B048E" w14:textId="77777777" w:rsidR="00EF0026" w:rsidRPr="00F92427" w:rsidRDefault="00EF0026" w:rsidP="00EF0026">
            <w:pPr>
              <w:pStyle w:val="Prrafodelista"/>
              <w:numPr>
                <w:ilvl w:val="0"/>
                <w:numId w:val="33"/>
              </w:numPr>
              <w:autoSpaceDE w:val="0"/>
              <w:autoSpaceDN w:val="0"/>
              <w:adjustRightInd w:val="0"/>
              <w:rPr>
                <w:rFonts w:ascii="Arial" w:hAnsi="Arial" w:cs="Arial"/>
                <w:color w:val="000000"/>
                <w:sz w:val="14"/>
                <w:szCs w:val="16"/>
              </w:rPr>
            </w:pPr>
            <w:r w:rsidRPr="00F92427">
              <w:rPr>
                <w:rFonts w:ascii="Arial" w:hAnsi="Arial" w:cs="Arial"/>
                <w:color w:val="000000"/>
                <w:sz w:val="14"/>
                <w:szCs w:val="16"/>
              </w:rPr>
              <w:t>Resultados en el análisis final (visita día 394)</w:t>
            </w:r>
          </w:p>
          <w:p w14:paraId="062BB759" w14:textId="31D0ED55" w:rsidR="00F92427" w:rsidRDefault="00F92427" w:rsidP="00EF0026">
            <w:pPr>
              <w:pStyle w:val="Prrafodelista"/>
              <w:numPr>
                <w:ilvl w:val="0"/>
                <w:numId w:val="33"/>
              </w:numPr>
              <w:autoSpaceDE w:val="0"/>
              <w:autoSpaceDN w:val="0"/>
              <w:adjustRightInd w:val="0"/>
              <w:rPr>
                <w:rFonts w:ascii="Arial" w:hAnsi="Arial" w:cs="Arial"/>
                <w:color w:val="000000"/>
                <w:sz w:val="14"/>
                <w:szCs w:val="16"/>
              </w:rPr>
            </w:pPr>
            <w:r>
              <w:rPr>
                <w:rFonts w:ascii="Arial" w:hAnsi="Arial" w:cs="Arial"/>
                <w:color w:val="000000"/>
                <w:sz w:val="14"/>
                <w:szCs w:val="16"/>
              </w:rPr>
              <w:t>Resultados del análisis a os 13,6 meses</w:t>
            </w:r>
          </w:p>
          <w:p w14:paraId="041B1E1D" w14:textId="77777777" w:rsidR="00EF0026" w:rsidRPr="00F92427" w:rsidRDefault="00EF0026" w:rsidP="00EF0026">
            <w:pPr>
              <w:pStyle w:val="Prrafodelista"/>
              <w:numPr>
                <w:ilvl w:val="0"/>
                <w:numId w:val="33"/>
              </w:numPr>
              <w:autoSpaceDE w:val="0"/>
              <w:autoSpaceDN w:val="0"/>
              <w:adjustRightInd w:val="0"/>
              <w:rPr>
                <w:rFonts w:ascii="Arial" w:hAnsi="Arial" w:cs="Arial"/>
                <w:color w:val="000000"/>
                <w:sz w:val="14"/>
                <w:szCs w:val="16"/>
              </w:rPr>
            </w:pPr>
            <w:r w:rsidRPr="00F92427">
              <w:rPr>
                <w:rFonts w:ascii="Arial" w:hAnsi="Arial" w:cs="Arial"/>
                <w:color w:val="000000"/>
                <w:sz w:val="14"/>
                <w:szCs w:val="16"/>
              </w:rPr>
              <w:t>A los 14 meses de edad</w:t>
            </w:r>
          </w:p>
          <w:p w14:paraId="667F2C6F" w14:textId="77777777" w:rsidR="00EF0026" w:rsidRPr="00F92427" w:rsidRDefault="00EF0026" w:rsidP="00EF0026">
            <w:pPr>
              <w:pStyle w:val="Prrafodelista"/>
              <w:numPr>
                <w:ilvl w:val="0"/>
                <w:numId w:val="33"/>
              </w:numPr>
              <w:autoSpaceDE w:val="0"/>
              <w:autoSpaceDN w:val="0"/>
              <w:adjustRightInd w:val="0"/>
              <w:rPr>
                <w:rFonts w:ascii="Arial" w:hAnsi="Arial" w:cs="Arial"/>
                <w:color w:val="000000"/>
                <w:sz w:val="14"/>
                <w:szCs w:val="16"/>
              </w:rPr>
            </w:pPr>
            <w:r w:rsidRPr="00F92427">
              <w:rPr>
                <w:rFonts w:ascii="Arial" w:hAnsi="Arial" w:cs="Arial"/>
                <w:color w:val="000000"/>
                <w:sz w:val="14"/>
                <w:szCs w:val="16"/>
              </w:rPr>
              <w:t>A los 18 meses de edad</w:t>
            </w:r>
          </w:p>
          <w:p w14:paraId="0F761A29" w14:textId="77777777" w:rsidR="00F92427" w:rsidRPr="00F92427" w:rsidRDefault="00F92427" w:rsidP="00F92427">
            <w:pPr>
              <w:pStyle w:val="Prrafodelista"/>
              <w:numPr>
                <w:ilvl w:val="0"/>
                <w:numId w:val="33"/>
              </w:numPr>
              <w:autoSpaceDE w:val="0"/>
              <w:autoSpaceDN w:val="0"/>
              <w:adjustRightInd w:val="0"/>
              <w:rPr>
                <w:rFonts w:ascii="Arial" w:hAnsi="Arial" w:cs="Arial"/>
                <w:color w:val="000000"/>
                <w:sz w:val="14"/>
                <w:szCs w:val="16"/>
              </w:rPr>
            </w:pPr>
            <w:r w:rsidRPr="00F92427">
              <w:rPr>
                <w:rFonts w:ascii="Arial" w:hAnsi="Arial" w:cs="Arial"/>
                <w:color w:val="000000"/>
                <w:sz w:val="14"/>
                <w:szCs w:val="16"/>
              </w:rPr>
              <w:t>Mediana de edad del logro 6,8 meses</w:t>
            </w:r>
          </w:p>
          <w:p w14:paraId="6AEEF042" w14:textId="40FE48D3" w:rsidR="00F92427" w:rsidRPr="00F92427" w:rsidRDefault="00F92427" w:rsidP="00F92427">
            <w:pPr>
              <w:pStyle w:val="Prrafodelista"/>
              <w:numPr>
                <w:ilvl w:val="0"/>
                <w:numId w:val="33"/>
              </w:numPr>
              <w:autoSpaceDE w:val="0"/>
              <w:autoSpaceDN w:val="0"/>
              <w:adjustRightInd w:val="0"/>
              <w:rPr>
                <w:rFonts w:ascii="Arial" w:hAnsi="Arial" w:cs="Arial"/>
                <w:color w:val="000000"/>
                <w:sz w:val="14"/>
                <w:szCs w:val="16"/>
              </w:rPr>
            </w:pPr>
            <w:r w:rsidRPr="00F92427">
              <w:rPr>
                <w:rFonts w:ascii="Arial" w:hAnsi="Arial" w:cs="Arial"/>
                <w:color w:val="000000"/>
                <w:sz w:val="14"/>
                <w:szCs w:val="16"/>
              </w:rPr>
              <w:t>Mediana de edad del logro 11,5 meses</w:t>
            </w:r>
          </w:p>
        </w:tc>
      </w:tr>
    </w:tbl>
    <w:p w14:paraId="67406E3D" w14:textId="77777777" w:rsidR="0024027B" w:rsidRDefault="0024027B" w:rsidP="001F6887">
      <w:pPr>
        <w:pBdr>
          <w:bottom w:val="single" w:sz="4" w:space="1" w:color="auto"/>
        </w:pBdr>
        <w:autoSpaceDE w:val="0"/>
        <w:autoSpaceDN w:val="0"/>
        <w:adjustRightInd w:val="0"/>
        <w:jc w:val="both"/>
        <w:rPr>
          <w:rFonts w:ascii="Arial" w:hAnsi="Arial" w:cs="Arial"/>
          <w:b/>
          <w:color w:val="000000"/>
          <w:sz w:val="20"/>
          <w:szCs w:val="20"/>
        </w:rPr>
      </w:pPr>
    </w:p>
    <w:p w14:paraId="35E631AC" w14:textId="7D5B78A4" w:rsidR="00092000" w:rsidRPr="00B24AF0" w:rsidRDefault="00B24AF0" w:rsidP="001F6887">
      <w:pPr>
        <w:pBdr>
          <w:bottom w:val="single" w:sz="4" w:space="1" w:color="auto"/>
        </w:pBdr>
        <w:autoSpaceDE w:val="0"/>
        <w:autoSpaceDN w:val="0"/>
        <w:adjustRightInd w:val="0"/>
        <w:jc w:val="both"/>
        <w:rPr>
          <w:rFonts w:ascii="Arial" w:hAnsi="Arial" w:cs="Arial"/>
          <w:b/>
          <w:color w:val="000000"/>
          <w:sz w:val="20"/>
          <w:szCs w:val="20"/>
        </w:rPr>
      </w:pPr>
      <w:r w:rsidRPr="00D33B1A">
        <w:rPr>
          <w:rFonts w:ascii="Arial" w:hAnsi="Arial" w:cs="Arial"/>
          <w:b/>
          <w:color w:val="000000"/>
          <w:sz w:val="20"/>
          <w:szCs w:val="20"/>
        </w:rPr>
        <w:t>Pacientes presintomáticos</w:t>
      </w:r>
      <w:r w:rsidR="007720C1" w:rsidRPr="00D33B1A">
        <w:rPr>
          <w:rFonts w:ascii="Arial" w:hAnsi="Arial" w:cs="Arial"/>
          <w:b/>
          <w:color w:val="000000"/>
          <w:sz w:val="20"/>
          <w:szCs w:val="20"/>
        </w:rPr>
        <w:t>.</w:t>
      </w:r>
    </w:p>
    <w:p w14:paraId="498D8EE3" w14:textId="56AF8948" w:rsidR="00393FE1" w:rsidRPr="00CF53DA" w:rsidRDefault="00393FE1" w:rsidP="001F6887">
      <w:pPr>
        <w:autoSpaceDE w:val="0"/>
        <w:autoSpaceDN w:val="0"/>
        <w:adjustRightInd w:val="0"/>
        <w:jc w:val="both"/>
        <w:rPr>
          <w:rFonts w:ascii="Arial" w:hAnsi="Arial" w:cs="Arial"/>
          <w:color w:val="000000"/>
          <w:sz w:val="20"/>
          <w:szCs w:val="20"/>
        </w:rPr>
      </w:pPr>
    </w:p>
    <w:p w14:paraId="1FB1A3C4" w14:textId="1D4AFF53" w:rsidR="00C53BAA" w:rsidRPr="00D33B1A" w:rsidRDefault="00393FE1" w:rsidP="001F6887">
      <w:pPr>
        <w:pStyle w:val="Default"/>
        <w:spacing w:after="0" w:line="240" w:lineRule="auto"/>
        <w:jc w:val="both"/>
        <w:rPr>
          <w:rFonts w:ascii="Arial" w:eastAsia="等?" w:hAnsi="Arial" w:cs="Arial"/>
          <w:sz w:val="20"/>
          <w:szCs w:val="20"/>
          <w:lang w:eastAsia="es-ES"/>
        </w:rPr>
      </w:pPr>
      <w:r w:rsidRPr="00D33B1A">
        <w:rPr>
          <w:rFonts w:ascii="Arial" w:hAnsi="Arial" w:cs="Arial"/>
          <w:sz w:val="20"/>
          <w:szCs w:val="20"/>
        </w:rPr>
        <w:lastRenderedPageBreak/>
        <w:t xml:space="preserve">En </w:t>
      </w:r>
      <w:r w:rsidRPr="00D33B1A">
        <w:rPr>
          <w:rFonts w:ascii="Arial" w:hAnsi="Arial" w:cs="Arial"/>
          <w:b/>
          <w:sz w:val="20"/>
          <w:szCs w:val="20"/>
        </w:rPr>
        <w:t xml:space="preserve">pacientes </w:t>
      </w:r>
      <w:r w:rsidR="00977803" w:rsidRPr="00D33B1A">
        <w:rPr>
          <w:rFonts w:ascii="Arial" w:hAnsi="Arial" w:cs="Arial"/>
          <w:b/>
          <w:sz w:val="20"/>
          <w:szCs w:val="20"/>
        </w:rPr>
        <w:t xml:space="preserve">con AME </w:t>
      </w:r>
      <w:r w:rsidRPr="00D33B1A">
        <w:rPr>
          <w:rFonts w:ascii="Arial" w:hAnsi="Arial" w:cs="Arial"/>
          <w:b/>
          <w:sz w:val="20"/>
          <w:szCs w:val="20"/>
        </w:rPr>
        <w:t>presintomáticos</w:t>
      </w:r>
      <w:r w:rsidRPr="00D33B1A">
        <w:rPr>
          <w:rFonts w:ascii="Arial" w:hAnsi="Arial" w:cs="Arial"/>
          <w:sz w:val="20"/>
          <w:szCs w:val="20"/>
        </w:rPr>
        <w:t xml:space="preserve">, </w:t>
      </w:r>
      <w:r w:rsidR="00977803" w:rsidRPr="00D33B1A">
        <w:rPr>
          <w:rFonts w:ascii="Arial" w:hAnsi="Arial" w:cs="Arial"/>
          <w:sz w:val="20"/>
          <w:szCs w:val="20"/>
        </w:rPr>
        <w:t>nu</w:t>
      </w:r>
      <w:r w:rsidR="00092000" w:rsidRPr="00D33B1A">
        <w:rPr>
          <w:rFonts w:ascii="Arial" w:hAnsi="Arial" w:cs="Arial"/>
          <w:sz w:val="20"/>
          <w:szCs w:val="20"/>
        </w:rPr>
        <w:t>s</w:t>
      </w:r>
      <w:r w:rsidR="00977803" w:rsidRPr="00D33B1A">
        <w:rPr>
          <w:rFonts w:ascii="Arial" w:hAnsi="Arial" w:cs="Arial"/>
          <w:sz w:val="20"/>
          <w:szCs w:val="20"/>
        </w:rPr>
        <w:t>inersen se</w:t>
      </w:r>
      <w:r w:rsidRPr="00D33B1A">
        <w:rPr>
          <w:rFonts w:ascii="Arial" w:hAnsi="Arial" w:cs="Arial"/>
          <w:sz w:val="20"/>
          <w:szCs w:val="20"/>
        </w:rPr>
        <w:t xml:space="preserve"> estud</w:t>
      </w:r>
      <w:r w:rsidR="00977803" w:rsidRPr="00D33B1A">
        <w:rPr>
          <w:rFonts w:ascii="Arial" w:hAnsi="Arial" w:cs="Arial"/>
          <w:sz w:val="20"/>
          <w:szCs w:val="20"/>
        </w:rPr>
        <w:t xml:space="preserve">ió en el </w:t>
      </w:r>
      <w:r w:rsidR="00CF53DA" w:rsidRPr="00D33B1A">
        <w:rPr>
          <w:rFonts w:ascii="Arial" w:hAnsi="Arial" w:cs="Arial"/>
          <w:sz w:val="20"/>
          <w:szCs w:val="20"/>
        </w:rPr>
        <w:t>estudio</w:t>
      </w:r>
      <w:r w:rsidRPr="00D33B1A">
        <w:rPr>
          <w:rFonts w:ascii="Arial" w:hAnsi="Arial" w:cs="Arial"/>
          <w:sz w:val="20"/>
          <w:szCs w:val="20"/>
        </w:rPr>
        <w:t xml:space="preserve"> </w:t>
      </w:r>
      <w:r w:rsidRPr="00D33B1A">
        <w:rPr>
          <w:rFonts w:ascii="Arial" w:hAnsi="Arial" w:cs="Arial"/>
          <w:b/>
          <w:sz w:val="20"/>
          <w:szCs w:val="20"/>
        </w:rPr>
        <w:t>NURTURE</w:t>
      </w:r>
      <w:r w:rsidR="00B6649B" w:rsidRPr="00D33B1A">
        <w:rPr>
          <w:rStyle w:val="Refdenotaalfinal"/>
          <w:rFonts w:ascii="Arial" w:hAnsi="Arial" w:cs="Arial"/>
          <w:b/>
          <w:sz w:val="20"/>
          <w:szCs w:val="20"/>
        </w:rPr>
        <w:endnoteReference w:id="21"/>
      </w:r>
      <w:r w:rsidR="00977803" w:rsidRPr="00D33B1A">
        <w:rPr>
          <w:rFonts w:ascii="Arial" w:hAnsi="Arial" w:cs="Arial"/>
          <w:sz w:val="20"/>
          <w:szCs w:val="20"/>
        </w:rPr>
        <w:t>,</w:t>
      </w:r>
      <w:r w:rsidR="00977803" w:rsidRPr="00D33B1A">
        <w:rPr>
          <w:rFonts w:ascii="Arial" w:eastAsia="等?" w:hAnsi="Arial" w:cs="Arial"/>
          <w:sz w:val="20"/>
          <w:szCs w:val="20"/>
          <w:lang w:eastAsia="es-ES"/>
        </w:rPr>
        <w:t xml:space="preserve"> un e</w:t>
      </w:r>
      <w:r w:rsidR="00CF53DA" w:rsidRPr="00D33B1A">
        <w:rPr>
          <w:rFonts w:ascii="Arial" w:eastAsia="等?" w:hAnsi="Arial" w:cs="Arial"/>
          <w:sz w:val="20"/>
          <w:szCs w:val="20"/>
          <w:lang w:eastAsia="es-ES"/>
        </w:rPr>
        <w:t>nsayo</w:t>
      </w:r>
      <w:r w:rsidR="00977803" w:rsidRPr="00D33B1A">
        <w:rPr>
          <w:rFonts w:ascii="Arial" w:eastAsia="等?" w:hAnsi="Arial" w:cs="Arial"/>
          <w:sz w:val="20"/>
          <w:szCs w:val="20"/>
          <w:lang w:eastAsia="es-ES"/>
        </w:rPr>
        <w:t xml:space="preserve"> f</w:t>
      </w:r>
      <w:r w:rsidR="00C53BAA" w:rsidRPr="00D33B1A">
        <w:rPr>
          <w:rFonts w:ascii="Arial" w:eastAsia="等?" w:hAnsi="Arial" w:cs="Arial"/>
          <w:sz w:val="20"/>
          <w:szCs w:val="20"/>
          <w:lang w:eastAsia="es-ES"/>
        </w:rPr>
        <w:t xml:space="preserve">ase II, multicéntrico, abierto, sin grupo control. Se incluyeron pacientes con edad inferior a las 6 semanas con diagnóstico genético de 5qAME, 2 o 3 copias del gen SMN2, CMAP ≥1 mV, y ausencia de signos o síntomas de AME. </w:t>
      </w:r>
    </w:p>
    <w:p w14:paraId="57673706" w14:textId="77777777" w:rsidR="00CF53DA" w:rsidRPr="00D33B1A" w:rsidRDefault="00CF53DA" w:rsidP="001F6887">
      <w:pPr>
        <w:pStyle w:val="Default"/>
        <w:spacing w:after="0" w:line="240" w:lineRule="auto"/>
        <w:jc w:val="both"/>
        <w:rPr>
          <w:rFonts w:ascii="Arial" w:eastAsia="等?" w:hAnsi="Arial" w:cs="Arial"/>
          <w:sz w:val="20"/>
          <w:szCs w:val="20"/>
          <w:lang w:eastAsia="es-ES"/>
        </w:rPr>
      </w:pPr>
    </w:p>
    <w:p w14:paraId="7CE463E6" w14:textId="0D0CF185" w:rsidR="00C53BAA" w:rsidRPr="00D33B1A" w:rsidRDefault="00C53BAA" w:rsidP="001F6887">
      <w:pPr>
        <w:autoSpaceDE w:val="0"/>
        <w:autoSpaceDN w:val="0"/>
        <w:adjustRightInd w:val="0"/>
        <w:jc w:val="both"/>
        <w:rPr>
          <w:rFonts w:ascii="Arial" w:hAnsi="Arial" w:cs="Arial"/>
          <w:color w:val="000000"/>
          <w:sz w:val="20"/>
          <w:szCs w:val="20"/>
        </w:rPr>
      </w:pPr>
      <w:r w:rsidRPr="00D33B1A">
        <w:rPr>
          <w:rFonts w:ascii="Arial" w:hAnsi="Arial" w:cs="Arial"/>
          <w:color w:val="000000"/>
          <w:sz w:val="20"/>
          <w:szCs w:val="20"/>
        </w:rPr>
        <w:t xml:space="preserve">En el momento del </w:t>
      </w:r>
      <w:r w:rsidR="0080540D" w:rsidRPr="00D33B1A">
        <w:rPr>
          <w:rFonts w:ascii="Arial" w:hAnsi="Arial" w:cs="Arial"/>
          <w:color w:val="000000"/>
          <w:sz w:val="20"/>
          <w:szCs w:val="20"/>
        </w:rPr>
        <w:t xml:space="preserve">primer </w:t>
      </w:r>
      <w:r w:rsidRPr="00D33B1A">
        <w:rPr>
          <w:rFonts w:ascii="Arial" w:hAnsi="Arial" w:cs="Arial"/>
          <w:color w:val="000000"/>
          <w:sz w:val="20"/>
          <w:szCs w:val="20"/>
        </w:rPr>
        <w:t>análisis, se habían incluido y habían recibido al menos una dosis de nusinersen</w:t>
      </w:r>
      <w:r w:rsidR="00977803" w:rsidRPr="00D33B1A">
        <w:rPr>
          <w:rFonts w:ascii="Arial" w:hAnsi="Arial" w:cs="Arial"/>
          <w:color w:val="000000"/>
          <w:sz w:val="20"/>
          <w:szCs w:val="20"/>
        </w:rPr>
        <w:t xml:space="preserve"> 17 sujetos</w:t>
      </w:r>
      <w:r w:rsidRPr="00D33B1A">
        <w:rPr>
          <w:rFonts w:ascii="Arial" w:hAnsi="Arial" w:cs="Arial"/>
          <w:color w:val="000000"/>
          <w:sz w:val="20"/>
          <w:szCs w:val="20"/>
        </w:rPr>
        <w:t xml:space="preserve">. Todos continuaban en el estudio. La mediana de edad con la administración de la primera dosis </w:t>
      </w:r>
      <w:r w:rsidR="00977803" w:rsidRPr="00D33B1A">
        <w:rPr>
          <w:rFonts w:ascii="Arial" w:hAnsi="Arial" w:cs="Arial"/>
          <w:color w:val="000000"/>
          <w:sz w:val="20"/>
          <w:szCs w:val="20"/>
        </w:rPr>
        <w:t>era de 19 días (de 8 a 42 días);</w:t>
      </w:r>
      <w:r w:rsidRPr="00D33B1A">
        <w:rPr>
          <w:rFonts w:ascii="Arial" w:hAnsi="Arial" w:cs="Arial"/>
          <w:color w:val="000000"/>
          <w:sz w:val="20"/>
          <w:szCs w:val="20"/>
        </w:rPr>
        <w:t xml:space="preserve"> el 71% (12/17) tenía 2 copias del gen SMN2 y </w:t>
      </w:r>
      <w:r w:rsidR="00977803" w:rsidRPr="00D33B1A">
        <w:rPr>
          <w:rFonts w:ascii="Arial" w:hAnsi="Arial" w:cs="Arial"/>
          <w:color w:val="000000"/>
          <w:sz w:val="20"/>
          <w:szCs w:val="20"/>
        </w:rPr>
        <w:t xml:space="preserve">el </w:t>
      </w:r>
      <w:r w:rsidRPr="00D33B1A">
        <w:rPr>
          <w:rFonts w:ascii="Arial" w:hAnsi="Arial" w:cs="Arial"/>
          <w:color w:val="000000"/>
          <w:sz w:val="20"/>
          <w:szCs w:val="20"/>
        </w:rPr>
        <w:t xml:space="preserve">29% (5/17) tenían 3 copias. </w:t>
      </w:r>
    </w:p>
    <w:p w14:paraId="63029F6D" w14:textId="77777777" w:rsidR="00977803" w:rsidRPr="00D33B1A" w:rsidRDefault="00977803" w:rsidP="001F6887">
      <w:pPr>
        <w:autoSpaceDE w:val="0"/>
        <w:autoSpaceDN w:val="0"/>
        <w:adjustRightInd w:val="0"/>
        <w:jc w:val="both"/>
        <w:rPr>
          <w:rFonts w:ascii="Arial" w:hAnsi="Arial" w:cs="Arial"/>
          <w:color w:val="000000"/>
          <w:sz w:val="20"/>
          <w:szCs w:val="20"/>
        </w:rPr>
      </w:pPr>
    </w:p>
    <w:p w14:paraId="273281CC" w14:textId="7A276459" w:rsidR="00393FE1" w:rsidRPr="00D33B1A" w:rsidRDefault="00C53BAA" w:rsidP="001F6887">
      <w:pPr>
        <w:autoSpaceDE w:val="0"/>
        <w:autoSpaceDN w:val="0"/>
        <w:adjustRightInd w:val="0"/>
        <w:jc w:val="both"/>
        <w:rPr>
          <w:rFonts w:ascii="Arial" w:hAnsi="Arial" w:cs="Arial"/>
          <w:color w:val="000000"/>
          <w:sz w:val="20"/>
          <w:szCs w:val="20"/>
        </w:rPr>
      </w:pPr>
      <w:r w:rsidRPr="00D33B1A">
        <w:rPr>
          <w:rFonts w:ascii="Arial" w:hAnsi="Arial" w:cs="Arial"/>
          <w:color w:val="000000"/>
          <w:sz w:val="20"/>
          <w:szCs w:val="20"/>
        </w:rPr>
        <w:t xml:space="preserve">Los </w:t>
      </w:r>
      <w:r w:rsidR="0080540D" w:rsidRPr="00D33B1A">
        <w:rPr>
          <w:rFonts w:ascii="Arial" w:hAnsi="Arial" w:cs="Arial"/>
          <w:color w:val="000000"/>
          <w:sz w:val="20"/>
          <w:szCs w:val="20"/>
        </w:rPr>
        <w:t>resultados de un análisis posterior con</w:t>
      </w:r>
      <w:r w:rsidRPr="00D33B1A">
        <w:rPr>
          <w:rFonts w:ascii="Arial" w:hAnsi="Arial" w:cs="Arial"/>
          <w:color w:val="000000"/>
          <w:sz w:val="20"/>
          <w:szCs w:val="20"/>
        </w:rPr>
        <w:t xml:space="preserve"> 18 sujetos indicaban que ningún paciente había fallecido o necesitaba asistencia ventilatoria permanente (ventilación invasiva o no invasiva ≥</w:t>
      </w:r>
      <w:r w:rsidR="00977803" w:rsidRPr="00D33B1A">
        <w:rPr>
          <w:rFonts w:ascii="Arial" w:hAnsi="Arial" w:cs="Arial"/>
          <w:color w:val="000000"/>
          <w:sz w:val="20"/>
          <w:szCs w:val="20"/>
        </w:rPr>
        <w:t xml:space="preserve"> </w:t>
      </w:r>
      <w:r w:rsidRPr="00D33B1A">
        <w:rPr>
          <w:rFonts w:ascii="Arial" w:hAnsi="Arial" w:cs="Arial"/>
          <w:color w:val="000000"/>
          <w:sz w:val="20"/>
          <w:szCs w:val="20"/>
        </w:rPr>
        <w:t>6 horas/día de forma continua durante ≥</w:t>
      </w:r>
      <w:r w:rsidR="00977803" w:rsidRPr="00D33B1A">
        <w:rPr>
          <w:rFonts w:ascii="Arial" w:hAnsi="Arial" w:cs="Arial"/>
          <w:color w:val="000000"/>
          <w:sz w:val="20"/>
          <w:szCs w:val="20"/>
        </w:rPr>
        <w:t xml:space="preserve"> </w:t>
      </w:r>
      <w:r w:rsidRPr="00D33B1A">
        <w:rPr>
          <w:rFonts w:ascii="Arial" w:hAnsi="Arial" w:cs="Arial"/>
          <w:color w:val="000000"/>
          <w:sz w:val="20"/>
          <w:szCs w:val="20"/>
        </w:rPr>
        <w:t>7 días consecutivos o traqueostomía). En los resultados preliminares la mayoría de los sujetos habían alcanzado la máxima puntuación de la escala HINE en las categorías de control de cabeza (13/18), pataleo (13/18), y sedestación (10/18). Además</w:t>
      </w:r>
      <w:r w:rsidR="00E85D48" w:rsidRPr="00D33B1A">
        <w:rPr>
          <w:rFonts w:ascii="Arial" w:hAnsi="Arial" w:cs="Arial"/>
          <w:color w:val="000000"/>
          <w:sz w:val="20"/>
          <w:szCs w:val="20"/>
        </w:rPr>
        <w:t>,</w:t>
      </w:r>
      <w:r w:rsidRPr="00D33B1A">
        <w:rPr>
          <w:rFonts w:ascii="Arial" w:hAnsi="Arial" w:cs="Arial"/>
          <w:color w:val="000000"/>
          <w:sz w:val="20"/>
          <w:szCs w:val="20"/>
        </w:rPr>
        <w:t xml:space="preserve"> 12 de los 18 sujetos podían sentarse de manera independiente, </w:t>
      </w:r>
      <w:r w:rsidR="00977803" w:rsidRPr="00D33B1A">
        <w:rPr>
          <w:rFonts w:ascii="Arial" w:hAnsi="Arial" w:cs="Arial"/>
          <w:color w:val="000000"/>
          <w:sz w:val="20"/>
          <w:szCs w:val="20"/>
        </w:rPr>
        <w:t>tres</w:t>
      </w:r>
      <w:r w:rsidRPr="00D33B1A">
        <w:rPr>
          <w:rFonts w:ascii="Arial" w:hAnsi="Arial" w:cs="Arial"/>
          <w:color w:val="000000"/>
          <w:sz w:val="20"/>
          <w:szCs w:val="20"/>
        </w:rPr>
        <w:t xml:space="preserve"> podían ponerse de pie y </w:t>
      </w:r>
      <w:r w:rsidR="00977803" w:rsidRPr="00D33B1A">
        <w:rPr>
          <w:rFonts w:ascii="Arial" w:hAnsi="Arial" w:cs="Arial"/>
          <w:color w:val="000000"/>
          <w:sz w:val="20"/>
          <w:szCs w:val="20"/>
        </w:rPr>
        <w:t>dos</w:t>
      </w:r>
      <w:r w:rsidRPr="00D33B1A">
        <w:rPr>
          <w:rFonts w:ascii="Arial" w:hAnsi="Arial" w:cs="Arial"/>
          <w:color w:val="000000"/>
          <w:sz w:val="20"/>
          <w:szCs w:val="20"/>
        </w:rPr>
        <w:t xml:space="preserve"> habían alcanzado la marcha autónoma. En 16/18 se obtuvo una mejora mantenida de la escala CHOP INTEND (7 de ellos habían obtenido la puntuación más alta posible).</w:t>
      </w:r>
    </w:p>
    <w:p w14:paraId="44BE0E91" w14:textId="77777777" w:rsidR="0080540D" w:rsidRPr="00D33B1A" w:rsidRDefault="0080540D" w:rsidP="001F6887">
      <w:pPr>
        <w:autoSpaceDE w:val="0"/>
        <w:autoSpaceDN w:val="0"/>
        <w:adjustRightInd w:val="0"/>
        <w:jc w:val="both"/>
        <w:rPr>
          <w:rFonts w:ascii="Arial" w:hAnsi="Arial" w:cs="Arial"/>
          <w:color w:val="000000"/>
          <w:sz w:val="20"/>
          <w:szCs w:val="20"/>
        </w:rPr>
      </w:pPr>
    </w:p>
    <w:p w14:paraId="3D31B071" w14:textId="49EA7A40" w:rsidR="0080540D" w:rsidRDefault="0080540D" w:rsidP="001F6887">
      <w:pPr>
        <w:autoSpaceDE w:val="0"/>
        <w:autoSpaceDN w:val="0"/>
        <w:adjustRightInd w:val="0"/>
        <w:jc w:val="both"/>
        <w:rPr>
          <w:rFonts w:ascii="Arial" w:hAnsi="Arial" w:cs="Arial"/>
          <w:color w:val="000000"/>
          <w:sz w:val="20"/>
          <w:szCs w:val="20"/>
        </w:rPr>
      </w:pPr>
      <w:r w:rsidRPr="00D33B1A">
        <w:rPr>
          <w:rFonts w:ascii="Arial" w:hAnsi="Arial" w:cs="Arial"/>
          <w:color w:val="000000"/>
          <w:sz w:val="20"/>
          <w:szCs w:val="20"/>
        </w:rPr>
        <w:t>En la siguiente tabla se enumeran de manera descriptiva los últimos resultados disponibles de los estudios NURTURE y SPRINT en algunas variables de interés:</w:t>
      </w:r>
    </w:p>
    <w:p w14:paraId="788FE2E6" w14:textId="77777777" w:rsidR="00D5226F" w:rsidRDefault="00D5226F" w:rsidP="001F6887">
      <w:pPr>
        <w:autoSpaceDE w:val="0"/>
        <w:autoSpaceDN w:val="0"/>
        <w:adjustRightInd w:val="0"/>
        <w:jc w:val="both"/>
        <w:rPr>
          <w:rFonts w:ascii="Arial" w:hAnsi="Arial" w:cs="Arial"/>
          <w:color w:val="000000"/>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701"/>
        <w:gridCol w:w="1560"/>
        <w:gridCol w:w="1701"/>
        <w:gridCol w:w="1559"/>
      </w:tblGrid>
      <w:tr w:rsidR="0080540D" w:rsidRPr="00F22C2B" w14:paraId="7094729E" w14:textId="77777777" w:rsidTr="00835385">
        <w:trPr>
          <w:trHeight w:val="150"/>
        </w:trPr>
        <w:tc>
          <w:tcPr>
            <w:tcW w:w="2376" w:type="dxa"/>
            <w:vAlign w:val="center"/>
          </w:tcPr>
          <w:p w14:paraId="355B84AB" w14:textId="77777777" w:rsidR="0080540D" w:rsidRPr="00F22C2B" w:rsidRDefault="0080540D" w:rsidP="001F6887">
            <w:pPr>
              <w:autoSpaceDE w:val="0"/>
              <w:autoSpaceDN w:val="0"/>
              <w:adjustRightInd w:val="0"/>
              <w:rPr>
                <w:rFonts w:ascii="Arial" w:hAnsi="Arial" w:cs="Arial"/>
                <w:b/>
                <w:bCs/>
                <w:color w:val="000000"/>
                <w:sz w:val="16"/>
                <w:szCs w:val="16"/>
              </w:rPr>
            </w:pPr>
          </w:p>
        </w:tc>
        <w:tc>
          <w:tcPr>
            <w:tcW w:w="3261" w:type="dxa"/>
            <w:gridSpan w:val="2"/>
            <w:vAlign w:val="center"/>
          </w:tcPr>
          <w:p w14:paraId="044B9936" w14:textId="77777777" w:rsidR="00182E63" w:rsidRDefault="0080540D" w:rsidP="001F6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Nusinersen </w:t>
            </w:r>
          </w:p>
          <w:p w14:paraId="1F818744" w14:textId="4F4954CA" w:rsidR="0080540D" w:rsidRPr="00F22C2B" w:rsidRDefault="0080540D" w:rsidP="001F6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(EC NURTURE)</w:t>
            </w:r>
            <w:r w:rsidR="007936E6">
              <w:rPr>
                <w:rFonts w:ascii="Arial" w:hAnsi="Arial" w:cs="Arial"/>
                <w:b/>
                <w:bCs/>
                <w:color w:val="000000"/>
                <w:sz w:val="16"/>
                <w:szCs w:val="16"/>
              </w:rPr>
              <w:t xml:space="preserve"> (1)</w:t>
            </w:r>
          </w:p>
        </w:tc>
        <w:tc>
          <w:tcPr>
            <w:tcW w:w="3260" w:type="dxa"/>
            <w:gridSpan w:val="2"/>
            <w:vAlign w:val="center"/>
          </w:tcPr>
          <w:p w14:paraId="20FE52D8" w14:textId="1537EAE0" w:rsidR="00182E63" w:rsidRDefault="00182E63" w:rsidP="001F6887">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O</w:t>
            </w:r>
            <w:r w:rsidR="00482C21">
              <w:rPr>
                <w:rFonts w:ascii="Arial" w:hAnsi="Arial" w:cs="Arial"/>
                <w:b/>
                <w:bCs/>
                <w:color w:val="000000"/>
                <w:sz w:val="16"/>
                <w:szCs w:val="16"/>
              </w:rPr>
              <w:t>nasemnogen</w:t>
            </w:r>
            <w:r w:rsidR="0080540D" w:rsidRPr="00F22C2B">
              <w:rPr>
                <w:rFonts w:ascii="Arial" w:hAnsi="Arial" w:cs="Arial"/>
                <w:b/>
                <w:bCs/>
                <w:color w:val="000000"/>
                <w:sz w:val="16"/>
                <w:szCs w:val="16"/>
              </w:rPr>
              <w:t xml:space="preserve"> abeparvovec</w:t>
            </w:r>
            <w:r w:rsidR="0080540D">
              <w:rPr>
                <w:rFonts w:ascii="Arial" w:hAnsi="Arial" w:cs="Arial"/>
                <w:b/>
                <w:bCs/>
                <w:color w:val="000000"/>
                <w:sz w:val="16"/>
                <w:szCs w:val="16"/>
              </w:rPr>
              <w:t xml:space="preserve"> </w:t>
            </w:r>
          </w:p>
          <w:p w14:paraId="472EFC5E" w14:textId="5D1A5FAE" w:rsidR="0080540D" w:rsidRPr="00F22C2B" w:rsidRDefault="0080540D" w:rsidP="007936E6">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(EC SPR</w:t>
            </w:r>
            <w:r w:rsidR="004A2A5E">
              <w:rPr>
                <w:rFonts w:ascii="Arial" w:hAnsi="Arial" w:cs="Arial"/>
                <w:b/>
                <w:bCs/>
                <w:color w:val="000000"/>
                <w:sz w:val="16"/>
                <w:szCs w:val="16"/>
              </w:rPr>
              <w:t>1</w:t>
            </w:r>
            <w:r>
              <w:rPr>
                <w:rFonts w:ascii="Arial" w:hAnsi="Arial" w:cs="Arial"/>
                <w:b/>
                <w:bCs/>
                <w:color w:val="000000"/>
                <w:sz w:val="16"/>
                <w:szCs w:val="16"/>
              </w:rPr>
              <w:t>NT)</w:t>
            </w:r>
            <w:r w:rsidR="007936E6">
              <w:rPr>
                <w:rFonts w:ascii="Arial" w:hAnsi="Arial" w:cs="Arial"/>
                <w:b/>
                <w:bCs/>
                <w:color w:val="000000"/>
                <w:sz w:val="16"/>
                <w:szCs w:val="16"/>
              </w:rPr>
              <w:t xml:space="preserve"> </w:t>
            </w:r>
            <w:r w:rsidR="00D5226F">
              <w:rPr>
                <w:rFonts w:ascii="Arial" w:hAnsi="Arial" w:cs="Arial"/>
                <w:b/>
                <w:bCs/>
                <w:color w:val="000000"/>
                <w:sz w:val="16"/>
                <w:szCs w:val="16"/>
              </w:rPr>
              <w:t>(2)</w:t>
            </w:r>
          </w:p>
        </w:tc>
      </w:tr>
      <w:tr w:rsidR="007936E6" w:rsidRPr="00F22C2B" w14:paraId="430397E3" w14:textId="77777777" w:rsidTr="00D5226F">
        <w:trPr>
          <w:trHeight w:val="293"/>
        </w:trPr>
        <w:tc>
          <w:tcPr>
            <w:tcW w:w="2376" w:type="dxa"/>
            <w:vAlign w:val="center"/>
          </w:tcPr>
          <w:p w14:paraId="09FE1AC0" w14:textId="77777777" w:rsidR="007936E6" w:rsidRPr="003D527B" w:rsidRDefault="007936E6" w:rsidP="001F6887">
            <w:pPr>
              <w:autoSpaceDE w:val="0"/>
              <w:autoSpaceDN w:val="0"/>
              <w:adjustRightInd w:val="0"/>
              <w:rPr>
                <w:rFonts w:ascii="Arial" w:hAnsi="Arial" w:cs="Arial"/>
                <w:color w:val="000000"/>
                <w:sz w:val="16"/>
                <w:szCs w:val="16"/>
              </w:rPr>
            </w:pPr>
          </w:p>
        </w:tc>
        <w:tc>
          <w:tcPr>
            <w:tcW w:w="1701" w:type="dxa"/>
            <w:vAlign w:val="center"/>
          </w:tcPr>
          <w:p w14:paraId="7B380610" w14:textId="5A145D69" w:rsidR="00D5226F" w:rsidRPr="00D5226F" w:rsidRDefault="007936E6" w:rsidP="00D5226F">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2 copias SMN2</w:t>
            </w:r>
          </w:p>
        </w:tc>
        <w:tc>
          <w:tcPr>
            <w:tcW w:w="1560" w:type="dxa"/>
            <w:vAlign w:val="center"/>
          </w:tcPr>
          <w:p w14:paraId="2F4D9404" w14:textId="0A71FE5A" w:rsidR="007936E6" w:rsidRPr="003D527B" w:rsidRDefault="007936E6" w:rsidP="00D5226F">
            <w:pPr>
              <w:autoSpaceDE w:val="0"/>
              <w:autoSpaceDN w:val="0"/>
              <w:adjustRightInd w:val="0"/>
              <w:jc w:val="center"/>
              <w:rPr>
                <w:rFonts w:ascii="Arial" w:hAnsi="Arial" w:cs="Arial"/>
                <w:color w:val="000000"/>
                <w:sz w:val="16"/>
                <w:szCs w:val="16"/>
              </w:rPr>
            </w:pPr>
            <w:r w:rsidRPr="0080540D">
              <w:rPr>
                <w:rFonts w:ascii="Arial" w:hAnsi="Arial" w:cs="Arial"/>
                <w:b/>
                <w:bCs/>
                <w:color w:val="000000"/>
                <w:sz w:val="16"/>
                <w:szCs w:val="16"/>
              </w:rPr>
              <w:t>3 copias SMN2</w:t>
            </w:r>
          </w:p>
        </w:tc>
        <w:tc>
          <w:tcPr>
            <w:tcW w:w="1701" w:type="dxa"/>
            <w:vAlign w:val="center"/>
          </w:tcPr>
          <w:p w14:paraId="1A4F0476" w14:textId="039EAAEE" w:rsidR="007936E6" w:rsidRPr="00F22C2B" w:rsidRDefault="007936E6" w:rsidP="00D5226F">
            <w:pPr>
              <w:autoSpaceDE w:val="0"/>
              <w:autoSpaceDN w:val="0"/>
              <w:adjustRightInd w:val="0"/>
              <w:jc w:val="center"/>
              <w:rPr>
                <w:rFonts w:ascii="Arial" w:hAnsi="Arial" w:cs="Arial"/>
                <w:b/>
                <w:bCs/>
                <w:color w:val="000000"/>
                <w:sz w:val="16"/>
                <w:szCs w:val="16"/>
              </w:rPr>
            </w:pPr>
            <w:r w:rsidRPr="0080540D">
              <w:rPr>
                <w:rFonts w:ascii="Arial" w:hAnsi="Arial" w:cs="Arial"/>
                <w:b/>
                <w:bCs/>
                <w:color w:val="000000"/>
                <w:sz w:val="16"/>
                <w:szCs w:val="16"/>
              </w:rPr>
              <w:t>2 copias SMN2</w:t>
            </w:r>
          </w:p>
        </w:tc>
        <w:tc>
          <w:tcPr>
            <w:tcW w:w="1559" w:type="dxa"/>
            <w:vAlign w:val="center"/>
          </w:tcPr>
          <w:p w14:paraId="4E342F33" w14:textId="79100D47" w:rsidR="007936E6" w:rsidRPr="00F22C2B" w:rsidRDefault="007936E6" w:rsidP="00D5226F">
            <w:pPr>
              <w:autoSpaceDE w:val="0"/>
              <w:autoSpaceDN w:val="0"/>
              <w:adjustRightInd w:val="0"/>
              <w:jc w:val="center"/>
              <w:rPr>
                <w:rFonts w:ascii="Arial" w:hAnsi="Arial" w:cs="Arial"/>
                <w:b/>
                <w:bCs/>
                <w:color w:val="000000"/>
                <w:sz w:val="16"/>
                <w:szCs w:val="16"/>
              </w:rPr>
            </w:pPr>
            <w:r w:rsidRPr="0080540D">
              <w:rPr>
                <w:rFonts w:ascii="Arial" w:hAnsi="Arial" w:cs="Arial"/>
                <w:b/>
                <w:bCs/>
                <w:color w:val="000000"/>
                <w:sz w:val="16"/>
                <w:szCs w:val="16"/>
              </w:rPr>
              <w:t>3 copias SMN2</w:t>
            </w:r>
          </w:p>
        </w:tc>
      </w:tr>
      <w:tr w:rsidR="007936E6" w:rsidRPr="00D33B1A" w14:paraId="5F2BE7DD" w14:textId="77777777" w:rsidTr="007936E6">
        <w:trPr>
          <w:trHeight w:val="150"/>
        </w:trPr>
        <w:tc>
          <w:tcPr>
            <w:tcW w:w="2376" w:type="dxa"/>
            <w:vAlign w:val="center"/>
          </w:tcPr>
          <w:p w14:paraId="7BE6A991" w14:textId="1FC650AF" w:rsidR="007936E6" w:rsidRPr="003D527B" w:rsidRDefault="007936E6" w:rsidP="001F6887">
            <w:pPr>
              <w:autoSpaceDE w:val="0"/>
              <w:autoSpaceDN w:val="0"/>
              <w:adjustRightInd w:val="0"/>
              <w:rPr>
                <w:rFonts w:ascii="Arial" w:hAnsi="Arial" w:cs="Arial"/>
                <w:color w:val="000000"/>
                <w:sz w:val="16"/>
                <w:szCs w:val="16"/>
              </w:rPr>
            </w:pPr>
            <w:r>
              <w:rPr>
                <w:rFonts w:ascii="Arial" w:hAnsi="Arial" w:cs="Arial"/>
                <w:color w:val="000000"/>
                <w:sz w:val="16"/>
                <w:szCs w:val="16"/>
              </w:rPr>
              <w:t>Capacidad de estar sentado sin asistencia</w:t>
            </w:r>
          </w:p>
        </w:tc>
        <w:tc>
          <w:tcPr>
            <w:tcW w:w="1701" w:type="dxa"/>
            <w:vAlign w:val="center"/>
          </w:tcPr>
          <w:p w14:paraId="4639C414" w14:textId="56790CBD" w:rsidR="007936E6" w:rsidRPr="00D33B1A" w:rsidRDefault="007936E6"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15/15 (100%)</w:t>
            </w:r>
          </w:p>
        </w:tc>
        <w:tc>
          <w:tcPr>
            <w:tcW w:w="1560" w:type="dxa"/>
            <w:vAlign w:val="center"/>
          </w:tcPr>
          <w:p w14:paraId="3123FF8B" w14:textId="578CE408" w:rsidR="007936E6" w:rsidRPr="00D33B1A" w:rsidRDefault="007936E6"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10/10 (100%)</w:t>
            </w:r>
          </w:p>
        </w:tc>
        <w:tc>
          <w:tcPr>
            <w:tcW w:w="1701" w:type="dxa"/>
            <w:vAlign w:val="center"/>
          </w:tcPr>
          <w:p w14:paraId="34E506F7" w14:textId="743F471E" w:rsidR="007936E6" w:rsidRPr="00D33B1A" w:rsidRDefault="007936E6" w:rsidP="00D5226F">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8/</w:t>
            </w:r>
            <w:r>
              <w:rPr>
                <w:rFonts w:ascii="Arial" w:hAnsi="Arial" w:cs="Arial"/>
                <w:color w:val="000000"/>
                <w:sz w:val="16"/>
                <w:szCs w:val="16"/>
              </w:rPr>
              <w:t>8</w:t>
            </w:r>
            <w:r w:rsidRPr="00D33B1A">
              <w:rPr>
                <w:rFonts w:ascii="Arial" w:hAnsi="Arial" w:cs="Arial"/>
                <w:color w:val="000000"/>
                <w:sz w:val="16"/>
                <w:szCs w:val="16"/>
              </w:rPr>
              <w:t xml:space="preserve"> </w:t>
            </w:r>
            <w:r w:rsidR="003D4ABC">
              <w:rPr>
                <w:rFonts w:ascii="Arial" w:hAnsi="Arial" w:cs="Arial"/>
                <w:color w:val="000000"/>
                <w:sz w:val="16"/>
                <w:szCs w:val="16"/>
              </w:rPr>
              <w:t>(</w:t>
            </w:r>
            <w:r>
              <w:rPr>
                <w:rFonts w:ascii="Arial" w:hAnsi="Arial" w:cs="Arial"/>
                <w:color w:val="000000"/>
                <w:sz w:val="16"/>
                <w:szCs w:val="16"/>
              </w:rPr>
              <w:t>100%) (</w:t>
            </w:r>
            <w:r w:rsidR="00D5226F">
              <w:rPr>
                <w:rFonts w:ascii="Arial" w:hAnsi="Arial" w:cs="Arial"/>
                <w:color w:val="000000"/>
                <w:sz w:val="16"/>
                <w:szCs w:val="16"/>
              </w:rPr>
              <w:t>3</w:t>
            </w:r>
            <w:r>
              <w:rPr>
                <w:rFonts w:ascii="Arial" w:hAnsi="Arial" w:cs="Arial"/>
                <w:color w:val="000000"/>
                <w:sz w:val="16"/>
                <w:szCs w:val="16"/>
              </w:rPr>
              <w:t>)</w:t>
            </w:r>
          </w:p>
        </w:tc>
        <w:tc>
          <w:tcPr>
            <w:tcW w:w="1559" w:type="dxa"/>
            <w:vAlign w:val="center"/>
          </w:tcPr>
          <w:p w14:paraId="4D0F4DE3" w14:textId="739FEC9D" w:rsidR="007936E6" w:rsidRPr="00D33B1A" w:rsidRDefault="007936E6" w:rsidP="007936E6">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4/</w:t>
            </w:r>
            <w:r>
              <w:rPr>
                <w:rFonts w:ascii="Arial" w:hAnsi="Arial" w:cs="Arial"/>
                <w:color w:val="000000"/>
                <w:sz w:val="16"/>
                <w:szCs w:val="16"/>
              </w:rPr>
              <w:t>4</w:t>
            </w:r>
            <w:r w:rsidRPr="00D33B1A">
              <w:rPr>
                <w:rFonts w:ascii="Arial" w:hAnsi="Arial" w:cs="Arial"/>
                <w:color w:val="000000"/>
                <w:sz w:val="16"/>
                <w:szCs w:val="16"/>
              </w:rPr>
              <w:t xml:space="preserve"> (</w:t>
            </w:r>
            <w:r>
              <w:rPr>
                <w:rFonts w:ascii="Arial" w:hAnsi="Arial" w:cs="Arial"/>
                <w:color w:val="000000"/>
                <w:sz w:val="16"/>
                <w:szCs w:val="16"/>
              </w:rPr>
              <w:t>100%) (</w:t>
            </w:r>
            <w:r w:rsidR="00D5226F">
              <w:rPr>
                <w:rFonts w:ascii="Arial" w:hAnsi="Arial" w:cs="Arial"/>
                <w:color w:val="000000"/>
                <w:sz w:val="16"/>
                <w:szCs w:val="16"/>
              </w:rPr>
              <w:t>4</w:t>
            </w:r>
            <w:r>
              <w:rPr>
                <w:rFonts w:ascii="Arial" w:hAnsi="Arial" w:cs="Arial"/>
                <w:color w:val="000000"/>
                <w:sz w:val="16"/>
                <w:szCs w:val="16"/>
              </w:rPr>
              <w:t>)</w:t>
            </w:r>
          </w:p>
        </w:tc>
      </w:tr>
      <w:tr w:rsidR="007936E6" w:rsidRPr="00F22C2B" w14:paraId="5FC971BA" w14:textId="77777777" w:rsidTr="007936E6">
        <w:trPr>
          <w:trHeight w:val="150"/>
        </w:trPr>
        <w:tc>
          <w:tcPr>
            <w:tcW w:w="2376" w:type="dxa"/>
            <w:vAlign w:val="center"/>
          </w:tcPr>
          <w:p w14:paraId="3DD9EBBD" w14:textId="2CCE8822" w:rsidR="007936E6" w:rsidRDefault="007936E6" w:rsidP="001F6887">
            <w:pPr>
              <w:autoSpaceDE w:val="0"/>
              <w:autoSpaceDN w:val="0"/>
              <w:adjustRightInd w:val="0"/>
              <w:rPr>
                <w:rFonts w:ascii="Arial" w:hAnsi="Arial" w:cs="Arial"/>
                <w:color w:val="000000"/>
                <w:sz w:val="16"/>
                <w:szCs w:val="16"/>
              </w:rPr>
            </w:pPr>
            <w:r>
              <w:rPr>
                <w:rFonts w:ascii="Arial" w:hAnsi="Arial" w:cs="Arial"/>
                <w:color w:val="000000"/>
                <w:sz w:val="16"/>
                <w:szCs w:val="16"/>
              </w:rPr>
              <w:t>Capacidad de andar sin asistencia</w:t>
            </w:r>
          </w:p>
        </w:tc>
        <w:tc>
          <w:tcPr>
            <w:tcW w:w="1701" w:type="dxa"/>
            <w:vAlign w:val="center"/>
          </w:tcPr>
          <w:p w14:paraId="59EB4510" w14:textId="2F5F9B93" w:rsidR="007936E6" w:rsidRPr="003D527B" w:rsidRDefault="007936E6" w:rsidP="001F6887">
            <w:pPr>
              <w:autoSpaceDE w:val="0"/>
              <w:autoSpaceDN w:val="0"/>
              <w:adjustRightInd w:val="0"/>
              <w:jc w:val="center"/>
              <w:rPr>
                <w:rFonts w:ascii="Arial" w:hAnsi="Arial" w:cs="Arial"/>
                <w:color w:val="000000"/>
                <w:sz w:val="16"/>
                <w:szCs w:val="16"/>
              </w:rPr>
            </w:pPr>
            <w:r>
              <w:rPr>
                <w:rFonts w:ascii="Arial" w:hAnsi="Arial" w:cs="Arial"/>
                <w:color w:val="000000"/>
                <w:sz w:val="16"/>
                <w:szCs w:val="16"/>
              </w:rPr>
              <w:t>8/15 (53%)</w:t>
            </w:r>
          </w:p>
        </w:tc>
        <w:tc>
          <w:tcPr>
            <w:tcW w:w="1560" w:type="dxa"/>
            <w:vAlign w:val="center"/>
          </w:tcPr>
          <w:p w14:paraId="31C5627C" w14:textId="4D0EF16B" w:rsidR="007936E6" w:rsidRPr="003D527B" w:rsidRDefault="007936E6" w:rsidP="001F6887">
            <w:pPr>
              <w:autoSpaceDE w:val="0"/>
              <w:autoSpaceDN w:val="0"/>
              <w:adjustRightInd w:val="0"/>
              <w:jc w:val="center"/>
              <w:rPr>
                <w:rFonts w:ascii="Arial" w:hAnsi="Arial" w:cs="Arial"/>
                <w:color w:val="000000"/>
                <w:sz w:val="16"/>
                <w:szCs w:val="16"/>
              </w:rPr>
            </w:pPr>
            <w:r>
              <w:rPr>
                <w:rFonts w:ascii="Arial" w:hAnsi="Arial" w:cs="Arial"/>
                <w:color w:val="000000"/>
                <w:sz w:val="16"/>
                <w:szCs w:val="16"/>
              </w:rPr>
              <w:t>9/10 (90%)</w:t>
            </w:r>
          </w:p>
        </w:tc>
        <w:tc>
          <w:tcPr>
            <w:tcW w:w="1701" w:type="dxa"/>
            <w:vAlign w:val="center"/>
          </w:tcPr>
          <w:p w14:paraId="0B5B9CFA" w14:textId="1103465B" w:rsidR="007936E6" w:rsidRPr="00F22C2B" w:rsidRDefault="007936E6" w:rsidP="001F6887">
            <w:pPr>
              <w:autoSpaceDE w:val="0"/>
              <w:autoSpaceDN w:val="0"/>
              <w:adjustRightInd w:val="0"/>
              <w:jc w:val="center"/>
              <w:rPr>
                <w:rFonts w:ascii="Arial" w:hAnsi="Arial" w:cs="Arial"/>
                <w:color w:val="000000"/>
                <w:sz w:val="16"/>
                <w:szCs w:val="16"/>
              </w:rPr>
            </w:pPr>
            <w:r w:rsidRPr="00D33B1A">
              <w:rPr>
                <w:rFonts w:ascii="Arial" w:hAnsi="Arial" w:cs="Arial"/>
                <w:color w:val="000000"/>
                <w:sz w:val="16"/>
                <w:szCs w:val="16"/>
              </w:rPr>
              <w:t>4/</w:t>
            </w:r>
            <w:r>
              <w:rPr>
                <w:rFonts w:ascii="Arial" w:hAnsi="Arial" w:cs="Arial"/>
                <w:color w:val="000000"/>
                <w:sz w:val="16"/>
                <w:szCs w:val="16"/>
              </w:rPr>
              <w:t>4</w:t>
            </w:r>
            <w:r w:rsidRPr="00D33B1A">
              <w:rPr>
                <w:rFonts w:ascii="Arial" w:hAnsi="Arial" w:cs="Arial"/>
                <w:color w:val="000000"/>
                <w:sz w:val="16"/>
                <w:szCs w:val="16"/>
              </w:rPr>
              <w:t xml:space="preserve"> (</w:t>
            </w:r>
            <w:r>
              <w:rPr>
                <w:rFonts w:ascii="Arial" w:hAnsi="Arial" w:cs="Arial"/>
                <w:color w:val="000000"/>
                <w:sz w:val="16"/>
                <w:szCs w:val="16"/>
              </w:rPr>
              <w:t>100%) (</w:t>
            </w:r>
            <w:r w:rsidR="00D5226F">
              <w:rPr>
                <w:rFonts w:ascii="Arial" w:hAnsi="Arial" w:cs="Arial"/>
                <w:color w:val="000000"/>
                <w:sz w:val="16"/>
                <w:szCs w:val="16"/>
              </w:rPr>
              <w:t>5</w:t>
            </w:r>
            <w:r>
              <w:rPr>
                <w:rFonts w:ascii="Arial" w:hAnsi="Arial" w:cs="Arial"/>
                <w:color w:val="000000"/>
                <w:sz w:val="16"/>
                <w:szCs w:val="16"/>
              </w:rPr>
              <w:t>)</w:t>
            </w:r>
          </w:p>
        </w:tc>
        <w:tc>
          <w:tcPr>
            <w:tcW w:w="1559" w:type="dxa"/>
            <w:vAlign w:val="center"/>
          </w:tcPr>
          <w:p w14:paraId="54A1D732" w14:textId="4DCA5404" w:rsidR="007936E6" w:rsidRPr="00F22C2B" w:rsidRDefault="007936E6" w:rsidP="001F6887">
            <w:pPr>
              <w:autoSpaceDE w:val="0"/>
              <w:autoSpaceDN w:val="0"/>
              <w:adjustRightInd w:val="0"/>
              <w:jc w:val="center"/>
              <w:rPr>
                <w:rFonts w:ascii="Arial" w:hAnsi="Arial" w:cs="Arial"/>
                <w:color w:val="000000"/>
                <w:sz w:val="16"/>
                <w:szCs w:val="16"/>
              </w:rPr>
            </w:pPr>
            <w:r>
              <w:rPr>
                <w:rFonts w:ascii="Arial" w:hAnsi="Arial" w:cs="Arial"/>
                <w:color w:val="000000"/>
                <w:sz w:val="16"/>
                <w:szCs w:val="16"/>
              </w:rPr>
              <w:t>3/3</w:t>
            </w:r>
            <w:r w:rsidRPr="00D33B1A">
              <w:rPr>
                <w:rFonts w:ascii="Arial" w:hAnsi="Arial" w:cs="Arial"/>
                <w:color w:val="000000"/>
                <w:sz w:val="16"/>
                <w:szCs w:val="16"/>
              </w:rPr>
              <w:t xml:space="preserve"> (</w:t>
            </w:r>
            <w:r>
              <w:rPr>
                <w:rFonts w:ascii="Arial" w:hAnsi="Arial" w:cs="Arial"/>
                <w:color w:val="000000"/>
                <w:sz w:val="16"/>
                <w:szCs w:val="16"/>
              </w:rPr>
              <w:t>100%) (</w:t>
            </w:r>
            <w:r w:rsidR="00D5226F">
              <w:rPr>
                <w:rFonts w:ascii="Arial" w:hAnsi="Arial" w:cs="Arial"/>
                <w:color w:val="000000"/>
                <w:sz w:val="16"/>
                <w:szCs w:val="16"/>
              </w:rPr>
              <w:t>6</w:t>
            </w:r>
            <w:r>
              <w:rPr>
                <w:rFonts w:ascii="Arial" w:hAnsi="Arial" w:cs="Arial"/>
                <w:color w:val="000000"/>
                <w:sz w:val="16"/>
                <w:szCs w:val="16"/>
              </w:rPr>
              <w:t>)</w:t>
            </w:r>
          </w:p>
        </w:tc>
      </w:tr>
      <w:tr w:rsidR="00835385" w:rsidRPr="00835385" w14:paraId="26AE97A1" w14:textId="77777777" w:rsidTr="00C7430B">
        <w:trPr>
          <w:trHeight w:val="150"/>
        </w:trPr>
        <w:tc>
          <w:tcPr>
            <w:tcW w:w="8897" w:type="dxa"/>
            <w:gridSpan w:val="5"/>
            <w:vAlign w:val="center"/>
          </w:tcPr>
          <w:p w14:paraId="4B46A3D2" w14:textId="33F749AC" w:rsidR="007936E6" w:rsidRPr="007936E6" w:rsidRDefault="007936E6" w:rsidP="007936E6">
            <w:pPr>
              <w:pStyle w:val="Prrafodelista"/>
              <w:numPr>
                <w:ilvl w:val="0"/>
                <w:numId w:val="34"/>
              </w:numPr>
              <w:autoSpaceDE w:val="0"/>
              <w:autoSpaceDN w:val="0"/>
              <w:adjustRightInd w:val="0"/>
              <w:jc w:val="both"/>
              <w:rPr>
                <w:rFonts w:ascii="Arial" w:hAnsi="Arial" w:cs="Arial"/>
                <w:color w:val="000000"/>
                <w:sz w:val="14"/>
                <w:szCs w:val="16"/>
              </w:rPr>
            </w:pPr>
            <w:r w:rsidRPr="007936E6">
              <w:rPr>
                <w:rFonts w:ascii="Arial" w:hAnsi="Arial" w:cs="Arial"/>
                <w:color w:val="000000"/>
                <w:sz w:val="14"/>
                <w:szCs w:val="16"/>
              </w:rPr>
              <w:t>La mediana de edad en la visita más reciente era de 26,0 meses (rango: 14,3-34,3)</w:t>
            </w:r>
          </w:p>
          <w:p w14:paraId="57D59045" w14:textId="3A9834D2" w:rsidR="00D5226F" w:rsidRDefault="00D5226F" w:rsidP="007936E6">
            <w:pPr>
              <w:pStyle w:val="Prrafodelista"/>
              <w:numPr>
                <w:ilvl w:val="0"/>
                <w:numId w:val="34"/>
              </w:numPr>
              <w:autoSpaceDE w:val="0"/>
              <w:autoSpaceDN w:val="0"/>
              <w:adjustRightInd w:val="0"/>
              <w:jc w:val="both"/>
              <w:rPr>
                <w:rFonts w:ascii="Arial" w:hAnsi="Arial" w:cs="Arial"/>
                <w:color w:val="000000"/>
                <w:sz w:val="14"/>
                <w:szCs w:val="16"/>
              </w:rPr>
            </w:pPr>
            <w:r w:rsidRPr="007936E6">
              <w:rPr>
                <w:rFonts w:ascii="Arial" w:hAnsi="Arial" w:cs="Arial"/>
                <w:color w:val="000000"/>
                <w:sz w:val="14"/>
                <w:szCs w:val="16"/>
              </w:rPr>
              <w:t xml:space="preserve">La mediana de edad en la visita más reciente era de </w:t>
            </w:r>
            <w:r>
              <w:rPr>
                <w:rFonts w:ascii="Arial" w:hAnsi="Arial" w:cs="Arial"/>
                <w:color w:val="000000"/>
                <w:sz w:val="14"/>
                <w:szCs w:val="16"/>
              </w:rPr>
              <w:t>11,2</w:t>
            </w:r>
            <w:r w:rsidRPr="007936E6">
              <w:rPr>
                <w:rFonts w:ascii="Arial" w:hAnsi="Arial" w:cs="Arial"/>
                <w:color w:val="000000"/>
                <w:sz w:val="14"/>
                <w:szCs w:val="16"/>
              </w:rPr>
              <w:t xml:space="preserve"> meses (rango: </w:t>
            </w:r>
            <w:r>
              <w:rPr>
                <w:rFonts w:ascii="Arial" w:hAnsi="Arial" w:cs="Arial"/>
                <w:color w:val="000000"/>
                <w:sz w:val="14"/>
                <w:szCs w:val="16"/>
              </w:rPr>
              <w:t>6,0-18,6</w:t>
            </w:r>
            <w:r w:rsidRPr="007936E6">
              <w:rPr>
                <w:rFonts w:ascii="Arial" w:hAnsi="Arial" w:cs="Arial"/>
                <w:color w:val="000000"/>
                <w:sz w:val="14"/>
                <w:szCs w:val="16"/>
              </w:rPr>
              <w:t>)</w:t>
            </w:r>
            <w:r>
              <w:rPr>
                <w:rFonts w:ascii="Arial" w:hAnsi="Arial" w:cs="Arial"/>
                <w:color w:val="000000"/>
                <w:sz w:val="14"/>
                <w:szCs w:val="16"/>
              </w:rPr>
              <w:t xml:space="preserve"> para los pacientes con 2 copias de SMN2 y de 9,7 meses (rango:3,3-15,1) para los pacien</w:t>
            </w:r>
            <w:r w:rsidR="003D4ABC">
              <w:rPr>
                <w:rFonts w:ascii="Arial" w:hAnsi="Arial" w:cs="Arial"/>
                <w:color w:val="000000"/>
                <w:sz w:val="14"/>
                <w:szCs w:val="16"/>
              </w:rPr>
              <w:t>t</w:t>
            </w:r>
            <w:r>
              <w:rPr>
                <w:rFonts w:ascii="Arial" w:hAnsi="Arial" w:cs="Arial"/>
                <w:color w:val="000000"/>
                <w:sz w:val="14"/>
                <w:szCs w:val="16"/>
              </w:rPr>
              <w:t>es con 3 copias de SMN2.</w:t>
            </w:r>
          </w:p>
          <w:p w14:paraId="3835D836" w14:textId="77777777" w:rsidR="00835385" w:rsidRDefault="007936E6" w:rsidP="007936E6">
            <w:pPr>
              <w:pStyle w:val="Prrafodelista"/>
              <w:numPr>
                <w:ilvl w:val="0"/>
                <w:numId w:val="34"/>
              </w:numPr>
              <w:autoSpaceDE w:val="0"/>
              <w:autoSpaceDN w:val="0"/>
              <w:adjustRightInd w:val="0"/>
              <w:jc w:val="both"/>
              <w:rPr>
                <w:rFonts w:ascii="Arial" w:hAnsi="Arial" w:cs="Arial"/>
                <w:color w:val="000000"/>
                <w:sz w:val="14"/>
                <w:szCs w:val="16"/>
              </w:rPr>
            </w:pPr>
            <w:r>
              <w:rPr>
                <w:rFonts w:ascii="Arial" w:hAnsi="Arial" w:cs="Arial"/>
                <w:color w:val="000000"/>
                <w:sz w:val="14"/>
                <w:szCs w:val="16"/>
              </w:rPr>
              <w:t>6 pacientes</w:t>
            </w:r>
            <w:r w:rsidR="00835385" w:rsidRPr="007936E6">
              <w:rPr>
                <w:rFonts w:ascii="Arial" w:hAnsi="Arial" w:cs="Arial"/>
                <w:color w:val="000000"/>
                <w:sz w:val="14"/>
                <w:szCs w:val="16"/>
              </w:rPr>
              <w:t xml:space="preserve"> </w:t>
            </w:r>
            <w:r>
              <w:rPr>
                <w:rFonts w:ascii="Arial" w:hAnsi="Arial" w:cs="Arial"/>
                <w:color w:val="000000"/>
                <w:sz w:val="14"/>
                <w:szCs w:val="16"/>
              </w:rPr>
              <w:t>más</w:t>
            </w:r>
            <w:r w:rsidR="00835385" w:rsidRPr="007936E6">
              <w:rPr>
                <w:rFonts w:ascii="Arial" w:hAnsi="Arial" w:cs="Arial"/>
                <w:color w:val="000000"/>
                <w:sz w:val="14"/>
                <w:szCs w:val="16"/>
              </w:rPr>
              <w:t xml:space="preserve"> no habían alcanzado todavía la edad para lograr los hitos</w:t>
            </w:r>
            <w:r>
              <w:rPr>
                <w:rFonts w:ascii="Arial" w:hAnsi="Arial" w:cs="Arial"/>
                <w:color w:val="000000"/>
                <w:sz w:val="14"/>
                <w:szCs w:val="16"/>
              </w:rPr>
              <w:t xml:space="preserve"> y se excluyen del análisis</w:t>
            </w:r>
          </w:p>
          <w:p w14:paraId="019CEE46" w14:textId="274DEC5E" w:rsidR="007936E6" w:rsidRDefault="00A711D4" w:rsidP="007936E6">
            <w:pPr>
              <w:pStyle w:val="Prrafodelista"/>
              <w:numPr>
                <w:ilvl w:val="0"/>
                <w:numId w:val="34"/>
              </w:numPr>
              <w:autoSpaceDE w:val="0"/>
              <w:autoSpaceDN w:val="0"/>
              <w:adjustRightInd w:val="0"/>
              <w:jc w:val="both"/>
              <w:rPr>
                <w:rFonts w:ascii="Arial" w:hAnsi="Arial" w:cs="Arial"/>
                <w:color w:val="000000"/>
                <w:sz w:val="14"/>
                <w:szCs w:val="16"/>
              </w:rPr>
            </w:pPr>
            <w:r>
              <w:rPr>
                <w:rFonts w:ascii="Arial" w:hAnsi="Arial" w:cs="Arial"/>
                <w:color w:val="000000"/>
                <w:sz w:val="14"/>
                <w:szCs w:val="16"/>
              </w:rPr>
              <w:t>11</w:t>
            </w:r>
            <w:r w:rsidR="007936E6">
              <w:rPr>
                <w:rFonts w:ascii="Arial" w:hAnsi="Arial" w:cs="Arial"/>
                <w:color w:val="000000"/>
                <w:sz w:val="14"/>
                <w:szCs w:val="16"/>
              </w:rPr>
              <w:t xml:space="preserve"> pacientes</w:t>
            </w:r>
            <w:r w:rsidR="007936E6" w:rsidRPr="007936E6">
              <w:rPr>
                <w:rFonts w:ascii="Arial" w:hAnsi="Arial" w:cs="Arial"/>
                <w:color w:val="000000"/>
                <w:sz w:val="14"/>
                <w:szCs w:val="16"/>
              </w:rPr>
              <w:t xml:space="preserve"> </w:t>
            </w:r>
            <w:r w:rsidR="007936E6">
              <w:rPr>
                <w:rFonts w:ascii="Arial" w:hAnsi="Arial" w:cs="Arial"/>
                <w:color w:val="000000"/>
                <w:sz w:val="14"/>
                <w:szCs w:val="16"/>
              </w:rPr>
              <w:t>más</w:t>
            </w:r>
            <w:r w:rsidR="007936E6" w:rsidRPr="007936E6">
              <w:rPr>
                <w:rFonts w:ascii="Arial" w:hAnsi="Arial" w:cs="Arial"/>
                <w:color w:val="000000"/>
                <w:sz w:val="14"/>
                <w:szCs w:val="16"/>
              </w:rPr>
              <w:t xml:space="preserve"> no habían alcanzado todavía la edad para lograr los hitos</w:t>
            </w:r>
            <w:r w:rsidR="007936E6">
              <w:rPr>
                <w:rFonts w:ascii="Arial" w:hAnsi="Arial" w:cs="Arial"/>
                <w:color w:val="000000"/>
                <w:sz w:val="14"/>
                <w:szCs w:val="16"/>
              </w:rPr>
              <w:t xml:space="preserve"> y se excluyen del análisis</w:t>
            </w:r>
          </w:p>
          <w:p w14:paraId="0DB59110" w14:textId="412270CE" w:rsidR="007936E6" w:rsidRDefault="007936E6" w:rsidP="007936E6">
            <w:pPr>
              <w:pStyle w:val="Prrafodelista"/>
              <w:numPr>
                <w:ilvl w:val="0"/>
                <w:numId w:val="34"/>
              </w:numPr>
              <w:autoSpaceDE w:val="0"/>
              <w:autoSpaceDN w:val="0"/>
              <w:adjustRightInd w:val="0"/>
              <w:jc w:val="both"/>
              <w:rPr>
                <w:rFonts w:ascii="Arial" w:hAnsi="Arial" w:cs="Arial"/>
                <w:color w:val="000000"/>
                <w:sz w:val="14"/>
                <w:szCs w:val="16"/>
              </w:rPr>
            </w:pPr>
            <w:r>
              <w:rPr>
                <w:rFonts w:ascii="Arial" w:hAnsi="Arial" w:cs="Arial"/>
                <w:color w:val="000000"/>
                <w:sz w:val="14"/>
                <w:szCs w:val="16"/>
              </w:rPr>
              <w:t>1</w:t>
            </w:r>
            <w:r w:rsidR="00A711D4">
              <w:rPr>
                <w:rFonts w:ascii="Arial" w:hAnsi="Arial" w:cs="Arial"/>
                <w:color w:val="000000"/>
                <w:sz w:val="14"/>
                <w:szCs w:val="16"/>
              </w:rPr>
              <w:t>0</w:t>
            </w:r>
            <w:r>
              <w:rPr>
                <w:rFonts w:ascii="Arial" w:hAnsi="Arial" w:cs="Arial"/>
                <w:color w:val="000000"/>
                <w:sz w:val="14"/>
                <w:szCs w:val="16"/>
              </w:rPr>
              <w:t xml:space="preserve"> pacientes</w:t>
            </w:r>
            <w:r w:rsidRPr="007936E6">
              <w:rPr>
                <w:rFonts w:ascii="Arial" w:hAnsi="Arial" w:cs="Arial"/>
                <w:color w:val="000000"/>
                <w:sz w:val="14"/>
                <w:szCs w:val="16"/>
              </w:rPr>
              <w:t xml:space="preserve"> </w:t>
            </w:r>
            <w:r>
              <w:rPr>
                <w:rFonts w:ascii="Arial" w:hAnsi="Arial" w:cs="Arial"/>
                <w:color w:val="000000"/>
                <w:sz w:val="14"/>
                <w:szCs w:val="16"/>
              </w:rPr>
              <w:t>más</w:t>
            </w:r>
            <w:r w:rsidRPr="007936E6">
              <w:rPr>
                <w:rFonts w:ascii="Arial" w:hAnsi="Arial" w:cs="Arial"/>
                <w:color w:val="000000"/>
                <w:sz w:val="14"/>
                <w:szCs w:val="16"/>
              </w:rPr>
              <w:t xml:space="preserve"> no habían alcanzado todavía la edad para lograr los hitos</w:t>
            </w:r>
            <w:r>
              <w:rPr>
                <w:rFonts w:ascii="Arial" w:hAnsi="Arial" w:cs="Arial"/>
                <w:color w:val="000000"/>
                <w:sz w:val="14"/>
                <w:szCs w:val="16"/>
              </w:rPr>
              <w:t xml:space="preserve"> y se excluyen del análisis</w:t>
            </w:r>
          </w:p>
          <w:p w14:paraId="37D94EBE" w14:textId="38CF1666" w:rsidR="007936E6" w:rsidRPr="007936E6" w:rsidRDefault="007936E6" w:rsidP="007936E6">
            <w:pPr>
              <w:pStyle w:val="Prrafodelista"/>
              <w:numPr>
                <w:ilvl w:val="0"/>
                <w:numId w:val="34"/>
              </w:numPr>
              <w:autoSpaceDE w:val="0"/>
              <w:autoSpaceDN w:val="0"/>
              <w:adjustRightInd w:val="0"/>
              <w:jc w:val="both"/>
              <w:rPr>
                <w:rFonts w:ascii="Arial" w:hAnsi="Arial" w:cs="Arial"/>
                <w:color w:val="000000"/>
                <w:sz w:val="14"/>
                <w:szCs w:val="16"/>
              </w:rPr>
            </w:pPr>
            <w:r>
              <w:rPr>
                <w:rFonts w:ascii="Arial" w:hAnsi="Arial" w:cs="Arial"/>
                <w:color w:val="000000"/>
                <w:sz w:val="14"/>
                <w:szCs w:val="16"/>
              </w:rPr>
              <w:t>12 pacientes</w:t>
            </w:r>
            <w:r w:rsidRPr="007936E6">
              <w:rPr>
                <w:rFonts w:ascii="Arial" w:hAnsi="Arial" w:cs="Arial"/>
                <w:color w:val="000000"/>
                <w:sz w:val="14"/>
                <w:szCs w:val="16"/>
              </w:rPr>
              <w:t xml:space="preserve"> </w:t>
            </w:r>
            <w:r>
              <w:rPr>
                <w:rFonts w:ascii="Arial" w:hAnsi="Arial" w:cs="Arial"/>
                <w:color w:val="000000"/>
                <w:sz w:val="14"/>
                <w:szCs w:val="16"/>
              </w:rPr>
              <w:t>más</w:t>
            </w:r>
            <w:r w:rsidRPr="007936E6">
              <w:rPr>
                <w:rFonts w:ascii="Arial" w:hAnsi="Arial" w:cs="Arial"/>
                <w:color w:val="000000"/>
                <w:sz w:val="14"/>
                <w:szCs w:val="16"/>
              </w:rPr>
              <w:t xml:space="preserve"> no habían alcanzado todavía la edad para lograr los hitos</w:t>
            </w:r>
            <w:r>
              <w:rPr>
                <w:rFonts w:ascii="Arial" w:hAnsi="Arial" w:cs="Arial"/>
                <w:color w:val="000000"/>
                <w:sz w:val="14"/>
                <w:szCs w:val="16"/>
              </w:rPr>
              <w:t xml:space="preserve"> y se excluyen del análisis</w:t>
            </w:r>
          </w:p>
        </w:tc>
      </w:tr>
    </w:tbl>
    <w:p w14:paraId="1651F359" w14:textId="77777777" w:rsidR="00CF53DA" w:rsidRDefault="00CF53DA" w:rsidP="001F6887">
      <w:pPr>
        <w:autoSpaceDE w:val="0"/>
        <w:autoSpaceDN w:val="0"/>
        <w:adjustRightInd w:val="0"/>
        <w:jc w:val="both"/>
        <w:rPr>
          <w:rFonts w:ascii="Arial" w:hAnsi="Arial" w:cs="Arial"/>
          <w:color w:val="000000"/>
          <w:sz w:val="20"/>
          <w:szCs w:val="20"/>
        </w:rPr>
      </w:pPr>
    </w:p>
    <w:p w14:paraId="5C92E6A9" w14:textId="77777777" w:rsidR="0024027B" w:rsidRDefault="0024027B" w:rsidP="001F6887">
      <w:pPr>
        <w:autoSpaceDE w:val="0"/>
        <w:autoSpaceDN w:val="0"/>
        <w:adjustRightInd w:val="0"/>
        <w:jc w:val="both"/>
        <w:rPr>
          <w:rFonts w:ascii="Arial" w:hAnsi="Arial" w:cs="Arial"/>
          <w:color w:val="000000"/>
          <w:sz w:val="20"/>
          <w:szCs w:val="20"/>
        </w:rPr>
      </w:pPr>
    </w:p>
    <w:p w14:paraId="1C86CC90" w14:textId="600D673F" w:rsidR="0049279E" w:rsidRPr="00D33B1A" w:rsidRDefault="0049279E" w:rsidP="001F6887">
      <w:pPr>
        <w:pBdr>
          <w:bottom w:val="single" w:sz="4" w:space="1" w:color="auto"/>
        </w:pBdr>
        <w:autoSpaceDE w:val="0"/>
        <w:autoSpaceDN w:val="0"/>
        <w:adjustRightInd w:val="0"/>
        <w:jc w:val="both"/>
        <w:rPr>
          <w:rFonts w:ascii="Arial" w:hAnsi="Arial" w:cs="Arial"/>
          <w:b/>
          <w:color w:val="000000"/>
          <w:sz w:val="20"/>
          <w:szCs w:val="20"/>
        </w:rPr>
      </w:pPr>
      <w:r w:rsidRPr="00D33B1A">
        <w:rPr>
          <w:rFonts w:ascii="Arial" w:hAnsi="Arial" w:cs="Arial"/>
          <w:b/>
          <w:color w:val="000000"/>
          <w:sz w:val="20"/>
          <w:szCs w:val="20"/>
        </w:rPr>
        <w:t xml:space="preserve">Tratamiento secuencial </w:t>
      </w:r>
      <w:r w:rsidR="00482C21">
        <w:rPr>
          <w:rFonts w:ascii="Arial" w:eastAsia="MS Mincho" w:hAnsi="Arial" w:cs="Arial"/>
          <w:b/>
          <w:color w:val="000000"/>
          <w:sz w:val="20"/>
          <w:szCs w:val="20"/>
          <w:lang w:eastAsia="ja-JP"/>
        </w:rPr>
        <w:t>onasemnogen</w:t>
      </w:r>
      <w:r w:rsidRPr="00D33B1A">
        <w:rPr>
          <w:rFonts w:ascii="Arial" w:eastAsia="MS Mincho" w:hAnsi="Arial" w:cs="Arial"/>
          <w:b/>
          <w:color w:val="000000"/>
          <w:sz w:val="20"/>
          <w:szCs w:val="20"/>
          <w:lang w:eastAsia="ja-JP"/>
        </w:rPr>
        <w:t xml:space="preserve"> abeparvovec-nusinersen</w:t>
      </w:r>
      <w:r w:rsidR="00BA0D6C" w:rsidRPr="00D33B1A">
        <w:rPr>
          <w:rStyle w:val="Refdenotaalfinal"/>
          <w:rFonts w:ascii="Arial" w:eastAsia="MS Mincho" w:hAnsi="Arial" w:cs="Arial"/>
          <w:b/>
          <w:color w:val="000000"/>
          <w:sz w:val="20"/>
          <w:szCs w:val="20"/>
          <w:lang w:eastAsia="ja-JP"/>
        </w:rPr>
        <w:endnoteReference w:id="22"/>
      </w:r>
    </w:p>
    <w:p w14:paraId="46150311" w14:textId="77777777" w:rsidR="004C37E0" w:rsidRPr="00D33B1A" w:rsidRDefault="004C37E0" w:rsidP="001F6887">
      <w:pPr>
        <w:autoSpaceDE w:val="0"/>
        <w:autoSpaceDN w:val="0"/>
        <w:adjustRightInd w:val="0"/>
        <w:jc w:val="both"/>
        <w:rPr>
          <w:rFonts w:ascii="Arial" w:hAnsi="Arial" w:cs="Arial"/>
          <w:color w:val="000000"/>
          <w:sz w:val="20"/>
          <w:szCs w:val="20"/>
        </w:rPr>
      </w:pPr>
    </w:p>
    <w:p w14:paraId="337A8560" w14:textId="61416B01" w:rsidR="002115A3" w:rsidRDefault="0049279E" w:rsidP="001F6887">
      <w:pPr>
        <w:autoSpaceDE w:val="0"/>
        <w:autoSpaceDN w:val="0"/>
        <w:adjustRightInd w:val="0"/>
        <w:jc w:val="both"/>
        <w:rPr>
          <w:rFonts w:ascii="Arial" w:hAnsi="Arial" w:cs="Arial"/>
          <w:color w:val="000000"/>
          <w:sz w:val="20"/>
          <w:szCs w:val="20"/>
        </w:rPr>
      </w:pPr>
      <w:r w:rsidRPr="00D33B1A">
        <w:rPr>
          <w:rFonts w:ascii="Arial" w:hAnsi="Arial" w:cs="Arial"/>
          <w:color w:val="000000"/>
          <w:sz w:val="20"/>
          <w:szCs w:val="20"/>
        </w:rPr>
        <w:t>Los datos disponibles en el estud</w:t>
      </w:r>
      <w:r w:rsidR="00482C21">
        <w:rPr>
          <w:rFonts w:ascii="Arial" w:hAnsi="Arial" w:cs="Arial"/>
          <w:color w:val="000000"/>
          <w:sz w:val="20"/>
          <w:szCs w:val="20"/>
        </w:rPr>
        <w:t>io a largo plazo de onasemnogen</w:t>
      </w:r>
      <w:r w:rsidRPr="00D33B1A">
        <w:rPr>
          <w:rFonts w:ascii="Arial" w:hAnsi="Arial" w:cs="Arial"/>
          <w:color w:val="000000"/>
          <w:sz w:val="20"/>
          <w:szCs w:val="20"/>
        </w:rPr>
        <w:t xml:space="preserve"> abeparvovec muestran que 4 de </w:t>
      </w:r>
      <w:r w:rsidR="002115A3">
        <w:rPr>
          <w:rFonts w:ascii="Arial" w:hAnsi="Arial" w:cs="Arial"/>
          <w:color w:val="000000"/>
          <w:sz w:val="20"/>
          <w:szCs w:val="20"/>
        </w:rPr>
        <w:t>los</w:t>
      </w:r>
      <w:r w:rsidRPr="00D33B1A">
        <w:rPr>
          <w:rFonts w:ascii="Arial" w:hAnsi="Arial" w:cs="Arial"/>
          <w:color w:val="000000"/>
          <w:sz w:val="20"/>
          <w:szCs w:val="20"/>
        </w:rPr>
        <w:t xml:space="preserve"> 10 pacientes </w:t>
      </w:r>
      <w:r w:rsidR="00991041" w:rsidRPr="00D33B1A">
        <w:rPr>
          <w:rFonts w:ascii="Arial" w:hAnsi="Arial" w:cs="Arial"/>
          <w:color w:val="000000"/>
          <w:sz w:val="20"/>
          <w:szCs w:val="20"/>
        </w:rPr>
        <w:t>recib</w:t>
      </w:r>
      <w:r w:rsidR="002115A3">
        <w:rPr>
          <w:rFonts w:ascii="Arial" w:hAnsi="Arial" w:cs="Arial"/>
          <w:color w:val="000000"/>
          <w:sz w:val="20"/>
          <w:szCs w:val="20"/>
        </w:rPr>
        <w:t>ieron</w:t>
      </w:r>
      <w:r w:rsidR="00991041" w:rsidRPr="00D33B1A">
        <w:rPr>
          <w:rFonts w:ascii="Arial" w:hAnsi="Arial" w:cs="Arial"/>
          <w:color w:val="000000"/>
          <w:sz w:val="20"/>
          <w:szCs w:val="20"/>
        </w:rPr>
        <w:t xml:space="preserve"> posteriormente tratamiento con nusinersen</w:t>
      </w:r>
      <w:r w:rsidRPr="00D33B1A">
        <w:rPr>
          <w:rFonts w:ascii="Arial" w:hAnsi="Arial" w:cs="Arial"/>
          <w:color w:val="000000"/>
          <w:sz w:val="20"/>
          <w:szCs w:val="20"/>
        </w:rPr>
        <w:t xml:space="preserve">. </w:t>
      </w:r>
      <w:r w:rsidR="002115A3">
        <w:rPr>
          <w:rFonts w:ascii="Arial" w:hAnsi="Arial" w:cs="Arial"/>
          <w:color w:val="000000"/>
          <w:sz w:val="20"/>
          <w:szCs w:val="20"/>
        </w:rPr>
        <w:t xml:space="preserve">Asimismo, los datos del registro US AMP y RESTORE indican que el 15,85% de los pacientes tratados con </w:t>
      </w:r>
      <w:r w:rsidR="002115A3" w:rsidRPr="00D33B1A">
        <w:rPr>
          <w:rFonts w:ascii="Arial" w:hAnsi="Arial" w:cs="Arial"/>
          <w:color w:val="000000"/>
          <w:sz w:val="20"/>
          <w:szCs w:val="20"/>
        </w:rPr>
        <w:t>onasemnogen abeparvovec</w:t>
      </w:r>
      <w:r w:rsidR="002115A3">
        <w:rPr>
          <w:rFonts w:ascii="Arial" w:hAnsi="Arial" w:cs="Arial"/>
          <w:color w:val="000000"/>
          <w:sz w:val="20"/>
          <w:szCs w:val="20"/>
        </w:rPr>
        <w:t xml:space="preserve"> recibieron posteriormente nusinersen (corte 31/1/2020)</w:t>
      </w:r>
      <w:r w:rsidR="00991041" w:rsidRPr="00D33B1A">
        <w:rPr>
          <w:rFonts w:ascii="Arial" w:hAnsi="Arial" w:cs="Arial"/>
          <w:color w:val="000000"/>
          <w:sz w:val="20"/>
          <w:szCs w:val="20"/>
        </w:rPr>
        <w:t>.</w:t>
      </w:r>
    </w:p>
    <w:p w14:paraId="6083ADC4" w14:textId="77777777" w:rsidR="002115A3" w:rsidRDefault="002115A3" w:rsidP="001F6887">
      <w:pPr>
        <w:autoSpaceDE w:val="0"/>
        <w:autoSpaceDN w:val="0"/>
        <w:adjustRightInd w:val="0"/>
        <w:jc w:val="both"/>
        <w:rPr>
          <w:rFonts w:ascii="Arial" w:hAnsi="Arial" w:cs="Arial"/>
          <w:color w:val="000000"/>
          <w:sz w:val="20"/>
          <w:szCs w:val="20"/>
        </w:rPr>
      </w:pPr>
    </w:p>
    <w:p w14:paraId="0383DE3C" w14:textId="25B2F635" w:rsidR="0049279E" w:rsidRPr="0049279E" w:rsidRDefault="00991041" w:rsidP="001F6887">
      <w:pPr>
        <w:autoSpaceDE w:val="0"/>
        <w:autoSpaceDN w:val="0"/>
        <w:adjustRightInd w:val="0"/>
        <w:jc w:val="both"/>
        <w:rPr>
          <w:rFonts w:ascii="Arial" w:hAnsi="Arial" w:cs="Arial"/>
          <w:color w:val="000000"/>
          <w:sz w:val="20"/>
          <w:szCs w:val="20"/>
        </w:rPr>
      </w:pPr>
      <w:r w:rsidRPr="00D33B1A">
        <w:rPr>
          <w:rFonts w:ascii="Arial" w:hAnsi="Arial" w:cs="Arial"/>
          <w:color w:val="000000"/>
          <w:sz w:val="20"/>
          <w:szCs w:val="20"/>
        </w:rPr>
        <w:t>Por esta razón se ha iniciado un estudio abierto fase IV (</w:t>
      </w:r>
      <w:r w:rsidR="0049279E" w:rsidRPr="00D33B1A">
        <w:rPr>
          <w:rFonts w:ascii="Arial" w:hAnsi="Arial" w:cs="Arial"/>
          <w:color w:val="000000"/>
          <w:sz w:val="20"/>
          <w:szCs w:val="20"/>
        </w:rPr>
        <w:t>ensayo RESPOND</w:t>
      </w:r>
      <w:r w:rsidRPr="00D33B1A">
        <w:rPr>
          <w:rFonts w:ascii="Arial" w:hAnsi="Arial" w:cs="Arial"/>
          <w:color w:val="000000"/>
          <w:sz w:val="20"/>
          <w:szCs w:val="20"/>
        </w:rPr>
        <w:t xml:space="preserve">) que </w:t>
      </w:r>
      <w:r w:rsidR="0049279E" w:rsidRPr="00D33B1A">
        <w:rPr>
          <w:rFonts w:ascii="Arial" w:hAnsi="Arial" w:cs="Arial"/>
          <w:color w:val="000000"/>
          <w:sz w:val="20"/>
          <w:szCs w:val="20"/>
        </w:rPr>
        <w:t xml:space="preserve">examinará el beneficio clínico y la seguridad de nusinersen en bebés y niños con AME que aún tienen necesidades clínicas no cubiertas después del </w:t>
      </w:r>
      <w:r w:rsidRPr="00D33B1A">
        <w:rPr>
          <w:rFonts w:ascii="Arial" w:hAnsi="Arial" w:cs="Arial"/>
          <w:color w:val="000000"/>
          <w:sz w:val="20"/>
          <w:szCs w:val="20"/>
        </w:rPr>
        <w:t>tratamiento con terapia génica</w:t>
      </w:r>
      <w:r w:rsidR="0049279E" w:rsidRPr="00D33B1A">
        <w:rPr>
          <w:rFonts w:ascii="Arial" w:hAnsi="Arial" w:cs="Arial"/>
          <w:color w:val="000000"/>
          <w:sz w:val="20"/>
          <w:szCs w:val="20"/>
        </w:rPr>
        <w:t xml:space="preserve">. Se prevé que el estudio </w:t>
      </w:r>
      <w:r w:rsidRPr="00D33B1A">
        <w:rPr>
          <w:rFonts w:ascii="Arial" w:hAnsi="Arial" w:cs="Arial"/>
          <w:color w:val="000000"/>
          <w:sz w:val="20"/>
          <w:szCs w:val="20"/>
        </w:rPr>
        <w:t>incluya</w:t>
      </w:r>
      <w:r w:rsidR="002115A3">
        <w:rPr>
          <w:rFonts w:ascii="Arial" w:hAnsi="Arial" w:cs="Arial"/>
          <w:color w:val="000000"/>
          <w:sz w:val="20"/>
          <w:szCs w:val="20"/>
        </w:rPr>
        <w:t xml:space="preserve"> </w:t>
      </w:r>
      <w:r w:rsidRPr="00D33B1A">
        <w:rPr>
          <w:rFonts w:ascii="Arial" w:hAnsi="Arial" w:cs="Arial"/>
          <w:color w:val="000000"/>
          <w:sz w:val="20"/>
          <w:szCs w:val="20"/>
        </w:rPr>
        <w:t xml:space="preserve"> 60 niños de hasta 3 años. La primera cohorte incluirá</w:t>
      </w:r>
      <w:r w:rsidR="0049279E" w:rsidRPr="00D33B1A">
        <w:rPr>
          <w:rFonts w:ascii="Arial" w:hAnsi="Arial" w:cs="Arial"/>
          <w:color w:val="000000"/>
          <w:sz w:val="20"/>
          <w:szCs w:val="20"/>
        </w:rPr>
        <w:t xml:space="preserve"> 40 bebés de 9 meses o menos (en el momento de la primera</w:t>
      </w:r>
      <w:r w:rsidR="0049279E" w:rsidRPr="0049279E">
        <w:rPr>
          <w:rFonts w:ascii="Arial" w:hAnsi="Arial" w:cs="Arial"/>
          <w:color w:val="000000"/>
          <w:sz w:val="20"/>
          <w:szCs w:val="20"/>
        </w:rPr>
        <w:t xml:space="preserve"> dosis de nusinersen) </w:t>
      </w:r>
      <w:r>
        <w:rPr>
          <w:rFonts w:ascii="Arial" w:hAnsi="Arial" w:cs="Arial"/>
          <w:color w:val="000000"/>
          <w:sz w:val="20"/>
          <w:szCs w:val="20"/>
        </w:rPr>
        <w:t>con</w:t>
      </w:r>
      <w:r w:rsidR="0049279E" w:rsidRPr="0049279E">
        <w:rPr>
          <w:rFonts w:ascii="Arial" w:hAnsi="Arial" w:cs="Arial"/>
          <w:color w:val="000000"/>
          <w:sz w:val="20"/>
          <w:szCs w:val="20"/>
        </w:rPr>
        <w:t xml:space="preserve"> dos copias de SMN2 (con probabilidad de desarrollar AME tipo 1) y </w:t>
      </w:r>
      <w:r>
        <w:rPr>
          <w:rFonts w:ascii="Arial" w:hAnsi="Arial" w:cs="Arial"/>
          <w:color w:val="000000"/>
          <w:sz w:val="20"/>
          <w:szCs w:val="20"/>
        </w:rPr>
        <w:t xml:space="preserve">que </w:t>
      </w:r>
      <w:r w:rsidR="0049279E" w:rsidRPr="0049279E">
        <w:rPr>
          <w:rFonts w:ascii="Arial" w:hAnsi="Arial" w:cs="Arial"/>
          <w:color w:val="000000"/>
          <w:sz w:val="20"/>
          <w:szCs w:val="20"/>
        </w:rPr>
        <w:t>recibieron terapia génica (onasemnogen abeparvovec) a los 6 meses</w:t>
      </w:r>
      <w:r>
        <w:rPr>
          <w:rFonts w:ascii="Arial" w:hAnsi="Arial" w:cs="Arial"/>
          <w:color w:val="000000"/>
          <w:sz w:val="20"/>
          <w:szCs w:val="20"/>
        </w:rPr>
        <w:t xml:space="preserve"> aproximadamente</w:t>
      </w:r>
      <w:r w:rsidR="0049279E" w:rsidRPr="0049279E">
        <w:rPr>
          <w:rFonts w:ascii="Arial" w:hAnsi="Arial" w:cs="Arial"/>
          <w:color w:val="000000"/>
          <w:sz w:val="20"/>
          <w:szCs w:val="20"/>
        </w:rPr>
        <w:t>.</w:t>
      </w:r>
      <w:r w:rsidR="002115A3">
        <w:rPr>
          <w:rFonts w:ascii="Arial" w:hAnsi="Arial" w:cs="Arial"/>
          <w:color w:val="000000"/>
          <w:sz w:val="20"/>
          <w:szCs w:val="20"/>
        </w:rPr>
        <w:t xml:space="preserve"> </w:t>
      </w:r>
      <w:r w:rsidR="0049279E" w:rsidRPr="0049279E">
        <w:rPr>
          <w:rFonts w:ascii="Arial" w:hAnsi="Arial" w:cs="Arial"/>
          <w:color w:val="000000"/>
          <w:sz w:val="20"/>
          <w:szCs w:val="20"/>
        </w:rPr>
        <w:t xml:space="preserve">Un segundo grupo de estudio incluirá 20 niños y generará datos en pacientes con un rango de edad más amplio (hasta los 3 años en el </w:t>
      </w:r>
      <w:r>
        <w:rPr>
          <w:rFonts w:ascii="Arial" w:hAnsi="Arial" w:cs="Arial"/>
          <w:color w:val="000000"/>
          <w:sz w:val="20"/>
          <w:szCs w:val="20"/>
        </w:rPr>
        <w:t xml:space="preserve">momento de la primera dosis de </w:t>
      </w:r>
      <w:r w:rsidR="0049279E" w:rsidRPr="0049279E">
        <w:rPr>
          <w:rFonts w:ascii="Arial" w:hAnsi="Arial" w:cs="Arial"/>
          <w:color w:val="000000"/>
          <w:sz w:val="20"/>
          <w:szCs w:val="20"/>
        </w:rPr>
        <w:t xml:space="preserve">nusinersen. Después de un período de selección, los participantes recibirán la </w:t>
      </w:r>
      <w:r>
        <w:rPr>
          <w:rFonts w:ascii="Arial" w:hAnsi="Arial" w:cs="Arial"/>
          <w:color w:val="000000"/>
          <w:sz w:val="20"/>
          <w:szCs w:val="20"/>
        </w:rPr>
        <w:t>pauta habitual de nusinersen (</w:t>
      </w:r>
      <w:r w:rsidR="0049279E" w:rsidRPr="0049279E">
        <w:rPr>
          <w:rFonts w:ascii="Arial" w:hAnsi="Arial" w:cs="Arial"/>
          <w:color w:val="000000"/>
          <w:sz w:val="20"/>
          <w:szCs w:val="20"/>
        </w:rPr>
        <w:t>cuatro dosis de carga</w:t>
      </w:r>
      <w:r>
        <w:rPr>
          <w:rFonts w:ascii="Arial" w:hAnsi="Arial" w:cs="Arial"/>
          <w:color w:val="000000"/>
          <w:sz w:val="20"/>
          <w:szCs w:val="20"/>
        </w:rPr>
        <w:t>,</w:t>
      </w:r>
      <w:r w:rsidR="0049279E" w:rsidRPr="0049279E">
        <w:rPr>
          <w:rFonts w:ascii="Arial" w:hAnsi="Arial" w:cs="Arial"/>
          <w:color w:val="000000"/>
          <w:sz w:val="20"/>
          <w:szCs w:val="20"/>
        </w:rPr>
        <w:t xml:space="preserve"> seguidas de dosis de mantenimiento cada cuatro meses</w:t>
      </w:r>
      <w:r>
        <w:rPr>
          <w:rFonts w:ascii="Arial" w:hAnsi="Arial" w:cs="Arial"/>
          <w:color w:val="000000"/>
          <w:sz w:val="20"/>
          <w:szCs w:val="20"/>
        </w:rPr>
        <w:t>)</w:t>
      </w:r>
      <w:r w:rsidR="0049279E" w:rsidRPr="0049279E">
        <w:rPr>
          <w:rFonts w:ascii="Arial" w:hAnsi="Arial" w:cs="Arial"/>
          <w:color w:val="000000"/>
          <w:sz w:val="20"/>
          <w:szCs w:val="20"/>
        </w:rPr>
        <w:t xml:space="preserve"> durante el período de estudio de dos años.</w:t>
      </w:r>
    </w:p>
    <w:p w14:paraId="60F16D47" w14:textId="77777777" w:rsidR="00CF53DA" w:rsidRDefault="00CF53DA" w:rsidP="001F6887">
      <w:pPr>
        <w:autoSpaceDE w:val="0"/>
        <w:autoSpaceDN w:val="0"/>
        <w:adjustRightInd w:val="0"/>
        <w:jc w:val="both"/>
        <w:rPr>
          <w:rFonts w:ascii="Arial" w:hAnsi="Arial" w:cs="Arial"/>
          <w:color w:val="000000"/>
          <w:sz w:val="20"/>
          <w:szCs w:val="20"/>
        </w:rPr>
      </w:pPr>
    </w:p>
    <w:p w14:paraId="0AA7BA0A" w14:textId="77777777" w:rsidR="0024027B" w:rsidRDefault="0024027B" w:rsidP="001F6887">
      <w:pPr>
        <w:autoSpaceDE w:val="0"/>
        <w:autoSpaceDN w:val="0"/>
        <w:adjustRightInd w:val="0"/>
        <w:jc w:val="both"/>
        <w:rPr>
          <w:rFonts w:ascii="Arial" w:hAnsi="Arial" w:cs="Arial"/>
          <w:color w:val="000000"/>
          <w:sz w:val="20"/>
          <w:szCs w:val="20"/>
        </w:rPr>
      </w:pPr>
    </w:p>
    <w:p w14:paraId="502B163E" w14:textId="4A10B0CD" w:rsidR="007720C1" w:rsidRPr="007720C1" w:rsidRDefault="007720C1" w:rsidP="001F6887">
      <w:pPr>
        <w:pBdr>
          <w:bottom w:val="single" w:sz="4" w:space="1" w:color="auto"/>
        </w:pBdr>
        <w:autoSpaceDE w:val="0"/>
        <w:autoSpaceDN w:val="0"/>
        <w:adjustRightInd w:val="0"/>
        <w:jc w:val="both"/>
        <w:rPr>
          <w:rFonts w:ascii="Arial" w:hAnsi="Arial" w:cs="Arial"/>
          <w:b/>
          <w:color w:val="000000"/>
          <w:sz w:val="20"/>
          <w:szCs w:val="20"/>
        </w:rPr>
      </w:pPr>
      <w:r>
        <w:rPr>
          <w:rFonts w:ascii="Arial" w:hAnsi="Arial" w:cs="Arial"/>
          <w:b/>
          <w:color w:val="000000"/>
          <w:sz w:val="20"/>
          <w:szCs w:val="20"/>
        </w:rPr>
        <w:t>Otros t</w:t>
      </w:r>
      <w:r w:rsidRPr="007720C1">
        <w:rPr>
          <w:rFonts w:ascii="Arial" w:hAnsi="Arial" w:cs="Arial"/>
          <w:b/>
          <w:color w:val="000000"/>
          <w:sz w:val="20"/>
          <w:szCs w:val="20"/>
        </w:rPr>
        <w:t>ratamientos en investigaci</w:t>
      </w:r>
      <w:r>
        <w:rPr>
          <w:rFonts w:ascii="Arial" w:hAnsi="Arial" w:cs="Arial"/>
          <w:b/>
          <w:color w:val="000000"/>
          <w:sz w:val="20"/>
          <w:szCs w:val="20"/>
        </w:rPr>
        <w:t>ón.</w:t>
      </w:r>
    </w:p>
    <w:p w14:paraId="3930396B" w14:textId="77777777" w:rsidR="007720C1" w:rsidRDefault="007720C1" w:rsidP="001F6887">
      <w:pPr>
        <w:autoSpaceDE w:val="0"/>
        <w:autoSpaceDN w:val="0"/>
        <w:adjustRightInd w:val="0"/>
        <w:jc w:val="both"/>
        <w:rPr>
          <w:rFonts w:ascii="Arial" w:hAnsi="Arial" w:cs="Arial"/>
          <w:color w:val="000000"/>
          <w:sz w:val="20"/>
          <w:szCs w:val="20"/>
        </w:rPr>
      </w:pPr>
    </w:p>
    <w:p w14:paraId="5A35771A" w14:textId="08B3EA74" w:rsidR="007720C1" w:rsidRPr="00D33B1A" w:rsidRDefault="007720C1" w:rsidP="001F6887">
      <w:pPr>
        <w:autoSpaceDE w:val="0"/>
        <w:autoSpaceDN w:val="0"/>
        <w:adjustRightInd w:val="0"/>
        <w:jc w:val="both"/>
        <w:rPr>
          <w:rFonts w:ascii="Arial" w:hAnsi="Arial" w:cs="Arial"/>
          <w:color w:val="000000"/>
          <w:sz w:val="20"/>
          <w:szCs w:val="20"/>
        </w:rPr>
      </w:pPr>
      <w:r w:rsidRPr="007720C1">
        <w:rPr>
          <w:rFonts w:ascii="Arial" w:hAnsi="Arial" w:cs="Arial"/>
          <w:color w:val="000000"/>
          <w:sz w:val="20"/>
          <w:szCs w:val="20"/>
        </w:rPr>
        <w:t xml:space="preserve">Otro </w:t>
      </w:r>
      <w:r w:rsidRPr="00D33B1A">
        <w:rPr>
          <w:rFonts w:ascii="Arial" w:hAnsi="Arial" w:cs="Arial"/>
          <w:color w:val="000000"/>
          <w:sz w:val="20"/>
          <w:szCs w:val="20"/>
        </w:rPr>
        <w:t xml:space="preserve">fármaco modificador de la enfermedad es </w:t>
      </w:r>
      <w:r w:rsidR="00DF1ED2">
        <w:rPr>
          <w:rFonts w:ascii="Arial" w:hAnsi="Arial" w:cs="Arial"/>
          <w:b/>
          <w:color w:val="000000"/>
          <w:sz w:val="20"/>
          <w:szCs w:val="20"/>
        </w:rPr>
        <w:t>r</w:t>
      </w:r>
      <w:r w:rsidRPr="00D33B1A">
        <w:rPr>
          <w:rFonts w:ascii="Arial" w:hAnsi="Arial" w:cs="Arial"/>
          <w:b/>
          <w:color w:val="000000"/>
          <w:sz w:val="20"/>
          <w:szCs w:val="20"/>
        </w:rPr>
        <w:t>isdiplam</w:t>
      </w:r>
      <w:r w:rsidRPr="00D33B1A">
        <w:rPr>
          <w:rFonts w:ascii="Arial" w:hAnsi="Arial" w:cs="Arial"/>
          <w:color w:val="000000"/>
          <w:sz w:val="20"/>
          <w:szCs w:val="20"/>
        </w:rPr>
        <w:t xml:space="preserve">, una pequeña molécula que es administrada por vía oral y está siendo estudiada en una amplia población de pacientes con AME </w:t>
      </w:r>
      <w:r w:rsidRPr="00D33B1A">
        <w:rPr>
          <w:rFonts w:ascii="Arial" w:hAnsi="Arial" w:cs="Arial"/>
          <w:color w:val="000000"/>
          <w:sz w:val="20"/>
          <w:szCs w:val="20"/>
        </w:rPr>
        <w:lastRenderedPageBreak/>
        <w:t>tipo I, II y III, incluidos niños, adolescentes y adultos.</w:t>
      </w:r>
      <w:r w:rsidR="00CF53DA" w:rsidRPr="00D33B1A">
        <w:rPr>
          <w:rFonts w:ascii="Arial" w:hAnsi="Arial" w:cs="Arial"/>
          <w:color w:val="000000"/>
          <w:sz w:val="20"/>
          <w:szCs w:val="20"/>
        </w:rPr>
        <w:t xml:space="preserve"> Recientemente ha recibido la aprobación de la FDA en mayores de dos meses de edad.</w:t>
      </w:r>
      <w:r w:rsidRPr="00D33B1A">
        <w:rPr>
          <w:rStyle w:val="Refdenotaalfinal"/>
          <w:rFonts w:ascii="Arial" w:hAnsi="Arial" w:cs="Arial"/>
          <w:color w:val="000000"/>
          <w:sz w:val="20"/>
          <w:szCs w:val="20"/>
        </w:rPr>
        <w:endnoteReference w:id="23"/>
      </w:r>
    </w:p>
    <w:p w14:paraId="08A3FDF2" w14:textId="77777777" w:rsidR="00CF53DA" w:rsidRPr="00D33B1A" w:rsidRDefault="00CF53DA" w:rsidP="001F6887">
      <w:pPr>
        <w:autoSpaceDE w:val="0"/>
        <w:autoSpaceDN w:val="0"/>
        <w:adjustRightInd w:val="0"/>
        <w:jc w:val="both"/>
        <w:rPr>
          <w:rFonts w:ascii="Arial" w:hAnsi="Arial" w:cs="Arial"/>
          <w:color w:val="000000"/>
          <w:sz w:val="20"/>
          <w:szCs w:val="20"/>
        </w:rPr>
      </w:pPr>
    </w:p>
    <w:p w14:paraId="28FA35BB" w14:textId="5D9C17DC" w:rsidR="00CF53DA" w:rsidRDefault="004648BD" w:rsidP="001F6887">
      <w:pPr>
        <w:autoSpaceDE w:val="0"/>
        <w:autoSpaceDN w:val="0"/>
        <w:adjustRightInd w:val="0"/>
        <w:jc w:val="both"/>
        <w:rPr>
          <w:rFonts w:ascii="Arial" w:eastAsia="MS Mincho" w:hAnsi="Arial" w:cs="Arial"/>
          <w:color w:val="000000"/>
          <w:sz w:val="20"/>
          <w:lang w:eastAsia="ja-JP"/>
        </w:rPr>
      </w:pPr>
      <w:r w:rsidRPr="00D33B1A">
        <w:rPr>
          <w:rFonts w:ascii="Arial" w:eastAsia="MS Mincho" w:hAnsi="Arial" w:cs="Arial"/>
          <w:b/>
          <w:color w:val="000000"/>
          <w:sz w:val="20"/>
          <w:lang w:eastAsia="ja-JP"/>
        </w:rPr>
        <w:t>Onasemnogen abeparvovec</w:t>
      </w:r>
      <w:r w:rsidRPr="00D33B1A">
        <w:rPr>
          <w:rFonts w:ascii="Arial" w:eastAsia="MS Mincho" w:hAnsi="Arial" w:cs="Arial"/>
          <w:color w:val="000000"/>
          <w:sz w:val="20"/>
          <w:lang w:eastAsia="ja-JP"/>
        </w:rPr>
        <w:t xml:space="preserve"> también está siendo investigado para administración </w:t>
      </w:r>
      <w:r w:rsidRPr="00D33B1A">
        <w:rPr>
          <w:rFonts w:ascii="Arial" w:eastAsia="MS Mincho" w:hAnsi="Arial" w:cs="Arial"/>
          <w:b/>
          <w:color w:val="000000"/>
          <w:sz w:val="20"/>
          <w:lang w:eastAsia="ja-JP"/>
        </w:rPr>
        <w:t>intratecal</w:t>
      </w:r>
      <w:r w:rsidR="00BC224E" w:rsidRPr="00D33B1A">
        <w:rPr>
          <w:rFonts w:ascii="Arial" w:eastAsia="MS Mincho" w:hAnsi="Arial" w:cs="Arial"/>
          <w:b/>
          <w:color w:val="000000"/>
          <w:sz w:val="20"/>
          <w:lang w:eastAsia="ja-JP"/>
        </w:rPr>
        <w:t>,</w:t>
      </w:r>
      <w:r w:rsidR="00BC224E" w:rsidRPr="00D33B1A">
        <w:rPr>
          <w:rFonts w:ascii="Arial" w:eastAsia="MS Mincho" w:hAnsi="Arial" w:cs="Arial"/>
          <w:color w:val="000000"/>
          <w:sz w:val="20"/>
          <w:lang w:eastAsia="ja-JP"/>
        </w:rPr>
        <w:t xml:space="preserve"> en niños con AME de hasta 5 años, aunque los resultados del ensayo fase III que ha exigido la</w:t>
      </w:r>
      <w:r w:rsidR="00BC224E">
        <w:rPr>
          <w:rFonts w:ascii="Arial" w:eastAsia="MS Mincho" w:hAnsi="Arial" w:cs="Arial"/>
          <w:color w:val="000000"/>
          <w:sz w:val="20"/>
          <w:lang w:eastAsia="ja-JP"/>
        </w:rPr>
        <w:t xml:space="preserve"> FDA no estarán disponibles hasta 2023.</w:t>
      </w:r>
    </w:p>
    <w:p w14:paraId="0505BD97" w14:textId="77777777" w:rsidR="0024027B" w:rsidRPr="00BC224E" w:rsidRDefault="0024027B" w:rsidP="001F6887">
      <w:pPr>
        <w:autoSpaceDE w:val="0"/>
        <w:autoSpaceDN w:val="0"/>
        <w:adjustRightInd w:val="0"/>
        <w:jc w:val="both"/>
        <w:rPr>
          <w:rFonts w:ascii="Arial" w:hAnsi="Arial" w:cs="Arial"/>
          <w:color w:val="000000"/>
          <w:sz w:val="20"/>
          <w:szCs w:val="20"/>
        </w:rPr>
      </w:pPr>
    </w:p>
    <w:p w14:paraId="2C8CB9E5" w14:textId="77777777" w:rsidR="00FA0C0C" w:rsidRPr="00581B73" w:rsidRDefault="00FA0C0C" w:rsidP="001F6887">
      <w:pPr>
        <w:pStyle w:val="Textoindependiente3"/>
        <w:pBdr>
          <w:top w:val="single" w:sz="4" w:space="1" w:color="auto"/>
          <w:left w:val="single" w:sz="4" w:space="4" w:color="auto"/>
          <w:bottom w:val="single" w:sz="4" w:space="1" w:color="auto"/>
          <w:right w:val="single" w:sz="4" w:space="4" w:color="auto"/>
        </w:pBdr>
        <w:shd w:val="clear" w:color="auto" w:fill="E6E6E6"/>
        <w:outlineLvl w:val="2"/>
        <w:rPr>
          <w:rFonts w:ascii="Arial" w:hAnsi="Arial" w:cs="Arial"/>
          <w:sz w:val="20"/>
          <w:szCs w:val="20"/>
        </w:rPr>
      </w:pPr>
      <w:bookmarkStart w:id="60" w:name="_Toc344399642"/>
      <w:bookmarkStart w:id="61" w:name="_Toc348931369"/>
      <w:r w:rsidRPr="00581B73">
        <w:rPr>
          <w:rFonts w:ascii="Arial" w:hAnsi="Arial" w:cs="Arial"/>
          <w:sz w:val="20"/>
          <w:szCs w:val="20"/>
        </w:rPr>
        <w:t>C.3 Alternativas terapéuticas equivalentes (ATE)</w:t>
      </w:r>
      <w:bookmarkEnd w:id="60"/>
      <w:bookmarkEnd w:id="61"/>
      <w:r w:rsidRPr="00581B73">
        <w:rPr>
          <w:rFonts w:ascii="Arial" w:hAnsi="Arial" w:cs="Arial"/>
          <w:sz w:val="20"/>
          <w:szCs w:val="20"/>
        </w:rPr>
        <w:t xml:space="preserve"> </w:t>
      </w:r>
    </w:p>
    <w:p w14:paraId="51CB9883" w14:textId="77777777" w:rsidR="00CF53DA" w:rsidRDefault="00CF53DA" w:rsidP="001F6887">
      <w:pPr>
        <w:autoSpaceDE w:val="0"/>
        <w:autoSpaceDN w:val="0"/>
        <w:adjustRightInd w:val="0"/>
        <w:rPr>
          <w:rFonts w:ascii="Arial" w:hAnsi="Arial" w:cs="Arial"/>
          <w:color w:val="000000"/>
          <w:sz w:val="20"/>
          <w:szCs w:val="20"/>
        </w:rPr>
      </w:pPr>
    </w:p>
    <w:p w14:paraId="2DC444C2" w14:textId="4644864E" w:rsidR="00FA0C0C" w:rsidRDefault="00FA0C0C" w:rsidP="001F6887">
      <w:pPr>
        <w:autoSpaceDE w:val="0"/>
        <w:autoSpaceDN w:val="0"/>
        <w:adjustRightInd w:val="0"/>
        <w:rPr>
          <w:rFonts w:ascii="Arial" w:hAnsi="Arial" w:cs="Arial"/>
          <w:color w:val="000000"/>
          <w:sz w:val="20"/>
          <w:szCs w:val="20"/>
        </w:rPr>
      </w:pPr>
      <w:r>
        <w:rPr>
          <w:rFonts w:ascii="Arial" w:hAnsi="Arial" w:cs="Arial"/>
          <w:color w:val="000000"/>
          <w:sz w:val="20"/>
          <w:szCs w:val="20"/>
        </w:rPr>
        <w:t>No procede</w:t>
      </w:r>
      <w:r w:rsidR="00434F10">
        <w:rPr>
          <w:rFonts w:ascii="Arial" w:hAnsi="Arial" w:cs="Arial"/>
          <w:color w:val="000000"/>
          <w:sz w:val="20"/>
          <w:szCs w:val="20"/>
        </w:rPr>
        <w:t>.</w:t>
      </w:r>
    </w:p>
    <w:p w14:paraId="76004FE3" w14:textId="77777777" w:rsidR="0024027B" w:rsidRDefault="0024027B" w:rsidP="001F6887">
      <w:pPr>
        <w:autoSpaceDE w:val="0"/>
        <w:autoSpaceDN w:val="0"/>
        <w:adjustRightInd w:val="0"/>
        <w:rPr>
          <w:rFonts w:ascii="Arial" w:hAnsi="Arial" w:cs="Arial"/>
          <w:color w:val="000000"/>
          <w:sz w:val="20"/>
          <w:szCs w:val="20"/>
        </w:rPr>
      </w:pPr>
    </w:p>
    <w:p w14:paraId="021F3CBD" w14:textId="77777777" w:rsidR="0024027B" w:rsidRDefault="0024027B" w:rsidP="001F6887">
      <w:pPr>
        <w:autoSpaceDE w:val="0"/>
        <w:autoSpaceDN w:val="0"/>
        <w:adjustRightInd w:val="0"/>
        <w:rPr>
          <w:rFonts w:ascii="Arial" w:hAnsi="Arial" w:cs="Arial"/>
          <w:color w:val="000000"/>
          <w:sz w:val="20"/>
          <w:szCs w:val="20"/>
        </w:rPr>
      </w:pPr>
    </w:p>
    <w:p w14:paraId="41C34AF4" w14:textId="61A9EB3B" w:rsidR="00FA0C0C" w:rsidRPr="00835385" w:rsidRDefault="00FA0C0C" w:rsidP="001F6887">
      <w:pPr>
        <w:pStyle w:val="Ttulo2"/>
        <w:pBdr>
          <w:top w:val="single" w:sz="4" w:space="2" w:color="auto"/>
          <w:left w:val="single" w:sz="4" w:space="4" w:color="auto"/>
          <w:bottom w:val="single" w:sz="4" w:space="1" w:color="auto"/>
          <w:right w:val="single" w:sz="4" w:space="4" w:color="auto"/>
        </w:pBdr>
        <w:shd w:val="clear" w:color="auto" w:fill="D9D9D9"/>
        <w:jc w:val="left"/>
        <w:rPr>
          <w:rFonts w:ascii="Arial" w:hAnsi="Arial" w:cs="Arial"/>
          <w:sz w:val="20"/>
          <w:szCs w:val="20"/>
        </w:rPr>
      </w:pPr>
      <w:bookmarkStart w:id="62" w:name="_Toc344399643"/>
      <w:bookmarkStart w:id="63" w:name="_Toc348931370"/>
      <w:r w:rsidRPr="00835385">
        <w:rPr>
          <w:rFonts w:ascii="Arial" w:hAnsi="Arial" w:cs="Arial"/>
          <w:sz w:val="20"/>
          <w:szCs w:val="20"/>
        </w:rPr>
        <w:t>5.2.c Evaluación de las pruebas de cribado utilizadas</w:t>
      </w:r>
      <w:bookmarkEnd w:id="62"/>
      <w:bookmarkEnd w:id="63"/>
    </w:p>
    <w:p w14:paraId="131110DD" w14:textId="77777777" w:rsidR="002E4778" w:rsidRPr="00CF53DA" w:rsidRDefault="002E4778" w:rsidP="001F6887">
      <w:pPr>
        <w:pStyle w:val="Default"/>
        <w:spacing w:after="0" w:line="240" w:lineRule="auto"/>
        <w:jc w:val="both"/>
        <w:rPr>
          <w:rFonts w:ascii="Arial" w:hAnsi="Arial" w:cs="Arial"/>
          <w:sz w:val="20"/>
          <w:szCs w:val="20"/>
        </w:rPr>
      </w:pPr>
    </w:p>
    <w:p w14:paraId="5961485B" w14:textId="74045124" w:rsidR="00835385" w:rsidRDefault="00434F10" w:rsidP="001F6887">
      <w:pPr>
        <w:pStyle w:val="Default"/>
        <w:spacing w:after="0" w:line="240" w:lineRule="auto"/>
        <w:jc w:val="both"/>
        <w:rPr>
          <w:rFonts w:ascii="Arial" w:hAnsi="Arial" w:cs="Arial"/>
          <w:sz w:val="20"/>
          <w:szCs w:val="20"/>
        </w:rPr>
      </w:pPr>
      <w:r>
        <w:rPr>
          <w:rFonts w:ascii="Arial" w:hAnsi="Arial" w:cs="Arial"/>
          <w:sz w:val="20"/>
          <w:szCs w:val="20"/>
        </w:rPr>
        <w:t>Para la identificación de los pacientes presintomáticos sería necesaria la implantación rutinaria del cribado de los recién nacidos, algo que todavía no se realiza de manera rutinaria.</w:t>
      </w:r>
    </w:p>
    <w:p w14:paraId="72BEA47F" w14:textId="16B992AD" w:rsidR="00051915" w:rsidRDefault="00051915" w:rsidP="001F6887">
      <w:pPr>
        <w:pStyle w:val="Default"/>
        <w:spacing w:after="0" w:line="240" w:lineRule="auto"/>
        <w:jc w:val="both"/>
        <w:rPr>
          <w:rFonts w:ascii="Arial" w:hAnsi="Arial" w:cs="Arial"/>
          <w:sz w:val="20"/>
          <w:szCs w:val="20"/>
        </w:rPr>
      </w:pPr>
    </w:p>
    <w:p w14:paraId="683CB81C" w14:textId="77777777" w:rsidR="00051915" w:rsidRDefault="00051915" w:rsidP="001F6887">
      <w:pPr>
        <w:pStyle w:val="Default"/>
        <w:spacing w:after="0" w:line="240" w:lineRule="auto"/>
        <w:jc w:val="both"/>
        <w:rPr>
          <w:rFonts w:ascii="Arial" w:hAnsi="Arial" w:cs="Arial"/>
          <w:sz w:val="20"/>
          <w:szCs w:val="20"/>
        </w:rPr>
      </w:pPr>
    </w:p>
    <w:p w14:paraId="74B090AC" w14:textId="77777777" w:rsidR="00FA0C0C" w:rsidRPr="00434F10"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64" w:name="_Toc348931371"/>
      <w:bookmarkStart w:id="65" w:name="_Toc344399644"/>
      <w:r w:rsidRPr="00434F10">
        <w:rPr>
          <w:rFonts w:ascii="Arial" w:hAnsi="Arial" w:cs="Arial"/>
          <w:sz w:val="20"/>
          <w:szCs w:val="20"/>
        </w:rPr>
        <w:t>5.3 Revisiones sistemáticas publicadas, comparaciones indirectas y sus conclusiones</w:t>
      </w:r>
      <w:bookmarkEnd w:id="64"/>
      <w:bookmarkEnd w:id="65"/>
      <w:r w:rsidRPr="00434F10">
        <w:rPr>
          <w:rFonts w:ascii="Arial" w:hAnsi="Arial" w:cs="Arial"/>
          <w:sz w:val="20"/>
          <w:szCs w:val="20"/>
        </w:rPr>
        <w:t xml:space="preserve"> </w:t>
      </w:r>
    </w:p>
    <w:p w14:paraId="571723DF" w14:textId="77777777" w:rsidR="004D5D35" w:rsidRPr="00CF53DA" w:rsidRDefault="004D5D35" w:rsidP="001F6887">
      <w:pPr>
        <w:pStyle w:val="Default"/>
        <w:spacing w:after="0" w:line="240" w:lineRule="auto"/>
        <w:jc w:val="both"/>
        <w:rPr>
          <w:rFonts w:ascii="Arial" w:hAnsi="Arial" w:cs="Arial"/>
          <w:sz w:val="20"/>
          <w:szCs w:val="20"/>
        </w:rPr>
      </w:pPr>
    </w:p>
    <w:p w14:paraId="2C4D9502" w14:textId="77777777" w:rsidR="004D5D35" w:rsidRPr="004D5D35" w:rsidRDefault="004D5D3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66" w:name="_Toc348931372"/>
      <w:bookmarkStart w:id="67" w:name="_Toc344399645"/>
      <w:bookmarkStart w:id="68" w:name="_Toc348931373"/>
      <w:bookmarkStart w:id="69" w:name="_Toc344399646"/>
      <w:bookmarkStart w:id="70" w:name="_Toc348931374"/>
      <w:bookmarkStart w:id="71" w:name="_Toc344399647"/>
      <w:bookmarkStart w:id="72" w:name="_Toc348931375"/>
      <w:bookmarkStart w:id="73" w:name="_Toc344399648"/>
      <w:r w:rsidRPr="004D5D35">
        <w:rPr>
          <w:rFonts w:ascii="Arial" w:hAnsi="Arial" w:cs="Arial"/>
          <w:sz w:val="20"/>
          <w:szCs w:val="20"/>
        </w:rPr>
        <w:t>5.3.a Revisiones sistemáticas publicadas</w:t>
      </w:r>
      <w:bookmarkEnd w:id="66"/>
      <w:bookmarkEnd w:id="67"/>
    </w:p>
    <w:p w14:paraId="27BE4741" w14:textId="77777777" w:rsidR="00330830" w:rsidRDefault="00330830" w:rsidP="001F6887">
      <w:pPr>
        <w:pStyle w:val="Default"/>
        <w:spacing w:after="0" w:line="240" w:lineRule="auto"/>
        <w:jc w:val="both"/>
        <w:rPr>
          <w:rFonts w:ascii="Arial" w:hAnsi="Arial" w:cs="Arial"/>
          <w:bCs/>
          <w:sz w:val="20"/>
          <w:szCs w:val="20"/>
        </w:rPr>
      </w:pPr>
    </w:p>
    <w:p w14:paraId="2961C4B9" w14:textId="49C05304" w:rsidR="00301EB6" w:rsidRPr="00301EB6" w:rsidRDefault="00330830" w:rsidP="001F6887">
      <w:pPr>
        <w:pStyle w:val="Default"/>
        <w:spacing w:after="0" w:line="240" w:lineRule="auto"/>
        <w:jc w:val="both"/>
        <w:rPr>
          <w:rFonts w:ascii="Arial" w:hAnsi="Arial" w:cs="Arial"/>
          <w:bCs/>
          <w:sz w:val="20"/>
          <w:szCs w:val="20"/>
        </w:rPr>
      </w:pPr>
      <w:r>
        <w:rPr>
          <w:rFonts w:ascii="Arial" w:hAnsi="Arial" w:cs="Arial"/>
          <w:sz w:val="20"/>
          <w:szCs w:val="20"/>
        </w:rPr>
        <w:t>No se han localizado revisiones sistemáticas publicadas.</w:t>
      </w:r>
    </w:p>
    <w:p w14:paraId="57D7345A" w14:textId="77777777" w:rsidR="0024027B" w:rsidRDefault="0024027B" w:rsidP="001F6887">
      <w:pPr>
        <w:pStyle w:val="Default"/>
        <w:spacing w:after="0" w:line="240" w:lineRule="auto"/>
        <w:jc w:val="both"/>
        <w:rPr>
          <w:rFonts w:ascii="Arial" w:hAnsi="Arial" w:cs="Arial"/>
          <w:bCs/>
          <w:sz w:val="20"/>
          <w:szCs w:val="20"/>
        </w:rPr>
      </w:pPr>
    </w:p>
    <w:p w14:paraId="0369C088" w14:textId="77777777" w:rsidR="0024027B" w:rsidRDefault="0024027B" w:rsidP="001F6887">
      <w:pPr>
        <w:pStyle w:val="Default"/>
        <w:spacing w:after="0" w:line="240" w:lineRule="auto"/>
        <w:jc w:val="both"/>
        <w:rPr>
          <w:rFonts w:ascii="Arial" w:hAnsi="Arial" w:cs="Arial"/>
          <w:bCs/>
          <w:sz w:val="20"/>
          <w:szCs w:val="20"/>
        </w:rPr>
      </w:pPr>
    </w:p>
    <w:p w14:paraId="375A3D9A" w14:textId="77777777" w:rsidR="004D5D35" w:rsidRPr="00301EB6" w:rsidRDefault="004D5D3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r w:rsidRPr="00301EB6">
        <w:rPr>
          <w:rFonts w:ascii="Arial" w:hAnsi="Arial" w:cs="Arial"/>
          <w:sz w:val="20"/>
          <w:szCs w:val="20"/>
        </w:rPr>
        <w:t>5.3.b Comparaciones indirectas (CCII)</w:t>
      </w:r>
      <w:bookmarkEnd w:id="68"/>
      <w:bookmarkEnd w:id="69"/>
    </w:p>
    <w:p w14:paraId="329CBB36" w14:textId="77777777" w:rsidR="00301EB6" w:rsidRPr="00CF53DA" w:rsidRDefault="00301EB6" w:rsidP="001F6887">
      <w:pPr>
        <w:pStyle w:val="Default"/>
        <w:spacing w:after="0" w:line="240" w:lineRule="auto"/>
        <w:jc w:val="both"/>
        <w:rPr>
          <w:rFonts w:ascii="Arial" w:hAnsi="Arial" w:cs="Arial"/>
          <w:bCs/>
          <w:sz w:val="20"/>
          <w:szCs w:val="20"/>
        </w:rPr>
      </w:pPr>
    </w:p>
    <w:p w14:paraId="1BFA088D" w14:textId="77777777" w:rsidR="004D5D35" w:rsidRPr="00301EB6" w:rsidRDefault="004D5D3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r w:rsidRPr="00301EB6">
        <w:rPr>
          <w:rFonts w:ascii="Arial" w:hAnsi="Arial" w:cs="Arial"/>
          <w:sz w:val="20"/>
          <w:szCs w:val="20"/>
        </w:rPr>
        <w:t>5.3.b.1 Comparaciones Indirectas publicadas</w:t>
      </w:r>
      <w:bookmarkEnd w:id="70"/>
      <w:bookmarkEnd w:id="71"/>
    </w:p>
    <w:p w14:paraId="655AB59C" w14:textId="77777777" w:rsidR="00301EB6" w:rsidRPr="00CF53DA" w:rsidRDefault="00301EB6" w:rsidP="001F6887">
      <w:pPr>
        <w:pStyle w:val="Default"/>
        <w:spacing w:after="0" w:line="240" w:lineRule="auto"/>
        <w:jc w:val="both"/>
        <w:rPr>
          <w:rFonts w:ascii="Arial" w:hAnsi="Arial" w:cs="Arial"/>
          <w:bCs/>
          <w:sz w:val="20"/>
          <w:szCs w:val="20"/>
        </w:rPr>
      </w:pPr>
    </w:p>
    <w:p w14:paraId="0C930B33" w14:textId="484C2D23" w:rsidR="00330830" w:rsidRDefault="00330830" w:rsidP="001F6887">
      <w:pPr>
        <w:pStyle w:val="Default"/>
        <w:spacing w:after="0" w:line="240" w:lineRule="auto"/>
        <w:jc w:val="both"/>
        <w:rPr>
          <w:rFonts w:ascii="Arial" w:hAnsi="Arial" w:cs="Arial"/>
          <w:sz w:val="20"/>
          <w:szCs w:val="20"/>
        </w:rPr>
      </w:pPr>
      <w:r>
        <w:rPr>
          <w:rFonts w:ascii="Arial" w:hAnsi="Arial" w:cs="Arial"/>
          <w:sz w:val="20"/>
          <w:szCs w:val="20"/>
        </w:rPr>
        <w:t xml:space="preserve">Se ha localizado una comparación indirecta, aunque no ajustada, que compara </w:t>
      </w:r>
      <w:r w:rsidRPr="00330830">
        <w:rPr>
          <w:rFonts w:ascii="Arial" w:hAnsi="Arial" w:cs="Arial"/>
          <w:sz w:val="20"/>
        </w:rPr>
        <w:t>onasemnogen abeparvovec</w:t>
      </w:r>
      <w:r>
        <w:rPr>
          <w:rFonts w:ascii="Arial" w:hAnsi="Arial" w:cs="Arial"/>
          <w:sz w:val="20"/>
        </w:rPr>
        <w:t xml:space="preserve"> frente a nusinersen </w:t>
      </w:r>
      <w:r>
        <w:rPr>
          <w:rFonts w:ascii="Arial" w:hAnsi="Arial" w:cs="Arial"/>
          <w:sz w:val="20"/>
          <w:szCs w:val="20"/>
        </w:rPr>
        <w:t>en pacientes con AME tipo 1</w:t>
      </w:r>
      <w:r>
        <w:rPr>
          <w:rStyle w:val="Refdenotaalfinal"/>
          <w:rFonts w:ascii="Arial" w:hAnsi="Arial" w:cs="Arial"/>
          <w:sz w:val="20"/>
          <w:szCs w:val="20"/>
        </w:rPr>
        <w:endnoteReference w:id="24"/>
      </w:r>
      <w:r>
        <w:rPr>
          <w:rFonts w:ascii="Arial" w:hAnsi="Arial" w:cs="Arial"/>
          <w:sz w:val="20"/>
          <w:szCs w:val="20"/>
        </w:rPr>
        <w:t>.</w:t>
      </w:r>
    </w:p>
    <w:p w14:paraId="1FCA8660" w14:textId="77777777" w:rsidR="004C37E0" w:rsidRDefault="004C37E0" w:rsidP="001F6887">
      <w:pPr>
        <w:pStyle w:val="Default"/>
        <w:spacing w:after="0" w:line="240" w:lineRule="auto"/>
        <w:jc w:val="both"/>
        <w:rPr>
          <w:rFonts w:ascii="Arial" w:hAnsi="Arial" w:cs="Arial"/>
          <w:bCs/>
          <w:sz w:val="20"/>
          <w:szCs w:val="20"/>
        </w:rPr>
      </w:pPr>
    </w:p>
    <w:tbl>
      <w:tblPr>
        <w:tblW w:w="10228"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0"/>
        <w:gridCol w:w="1478"/>
        <w:gridCol w:w="557"/>
        <w:gridCol w:w="1700"/>
        <w:gridCol w:w="660"/>
        <w:gridCol w:w="1062"/>
        <w:gridCol w:w="213"/>
        <w:gridCol w:w="1771"/>
        <w:gridCol w:w="323"/>
        <w:gridCol w:w="1410"/>
        <w:gridCol w:w="584"/>
      </w:tblGrid>
      <w:tr w:rsidR="00330830" w14:paraId="30C54849" w14:textId="77777777" w:rsidTr="0024027B">
        <w:trPr>
          <w:gridAfter w:val="1"/>
          <w:wAfter w:w="584" w:type="dxa"/>
          <w:cantSplit/>
        </w:trPr>
        <w:tc>
          <w:tcPr>
            <w:tcW w:w="9644" w:type="dxa"/>
            <w:gridSpan w:val="10"/>
            <w:tcBorders>
              <w:top w:val="single" w:sz="4" w:space="0" w:color="auto"/>
              <w:left w:val="single" w:sz="4" w:space="0" w:color="auto"/>
              <w:bottom w:val="single" w:sz="4" w:space="0" w:color="auto"/>
              <w:right w:val="single" w:sz="4" w:space="0" w:color="auto"/>
            </w:tcBorders>
            <w:shd w:val="clear" w:color="auto" w:fill="CCFFCC"/>
            <w:hideMark/>
          </w:tcPr>
          <w:p w14:paraId="24615717" w14:textId="1F3C5841" w:rsidR="00330830" w:rsidRDefault="00330830" w:rsidP="001F6887">
            <w:pPr>
              <w:jc w:val="both"/>
              <w:rPr>
                <w:rFonts w:ascii="Arial" w:hAnsi="Arial" w:cs="Arial"/>
                <w:i/>
                <w:color w:val="000080"/>
                <w:sz w:val="16"/>
                <w:szCs w:val="16"/>
                <w:lang w:val="es-ES_tradnl"/>
              </w:rPr>
            </w:pPr>
            <w:r>
              <w:rPr>
                <w:rFonts w:ascii="Arial" w:hAnsi="Arial" w:cs="Arial"/>
                <w:b/>
                <w:i/>
                <w:color w:val="000080"/>
                <w:sz w:val="16"/>
                <w:szCs w:val="16"/>
                <w:lang w:val="es-ES_tradnl"/>
              </w:rPr>
              <w:t xml:space="preserve">Tabla 5.3.b.1.1.  </w:t>
            </w:r>
            <w:r>
              <w:rPr>
                <w:rFonts w:ascii="Arial" w:hAnsi="Arial" w:cs="Arial"/>
                <w:b/>
                <w:bCs/>
                <w:color w:val="000080"/>
                <w:sz w:val="16"/>
                <w:szCs w:val="16"/>
              </w:rPr>
              <w:t>Modelo general de tabla de resultados de c</w:t>
            </w:r>
            <w:r w:rsidR="00C14A71">
              <w:rPr>
                <w:rFonts w:ascii="Arial" w:hAnsi="Arial" w:cs="Arial"/>
                <w:b/>
                <w:bCs/>
                <w:color w:val="000080"/>
                <w:sz w:val="16"/>
                <w:szCs w:val="16"/>
              </w:rPr>
              <w:t>omparaciones indirectas.</w:t>
            </w:r>
          </w:p>
          <w:p w14:paraId="4556DF67" w14:textId="1FC8E455" w:rsidR="00330830" w:rsidRDefault="00330830" w:rsidP="001F6887">
            <w:pPr>
              <w:pStyle w:val="Textoindependiente"/>
              <w:jc w:val="both"/>
              <w:rPr>
                <w:rFonts w:ascii="Arial" w:hAnsi="Arial" w:cs="Arial"/>
                <w:color w:val="000080"/>
                <w:sz w:val="16"/>
                <w:szCs w:val="16"/>
              </w:rPr>
            </w:pPr>
            <w:r w:rsidRPr="00051915">
              <w:rPr>
                <w:rFonts w:ascii="Arial" w:hAnsi="Arial" w:cs="Arial"/>
                <w:b/>
                <w:i/>
                <w:color w:val="000080"/>
                <w:sz w:val="16"/>
                <w:szCs w:val="16"/>
                <w:lang w:val="en-GB"/>
              </w:rPr>
              <w:t>Referencia:</w:t>
            </w:r>
            <w:r w:rsidRPr="00051915">
              <w:rPr>
                <w:lang w:val="en-GB"/>
              </w:rPr>
              <w:t xml:space="preserve"> </w:t>
            </w:r>
            <w:r w:rsidR="00C14A71" w:rsidRPr="00051915">
              <w:rPr>
                <w:rFonts w:ascii="Arial" w:hAnsi="Arial" w:cs="Arial"/>
                <w:b/>
                <w:i/>
                <w:color w:val="000080"/>
                <w:sz w:val="16"/>
                <w:szCs w:val="16"/>
                <w:lang w:val="en-GB"/>
              </w:rPr>
              <w:t>Omar Dabbous, Benit Mar, et al.</w:t>
            </w:r>
            <w:r w:rsidRPr="00051915">
              <w:rPr>
                <w:rFonts w:ascii="Arial" w:hAnsi="Arial" w:cs="Arial"/>
                <w:b/>
                <w:i/>
                <w:color w:val="000080"/>
                <w:sz w:val="16"/>
                <w:szCs w:val="16"/>
                <w:lang w:val="en-GB"/>
              </w:rPr>
              <w:t>, Survival, Motor Function, and Motor Milestones: Comparison of AVXS-101 Relative to Nusinersen for the Treatment of Infants with Spinal Muscular Atrophy Ty</w:t>
            </w:r>
            <w:r w:rsidR="00C14A71" w:rsidRPr="00051915">
              <w:rPr>
                <w:rFonts w:ascii="Arial" w:hAnsi="Arial" w:cs="Arial"/>
                <w:b/>
                <w:i/>
                <w:color w:val="000080"/>
                <w:sz w:val="16"/>
                <w:szCs w:val="16"/>
                <w:lang w:val="en-GB"/>
              </w:rPr>
              <w:t xml:space="preserve">pe 1. </w:t>
            </w:r>
            <w:r w:rsidR="00C14A71">
              <w:rPr>
                <w:rFonts w:ascii="Arial" w:hAnsi="Arial" w:cs="Arial"/>
                <w:b/>
                <w:i/>
                <w:color w:val="000080"/>
                <w:sz w:val="16"/>
                <w:szCs w:val="16"/>
                <w:lang w:val="es-ES_tradnl"/>
              </w:rPr>
              <w:t>Adv Ther (2019) 36:1164–</w:t>
            </w:r>
            <w:r w:rsidRPr="00330830">
              <w:rPr>
                <w:rFonts w:ascii="Arial" w:hAnsi="Arial" w:cs="Arial"/>
                <w:b/>
                <w:i/>
                <w:color w:val="000080"/>
                <w:sz w:val="16"/>
                <w:szCs w:val="16"/>
                <w:lang w:val="es-ES_tradnl"/>
              </w:rPr>
              <w:t>76</w:t>
            </w:r>
          </w:p>
        </w:tc>
      </w:tr>
      <w:tr w:rsidR="00330830" w14:paraId="24B43A7E" w14:textId="77777777" w:rsidTr="0024027B">
        <w:trPr>
          <w:gridAfter w:val="1"/>
          <w:wAfter w:w="584" w:type="dxa"/>
          <w:cantSplit/>
        </w:trPr>
        <w:tc>
          <w:tcPr>
            <w:tcW w:w="9644" w:type="dxa"/>
            <w:gridSpan w:val="10"/>
            <w:tcBorders>
              <w:top w:val="single" w:sz="4" w:space="0" w:color="auto"/>
              <w:left w:val="single" w:sz="4" w:space="0" w:color="auto"/>
              <w:bottom w:val="single" w:sz="4" w:space="0" w:color="auto"/>
              <w:right w:val="single" w:sz="4" w:space="0" w:color="auto"/>
            </w:tcBorders>
            <w:shd w:val="clear" w:color="auto" w:fill="DDDDDD"/>
            <w:hideMark/>
          </w:tcPr>
          <w:p w14:paraId="1B72F881" w14:textId="05C64FB3" w:rsidR="00D17AB4" w:rsidRDefault="00C9644D" w:rsidP="001F6887">
            <w:pPr>
              <w:pStyle w:val="Textoindependiente"/>
              <w:jc w:val="both"/>
              <w:rPr>
                <w:rFonts w:ascii="Arial" w:hAnsi="Arial" w:cs="Arial"/>
                <w:b/>
                <w:bCs/>
                <w:color w:val="000080"/>
                <w:sz w:val="16"/>
                <w:szCs w:val="16"/>
              </w:rPr>
            </w:pPr>
            <w:r>
              <w:rPr>
                <w:rFonts w:ascii="Arial" w:hAnsi="Arial" w:cs="Arial"/>
                <w:b/>
                <w:bCs/>
                <w:color w:val="000080"/>
                <w:sz w:val="16"/>
                <w:szCs w:val="16"/>
              </w:rPr>
              <w:t>COMPARACIONES DE EECC</w:t>
            </w:r>
          </w:p>
        </w:tc>
      </w:tr>
      <w:tr w:rsidR="00330830" w14:paraId="01B42C12" w14:textId="77777777" w:rsidTr="0024027B">
        <w:trPr>
          <w:gridAfter w:val="1"/>
          <w:wAfter w:w="584" w:type="dxa"/>
          <w:cantSplit/>
        </w:trPr>
        <w:tc>
          <w:tcPr>
            <w:tcW w:w="9644" w:type="dxa"/>
            <w:gridSpan w:val="10"/>
            <w:tcBorders>
              <w:top w:val="single" w:sz="4" w:space="0" w:color="auto"/>
              <w:left w:val="single" w:sz="4" w:space="0" w:color="auto"/>
              <w:bottom w:val="single" w:sz="4" w:space="0" w:color="auto"/>
              <w:right w:val="single" w:sz="4" w:space="0" w:color="auto"/>
            </w:tcBorders>
            <w:hideMark/>
          </w:tcPr>
          <w:p w14:paraId="4D098806" w14:textId="40575F6B" w:rsidR="00330830"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 xml:space="preserve">CI NO AJUSTADA      </w:t>
            </w:r>
            <w:r>
              <w:rPr>
                <w:rFonts w:ascii="Arial" w:hAnsi="Arial" w:cs="Arial"/>
                <w:noProof/>
                <w:color w:val="000080"/>
                <w:sz w:val="16"/>
                <w:szCs w:val="16"/>
              </w:rPr>
              <mc:AlternateContent>
                <mc:Choice Requires="wps">
                  <w:drawing>
                    <wp:inline distT="0" distB="0" distL="0" distR="0" wp14:anchorId="0A243D5C" wp14:editId="18133B34">
                      <wp:extent cx="114300" cy="114300"/>
                      <wp:effectExtent l="9525" t="9525" r="9525" b="9525"/>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700DEB25" w14:textId="2DE6D4BA" w:rsidR="00A22536" w:rsidRPr="00C9644D" w:rsidRDefault="00A22536" w:rsidP="00330830">
                                  <w:pPr>
                                    <w:rPr>
                                      <w:rFonts w:ascii="Arial" w:hAnsi="Arial" w:cs="Arial"/>
                                      <w:sz w:val="16"/>
                                      <w:szCs w:val="16"/>
                                    </w:rPr>
                                  </w:pPr>
                                  <w:r>
                                    <w:rPr>
                                      <w:rFonts w:ascii="Arial" w:hAnsi="Arial" w:cs="Arial"/>
                                      <w:sz w:val="16"/>
                                      <w:szCs w:val="16"/>
                                    </w:rPr>
                                    <w:t xml:space="preserve"> x</w:t>
                                  </w:r>
                                </w:p>
                              </w:txbxContent>
                            </wps:txbx>
                            <wps:bodyPr rot="0" vert="horz" wrap="square" lIns="0" tIns="0" rIns="0" bIns="0" anchor="t" anchorCtr="0" upright="1">
                              <a:noAutofit/>
                            </wps:bodyPr>
                          </wps:wsp>
                        </a:graphicData>
                      </a:graphic>
                    </wp:inline>
                  </w:drawing>
                </mc:Choice>
                <mc:Fallback>
                  <w:pict>
                    <v:shapetype w14:anchorId="0A243D5C" id="_x0000_t202" coordsize="21600,21600" o:spt="202" path="m,l,21600r21600,l21600,xe">
                      <v:stroke joinstyle="miter"/>
                      <v:path gradientshapeok="t" o:connecttype="rect"/>
                    </v:shapetype>
                    <v:shape id="Cuadro de texto 17" o:spid="_x0000_s1026"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">
                      <v:textbox inset="0,0,0,0">
                        <w:txbxContent>
                          <w:p w14:paraId="700DEB25" w14:textId="2DE6D4BA" w:rsidR="00A22536" w:rsidRPr="00C9644D" w:rsidRDefault="00A22536" w:rsidP="00330830">
                            <w:pPr>
                              <w:rPr>
                                <w:rFonts w:ascii="Arial" w:hAnsi="Arial" w:cs="Arial"/>
                                <w:sz w:val="16"/>
                                <w:szCs w:val="16"/>
                              </w:rPr>
                            </w:pPr>
                            <w:r>
                              <w:rPr>
                                <w:rFonts w:ascii="Arial" w:hAnsi="Arial" w:cs="Arial"/>
                                <w:sz w:val="16"/>
                                <w:szCs w:val="16"/>
                              </w:rPr>
                              <w:t xml:space="preserve"> x</w:t>
                            </w:r>
                          </w:p>
                        </w:txbxContent>
                      </v:textbox>
                      <w10:anchorlock/>
                    </v:shape>
                  </w:pict>
                </mc:Fallback>
              </mc:AlternateContent>
            </w:r>
            <w:r w:rsidR="00C9644D">
              <w:rPr>
                <w:rFonts w:ascii="Arial" w:hAnsi="Arial" w:cs="Arial"/>
                <w:color w:val="000080"/>
                <w:sz w:val="16"/>
                <w:szCs w:val="16"/>
              </w:rPr>
              <w:t xml:space="preserve">          </w:t>
            </w:r>
            <w:r>
              <w:rPr>
                <w:rFonts w:ascii="Arial" w:hAnsi="Arial" w:cs="Arial"/>
                <w:color w:val="000080"/>
                <w:sz w:val="16"/>
                <w:szCs w:val="16"/>
              </w:rPr>
              <w:t xml:space="preserve">METANÁLISIS DE REDES DE TRATAMIENTOS </w:t>
            </w:r>
            <w:r>
              <w:rPr>
                <w:rFonts w:ascii="Arial" w:hAnsi="Arial" w:cs="Arial"/>
                <w:noProof/>
                <w:color w:val="000080"/>
                <w:sz w:val="16"/>
                <w:szCs w:val="16"/>
              </w:rPr>
              <mc:AlternateContent>
                <mc:Choice Requires="wps">
                  <w:drawing>
                    <wp:inline distT="0" distB="0" distL="0" distR="0" wp14:anchorId="2B52AE11" wp14:editId="5D8E926B">
                      <wp:extent cx="114300" cy="114300"/>
                      <wp:effectExtent l="9525" t="9525" r="9525" b="9525"/>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47F08DB0" w14:textId="77777777" w:rsidR="00A22536" w:rsidRDefault="00A22536" w:rsidP="00330830">
                                  <w:pPr>
                                    <w:rPr>
                                      <w:sz w:val="16"/>
                                      <w:szCs w:val="16"/>
                                    </w:rPr>
                                  </w:pPr>
                                </w:p>
                              </w:txbxContent>
                            </wps:txbx>
                            <wps:bodyPr rot="0" vert="horz" wrap="square" lIns="0" tIns="0" rIns="0" bIns="0" anchor="t" anchorCtr="0" upright="1">
                              <a:noAutofit/>
                            </wps:bodyPr>
                          </wps:wsp>
                        </a:graphicData>
                      </a:graphic>
                    </wp:inline>
                  </w:drawing>
                </mc:Choice>
                <mc:Fallback>
                  <w:pict>
                    <v:shape w14:anchorId="2B52AE11" id="Cuadro de texto 16" o:spid="_x0000_s1027"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">
                      <v:textbox inset="0,0,0,0">
                        <w:txbxContent>
                          <w:p w14:paraId="47F08DB0" w14:textId="77777777" w:rsidR="00A22536" w:rsidRDefault="00A22536" w:rsidP="00330830">
                            <w:pPr>
                              <w:rPr>
                                <w:sz w:val="16"/>
                                <w:szCs w:val="16"/>
                              </w:rPr>
                            </w:pPr>
                          </w:p>
                        </w:txbxContent>
                      </v:textbox>
                      <w10:anchorlock/>
                    </v:shape>
                  </w:pict>
                </mc:Fallback>
              </mc:AlternateContent>
            </w:r>
            <w:r w:rsidR="00C9644D">
              <w:rPr>
                <w:rFonts w:ascii="Arial" w:hAnsi="Arial" w:cs="Arial"/>
                <w:color w:val="000080"/>
                <w:sz w:val="16"/>
                <w:szCs w:val="16"/>
              </w:rPr>
              <w:t xml:space="preserve">                        </w:t>
            </w:r>
            <w:r>
              <w:rPr>
                <w:rFonts w:ascii="Arial" w:hAnsi="Arial" w:cs="Arial"/>
                <w:color w:val="000080"/>
                <w:sz w:val="16"/>
                <w:szCs w:val="16"/>
              </w:rPr>
              <w:t xml:space="preserve">CI AJUSTADA            </w:t>
            </w:r>
            <w:r>
              <w:rPr>
                <w:rFonts w:ascii="Arial" w:hAnsi="Arial" w:cs="Arial"/>
                <w:noProof/>
                <w:color w:val="000080"/>
                <w:sz w:val="16"/>
                <w:szCs w:val="16"/>
              </w:rPr>
              <mc:AlternateContent>
                <mc:Choice Requires="wps">
                  <w:drawing>
                    <wp:inline distT="0" distB="0" distL="0" distR="0" wp14:anchorId="1DEC8C22" wp14:editId="11A10438">
                      <wp:extent cx="114300" cy="114300"/>
                      <wp:effectExtent l="9525" t="9525" r="9525" b="9525"/>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12D222B7" w14:textId="0B7BBB2A" w:rsidR="00A22536" w:rsidRPr="00330830" w:rsidRDefault="00A22536" w:rsidP="00330830">
                                  <w:pPr>
                                    <w:rPr>
                                      <w:rFonts w:ascii="Arial" w:hAnsi="Arial" w:cs="Arial"/>
                                      <w:sz w:val="16"/>
                                      <w:szCs w:val="16"/>
                                    </w:rPr>
                                  </w:pPr>
                                  <w:r>
                                    <w:rPr>
                                      <w:rFonts w:ascii="Arial" w:hAnsi="Arial" w:cs="Arial"/>
                                      <w:sz w:val="16"/>
                                      <w:szCs w:val="16"/>
                                    </w:rPr>
                                    <w:t xml:space="preserve"> </w:t>
                                  </w:r>
                                </w:p>
                              </w:txbxContent>
                            </wps:txbx>
                            <wps:bodyPr rot="0" vert="horz" wrap="square" lIns="0" tIns="0" rIns="0" bIns="0" anchor="t" anchorCtr="0" upright="1">
                              <a:noAutofit/>
                            </wps:bodyPr>
                          </wps:wsp>
                        </a:graphicData>
                      </a:graphic>
                    </wp:inline>
                  </w:drawing>
                </mc:Choice>
                <mc:Fallback>
                  <w:pict>
                    <v:shape w14:anchorId="1DEC8C22" id="Cuadro de texto 15" o:spid="_x0000_s1028"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">
                      <v:textbox inset="0,0,0,0">
                        <w:txbxContent>
                          <w:p w14:paraId="12D222B7" w14:textId="0B7BBB2A" w:rsidR="00A22536" w:rsidRPr="00330830" w:rsidRDefault="00A22536" w:rsidP="00330830">
                            <w:pPr>
                              <w:rPr>
                                <w:rFonts w:ascii="Arial" w:hAnsi="Arial" w:cs="Arial"/>
                                <w:sz w:val="16"/>
                                <w:szCs w:val="16"/>
                              </w:rPr>
                            </w:pPr>
                            <w:r>
                              <w:rPr>
                                <w:rFonts w:ascii="Arial" w:hAnsi="Arial" w:cs="Arial"/>
                                <w:sz w:val="16"/>
                                <w:szCs w:val="16"/>
                              </w:rPr>
                              <w:t xml:space="preserve"> </w:t>
                            </w:r>
                          </w:p>
                        </w:txbxContent>
                      </v:textbox>
                      <w10:anchorlock/>
                    </v:shape>
                  </w:pict>
                </mc:Fallback>
              </mc:AlternateContent>
            </w:r>
            <w:r>
              <w:rPr>
                <w:rFonts w:ascii="Arial" w:hAnsi="Arial" w:cs="Arial"/>
                <w:color w:val="000080"/>
                <w:sz w:val="16"/>
                <w:szCs w:val="16"/>
              </w:rPr>
              <w:t xml:space="preserve">               </w:t>
            </w:r>
          </w:p>
        </w:tc>
      </w:tr>
      <w:tr w:rsidR="00330830" w14:paraId="6568FFE5" w14:textId="77777777" w:rsidTr="0024027B">
        <w:trPr>
          <w:gridAfter w:val="1"/>
          <w:wAfter w:w="584" w:type="dxa"/>
          <w:cantSplit/>
        </w:trPr>
        <w:tc>
          <w:tcPr>
            <w:tcW w:w="9644" w:type="dxa"/>
            <w:gridSpan w:val="10"/>
            <w:tcBorders>
              <w:top w:val="single" w:sz="4" w:space="0" w:color="auto"/>
              <w:left w:val="single" w:sz="4" w:space="0" w:color="auto"/>
              <w:bottom w:val="single" w:sz="4" w:space="0" w:color="auto"/>
              <w:right w:val="single" w:sz="4" w:space="0" w:color="auto"/>
            </w:tcBorders>
            <w:shd w:val="clear" w:color="auto" w:fill="FFFF99"/>
            <w:hideMark/>
          </w:tcPr>
          <w:p w14:paraId="780B5280" w14:textId="2D6C65DE" w:rsidR="00D17AB4" w:rsidRDefault="00330830" w:rsidP="00482C21">
            <w:pPr>
              <w:pStyle w:val="Textoindependiente"/>
              <w:jc w:val="both"/>
              <w:rPr>
                <w:rFonts w:ascii="Arial" w:hAnsi="Arial" w:cs="Arial"/>
                <w:color w:val="000080"/>
                <w:sz w:val="16"/>
                <w:szCs w:val="16"/>
              </w:rPr>
            </w:pPr>
            <w:r>
              <w:rPr>
                <w:rFonts w:ascii="Arial" w:hAnsi="Arial" w:cs="Arial"/>
                <w:color w:val="000080"/>
                <w:sz w:val="16"/>
                <w:szCs w:val="16"/>
              </w:rPr>
              <w:t xml:space="preserve">Medicamento A: </w:t>
            </w:r>
            <w:r w:rsidR="00271C60" w:rsidRPr="00271C60">
              <w:rPr>
                <w:rFonts w:ascii="Arial" w:hAnsi="Arial" w:cs="Arial"/>
                <w:color w:val="000080"/>
                <w:sz w:val="16"/>
                <w:szCs w:val="16"/>
              </w:rPr>
              <w:t xml:space="preserve">onasemnogen </w:t>
            </w:r>
            <w:r w:rsidRPr="00271C60">
              <w:rPr>
                <w:rFonts w:ascii="Arial" w:hAnsi="Arial" w:cs="Arial"/>
                <w:color w:val="000080"/>
                <w:sz w:val="16"/>
                <w:szCs w:val="16"/>
              </w:rPr>
              <w:t>abeparvovec</w:t>
            </w:r>
          </w:p>
        </w:tc>
      </w:tr>
      <w:tr w:rsidR="00330830" w14:paraId="7A9DC615" w14:textId="77777777" w:rsidTr="0024027B">
        <w:trPr>
          <w:gridAfter w:val="1"/>
          <w:wAfter w:w="584" w:type="dxa"/>
          <w:cantSplit/>
        </w:trPr>
        <w:tc>
          <w:tcPr>
            <w:tcW w:w="194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82DEDA7" w14:textId="0FC3F85C" w:rsidR="00330830"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Tipo de estudio, diseño, ref</w:t>
            </w:r>
            <w:r w:rsidR="00FC19F4">
              <w:rPr>
                <w:rFonts w:ascii="Arial" w:hAnsi="Arial" w:cs="Arial"/>
                <w:color w:val="000080"/>
                <w:sz w:val="16"/>
                <w:szCs w:val="16"/>
              </w:rPr>
              <w:t>:</w:t>
            </w:r>
          </w:p>
        </w:tc>
        <w:tc>
          <w:tcPr>
            <w:tcW w:w="225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AF1C704" w14:textId="328CBA6F" w:rsidR="00330830" w:rsidRDefault="00271C60" w:rsidP="00482C21">
            <w:pPr>
              <w:pStyle w:val="Textoindependiente"/>
              <w:jc w:val="both"/>
              <w:rPr>
                <w:rFonts w:ascii="Arial" w:hAnsi="Arial" w:cs="Arial"/>
                <w:b/>
                <w:bCs/>
                <w:color w:val="000080"/>
                <w:sz w:val="16"/>
                <w:szCs w:val="16"/>
              </w:rPr>
            </w:pPr>
            <w:r w:rsidRPr="00271C60">
              <w:rPr>
                <w:rFonts w:ascii="Arial" w:hAnsi="Arial" w:cs="Arial"/>
                <w:color w:val="000080"/>
                <w:sz w:val="16"/>
                <w:szCs w:val="16"/>
              </w:rPr>
              <w:t>onasemnogen abeparvovec</w:t>
            </w:r>
            <w:r>
              <w:rPr>
                <w:rFonts w:ascii="Arial" w:hAnsi="Arial" w:cs="Arial"/>
                <w:color w:val="000080"/>
                <w:sz w:val="16"/>
                <w:szCs w:val="16"/>
              </w:rPr>
              <w:t xml:space="preserve"> (</w:t>
            </w:r>
            <w:r w:rsidR="00FC19F4">
              <w:rPr>
                <w:rFonts w:ascii="Arial" w:hAnsi="Arial" w:cs="Arial"/>
                <w:color w:val="000080"/>
                <w:sz w:val="16"/>
                <w:szCs w:val="16"/>
              </w:rPr>
              <w:t>n=</w:t>
            </w:r>
            <w:r>
              <w:rPr>
                <w:rFonts w:ascii="Arial" w:hAnsi="Arial" w:cs="Arial"/>
                <w:color w:val="000080"/>
                <w:sz w:val="16"/>
                <w:szCs w:val="16"/>
              </w:rPr>
              <w:t>12</w:t>
            </w:r>
            <w:r w:rsidR="00330830">
              <w:rPr>
                <w:rFonts w:ascii="Arial" w:hAnsi="Arial" w:cs="Arial"/>
                <w:color w:val="000080"/>
                <w:sz w:val="16"/>
                <w:szCs w:val="16"/>
              </w:rPr>
              <w:t>)</w:t>
            </w:r>
          </w:p>
        </w:tc>
        <w:tc>
          <w:tcPr>
            <w:tcW w:w="172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DC1C0F2" w14:textId="7EC60B63" w:rsidR="00330830" w:rsidRPr="00FC19F4" w:rsidRDefault="00271C60" w:rsidP="001F6887">
            <w:pPr>
              <w:pStyle w:val="Textoindependiente"/>
              <w:jc w:val="both"/>
              <w:rPr>
                <w:rFonts w:ascii="Arial" w:hAnsi="Arial" w:cs="Arial"/>
                <w:color w:val="000080"/>
                <w:sz w:val="16"/>
                <w:szCs w:val="16"/>
              </w:rPr>
            </w:pPr>
            <w:r>
              <w:rPr>
                <w:rFonts w:ascii="Arial" w:hAnsi="Arial" w:cs="Arial"/>
                <w:color w:val="000080"/>
                <w:sz w:val="16"/>
                <w:szCs w:val="16"/>
              </w:rPr>
              <w:t>Control (</w:t>
            </w:r>
            <w:r w:rsidR="00FC19F4">
              <w:rPr>
                <w:rFonts w:ascii="Arial" w:hAnsi="Arial" w:cs="Arial"/>
                <w:color w:val="000080"/>
                <w:sz w:val="16"/>
                <w:szCs w:val="16"/>
              </w:rPr>
              <w:t>n=</w:t>
            </w:r>
            <w:r>
              <w:rPr>
                <w:rFonts w:ascii="Arial" w:hAnsi="Arial" w:cs="Arial"/>
                <w:color w:val="000080"/>
                <w:sz w:val="16"/>
                <w:szCs w:val="16"/>
              </w:rPr>
              <w:t>0</w:t>
            </w:r>
            <w:r w:rsidR="00FC19F4">
              <w:rPr>
                <w:rFonts w:ascii="Arial" w:hAnsi="Arial" w:cs="Arial"/>
                <w:color w:val="000080"/>
                <w:sz w:val="16"/>
                <w:szCs w:val="16"/>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E0F6834" w14:textId="3B7EFC4E" w:rsidR="00330830" w:rsidRPr="00D8227F"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Características de los pacientes</w:t>
            </w:r>
          </w:p>
        </w:tc>
        <w:tc>
          <w:tcPr>
            <w:tcW w:w="1733"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01D99B0" w14:textId="0C5EDA1F" w:rsidR="00330830"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 xml:space="preserve">Duración del estudio </w:t>
            </w:r>
          </w:p>
        </w:tc>
      </w:tr>
      <w:tr w:rsidR="00330830" w14:paraId="6BE3B776" w14:textId="77777777" w:rsidTr="0024027B">
        <w:trPr>
          <w:gridAfter w:val="1"/>
          <w:wAfter w:w="584" w:type="dxa"/>
          <w:cantSplit/>
        </w:trPr>
        <w:tc>
          <w:tcPr>
            <w:tcW w:w="1948" w:type="dxa"/>
            <w:gridSpan w:val="2"/>
            <w:tcBorders>
              <w:top w:val="single" w:sz="4" w:space="0" w:color="auto"/>
              <w:left w:val="single" w:sz="4" w:space="0" w:color="auto"/>
              <w:bottom w:val="single" w:sz="4" w:space="0" w:color="auto"/>
              <w:right w:val="single" w:sz="4" w:space="0" w:color="auto"/>
            </w:tcBorders>
          </w:tcPr>
          <w:p w14:paraId="11C508F8" w14:textId="1D063EA2" w:rsidR="00330830" w:rsidRPr="00271C60" w:rsidRDefault="00271C60" w:rsidP="001F6887">
            <w:pPr>
              <w:pStyle w:val="Textoindependiente"/>
              <w:jc w:val="both"/>
              <w:rPr>
                <w:rFonts w:ascii="Arial" w:hAnsi="Arial" w:cs="Arial"/>
                <w:bCs/>
                <w:color w:val="000080"/>
                <w:sz w:val="16"/>
                <w:szCs w:val="16"/>
                <w:lang w:val="pt-BR"/>
              </w:rPr>
            </w:pPr>
            <w:r w:rsidRPr="00271C60">
              <w:rPr>
                <w:rFonts w:ascii="Arial" w:hAnsi="Arial" w:cs="Arial"/>
                <w:bCs/>
                <w:color w:val="000080"/>
                <w:sz w:val="16"/>
                <w:szCs w:val="16"/>
                <w:lang w:val="pt-BR"/>
              </w:rPr>
              <w:t>EC</w:t>
            </w:r>
            <w:r w:rsidR="00330830" w:rsidRPr="00271C60">
              <w:rPr>
                <w:rFonts w:ascii="Arial" w:hAnsi="Arial" w:cs="Arial"/>
                <w:bCs/>
                <w:color w:val="000080"/>
                <w:sz w:val="16"/>
                <w:szCs w:val="16"/>
                <w:lang w:val="pt-BR"/>
              </w:rPr>
              <w:t xml:space="preserve"> </w:t>
            </w:r>
            <w:r w:rsidRPr="00271C60">
              <w:rPr>
                <w:rFonts w:ascii="Arial" w:hAnsi="Arial" w:cs="Arial"/>
                <w:bCs/>
                <w:color w:val="000080"/>
                <w:sz w:val="16"/>
                <w:szCs w:val="16"/>
                <w:lang w:val="pt-BR"/>
              </w:rPr>
              <w:t>fase I, no controlado</w:t>
            </w:r>
          </w:p>
          <w:p w14:paraId="4EF5D6F4" w14:textId="108ED315" w:rsidR="00330830" w:rsidRDefault="00FC19F4" w:rsidP="001F6887">
            <w:pPr>
              <w:pStyle w:val="Textoindependiente"/>
              <w:jc w:val="both"/>
              <w:rPr>
                <w:rFonts w:ascii="Arial" w:hAnsi="Arial" w:cs="Arial"/>
                <w:color w:val="000080"/>
                <w:sz w:val="16"/>
                <w:szCs w:val="16"/>
                <w:lang w:val="pt-BR"/>
              </w:rPr>
            </w:pPr>
            <w:r w:rsidRPr="00FC19F4">
              <w:rPr>
                <w:rFonts w:ascii="Arial" w:hAnsi="Arial" w:cs="Arial"/>
                <w:color w:val="000080"/>
                <w:sz w:val="16"/>
                <w:szCs w:val="16"/>
                <w:lang w:val="pt-BR"/>
              </w:rPr>
              <w:t>AVXS-</w:t>
            </w:r>
            <w:r>
              <w:rPr>
                <w:rFonts w:ascii="Arial" w:hAnsi="Arial" w:cs="Arial"/>
                <w:color w:val="000080"/>
                <w:sz w:val="16"/>
                <w:szCs w:val="16"/>
                <w:lang w:val="pt-BR"/>
              </w:rPr>
              <w:t>101-CL-101; NCT02122952</w:t>
            </w:r>
          </w:p>
        </w:tc>
        <w:tc>
          <w:tcPr>
            <w:tcW w:w="2257" w:type="dxa"/>
            <w:gridSpan w:val="2"/>
            <w:tcBorders>
              <w:top w:val="single" w:sz="4" w:space="0" w:color="auto"/>
              <w:left w:val="single" w:sz="4" w:space="0" w:color="auto"/>
              <w:bottom w:val="single" w:sz="4" w:space="0" w:color="auto"/>
              <w:right w:val="single" w:sz="4" w:space="0" w:color="auto"/>
            </w:tcBorders>
          </w:tcPr>
          <w:p w14:paraId="484425B5" w14:textId="1C21CD8F" w:rsidR="00330830" w:rsidRPr="00271C60" w:rsidRDefault="00271C60" w:rsidP="001F6887">
            <w:pPr>
              <w:pStyle w:val="Textoindependiente"/>
              <w:jc w:val="both"/>
              <w:rPr>
                <w:rFonts w:ascii="Arial" w:hAnsi="Arial" w:cs="Arial"/>
                <w:color w:val="000080"/>
                <w:sz w:val="16"/>
                <w:szCs w:val="16"/>
                <w:lang w:val="pt-BR"/>
              </w:rPr>
            </w:pPr>
            <w:r>
              <w:rPr>
                <w:rFonts w:ascii="Arial" w:hAnsi="Arial" w:cs="Arial"/>
                <w:color w:val="000080"/>
                <w:sz w:val="16"/>
                <w:szCs w:val="16"/>
                <w:lang w:val="pt-BR"/>
              </w:rPr>
              <w:t>Dosis única de 1,1 x 10</w:t>
            </w:r>
            <w:r>
              <w:rPr>
                <w:rFonts w:ascii="Arial" w:hAnsi="Arial" w:cs="Arial"/>
                <w:color w:val="000080"/>
                <w:sz w:val="16"/>
                <w:szCs w:val="16"/>
                <w:vertAlign w:val="superscript"/>
                <w:lang w:val="pt-BR"/>
              </w:rPr>
              <w:t>14</w:t>
            </w:r>
            <w:r>
              <w:rPr>
                <w:rFonts w:ascii="Arial" w:hAnsi="Arial" w:cs="Arial"/>
                <w:color w:val="000080"/>
                <w:sz w:val="16"/>
                <w:szCs w:val="16"/>
                <w:lang w:val="pt-BR"/>
              </w:rPr>
              <w:t xml:space="preserve"> vg/kg</w:t>
            </w:r>
          </w:p>
        </w:tc>
        <w:tc>
          <w:tcPr>
            <w:tcW w:w="1722" w:type="dxa"/>
            <w:gridSpan w:val="2"/>
            <w:tcBorders>
              <w:top w:val="single" w:sz="4" w:space="0" w:color="auto"/>
              <w:left w:val="single" w:sz="4" w:space="0" w:color="auto"/>
              <w:bottom w:val="single" w:sz="4" w:space="0" w:color="auto"/>
              <w:right w:val="single" w:sz="4" w:space="0" w:color="auto"/>
            </w:tcBorders>
          </w:tcPr>
          <w:p w14:paraId="79676D23" w14:textId="57D7A6F0" w:rsidR="00330830" w:rsidRDefault="00271C60" w:rsidP="001F6887">
            <w:pPr>
              <w:pStyle w:val="Textoindependiente"/>
              <w:jc w:val="both"/>
              <w:rPr>
                <w:rFonts w:ascii="Arial" w:hAnsi="Arial" w:cs="Arial"/>
                <w:color w:val="000080"/>
                <w:sz w:val="16"/>
                <w:szCs w:val="16"/>
                <w:lang w:val="pt-BR"/>
              </w:rPr>
            </w:pPr>
            <w:r>
              <w:rPr>
                <w:rFonts w:ascii="Arial" w:hAnsi="Arial" w:cs="Arial"/>
                <w:color w:val="000080"/>
                <w:sz w:val="16"/>
                <w:szCs w:val="16"/>
                <w:lang w:val="pt-BR"/>
              </w:rPr>
              <w:t>--</w:t>
            </w:r>
          </w:p>
        </w:tc>
        <w:tc>
          <w:tcPr>
            <w:tcW w:w="1984" w:type="dxa"/>
            <w:gridSpan w:val="2"/>
            <w:tcBorders>
              <w:top w:val="single" w:sz="4" w:space="0" w:color="auto"/>
              <w:left w:val="single" w:sz="4" w:space="0" w:color="auto"/>
              <w:bottom w:val="single" w:sz="4" w:space="0" w:color="auto"/>
              <w:right w:val="single" w:sz="4" w:space="0" w:color="auto"/>
            </w:tcBorders>
          </w:tcPr>
          <w:p w14:paraId="7AF0E071" w14:textId="3F67C458" w:rsidR="00D8227F" w:rsidRDefault="00FC19F4" w:rsidP="001F6887">
            <w:pPr>
              <w:pStyle w:val="Textoindependiente"/>
              <w:jc w:val="both"/>
              <w:rPr>
                <w:rFonts w:ascii="Arial" w:hAnsi="Arial" w:cs="Arial"/>
                <w:color w:val="000080"/>
                <w:sz w:val="16"/>
                <w:szCs w:val="16"/>
                <w:lang w:val="pt-BR"/>
              </w:rPr>
            </w:pPr>
            <w:r>
              <w:rPr>
                <w:rFonts w:ascii="Arial" w:hAnsi="Arial" w:cs="Arial"/>
                <w:color w:val="000080"/>
                <w:sz w:val="16"/>
                <w:szCs w:val="16"/>
                <w:lang w:val="pt-BR"/>
              </w:rPr>
              <w:t>&lt; 6 meses</w:t>
            </w:r>
            <w:r w:rsidR="0011135F">
              <w:rPr>
                <w:rFonts w:ascii="Arial" w:hAnsi="Arial" w:cs="Arial"/>
                <w:color w:val="000080"/>
                <w:sz w:val="16"/>
                <w:szCs w:val="16"/>
                <w:lang w:val="pt-BR"/>
              </w:rPr>
              <w:t xml:space="preserve">, </w:t>
            </w:r>
            <w:r>
              <w:rPr>
                <w:rFonts w:ascii="Arial" w:hAnsi="Arial" w:cs="Arial"/>
                <w:color w:val="000080"/>
                <w:sz w:val="16"/>
                <w:szCs w:val="16"/>
                <w:lang w:val="pt-BR"/>
              </w:rPr>
              <w:t>AME tipo 1</w:t>
            </w:r>
            <w:r w:rsidR="0011135F">
              <w:rPr>
                <w:rFonts w:ascii="Arial" w:hAnsi="Arial" w:cs="Arial"/>
                <w:color w:val="000080"/>
                <w:sz w:val="16"/>
                <w:szCs w:val="16"/>
                <w:lang w:val="pt-BR"/>
              </w:rPr>
              <w:t xml:space="preserve">, </w:t>
            </w:r>
            <w:r w:rsidR="00D8227F">
              <w:rPr>
                <w:rFonts w:ascii="Arial" w:hAnsi="Arial" w:cs="Arial"/>
                <w:color w:val="000080"/>
                <w:sz w:val="16"/>
                <w:szCs w:val="16"/>
                <w:lang w:val="pt-BR"/>
              </w:rPr>
              <w:t>58,3% mujeres</w:t>
            </w:r>
          </w:p>
          <w:p w14:paraId="0FD2D67F" w14:textId="7C26D887" w:rsidR="0011135F" w:rsidRDefault="0011135F" w:rsidP="001F6887">
            <w:pPr>
              <w:pStyle w:val="Textoindependiente"/>
              <w:jc w:val="both"/>
              <w:rPr>
                <w:rFonts w:ascii="Arial" w:hAnsi="Arial" w:cs="Arial"/>
                <w:color w:val="000080"/>
                <w:sz w:val="16"/>
                <w:szCs w:val="16"/>
                <w:lang w:val="pt-BR"/>
              </w:rPr>
            </w:pPr>
            <w:r>
              <w:rPr>
                <w:rFonts w:ascii="Arial" w:hAnsi="Arial" w:cs="Arial"/>
                <w:color w:val="000080"/>
                <w:sz w:val="16"/>
                <w:szCs w:val="16"/>
                <w:lang w:val="pt-BR"/>
              </w:rPr>
              <w:t>Media CHOP-INTEND a la basal: 28,2</w:t>
            </w:r>
          </w:p>
        </w:tc>
        <w:tc>
          <w:tcPr>
            <w:tcW w:w="1733" w:type="dxa"/>
            <w:gridSpan w:val="2"/>
            <w:tcBorders>
              <w:top w:val="single" w:sz="4" w:space="0" w:color="auto"/>
              <w:left w:val="single" w:sz="4" w:space="0" w:color="auto"/>
              <w:bottom w:val="single" w:sz="4" w:space="0" w:color="auto"/>
              <w:right w:val="single" w:sz="4" w:space="0" w:color="auto"/>
            </w:tcBorders>
          </w:tcPr>
          <w:p w14:paraId="63FED0C9" w14:textId="77777777" w:rsidR="00330830" w:rsidRDefault="00FC19F4" w:rsidP="001F6887">
            <w:pPr>
              <w:pStyle w:val="Textoindependiente"/>
              <w:jc w:val="both"/>
              <w:rPr>
                <w:rFonts w:ascii="Arial" w:hAnsi="Arial" w:cs="Arial"/>
                <w:color w:val="000080"/>
                <w:sz w:val="16"/>
                <w:szCs w:val="16"/>
                <w:lang w:val="pt-BR"/>
              </w:rPr>
            </w:pPr>
            <w:r>
              <w:rPr>
                <w:rFonts w:ascii="Arial" w:hAnsi="Arial" w:cs="Arial"/>
                <w:color w:val="000080"/>
                <w:sz w:val="16"/>
                <w:szCs w:val="16"/>
                <w:lang w:val="pt-BR"/>
              </w:rPr>
              <w:t>24 meses</w:t>
            </w:r>
          </w:p>
          <w:p w14:paraId="267B8681" w14:textId="124AFC2F" w:rsidR="00D8227F" w:rsidRDefault="00D8227F" w:rsidP="001F6887">
            <w:pPr>
              <w:pStyle w:val="Textoindependiente"/>
              <w:jc w:val="both"/>
              <w:rPr>
                <w:rFonts w:ascii="Arial" w:hAnsi="Arial" w:cs="Arial"/>
                <w:color w:val="000080"/>
                <w:sz w:val="16"/>
                <w:szCs w:val="16"/>
                <w:lang w:val="pt-BR"/>
              </w:rPr>
            </w:pPr>
          </w:p>
        </w:tc>
      </w:tr>
      <w:tr w:rsidR="00330830" w14:paraId="5D46269E" w14:textId="77777777" w:rsidTr="0024027B">
        <w:trPr>
          <w:gridAfter w:val="1"/>
          <w:wAfter w:w="584" w:type="dxa"/>
          <w:cantSplit/>
        </w:trPr>
        <w:tc>
          <w:tcPr>
            <w:tcW w:w="9644" w:type="dxa"/>
            <w:gridSpan w:val="10"/>
            <w:tcBorders>
              <w:top w:val="single" w:sz="4" w:space="0" w:color="auto"/>
              <w:left w:val="single" w:sz="4" w:space="0" w:color="auto"/>
              <w:bottom w:val="single" w:sz="4" w:space="0" w:color="auto"/>
              <w:right w:val="single" w:sz="4" w:space="0" w:color="auto"/>
            </w:tcBorders>
            <w:shd w:val="clear" w:color="auto" w:fill="FFFF99"/>
            <w:hideMark/>
          </w:tcPr>
          <w:p w14:paraId="1A021757" w14:textId="36F9CBF6" w:rsidR="00D17AB4"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Medicamento B:</w:t>
            </w:r>
            <w:r w:rsidR="00271C60">
              <w:rPr>
                <w:rFonts w:ascii="Arial" w:hAnsi="Arial" w:cs="Arial"/>
                <w:color w:val="000080"/>
                <w:sz w:val="16"/>
                <w:szCs w:val="16"/>
              </w:rPr>
              <w:t xml:space="preserve"> nusinersen</w:t>
            </w:r>
          </w:p>
        </w:tc>
      </w:tr>
      <w:tr w:rsidR="00330830" w14:paraId="49DC833C" w14:textId="77777777" w:rsidTr="0024027B">
        <w:trPr>
          <w:gridAfter w:val="1"/>
          <w:wAfter w:w="584" w:type="dxa"/>
          <w:cantSplit/>
        </w:trPr>
        <w:tc>
          <w:tcPr>
            <w:tcW w:w="194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7445636" w14:textId="77777777" w:rsidR="00330830"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Tipo de estudio, diseño, ref</w:t>
            </w:r>
          </w:p>
        </w:tc>
        <w:tc>
          <w:tcPr>
            <w:tcW w:w="225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3AC3527" w14:textId="59BEC4BC" w:rsidR="00330830" w:rsidRDefault="00271C60" w:rsidP="001F6887">
            <w:pPr>
              <w:pStyle w:val="Textoindependiente"/>
              <w:jc w:val="both"/>
              <w:rPr>
                <w:rFonts w:ascii="Arial" w:hAnsi="Arial" w:cs="Arial"/>
                <w:color w:val="000080"/>
                <w:sz w:val="16"/>
                <w:szCs w:val="16"/>
              </w:rPr>
            </w:pPr>
            <w:r>
              <w:rPr>
                <w:rFonts w:ascii="Arial" w:hAnsi="Arial" w:cs="Arial"/>
                <w:color w:val="000080"/>
                <w:sz w:val="16"/>
                <w:szCs w:val="16"/>
              </w:rPr>
              <w:t>Nusinersen (</w:t>
            </w:r>
            <w:r w:rsidR="00FC19F4">
              <w:rPr>
                <w:rFonts w:ascii="Arial" w:hAnsi="Arial" w:cs="Arial"/>
                <w:color w:val="000080"/>
                <w:sz w:val="16"/>
                <w:szCs w:val="16"/>
              </w:rPr>
              <w:t>n=</w:t>
            </w:r>
            <w:r>
              <w:rPr>
                <w:rFonts w:ascii="Arial" w:hAnsi="Arial" w:cs="Arial"/>
                <w:color w:val="000080"/>
                <w:sz w:val="16"/>
                <w:szCs w:val="16"/>
              </w:rPr>
              <w:t>80</w:t>
            </w:r>
            <w:r w:rsidR="00330830">
              <w:rPr>
                <w:rFonts w:ascii="Arial" w:hAnsi="Arial" w:cs="Arial"/>
                <w:color w:val="000080"/>
                <w:sz w:val="16"/>
                <w:szCs w:val="16"/>
              </w:rPr>
              <w:t>)</w:t>
            </w:r>
          </w:p>
          <w:p w14:paraId="407FE359" w14:textId="5A8D25A0" w:rsidR="00330830" w:rsidRDefault="00330830" w:rsidP="001F6887">
            <w:pPr>
              <w:pStyle w:val="Textoindependiente"/>
              <w:jc w:val="both"/>
              <w:rPr>
                <w:rFonts w:ascii="Arial" w:hAnsi="Arial" w:cs="Arial"/>
                <w:b/>
                <w:bCs/>
                <w:color w:val="000080"/>
                <w:sz w:val="16"/>
                <w:szCs w:val="16"/>
              </w:rPr>
            </w:pPr>
          </w:p>
        </w:tc>
        <w:tc>
          <w:tcPr>
            <w:tcW w:w="172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541A06E" w14:textId="099D4F70" w:rsidR="00330830" w:rsidRDefault="00271C60" w:rsidP="001F6887">
            <w:pPr>
              <w:pStyle w:val="Textoindependiente"/>
              <w:jc w:val="both"/>
              <w:rPr>
                <w:rFonts w:ascii="Arial" w:hAnsi="Arial" w:cs="Arial"/>
                <w:color w:val="000080"/>
                <w:sz w:val="16"/>
                <w:szCs w:val="16"/>
              </w:rPr>
            </w:pPr>
            <w:r>
              <w:rPr>
                <w:rFonts w:ascii="Arial" w:hAnsi="Arial" w:cs="Arial"/>
                <w:color w:val="000080"/>
                <w:sz w:val="16"/>
                <w:szCs w:val="16"/>
              </w:rPr>
              <w:t>Placebo (</w:t>
            </w:r>
            <w:r w:rsidR="00FC19F4">
              <w:rPr>
                <w:rFonts w:ascii="Arial" w:hAnsi="Arial" w:cs="Arial"/>
                <w:color w:val="000080"/>
                <w:sz w:val="16"/>
                <w:szCs w:val="16"/>
              </w:rPr>
              <w:t>n=</w:t>
            </w:r>
            <w:r>
              <w:rPr>
                <w:rFonts w:ascii="Arial" w:hAnsi="Arial" w:cs="Arial"/>
                <w:color w:val="000080"/>
                <w:sz w:val="16"/>
                <w:szCs w:val="16"/>
              </w:rPr>
              <w:t>41</w:t>
            </w:r>
            <w:r w:rsidR="00330830">
              <w:rPr>
                <w:rFonts w:ascii="Arial" w:hAnsi="Arial" w:cs="Arial"/>
                <w:color w:val="000080"/>
                <w:sz w:val="16"/>
                <w:szCs w:val="16"/>
              </w:rPr>
              <w:t>)</w:t>
            </w:r>
          </w:p>
          <w:p w14:paraId="41B4604C" w14:textId="73E95D76" w:rsidR="00330830" w:rsidRDefault="00330830" w:rsidP="001F6887">
            <w:pPr>
              <w:pStyle w:val="Textoindependiente"/>
              <w:jc w:val="both"/>
              <w:rPr>
                <w:rFonts w:ascii="Arial" w:hAnsi="Arial" w:cs="Arial"/>
                <w:b/>
                <w:bCs/>
                <w:color w:val="000080"/>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B7FAD35" w14:textId="13EE7A5D" w:rsidR="00330830" w:rsidRPr="00D8227F"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Características de los pacientes</w:t>
            </w:r>
          </w:p>
        </w:tc>
        <w:tc>
          <w:tcPr>
            <w:tcW w:w="1733"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C24C66A" w14:textId="35014272" w:rsidR="00330830" w:rsidRDefault="00D8227F" w:rsidP="001F6887">
            <w:pPr>
              <w:pStyle w:val="Textoindependiente"/>
              <w:jc w:val="both"/>
              <w:rPr>
                <w:rFonts w:ascii="Arial" w:hAnsi="Arial" w:cs="Arial"/>
                <w:color w:val="000080"/>
                <w:sz w:val="16"/>
                <w:szCs w:val="16"/>
              </w:rPr>
            </w:pPr>
            <w:r>
              <w:rPr>
                <w:rFonts w:ascii="Arial" w:hAnsi="Arial" w:cs="Arial"/>
                <w:color w:val="000080"/>
                <w:sz w:val="16"/>
                <w:szCs w:val="16"/>
              </w:rPr>
              <w:t>Duración del estudio</w:t>
            </w:r>
          </w:p>
        </w:tc>
      </w:tr>
      <w:tr w:rsidR="00330830" w14:paraId="61251AD7" w14:textId="77777777" w:rsidTr="0024027B">
        <w:trPr>
          <w:gridAfter w:val="1"/>
          <w:wAfter w:w="584" w:type="dxa"/>
          <w:cantSplit/>
        </w:trPr>
        <w:tc>
          <w:tcPr>
            <w:tcW w:w="1948" w:type="dxa"/>
            <w:gridSpan w:val="2"/>
            <w:tcBorders>
              <w:top w:val="single" w:sz="4" w:space="0" w:color="auto"/>
              <w:left w:val="single" w:sz="4" w:space="0" w:color="auto"/>
              <w:bottom w:val="single" w:sz="4" w:space="0" w:color="auto"/>
              <w:right w:val="single" w:sz="4" w:space="0" w:color="auto"/>
            </w:tcBorders>
          </w:tcPr>
          <w:p w14:paraId="2BA36D83" w14:textId="607AF232" w:rsidR="00330830" w:rsidRDefault="00271C60" w:rsidP="001F6887">
            <w:pPr>
              <w:pStyle w:val="Textoindependiente"/>
              <w:jc w:val="both"/>
              <w:rPr>
                <w:rFonts w:ascii="Arial" w:hAnsi="Arial" w:cs="Arial"/>
                <w:color w:val="000080"/>
                <w:sz w:val="16"/>
                <w:szCs w:val="16"/>
              </w:rPr>
            </w:pPr>
            <w:r>
              <w:rPr>
                <w:rFonts w:ascii="Arial" w:hAnsi="Arial" w:cs="Arial"/>
                <w:color w:val="000080"/>
                <w:sz w:val="16"/>
                <w:szCs w:val="16"/>
              </w:rPr>
              <w:t>EC fase III, controlado con placebo</w:t>
            </w:r>
          </w:p>
          <w:p w14:paraId="37AD16D4" w14:textId="4A7D805F" w:rsidR="00330830" w:rsidRDefault="00FC19F4" w:rsidP="001F6887">
            <w:pPr>
              <w:pStyle w:val="Textoindependiente"/>
              <w:jc w:val="both"/>
              <w:rPr>
                <w:rFonts w:ascii="Arial" w:hAnsi="Arial" w:cs="Arial"/>
                <w:color w:val="000080"/>
                <w:sz w:val="16"/>
                <w:szCs w:val="16"/>
              </w:rPr>
            </w:pPr>
            <w:r w:rsidRPr="00FC19F4">
              <w:rPr>
                <w:rFonts w:ascii="Arial" w:hAnsi="Arial" w:cs="Arial"/>
                <w:color w:val="000080"/>
                <w:sz w:val="16"/>
                <w:szCs w:val="16"/>
                <w:lang w:val="pt-BR"/>
              </w:rPr>
              <w:t>ENDEAR; NCT02193074</w:t>
            </w:r>
          </w:p>
        </w:tc>
        <w:tc>
          <w:tcPr>
            <w:tcW w:w="2257" w:type="dxa"/>
            <w:gridSpan w:val="2"/>
            <w:tcBorders>
              <w:top w:val="single" w:sz="4" w:space="0" w:color="auto"/>
              <w:left w:val="single" w:sz="4" w:space="0" w:color="auto"/>
              <w:bottom w:val="single" w:sz="4" w:space="0" w:color="auto"/>
              <w:right w:val="single" w:sz="4" w:space="0" w:color="auto"/>
            </w:tcBorders>
          </w:tcPr>
          <w:p w14:paraId="06518D80" w14:textId="2813BD99" w:rsidR="00330830" w:rsidRDefault="00271C60" w:rsidP="001F6887">
            <w:pPr>
              <w:pStyle w:val="Textoindependiente"/>
              <w:jc w:val="both"/>
              <w:rPr>
                <w:rFonts w:ascii="Arial" w:hAnsi="Arial" w:cs="Arial"/>
                <w:color w:val="000080"/>
                <w:sz w:val="16"/>
                <w:szCs w:val="16"/>
              </w:rPr>
            </w:pPr>
            <w:r>
              <w:rPr>
                <w:rFonts w:ascii="Arial" w:hAnsi="Arial" w:cs="Arial"/>
                <w:color w:val="000080"/>
                <w:sz w:val="16"/>
                <w:szCs w:val="16"/>
              </w:rPr>
              <w:t>12 mg IT días 0, 14, 28 y 63 y después cada 4 meses</w:t>
            </w:r>
          </w:p>
        </w:tc>
        <w:tc>
          <w:tcPr>
            <w:tcW w:w="1722" w:type="dxa"/>
            <w:gridSpan w:val="2"/>
            <w:tcBorders>
              <w:top w:val="single" w:sz="4" w:space="0" w:color="auto"/>
              <w:left w:val="single" w:sz="4" w:space="0" w:color="auto"/>
              <w:bottom w:val="single" w:sz="4" w:space="0" w:color="auto"/>
              <w:right w:val="single" w:sz="4" w:space="0" w:color="auto"/>
            </w:tcBorders>
          </w:tcPr>
          <w:p w14:paraId="01AE09BF" w14:textId="59D3CD16" w:rsidR="00330830" w:rsidRDefault="00271C60" w:rsidP="001F6887">
            <w:pPr>
              <w:pStyle w:val="Textoindependiente"/>
              <w:jc w:val="both"/>
              <w:rPr>
                <w:rFonts w:ascii="Arial" w:hAnsi="Arial" w:cs="Arial"/>
                <w:color w:val="000080"/>
                <w:sz w:val="16"/>
                <w:szCs w:val="16"/>
              </w:rPr>
            </w:pPr>
            <w:r>
              <w:rPr>
                <w:rFonts w:ascii="Arial" w:hAnsi="Arial" w:cs="Arial"/>
                <w:color w:val="000080"/>
                <w:sz w:val="16"/>
                <w:szCs w:val="16"/>
              </w:rPr>
              <w:t>Placebo IT días 0, 14, 28 y 63 y después cada 4 meses</w:t>
            </w:r>
          </w:p>
        </w:tc>
        <w:tc>
          <w:tcPr>
            <w:tcW w:w="1984" w:type="dxa"/>
            <w:gridSpan w:val="2"/>
            <w:tcBorders>
              <w:top w:val="single" w:sz="4" w:space="0" w:color="auto"/>
              <w:left w:val="single" w:sz="4" w:space="0" w:color="auto"/>
              <w:bottom w:val="single" w:sz="4" w:space="0" w:color="auto"/>
              <w:right w:val="single" w:sz="4" w:space="0" w:color="auto"/>
            </w:tcBorders>
          </w:tcPr>
          <w:p w14:paraId="2E05584F" w14:textId="77777777" w:rsidR="0011135F" w:rsidRDefault="00FC19F4" w:rsidP="001F6887">
            <w:pPr>
              <w:pStyle w:val="Textoindependiente"/>
              <w:jc w:val="both"/>
              <w:rPr>
                <w:rFonts w:ascii="Arial" w:hAnsi="Arial" w:cs="Arial"/>
                <w:color w:val="000080"/>
                <w:sz w:val="16"/>
                <w:szCs w:val="16"/>
                <w:lang w:val="pt-BR"/>
              </w:rPr>
            </w:pPr>
            <w:r>
              <w:rPr>
                <w:rFonts w:ascii="Arial" w:hAnsi="Arial" w:cs="Arial"/>
                <w:color w:val="000080"/>
                <w:sz w:val="16"/>
                <w:szCs w:val="16"/>
              </w:rPr>
              <w:t>&lt; 7 meses</w:t>
            </w:r>
            <w:r w:rsidR="0011135F">
              <w:rPr>
                <w:rFonts w:ascii="Arial" w:hAnsi="Arial" w:cs="Arial"/>
                <w:color w:val="000080"/>
                <w:sz w:val="16"/>
                <w:szCs w:val="16"/>
              </w:rPr>
              <w:t xml:space="preserve">, </w:t>
            </w:r>
            <w:r>
              <w:rPr>
                <w:rFonts w:ascii="Arial" w:hAnsi="Arial" w:cs="Arial"/>
                <w:color w:val="000080"/>
                <w:sz w:val="16"/>
                <w:szCs w:val="16"/>
              </w:rPr>
              <w:t>AME tipo 1</w:t>
            </w:r>
            <w:r w:rsidR="0011135F">
              <w:rPr>
                <w:rFonts w:ascii="Arial" w:hAnsi="Arial" w:cs="Arial"/>
                <w:color w:val="000080"/>
                <w:sz w:val="16"/>
                <w:szCs w:val="16"/>
              </w:rPr>
              <w:t xml:space="preserve">, </w:t>
            </w:r>
            <w:r w:rsidR="00D8227F">
              <w:rPr>
                <w:rFonts w:ascii="Arial" w:hAnsi="Arial" w:cs="Arial"/>
                <w:color w:val="000080"/>
                <w:sz w:val="16"/>
                <w:szCs w:val="16"/>
                <w:lang w:val="pt-BR"/>
              </w:rPr>
              <w:t>53,8% mujeres</w:t>
            </w:r>
          </w:p>
          <w:p w14:paraId="0CB8983E" w14:textId="5610AE16" w:rsidR="00FC19F4" w:rsidRDefault="0011135F" w:rsidP="001F6887">
            <w:pPr>
              <w:pStyle w:val="Textoindependiente"/>
              <w:jc w:val="both"/>
              <w:rPr>
                <w:rFonts w:ascii="Arial" w:hAnsi="Arial" w:cs="Arial"/>
                <w:color w:val="000080"/>
                <w:sz w:val="16"/>
                <w:szCs w:val="16"/>
              </w:rPr>
            </w:pPr>
            <w:r>
              <w:rPr>
                <w:rFonts w:ascii="Arial" w:hAnsi="Arial" w:cs="Arial"/>
                <w:color w:val="000080"/>
                <w:sz w:val="16"/>
                <w:szCs w:val="16"/>
                <w:lang w:val="pt-BR"/>
              </w:rPr>
              <w:t>Media CHOP-INTEND a la basal: 26,6</w:t>
            </w:r>
          </w:p>
        </w:tc>
        <w:tc>
          <w:tcPr>
            <w:tcW w:w="1733" w:type="dxa"/>
            <w:gridSpan w:val="2"/>
            <w:tcBorders>
              <w:top w:val="single" w:sz="4" w:space="0" w:color="auto"/>
              <w:left w:val="single" w:sz="4" w:space="0" w:color="auto"/>
              <w:bottom w:val="single" w:sz="4" w:space="0" w:color="auto"/>
              <w:right w:val="single" w:sz="4" w:space="0" w:color="auto"/>
            </w:tcBorders>
          </w:tcPr>
          <w:p w14:paraId="20B52A51" w14:textId="7B6DE4D4" w:rsidR="00330830" w:rsidRDefault="00D8227F" w:rsidP="001F6887">
            <w:pPr>
              <w:pStyle w:val="Textoindependiente"/>
              <w:jc w:val="both"/>
              <w:rPr>
                <w:rFonts w:ascii="Arial" w:hAnsi="Arial" w:cs="Arial"/>
                <w:color w:val="000080"/>
                <w:sz w:val="16"/>
                <w:szCs w:val="16"/>
              </w:rPr>
            </w:pPr>
            <w:r>
              <w:rPr>
                <w:rFonts w:ascii="Arial" w:hAnsi="Arial" w:cs="Arial"/>
                <w:color w:val="000080"/>
                <w:sz w:val="16"/>
                <w:szCs w:val="16"/>
              </w:rPr>
              <w:t>13</w:t>
            </w:r>
            <w:r w:rsidR="00FC19F4">
              <w:rPr>
                <w:rFonts w:ascii="Arial" w:hAnsi="Arial" w:cs="Arial"/>
                <w:color w:val="000080"/>
                <w:sz w:val="16"/>
                <w:szCs w:val="16"/>
              </w:rPr>
              <w:t xml:space="preserve"> meses</w:t>
            </w:r>
          </w:p>
        </w:tc>
      </w:tr>
      <w:tr w:rsidR="00330830" w14:paraId="7F7D003F" w14:textId="77777777" w:rsidTr="0024027B">
        <w:trPr>
          <w:gridAfter w:val="1"/>
          <w:wAfter w:w="584" w:type="dxa"/>
          <w:cantSplit/>
        </w:trPr>
        <w:tc>
          <w:tcPr>
            <w:tcW w:w="9644" w:type="dxa"/>
            <w:gridSpan w:val="10"/>
            <w:tcBorders>
              <w:top w:val="single" w:sz="4" w:space="0" w:color="auto"/>
              <w:left w:val="single" w:sz="4" w:space="0" w:color="auto"/>
              <w:bottom w:val="single" w:sz="4" w:space="0" w:color="auto"/>
              <w:right w:val="single" w:sz="4" w:space="0" w:color="auto"/>
            </w:tcBorders>
            <w:shd w:val="clear" w:color="auto" w:fill="FFFF99"/>
            <w:hideMark/>
          </w:tcPr>
          <w:p w14:paraId="0431A469" w14:textId="1FED8423" w:rsidR="00330830"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 xml:space="preserve">COMPARACIÓN DIRECTA:       SI </w:t>
            </w:r>
            <w:r>
              <w:rPr>
                <w:rFonts w:ascii="Arial" w:hAnsi="Arial" w:cs="Arial"/>
                <w:noProof/>
                <w:color w:val="000080"/>
                <w:sz w:val="16"/>
                <w:szCs w:val="16"/>
              </w:rPr>
              <mc:AlternateContent>
                <mc:Choice Requires="wps">
                  <w:drawing>
                    <wp:inline distT="0" distB="0" distL="0" distR="0" wp14:anchorId="16C8B28B" wp14:editId="60FE897E">
                      <wp:extent cx="114300" cy="114300"/>
                      <wp:effectExtent l="9525" t="9525" r="9525" b="9525"/>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92A1300" w14:textId="77777777" w:rsidR="00A22536" w:rsidRDefault="00A22536" w:rsidP="00330830">
                                  <w:pPr>
                                    <w:rPr>
                                      <w:sz w:val="16"/>
                                      <w:szCs w:val="16"/>
                                    </w:rPr>
                                  </w:pPr>
                                </w:p>
                              </w:txbxContent>
                            </wps:txbx>
                            <wps:bodyPr rot="0" vert="horz" wrap="square" lIns="0" tIns="0" rIns="0" bIns="0" anchor="t" anchorCtr="0" upright="1">
                              <a:noAutofit/>
                            </wps:bodyPr>
                          </wps:wsp>
                        </a:graphicData>
                      </a:graphic>
                    </wp:inline>
                  </w:drawing>
                </mc:Choice>
                <mc:Fallback>
                  <w:pict>
                    <v:shape w14:anchorId="16C8B28B" id="Cuadro de texto 14" o:spid="_x0000_s1029"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">
                      <v:textbox inset="0,0,0,0">
                        <w:txbxContent>
                          <w:p w14:paraId="392A1300" w14:textId="77777777" w:rsidR="00A22536" w:rsidRDefault="00A22536" w:rsidP="00330830">
                            <w:pPr>
                              <w:rPr>
                                <w:sz w:val="16"/>
                                <w:szCs w:val="16"/>
                              </w:rPr>
                            </w:pPr>
                          </w:p>
                        </w:txbxContent>
                      </v:textbox>
                      <w10:anchorlock/>
                    </v:shape>
                  </w:pict>
                </mc:Fallback>
              </mc:AlternateContent>
            </w:r>
            <w:r>
              <w:rPr>
                <w:rFonts w:ascii="Arial" w:hAnsi="Arial" w:cs="Arial"/>
                <w:color w:val="000080"/>
                <w:sz w:val="16"/>
                <w:szCs w:val="16"/>
              </w:rPr>
              <w:t xml:space="preserve">            NO </w:t>
            </w:r>
            <w:r>
              <w:rPr>
                <w:rFonts w:ascii="Arial" w:hAnsi="Arial" w:cs="Arial"/>
                <w:noProof/>
                <w:color w:val="000080"/>
                <w:sz w:val="16"/>
                <w:szCs w:val="16"/>
              </w:rPr>
              <mc:AlternateContent>
                <mc:Choice Requires="wps">
                  <w:drawing>
                    <wp:inline distT="0" distB="0" distL="0" distR="0" wp14:anchorId="2C764F32" wp14:editId="33E186DE">
                      <wp:extent cx="114300" cy="114300"/>
                      <wp:effectExtent l="9525" t="9525" r="9525" b="9525"/>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7377684C" w14:textId="677E1FFE" w:rsidR="00A22536" w:rsidRPr="00D8227F" w:rsidRDefault="00A22536" w:rsidP="00330830">
                                  <w:pPr>
                                    <w:rPr>
                                      <w:rFonts w:ascii="Arial" w:hAnsi="Arial" w:cs="Arial"/>
                                      <w:sz w:val="18"/>
                                      <w:szCs w:val="16"/>
                                    </w:rPr>
                                  </w:pPr>
                                  <w:r w:rsidRPr="00D8227F">
                                    <w:rPr>
                                      <w:rFonts w:ascii="Arial" w:hAnsi="Arial" w:cs="Arial"/>
                                      <w:sz w:val="18"/>
                                      <w:szCs w:val="16"/>
                                    </w:rPr>
                                    <w:t xml:space="preserve"> x</w:t>
                                  </w:r>
                                </w:p>
                              </w:txbxContent>
                            </wps:txbx>
                            <wps:bodyPr rot="0" vert="horz" wrap="square" lIns="0" tIns="0" rIns="0" bIns="0" anchor="t" anchorCtr="0" upright="1">
                              <a:noAutofit/>
                            </wps:bodyPr>
                          </wps:wsp>
                        </a:graphicData>
                      </a:graphic>
                    </wp:inline>
                  </w:drawing>
                </mc:Choice>
                <mc:Fallback>
                  <w:pict>
                    <v:shape w14:anchorId="2C764F32" id="Cuadro de texto 13" o:spid="_x0000_s1030"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">
                      <v:textbox inset="0,0,0,0">
                        <w:txbxContent>
                          <w:p w14:paraId="7377684C" w14:textId="677E1FFE" w:rsidR="00A22536" w:rsidRPr="00D8227F" w:rsidRDefault="00A22536" w:rsidP="00330830">
                            <w:pPr>
                              <w:rPr>
                                <w:rFonts w:ascii="Arial" w:hAnsi="Arial" w:cs="Arial"/>
                                <w:sz w:val="18"/>
                                <w:szCs w:val="16"/>
                              </w:rPr>
                            </w:pPr>
                            <w:r w:rsidRPr="00D8227F">
                              <w:rPr>
                                <w:rFonts w:ascii="Arial" w:hAnsi="Arial" w:cs="Arial"/>
                                <w:sz w:val="18"/>
                                <w:szCs w:val="16"/>
                              </w:rPr>
                              <w:t xml:space="preserve"> x</w:t>
                            </w:r>
                          </w:p>
                        </w:txbxContent>
                      </v:textbox>
                      <w10:anchorlock/>
                    </v:shape>
                  </w:pict>
                </mc:Fallback>
              </mc:AlternateContent>
            </w:r>
          </w:p>
        </w:tc>
      </w:tr>
      <w:tr w:rsidR="00330830" w14:paraId="02AB273E" w14:textId="77777777" w:rsidTr="0024027B">
        <w:trPr>
          <w:gridAfter w:val="1"/>
          <w:wAfter w:w="584" w:type="dxa"/>
          <w:cantSplit/>
        </w:trPr>
        <w:tc>
          <w:tcPr>
            <w:tcW w:w="9644" w:type="dxa"/>
            <w:gridSpan w:val="10"/>
            <w:tcBorders>
              <w:top w:val="single" w:sz="4" w:space="0" w:color="auto"/>
              <w:left w:val="single" w:sz="4" w:space="0" w:color="auto"/>
              <w:bottom w:val="single" w:sz="4" w:space="0" w:color="auto"/>
              <w:right w:val="single" w:sz="4" w:space="0" w:color="auto"/>
            </w:tcBorders>
            <w:shd w:val="clear" w:color="auto" w:fill="FFFF99"/>
            <w:hideMark/>
          </w:tcPr>
          <w:p w14:paraId="082B5D69" w14:textId="77777777" w:rsidR="00330830" w:rsidRDefault="00330830" w:rsidP="001F6887">
            <w:pPr>
              <w:pStyle w:val="Textoindependiente"/>
              <w:jc w:val="both"/>
              <w:rPr>
                <w:rFonts w:ascii="Arial" w:hAnsi="Arial" w:cs="Arial"/>
                <w:b/>
                <w:bCs/>
                <w:color w:val="000080"/>
                <w:sz w:val="16"/>
                <w:szCs w:val="16"/>
              </w:rPr>
            </w:pPr>
            <w:r>
              <w:rPr>
                <w:rFonts w:ascii="Arial" w:hAnsi="Arial" w:cs="Arial"/>
                <w:b/>
                <w:bCs/>
                <w:color w:val="000080"/>
                <w:sz w:val="16"/>
                <w:szCs w:val="16"/>
              </w:rPr>
              <w:t>MÉTODOS USADOS PARA REALIZAR LA COMPARACIÓN INDIRECTA</w:t>
            </w:r>
          </w:p>
        </w:tc>
      </w:tr>
      <w:tr w:rsidR="00330830" w14:paraId="14DDCA44" w14:textId="77777777" w:rsidTr="0024027B">
        <w:trPr>
          <w:gridAfter w:val="1"/>
          <w:wAfter w:w="584" w:type="dxa"/>
          <w:cantSplit/>
        </w:trPr>
        <w:tc>
          <w:tcPr>
            <w:tcW w:w="9644" w:type="dxa"/>
            <w:gridSpan w:val="10"/>
            <w:tcBorders>
              <w:top w:val="single" w:sz="4" w:space="0" w:color="auto"/>
              <w:left w:val="single" w:sz="4" w:space="0" w:color="auto"/>
              <w:bottom w:val="single" w:sz="4" w:space="0" w:color="auto"/>
              <w:right w:val="single" w:sz="4" w:space="0" w:color="auto"/>
            </w:tcBorders>
          </w:tcPr>
          <w:p w14:paraId="7B0D1B6F" w14:textId="401AD5AD" w:rsidR="00330830"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 xml:space="preserve">Bucher                           </w:t>
            </w:r>
            <w:r>
              <w:rPr>
                <w:rFonts w:ascii="Arial" w:hAnsi="Arial" w:cs="Arial"/>
                <w:noProof/>
                <w:color w:val="000080"/>
                <w:sz w:val="16"/>
                <w:szCs w:val="16"/>
              </w:rPr>
              <mc:AlternateContent>
                <mc:Choice Requires="wps">
                  <w:drawing>
                    <wp:inline distT="0" distB="0" distL="0" distR="0" wp14:anchorId="51C8FCB1" wp14:editId="52C73A77">
                      <wp:extent cx="114300" cy="114300"/>
                      <wp:effectExtent l="9525" t="9525" r="9525" b="9525"/>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76770805" w14:textId="77777777" w:rsidR="00A22536" w:rsidRDefault="00A22536" w:rsidP="00330830">
                                  <w:pPr>
                                    <w:rPr>
                                      <w:sz w:val="16"/>
                                      <w:szCs w:val="16"/>
                                    </w:rPr>
                                  </w:pPr>
                                </w:p>
                              </w:txbxContent>
                            </wps:txbx>
                            <wps:bodyPr rot="0" vert="horz" wrap="square" lIns="0" tIns="0" rIns="0" bIns="0" anchor="t" anchorCtr="0" upright="1">
                              <a:noAutofit/>
                            </wps:bodyPr>
                          </wps:wsp>
                        </a:graphicData>
                      </a:graphic>
                    </wp:inline>
                  </w:drawing>
                </mc:Choice>
                <mc:Fallback>
                  <w:pict>
                    <v:shape w14:anchorId="51C8FCB1" id="Cuadro de texto 9" o:spid="_x0000_s1031"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">
                      <v:textbox inset="0,0,0,0">
                        <w:txbxContent>
                          <w:p w14:paraId="76770805" w14:textId="77777777" w:rsidR="00A22536" w:rsidRDefault="00A22536" w:rsidP="00330830">
                            <w:pPr>
                              <w:rPr>
                                <w:sz w:val="16"/>
                                <w:szCs w:val="16"/>
                              </w:rPr>
                            </w:pPr>
                          </w:p>
                        </w:txbxContent>
                      </v:textbox>
                      <w10:anchorlock/>
                    </v:shape>
                  </w:pict>
                </mc:Fallback>
              </mc:AlternateContent>
            </w:r>
            <w:r>
              <w:rPr>
                <w:rFonts w:ascii="Arial" w:hAnsi="Arial" w:cs="Arial"/>
                <w:color w:val="000080"/>
                <w:sz w:val="16"/>
                <w:szCs w:val="16"/>
              </w:rPr>
              <w:t xml:space="preserve">            Bayesiano </w:t>
            </w:r>
            <w:r>
              <w:rPr>
                <w:rFonts w:ascii="Arial" w:hAnsi="Arial" w:cs="Arial"/>
                <w:noProof/>
                <w:color w:val="000080"/>
                <w:sz w:val="16"/>
                <w:szCs w:val="16"/>
              </w:rPr>
              <mc:AlternateContent>
                <mc:Choice Requires="wps">
                  <w:drawing>
                    <wp:inline distT="0" distB="0" distL="0" distR="0" wp14:anchorId="2692EFBD" wp14:editId="51D22C0D">
                      <wp:extent cx="114300" cy="114300"/>
                      <wp:effectExtent l="9525" t="9525" r="9525" b="9525"/>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52EA1C04" w14:textId="0B224B59" w:rsidR="00A22536" w:rsidRPr="00D8227F" w:rsidRDefault="00A22536" w:rsidP="00330830">
                                  <w:pPr>
                                    <w:rPr>
                                      <w:rFonts w:ascii="Arial" w:hAnsi="Arial" w:cs="Arial"/>
                                      <w:sz w:val="16"/>
                                      <w:szCs w:val="16"/>
                                    </w:rPr>
                                  </w:pPr>
                                  <w:r>
                                    <w:rPr>
                                      <w:sz w:val="16"/>
                                      <w:szCs w:val="16"/>
                                    </w:rPr>
                                    <w:t xml:space="preserve"> </w:t>
                                  </w:r>
                                  <w:r w:rsidRPr="00D8227F">
                                    <w:rPr>
                                      <w:rFonts w:ascii="Arial" w:hAnsi="Arial" w:cs="Arial"/>
                                      <w:sz w:val="16"/>
                                      <w:szCs w:val="16"/>
                                    </w:rPr>
                                    <w:t>x</w:t>
                                  </w:r>
                                </w:p>
                              </w:txbxContent>
                            </wps:txbx>
                            <wps:bodyPr rot="0" vert="horz" wrap="square" lIns="0" tIns="0" rIns="0" bIns="0" anchor="t" anchorCtr="0" upright="1">
                              <a:noAutofit/>
                            </wps:bodyPr>
                          </wps:wsp>
                        </a:graphicData>
                      </a:graphic>
                    </wp:inline>
                  </w:drawing>
                </mc:Choice>
                <mc:Fallback>
                  <w:pict>
                    <v:shape w14:anchorId="2692EFBD" id="Cuadro de texto 8" o:spid="_x0000_s1032"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">
                      <v:textbox inset="0,0,0,0">
                        <w:txbxContent>
                          <w:p w14:paraId="52EA1C04" w14:textId="0B224B59" w:rsidR="00A22536" w:rsidRPr="00D8227F" w:rsidRDefault="00A22536" w:rsidP="00330830">
                            <w:pPr>
                              <w:rPr>
                                <w:rFonts w:ascii="Arial" w:hAnsi="Arial" w:cs="Arial"/>
                                <w:sz w:val="16"/>
                                <w:szCs w:val="16"/>
                              </w:rPr>
                            </w:pPr>
                            <w:r>
                              <w:rPr>
                                <w:sz w:val="16"/>
                                <w:szCs w:val="16"/>
                              </w:rPr>
                              <w:t xml:space="preserve"> </w:t>
                            </w:r>
                            <w:r w:rsidRPr="00D8227F">
                              <w:rPr>
                                <w:rFonts w:ascii="Arial" w:hAnsi="Arial" w:cs="Arial"/>
                                <w:sz w:val="16"/>
                                <w:szCs w:val="16"/>
                              </w:rPr>
                              <w:t>x</w:t>
                            </w:r>
                          </w:p>
                        </w:txbxContent>
                      </v:textbox>
                      <w10:anchorlock/>
                    </v:shape>
                  </w:pict>
                </mc:Fallback>
              </mc:AlternateContent>
            </w:r>
            <w:r>
              <w:rPr>
                <w:rFonts w:ascii="Arial" w:hAnsi="Arial" w:cs="Arial"/>
                <w:color w:val="000080"/>
                <w:sz w:val="16"/>
                <w:szCs w:val="16"/>
              </w:rPr>
              <w:t xml:space="preserve">           Frecuentista  </w:t>
            </w:r>
            <w:r>
              <w:rPr>
                <w:rFonts w:ascii="Arial" w:hAnsi="Arial" w:cs="Arial"/>
                <w:noProof/>
                <w:color w:val="000080"/>
                <w:sz w:val="16"/>
                <w:szCs w:val="16"/>
              </w:rPr>
              <mc:AlternateContent>
                <mc:Choice Requires="wps">
                  <w:drawing>
                    <wp:inline distT="0" distB="0" distL="0" distR="0" wp14:anchorId="6E03EC8A" wp14:editId="00C16280">
                      <wp:extent cx="114300" cy="114300"/>
                      <wp:effectExtent l="9525" t="9525" r="9525" b="9525"/>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4662C58F" w14:textId="47665D54" w:rsidR="00A22536" w:rsidRPr="00D8227F" w:rsidRDefault="00A22536" w:rsidP="00330830">
                                  <w:pPr>
                                    <w:rPr>
                                      <w:rFonts w:ascii="Arial" w:hAnsi="Arial" w:cs="Arial"/>
                                      <w:sz w:val="16"/>
                                      <w:szCs w:val="16"/>
                                    </w:rPr>
                                  </w:pPr>
                                  <w:r>
                                    <w:rPr>
                                      <w:sz w:val="16"/>
                                      <w:szCs w:val="16"/>
                                    </w:rPr>
                                    <w:t xml:space="preserve"> </w:t>
                                  </w:r>
                                  <w:r w:rsidRPr="00D8227F">
                                    <w:rPr>
                                      <w:rFonts w:ascii="Arial" w:hAnsi="Arial" w:cs="Arial"/>
                                      <w:sz w:val="16"/>
                                      <w:szCs w:val="16"/>
                                    </w:rPr>
                                    <w:t>x</w:t>
                                  </w:r>
                                </w:p>
                              </w:txbxContent>
                            </wps:txbx>
                            <wps:bodyPr rot="0" vert="horz" wrap="square" lIns="0" tIns="0" rIns="0" bIns="0" anchor="t" anchorCtr="0" upright="1">
                              <a:noAutofit/>
                            </wps:bodyPr>
                          </wps:wsp>
                        </a:graphicData>
                      </a:graphic>
                    </wp:inline>
                  </w:drawing>
                </mc:Choice>
                <mc:Fallback>
                  <w:pict>
                    <v:shape w14:anchorId="6E03EC8A" id="Cuadro de texto 7" o:spid="_x0000_s1033"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">
                      <v:textbox inset="0,0,0,0">
                        <w:txbxContent>
                          <w:p w14:paraId="4662C58F" w14:textId="47665D54" w:rsidR="00A22536" w:rsidRPr="00D8227F" w:rsidRDefault="00A22536" w:rsidP="00330830">
                            <w:pPr>
                              <w:rPr>
                                <w:rFonts w:ascii="Arial" w:hAnsi="Arial" w:cs="Arial"/>
                                <w:sz w:val="16"/>
                                <w:szCs w:val="16"/>
                              </w:rPr>
                            </w:pPr>
                            <w:r>
                              <w:rPr>
                                <w:sz w:val="16"/>
                                <w:szCs w:val="16"/>
                              </w:rPr>
                              <w:t xml:space="preserve"> </w:t>
                            </w:r>
                            <w:r w:rsidRPr="00D8227F">
                              <w:rPr>
                                <w:rFonts w:ascii="Arial" w:hAnsi="Arial" w:cs="Arial"/>
                                <w:sz w:val="16"/>
                                <w:szCs w:val="16"/>
                              </w:rPr>
                              <w:t>x</w:t>
                            </w:r>
                          </w:p>
                        </w:txbxContent>
                      </v:textbox>
                      <w10:anchorlock/>
                    </v:shape>
                  </w:pict>
                </mc:Fallback>
              </mc:AlternateContent>
            </w:r>
            <w:r>
              <w:rPr>
                <w:rFonts w:ascii="Arial" w:hAnsi="Arial" w:cs="Arial"/>
                <w:color w:val="000080"/>
                <w:sz w:val="16"/>
                <w:szCs w:val="16"/>
              </w:rPr>
              <w:t xml:space="preserve">             </w:t>
            </w:r>
          </w:p>
          <w:p w14:paraId="49A5F6AB" w14:textId="234684C2" w:rsidR="00330830" w:rsidRDefault="00330830" w:rsidP="001F6887">
            <w:pPr>
              <w:pStyle w:val="Textoindependiente"/>
              <w:jc w:val="both"/>
              <w:rPr>
                <w:rFonts w:ascii="Arial" w:hAnsi="Arial" w:cs="Arial"/>
                <w:color w:val="000080"/>
                <w:sz w:val="16"/>
                <w:szCs w:val="16"/>
              </w:rPr>
            </w:pPr>
            <w:r>
              <w:rPr>
                <w:rFonts w:ascii="Arial" w:hAnsi="Arial" w:cs="Arial"/>
                <w:color w:val="000080"/>
                <w:sz w:val="16"/>
                <w:szCs w:val="16"/>
              </w:rPr>
              <w:t xml:space="preserve">No especificado             </w:t>
            </w:r>
            <w:r>
              <w:rPr>
                <w:rFonts w:ascii="Arial" w:hAnsi="Arial" w:cs="Arial"/>
                <w:noProof/>
                <w:color w:val="000080"/>
                <w:sz w:val="16"/>
                <w:szCs w:val="16"/>
              </w:rPr>
              <mc:AlternateContent>
                <mc:Choice Requires="wps">
                  <w:drawing>
                    <wp:inline distT="0" distB="0" distL="0" distR="0" wp14:anchorId="279663E5" wp14:editId="023B9991">
                      <wp:extent cx="114300" cy="114300"/>
                      <wp:effectExtent l="9525" t="9525" r="9525" b="9525"/>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7FB457C" w14:textId="77777777" w:rsidR="00A22536" w:rsidRDefault="00A22536" w:rsidP="00330830">
                                  <w:pPr>
                                    <w:rPr>
                                      <w:sz w:val="16"/>
                                      <w:szCs w:val="16"/>
                                    </w:rPr>
                                  </w:pPr>
                                </w:p>
                              </w:txbxContent>
                            </wps:txbx>
                            <wps:bodyPr rot="0" vert="horz" wrap="square" lIns="0" tIns="0" rIns="0" bIns="0" anchor="t" anchorCtr="0" upright="1">
                              <a:noAutofit/>
                            </wps:bodyPr>
                          </wps:wsp>
                        </a:graphicData>
                      </a:graphic>
                    </wp:inline>
                  </w:drawing>
                </mc:Choice>
                <mc:Fallback>
                  <w:pict>
                    <v:shape w14:anchorId="279663E5" id="Cuadro de texto 4" o:spid="_x0000_s1034"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">
                      <v:textbox inset="0,0,0,0">
                        <w:txbxContent>
                          <w:p w14:paraId="37FB457C" w14:textId="77777777" w:rsidR="00A22536" w:rsidRDefault="00A22536" w:rsidP="00330830">
                            <w:pPr>
                              <w:rPr>
                                <w:sz w:val="16"/>
                                <w:szCs w:val="16"/>
                              </w:rPr>
                            </w:pPr>
                          </w:p>
                        </w:txbxContent>
                      </v:textbox>
                      <w10:anchorlock/>
                    </v:shape>
                  </w:pict>
                </mc:Fallback>
              </mc:AlternateContent>
            </w:r>
            <w:r>
              <w:rPr>
                <w:rFonts w:ascii="Arial" w:hAnsi="Arial" w:cs="Arial"/>
                <w:color w:val="000080"/>
                <w:sz w:val="16"/>
                <w:szCs w:val="16"/>
              </w:rPr>
              <w:t xml:space="preserve">             Otro  </w:t>
            </w:r>
            <w:r>
              <w:rPr>
                <w:rFonts w:ascii="Arial" w:hAnsi="Arial" w:cs="Arial"/>
                <w:noProof/>
                <w:color w:val="000080"/>
                <w:sz w:val="16"/>
                <w:szCs w:val="16"/>
              </w:rPr>
              <mc:AlternateContent>
                <mc:Choice Requires="wps">
                  <w:drawing>
                    <wp:inline distT="0" distB="0" distL="0" distR="0" wp14:anchorId="4F83021C" wp14:editId="73740490">
                      <wp:extent cx="114300" cy="114300"/>
                      <wp:effectExtent l="9525" t="9525" r="9525" b="9525"/>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1161768E" w14:textId="77777777" w:rsidR="00A22536" w:rsidRDefault="00A22536" w:rsidP="00330830">
                                  <w:pPr>
                                    <w:rPr>
                                      <w:sz w:val="16"/>
                                      <w:szCs w:val="16"/>
                                    </w:rPr>
                                  </w:pPr>
                                </w:p>
                              </w:txbxContent>
                            </wps:txbx>
                            <wps:bodyPr rot="0" vert="horz" wrap="square" lIns="0" tIns="0" rIns="0" bIns="0" anchor="t" anchorCtr="0" upright="1">
                              <a:noAutofit/>
                            </wps:bodyPr>
                          </wps:wsp>
                        </a:graphicData>
                      </a:graphic>
                    </wp:inline>
                  </w:drawing>
                </mc:Choice>
                <mc:Fallback>
                  <w:pict>
                    <v:shape w14:anchorId="4F83021C" id="Cuadro de texto 3" o:spid="_x0000_s1035"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">
                      <v:textbox inset="0,0,0,0">
                        <w:txbxContent>
                          <w:p w14:paraId="1161768E" w14:textId="77777777" w:rsidR="00A22536" w:rsidRDefault="00A22536" w:rsidP="00330830">
                            <w:pPr>
                              <w:rPr>
                                <w:sz w:val="16"/>
                                <w:szCs w:val="16"/>
                              </w:rPr>
                            </w:pPr>
                          </w:p>
                        </w:txbxContent>
                      </v:textbox>
                      <w10:anchorlock/>
                    </v:shape>
                  </w:pict>
                </mc:Fallback>
              </mc:AlternateContent>
            </w:r>
            <w:r>
              <w:rPr>
                <w:rFonts w:ascii="Arial" w:hAnsi="Arial" w:cs="Arial"/>
                <w:color w:val="000080"/>
                <w:sz w:val="16"/>
                <w:szCs w:val="16"/>
              </w:rPr>
              <w:t xml:space="preserve">    ________________</w:t>
            </w:r>
            <w:r w:rsidR="00C14A71">
              <w:rPr>
                <w:rFonts w:ascii="Arial" w:hAnsi="Arial" w:cs="Arial"/>
                <w:color w:val="000080"/>
                <w:sz w:val="16"/>
                <w:szCs w:val="16"/>
              </w:rPr>
              <w:t xml:space="preserve">______________________         </w:t>
            </w:r>
          </w:p>
          <w:p w14:paraId="104A7E59" w14:textId="7140B3CC" w:rsidR="00330830" w:rsidRPr="00D8227F" w:rsidRDefault="00330830" w:rsidP="001F6887">
            <w:pPr>
              <w:jc w:val="both"/>
              <w:rPr>
                <w:rFonts w:ascii="Arial" w:hAnsi="Arial" w:cs="Arial"/>
                <w:bCs/>
                <w:color w:val="000080"/>
                <w:sz w:val="16"/>
                <w:szCs w:val="16"/>
              </w:rPr>
            </w:pPr>
            <w:r>
              <w:rPr>
                <w:rFonts w:ascii="Arial" w:hAnsi="Arial" w:cs="Arial"/>
                <w:color w:val="000080"/>
                <w:sz w:val="16"/>
                <w:szCs w:val="16"/>
              </w:rPr>
              <w:t xml:space="preserve">¿Se especifica si se ajusta el sesgo? </w:t>
            </w:r>
            <w:r>
              <w:rPr>
                <w:rFonts w:ascii="Arial" w:hAnsi="Arial" w:cs="Arial"/>
                <w:bCs/>
                <w:color w:val="000080"/>
                <w:sz w:val="16"/>
                <w:szCs w:val="16"/>
              </w:rPr>
              <w:sym w:font="Symbol" w:char="F099"/>
            </w:r>
            <w:r>
              <w:rPr>
                <w:rFonts w:ascii="Arial" w:hAnsi="Arial" w:cs="Arial"/>
                <w:bCs/>
                <w:color w:val="000080"/>
                <w:sz w:val="16"/>
                <w:szCs w:val="16"/>
              </w:rPr>
              <w:t xml:space="preserve">SÍ        </w:t>
            </w:r>
            <w:r>
              <w:rPr>
                <w:rFonts w:ascii="Arial" w:hAnsi="Arial" w:cs="Arial"/>
                <w:bCs/>
                <w:color w:val="000080"/>
                <w:sz w:val="16"/>
                <w:szCs w:val="16"/>
              </w:rPr>
              <w:sym w:font="Symbol" w:char="F099"/>
            </w:r>
            <w:r>
              <w:rPr>
                <w:rFonts w:ascii="Arial" w:hAnsi="Arial" w:cs="Arial"/>
                <w:bCs/>
                <w:color w:val="000080"/>
                <w:sz w:val="16"/>
                <w:szCs w:val="16"/>
              </w:rPr>
              <w:t xml:space="preserve">NO SÉ          </w:t>
            </w:r>
            <w:r w:rsidR="00D8227F">
              <w:rPr>
                <w:rFonts w:ascii="Arial" w:hAnsi="Arial" w:cs="Arial"/>
                <w:noProof/>
                <w:color w:val="000080"/>
                <w:sz w:val="16"/>
                <w:szCs w:val="16"/>
              </w:rPr>
              <mc:AlternateContent>
                <mc:Choice Requires="wps">
                  <w:drawing>
                    <wp:inline distT="0" distB="0" distL="0" distR="0" wp14:anchorId="6B940DCE" wp14:editId="29E27F77">
                      <wp:extent cx="114300" cy="114300"/>
                      <wp:effectExtent l="9525" t="9525" r="9525" b="9525"/>
                      <wp:docPr id="1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6981ECA0" w14:textId="77777777" w:rsidR="00A22536" w:rsidRPr="00D8227F" w:rsidRDefault="00A22536" w:rsidP="00D8227F">
                                  <w:pPr>
                                    <w:rPr>
                                      <w:rFonts w:ascii="Arial" w:hAnsi="Arial" w:cs="Arial"/>
                                      <w:sz w:val="16"/>
                                      <w:szCs w:val="16"/>
                                    </w:rPr>
                                  </w:pPr>
                                  <w:r>
                                    <w:rPr>
                                      <w:sz w:val="16"/>
                                      <w:szCs w:val="16"/>
                                    </w:rPr>
                                    <w:t xml:space="preserve"> </w:t>
                                  </w:r>
                                  <w:r w:rsidRPr="00D8227F">
                                    <w:rPr>
                                      <w:rFonts w:ascii="Arial" w:hAnsi="Arial" w:cs="Arial"/>
                                      <w:sz w:val="16"/>
                                      <w:szCs w:val="16"/>
                                    </w:rPr>
                                    <w:t>x</w:t>
                                  </w:r>
                                </w:p>
                              </w:txbxContent>
                            </wps:txbx>
                            <wps:bodyPr rot="0" vert="horz" wrap="square" lIns="0" tIns="0" rIns="0" bIns="0" anchor="t" anchorCtr="0" upright="1">
                              <a:noAutofit/>
                            </wps:bodyPr>
                          </wps:wsp>
                        </a:graphicData>
                      </a:graphic>
                    </wp:inline>
                  </w:drawing>
                </mc:Choice>
                <mc:Fallback>
                  <w:pict>
                    <v:shape w14:anchorId="6B940DCE" id="_x0000_s1036"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">
                      <v:textbox inset="0,0,0,0">
                        <w:txbxContent>
                          <w:p w14:paraId="6981ECA0" w14:textId="77777777" w:rsidR="00A22536" w:rsidRPr="00D8227F" w:rsidRDefault="00A22536" w:rsidP="00D8227F">
                            <w:pPr>
                              <w:rPr>
                                <w:rFonts w:ascii="Arial" w:hAnsi="Arial" w:cs="Arial"/>
                                <w:sz w:val="16"/>
                                <w:szCs w:val="16"/>
                              </w:rPr>
                            </w:pPr>
                            <w:r>
                              <w:rPr>
                                <w:sz w:val="16"/>
                                <w:szCs w:val="16"/>
                              </w:rPr>
                              <w:t xml:space="preserve"> </w:t>
                            </w:r>
                            <w:r w:rsidRPr="00D8227F">
                              <w:rPr>
                                <w:rFonts w:ascii="Arial" w:hAnsi="Arial" w:cs="Arial"/>
                                <w:sz w:val="16"/>
                                <w:szCs w:val="16"/>
                              </w:rPr>
                              <w:t>x</w:t>
                            </w:r>
                          </w:p>
                        </w:txbxContent>
                      </v:textbox>
                      <w10:anchorlock/>
                    </v:shape>
                  </w:pict>
                </mc:Fallback>
              </mc:AlternateContent>
            </w:r>
            <w:r>
              <w:rPr>
                <w:rFonts w:ascii="Arial" w:hAnsi="Arial" w:cs="Arial"/>
                <w:bCs/>
                <w:color w:val="000080"/>
                <w:sz w:val="16"/>
                <w:szCs w:val="16"/>
              </w:rPr>
              <w:t xml:space="preserve"> NO</w:t>
            </w:r>
          </w:p>
        </w:tc>
      </w:tr>
      <w:tr w:rsidR="00B0483A" w:rsidRPr="00D17AB4" w14:paraId="750804B5" w14:textId="77777777" w:rsidTr="0024027B">
        <w:tblPrEx>
          <w:jc w:val="center"/>
          <w:tblInd w:w="0" w:type="dxa"/>
        </w:tblPrEx>
        <w:trPr>
          <w:gridBefore w:val="1"/>
          <w:wBefore w:w="470" w:type="dxa"/>
          <w:cantSplit/>
          <w:jc w:val="center"/>
        </w:trPr>
        <w:tc>
          <w:tcPr>
            <w:tcW w:w="9758" w:type="dxa"/>
            <w:gridSpan w:val="10"/>
            <w:tcBorders>
              <w:top w:val="single" w:sz="4" w:space="0" w:color="auto"/>
              <w:left w:val="single" w:sz="4" w:space="0" w:color="auto"/>
              <w:bottom w:val="single" w:sz="4" w:space="0" w:color="auto"/>
              <w:right w:val="single" w:sz="4" w:space="0" w:color="auto"/>
            </w:tcBorders>
            <w:shd w:val="clear" w:color="auto" w:fill="CCFFCC"/>
          </w:tcPr>
          <w:p w14:paraId="015EE986" w14:textId="77777777" w:rsidR="00B0483A" w:rsidRPr="00D17AB4" w:rsidRDefault="00B0483A" w:rsidP="003D5420">
            <w:pPr>
              <w:pStyle w:val="Textoindependiente"/>
              <w:jc w:val="both"/>
              <w:rPr>
                <w:rFonts w:ascii="Arial" w:hAnsi="Arial" w:cs="Arial"/>
                <w:b/>
                <w:color w:val="000080"/>
                <w:sz w:val="16"/>
                <w:szCs w:val="16"/>
              </w:rPr>
            </w:pPr>
            <w:r w:rsidRPr="00D17AB4">
              <w:rPr>
                <w:rFonts w:ascii="Arial" w:hAnsi="Arial" w:cs="Arial"/>
                <w:b/>
                <w:color w:val="000080"/>
                <w:sz w:val="16"/>
                <w:szCs w:val="16"/>
              </w:rPr>
              <w:t>Tabla 5.3.b.1. RESULTADOS DE LAS COMPARACIONES INDIRECTAS PUBLICADAS</w:t>
            </w:r>
          </w:p>
          <w:p w14:paraId="36DDC62A" w14:textId="77777777" w:rsidR="00D17AB4" w:rsidRPr="00D17AB4" w:rsidRDefault="00D17AB4" w:rsidP="003D5420">
            <w:pPr>
              <w:pStyle w:val="Textoindependiente"/>
              <w:jc w:val="both"/>
              <w:rPr>
                <w:rFonts w:ascii="Arial" w:hAnsi="Arial" w:cs="Arial"/>
                <w:b/>
                <w:color w:val="000080"/>
                <w:sz w:val="16"/>
                <w:szCs w:val="16"/>
              </w:rPr>
            </w:pPr>
          </w:p>
        </w:tc>
      </w:tr>
      <w:tr w:rsidR="00B0483A" w14:paraId="057F7E74" w14:textId="77777777" w:rsidTr="0024027B">
        <w:tblPrEx>
          <w:jc w:val="center"/>
          <w:tblInd w:w="0" w:type="dxa"/>
        </w:tblPrEx>
        <w:trPr>
          <w:gridBefore w:val="1"/>
          <w:wBefore w:w="470" w:type="dxa"/>
          <w:cantSplit/>
          <w:jc w:val="center"/>
        </w:trPr>
        <w:tc>
          <w:tcPr>
            <w:tcW w:w="2035"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FA99095" w14:textId="77777777" w:rsidR="00B0483A" w:rsidRDefault="00B0483A" w:rsidP="003D5420">
            <w:pPr>
              <w:pStyle w:val="Textoindependiente"/>
              <w:rPr>
                <w:rFonts w:ascii="Arial" w:hAnsi="Arial" w:cs="Arial"/>
                <w:sz w:val="16"/>
                <w:szCs w:val="16"/>
              </w:rPr>
            </w:pPr>
            <w:r>
              <w:rPr>
                <w:rFonts w:ascii="Arial" w:hAnsi="Arial" w:cs="Arial"/>
                <w:sz w:val="16"/>
                <w:szCs w:val="16"/>
              </w:rPr>
              <w:t>Variable principal estudiada</w:t>
            </w:r>
          </w:p>
        </w:tc>
        <w:tc>
          <w:tcPr>
            <w:tcW w:w="2360"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71C95A5" w14:textId="77777777" w:rsidR="00B0483A" w:rsidRDefault="00B0483A" w:rsidP="003D5420">
            <w:pPr>
              <w:pStyle w:val="Textoindependiente"/>
              <w:rPr>
                <w:rFonts w:ascii="Arial" w:hAnsi="Arial" w:cs="Arial"/>
                <w:sz w:val="16"/>
                <w:szCs w:val="16"/>
              </w:rPr>
            </w:pPr>
            <w:r>
              <w:rPr>
                <w:rFonts w:ascii="Arial" w:hAnsi="Arial" w:cs="Arial"/>
                <w:sz w:val="16"/>
                <w:szCs w:val="16"/>
              </w:rPr>
              <w:t>Intervención A</w:t>
            </w:r>
          </w:p>
          <w:p w14:paraId="5EA5BBE6" w14:textId="5BD9046C" w:rsidR="00B0483A" w:rsidRDefault="00B0483A" w:rsidP="00482C21">
            <w:pPr>
              <w:pStyle w:val="Textoindependiente"/>
              <w:rPr>
                <w:rFonts w:ascii="Arial" w:hAnsi="Arial" w:cs="Arial"/>
                <w:sz w:val="16"/>
                <w:szCs w:val="16"/>
              </w:rPr>
            </w:pPr>
            <w:r>
              <w:rPr>
                <w:rFonts w:ascii="Arial" w:hAnsi="Arial" w:cs="Arial"/>
                <w:color w:val="000080"/>
                <w:sz w:val="16"/>
                <w:szCs w:val="16"/>
              </w:rPr>
              <w:t>(</w:t>
            </w:r>
            <w:r w:rsidRPr="00C14A71">
              <w:rPr>
                <w:rFonts w:ascii="Arial" w:hAnsi="Arial" w:cs="Arial"/>
                <w:color w:val="000000" w:themeColor="text1"/>
                <w:sz w:val="16"/>
                <w:szCs w:val="16"/>
              </w:rPr>
              <w:t>onasemnogen abeparvovec</w:t>
            </w:r>
            <w:r>
              <w:rPr>
                <w:rFonts w:ascii="Arial" w:hAnsi="Arial" w:cs="Arial"/>
                <w:color w:val="000080"/>
                <w:sz w:val="16"/>
                <w:szCs w:val="16"/>
              </w:rPr>
              <w:t>)</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726420C" w14:textId="77777777" w:rsidR="00B0483A" w:rsidRDefault="00B0483A" w:rsidP="003D5420">
            <w:pPr>
              <w:pStyle w:val="Textoindependiente"/>
              <w:rPr>
                <w:rFonts w:ascii="Arial" w:hAnsi="Arial" w:cs="Arial"/>
                <w:sz w:val="16"/>
                <w:szCs w:val="16"/>
              </w:rPr>
            </w:pPr>
            <w:r>
              <w:rPr>
                <w:rFonts w:ascii="Arial" w:hAnsi="Arial" w:cs="Arial"/>
                <w:sz w:val="16"/>
                <w:szCs w:val="16"/>
              </w:rPr>
              <w:t>Intervención B (nusinersen)</w:t>
            </w:r>
          </w:p>
        </w:tc>
        <w:tc>
          <w:tcPr>
            <w:tcW w:w="2094"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1C07185" w14:textId="77777777" w:rsidR="00B0483A" w:rsidRDefault="00B0483A" w:rsidP="003D5420">
            <w:pPr>
              <w:pStyle w:val="Textoindependiente"/>
              <w:jc w:val="center"/>
              <w:rPr>
                <w:rFonts w:ascii="Arial" w:hAnsi="Arial" w:cs="Arial"/>
                <w:sz w:val="16"/>
                <w:szCs w:val="16"/>
                <w:lang w:val="de-DE"/>
              </w:rPr>
            </w:pPr>
            <w:r>
              <w:rPr>
                <w:rFonts w:ascii="Arial" w:hAnsi="Arial" w:cs="Arial"/>
                <w:sz w:val="16"/>
                <w:szCs w:val="16"/>
                <w:lang w:val="de-DE"/>
              </w:rPr>
              <w:t>NNT/RAR/RR (IC 95%)</w:t>
            </w:r>
          </w:p>
          <w:p w14:paraId="3ECFC6C5" w14:textId="77777777" w:rsidR="00B0483A" w:rsidRDefault="00B0483A" w:rsidP="003D5420">
            <w:pPr>
              <w:pStyle w:val="Textoindependiente"/>
              <w:jc w:val="center"/>
              <w:rPr>
                <w:rFonts w:ascii="Arial" w:hAnsi="Arial" w:cs="Arial"/>
                <w:sz w:val="16"/>
                <w:szCs w:val="16"/>
                <w:lang w:val="de-DE"/>
              </w:rPr>
            </w:pPr>
            <w:r>
              <w:rPr>
                <w:rFonts w:ascii="Arial" w:hAnsi="Arial" w:cs="Arial"/>
                <w:sz w:val="16"/>
                <w:szCs w:val="16"/>
                <w:lang w:val="de-DE"/>
              </w:rPr>
              <w:t>Método frecuentista</w:t>
            </w:r>
          </w:p>
        </w:tc>
        <w:tc>
          <w:tcPr>
            <w:tcW w:w="1994" w:type="dxa"/>
            <w:gridSpan w:val="2"/>
            <w:tcBorders>
              <w:top w:val="single" w:sz="4" w:space="0" w:color="auto"/>
              <w:left w:val="single" w:sz="4" w:space="0" w:color="auto"/>
              <w:bottom w:val="single" w:sz="4" w:space="0" w:color="auto"/>
              <w:right w:val="single" w:sz="4" w:space="0" w:color="auto"/>
            </w:tcBorders>
            <w:shd w:val="clear" w:color="auto" w:fill="E0E0E0"/>
          </w:tcPr>
          <w:p w14:paraId="44094A09" w14:textId="77777777" w:rsidR="00B0483A" w:rsidRDefault="00B0483A" w:rsidP="003D5420">
            <w:pPr>
              <w:pStyle w:val="Textoindependiente"/>
              <w:jc w:val="center"/>
              <w:rPr>
                <w:rFonts w:ascii="Arial" w:hAnsi="Arial" w:cs="Arial"/>
                <w:sz w:val="16"/>
                <w:szCs w:val="16"/>
                <w:lang w:val="de-DE"/>
              </w:rPr>
            </w:pPr>
            <w:r>
              <w:rPr>
                <w:rFonts w:ascii="Arial" w:hAnsi="Arial" w:cs="Arial"/>
                <w:sz w:val="16"/>
                <w:szCs w:val="16"/>
                <w:lang w:val="de-DE"/>
              </w:rPr>
              <w:t>NNT/RAR/RR (IC 95%)</w:t>
            </w:r>
          </w:p>
          <w:p w14:paraId="336A0646" w14:textId="77777777" w:rsidR="00B0483A" w:rsidRPr="00051915" w:rsidRDefault="00B0483A" w:rsidP="003D5420">
            <w:pPr>
              <w:pStyle w:val="Textoindependiente"/>
              <w:jc w:val="center"/>
              <w:rPr>
                <w:rFonts w:ascii="Arial" w:hAnsi="Arial" w:cs="Arial"/>
                <w:sz w:val="16"/>
                <w:szCs w:val="16"/>
              </w:rPr>
            </w:pPr>
            <w:r>
              <w:rPr>
                <w:rFonts w:ascii="Arial" w:hAnsi="Arial" w:cs="Arial"/>
                <w:sz w:val="16"/>
                <w:szCs w:val="16"/>
                <w:lang w:val="de-DE"/>
              </w:rPr>
              <w:t>Método bayesianos</w:t>
            </w:r>
            <w:r w:rsidRPr="00051915">
              <w:rPr>
                <w:rFonts w:ascii="Arial" w:hAnsi="Arial" w:cs="Arial"/>
                <w:sz w:val="16"/>
                <w:szCs w:val="16"/>
              </w:rPr>
              <w:t xml:space="preserve"> </w:t>
            </w:r>
          </w:p>
        </w:tc>
      </w:tr>
      <w:tr w:rsidR="00B0483A" w14:paraId="7BF20331" w14:textId="77777777" w:rsidTr="0024027B">
        <w:tblPrEx>
          <w:jc w:val="center"/>
          <w:tblInd w:w="0" w:type="dxa"/>
        </w:tblPrEx>
        <w:trPr>
          <w:gridBefore w:val="1"/>
          <w:wBefore w:w="470" w:type="dxa"/>
          <w:cantSplit/>
          <w:jc w:val="center"/>
        </w:trPr>
        <w:tc>
          <w:tcPr>
            <w:tcW w:w="2035" w:type="dxa"/>
            <w:gridSpan w:val="2"/>
            <w:tcBorders>
              <w:top w:val="single" w:sz="4" w:space="0" w:color="auto"/>
              <w:left w:val="single" w:sz="4" w:space="0" w:color="auto"/>
              <w:bottom w:val="single" w:sz="4" w:space="0" w:color="auto"/>
              <w:right w:val="single" w:sz="4" w:space="0" w:color="auto"/>
            </w:tcBorders>
          </w:tcPr>
          <w:p w14:paraId="0722E583" w14:textId="77777777" w:rsidR="00B0483A" w:rsidRDefault="00B0483A" w:rsidP="003D5420">
            <w:pPr>
              <w:pStyle w:val="Textoindependiente"/>
              <w:rPr>
                <w:rFonts w:ascii="Arial" w:hAnsi="Arial" w:cs="Arial"/>
                <w:sz w:val="16"/>
                <w:szCs w:val="16"/>
                <w:lang w:val="en-US"/>
              </w:rPr>
            </w:pPr>
            <w:r>
              <w:rPr>
                <w:rFonts w:ascii="Arial" w:hAnsi="Arial" w:cs="Arial"/>
                <w:sz w:val="16"/>
                <w:szCs w:val="16"/>
                <w:lang w:val="en-US"/>
              </w:rPr>
              <w:lastRenderedPageBreak/>
              <w:t>No muerte</w:t>
            </w:r>
          </w:p>
          <w:p w14:paraId="60CB7CFF" w14:textId="77777777" w:rsidR="00B0483A" w:rsidRDefault="00B0483A" w:rsidP="003D5420">
            <w:pPr>
              <w:pStyle w:val="Textoindependiente"/>
              <w:rPr>
                <w:rFonts w:ascii="Arial" w:hAnsi="Arial" w:cs="Arial"/>
                <w:sz w:val="16"/>
                <w:szCs w:val="16"/>
                <w:lang w:val="en-US"/>
              </w:rPr>
            </w:pPr>
          </w:p>
        </w:tc>
        <w:tc>
          <w:tcPr>
            <w:tcW w:w="2360" w:type="dxa"/>
            <w:gridSpan w:val="2"/>
            <w:tcBorders>
              <w:top w:val="single" w:sz="4" w:space="0" w:color="auto"/>
              <w:left w:val="single" w:sz="4" w:space="0" w:color="auto"/>
              <w:bottom w:val="single" w:sz="4" w:space="0" w:color="auto"/>
              <w:right w:val="single" w:sz="4" w:space="0" w:color="auto"/>
            </w:tcBorders>
          </w:tcPr>
          <w:p w14:paraId="79873B7E" w14:textId="77777777" w:rsidR="00B0483A" w:rsidRDefault="00B0483A" w:rsidP="003D5420">
            <w:pPr>
              <w:pStyle w:val="Textoindependiente"/>
              <w:rPr>
                <w:rFonts w:ascii="Arial" w:hAnsi="Arial" w:cs="Arial"/>
                <w:sz w:val="16"/>
                <w:szCs w:val="16"/>
                <w:lang w:val="en-US"/>
              </w:rPr>
            </w:pPr>
            <w:r>
              <w:rPr>
                <w:rFonts w:ascii="Arial" w:hAnsi="Arial" w:cs="Arial"/>
                <w:sz w:val="16"/>
                <w:szCs w:val="16"/>
                <w:lang w:val="en-US"/>
              </w:rPr>
              <w:t>100% (12/12)</w:t>
            </w:r>
          </w:p>
        </w:tc>
        <w:tc>
          <w:tcPr>
            <w:tcW w:w="1275" w:type="dxa"/>
            <w:gridSpan w:val="2"/>
            <w:tcBorders>
              <w:top w:val="single" w:sz="4" w:space="0" w:color="auto"/>
              <w:left w:val="single" w:sz="4" w:space="0" w:color="auto"/>
              <w:bottom w:val="single" w:sz="4" w:space="0" w:color="auto"/>
              <w:right w:val="single" w:sz="4" w:space="0" w:color="auto"/>
            </w:tcBorders>
          </w:tcPr>
          <w:p w14:paraId="54025073" w14:textId="77777777" w:rsidR="00B0483A" w:rsidRDefault="00B0483A" w:rsidP="003D5420">
            <w:pPr>
              <w:pStyle w:val="Textoindependiente"/>
              <w:rPr>
                <w:rFonts w:ascii="Arial" w:hAnsi="Arial" w:cs="Arial"/>
                <w:sz w:val="16"/>
                <w:szCs w:val="16"/>
                <w:lang w:val="en-US"/>
              </w:rPr>
            </w:pPr>
            <w:r>
              <w:rPr>
                <w:rFonts w:ascii="Arial" w:hAnsi="Arial" w:cs="Arial"/>
                <w:sz w:val="16"/>
                <w:szCs w:val="16"/>
                <w:lang w:val="en-US"/>
              </w:rPr>
              <w:t>84% (67/80)</w:t>
            </w:r>
          </w:p>
        </w:tc>
        <w:tc>
          <w:tcPr>
            <w:tcW w:w="2094" w:type="dxa"/>
            <w:gridSpan w:val="2"/>
            <w:tcBorders>
              <w:top w:val="single" w:sz="4" w:space="0" w:color="auto"/>
              <w:left w:val="single" w:sz="4" w:space="0" w:color="auto"/>
              <w:bottom w:val="single" w:sz="4" w:space="0" w:color="auto"/>
              <w:right w:val="single" w:sz="4" w:space="0" w:color="auto"/>
            </w:tcBorders>
          </w:tcPr>
          <w:p w14:paraId="77D53965" w14:textId="3D6E1392" w:rsidR="00B0483A" w:rsidRDefault="00B0483A" w:rsidP="003D5420">
            <w:pPr>
              <w:pStyle w:val="Textoindependiente"/>
              <w:rPr>
                <w:rFonts w:ascii="Arial" w:hAnsi="Arial" w:cs="Arial"/>
                <w:sz w:val="16"/>
                <w:szCs w:val="16"/>
                <w:lang w:val="en-US"/>
              </w:rPr>
            </w:pPr>
            <w:r>
              <w:rPr>
                <w:rFonts w:ascii="Arial" w:hAnsi="Arial" w:cs="Arial"/>
                <w:sz w:val="16"/>
                <w:szCs w:val="16"/>
                <w:lang w:val="en-US"/>
              </w:rPr>
              <w:t>NNT</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6,2 (4,1 a 12,2)</w:t>
            </w:r>
          </w:p>
          <w:p w14:paraId="4A07CDEE" w14:textId="4AB6A817" w:rsidR="00B0483A" w:rsidRDefault="00B0483A" w:rsidP="003D5420">
            <w:pPr>
              <w:pStyle w:val="Textoindependiente"/>
              <w:rPr>
                <w:rFonts w:ascii="Arial" w:hAnsi="Arial" w:cs="Arial"/>
                <w:sz w:val="16"/>
                <w:szCs w:val="16"/>
                <w:lang w:val="en-US"/>
              </w:rPr>
            </w:pPr>
            <w:r>
              <w:rPr>
                <w:rFonts w:ascii="Arial" w:hAnsi="Arial" w:cs="Arial"/>
                <w:sz w:val="16"/>
                <w:szCs w:val="16"/>
                <w:lang w:val="en-US"/>
              </w:rPr>
              <w:t>RAR</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0,2 (0,1 a 0,2)</w:t>
            </w:r>
          </w:p>
          <w:p w14:paraId="2873EF37" w14:textId="38F01A5C" w:rsidR="00B0483A" w:rsidRDefault="00B0483A" w:rsidP="003D5420">
            <w:pPr>
              <w:pStyle w:val="Textoindependiente"/>
              <w:rPr>
                <w:rFonts w:ascii="Arial" w:hAnsi="Arial" w:cs="Arial"/>
                <w:sz w:val="16"/>
                <w:szCs w:val="16"/>
                <w:lang w:val="en-US"/>
              </w:rPr>
            </w:pPr>
            <w:r>
              <w:rPr>
                <w:rFonts w:ascii="Arial" w:hAnsi="Arial" w:cs="Arial"/>
                <w:sz w:val="16"/>
                <w:szCs w:val="16"/>
                <w:lang w:val="en-US"/>
              </w:rPr>
              <w:t>RR</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1,2 (1,1 a 1,3)</w:t>
            </w:r>
          </w:p>
        </w:tc>
        <w:tc>
          <w:tcPr>
            <w:tcW w:w="1994" w:type="dxa"/>
            <w:gridSpan w:val="2"/>
            <w:tcBorders>
              <w:top w:val="single" w:sz="4" w:space="0" w:color="auto"/>
              <w:left w:val="single" w:sz="4" w:space="0" w:color="auto"/>
              <w:bottom w:val="single" w:sz="4" w:space="0" w:color="auto"/>
              <w:right w:val="single" w:sz="4" w:space="0" w:color="auto"/>
            </w:tcBorders>
          </w:tcPr>
          <w:p w14:paraId="02ACDCF6" w14:textId="130D34C2" w:rsidR="00B0483A" w:rsidRDefault="00B0483A" w:rsidP="003D5420">
            <w:pPr>
              <w:pStyle w:val="Textoindependiente"/>
              <w:rPr>
                <w:rFonts w:ascii="Arial" w:hAnsi="Arial" w:cs="Arial"/>
                <w:sz w:val="16"/>
                <w:szCs w:val="16"/>
                <w:lang w:val="en-US"/>
              </w:rPr>
            </w:pPr>
            <w:r>
              <w:rPr>
                <w:rFonts w:ascii="Arial" w:hAnsi="Arial" w:cs="Arial"/>
                <w:sz w:val="16"/>
                <w:szCs w:val="16"/>
                <w:lang w:val="en-US"/>
              </w:rPr>
              <w:t>NNT</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6,3 (4,0 a 11,7)</w:t>
            </w:r>
          </w:p>
          <w:p w14:paraId="3CA583E3" w14:textId="308B42B7" w:rsidR="00B0483A" w:rsidRDefault="00B0483A" w:rsidP="003D5420">
            <w:pPr>
              <w:pStyle w:val="Textoindependiente"/>
              <w:rPr>
                <w:rFonts w:ascii="Arial" w:hAnsi="Arial" w:cs="Arial"/>
                <w:sz w:val="16"/>
                <w:szCs w:val="16"/>
                <w:lang w:val="en-US"/>
              </w:rPr>
            </w:pPr>
            <w:r>
              <w:rPr>
                <w:rFonts w:ascii="Arial" w:hAnsi="Arial" w:cs="Arial"/>
                <w:sz w:val="16"/>
                <w:szCs w:val="16"/>
                <w:lang w:val="en-US"/>
              </w:rPr>
              <w:t>RAR</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0,2 (0,1 a 0,3)</w:t>
            </w:r>
          </w:p>
          <w:p w14:paraId="34C16FFD" w14:textId="1BD3B69F" w:rsidR="00B0483A" w:rsidRDefault="00B0483A" w:rsidP="003D5420">
            <w:pPr>
              <w:pStyle w:val="Textoindependiente"/>
              <w:rPr>
                <w:rFonts w:ascii="Arial" w:hAnsi="Arial" w:cs="Arial"/>
                <w:sz w:val="16"/>
                <w:szCs w:val="16"/>
                <w:lang w:val="en-US"/>
              </w:rPr>
            </w:pPr>
            <w:r>
              <w:rPr>
                <w:rFonts w:ascii="Arial" w:hAnsi="Arial" w:cs="Arial"/>
                <w:sz w:val="16"/>
                <w:szCs w:val="16"/>
                <w:lang w:val="en-US"/>
              </w:rPr>
              <w:t>RR</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1,2 (1,1 a 1,3)</w:t>
            </w:r>
          </w:p>
        </w:tc>
      </w:tr>
      <w:tr w:rsidR="00B0483A" w14:paraId="618A06EE" w14:textId="77777777" w:rsidTr="0024027B">
        <w:tblPrEx>
          <w:jc w:val="center"/>
          <w:tblInd w:w="0" w:type="dxa"/>
        </w:tblPrEx>
        <w:trPr>
          <w:gridBefore w:val="1"/>
          <w:wBefore w:w="470" w:type="dxa"/>
          <w:cantSplit/>
          <w:jc w:val="center"/>
        </w:trPr>
        <w:tc>
          <w:tcPr>
            <w:tcW w:w="2035" w:type="dxa"/>
            <w:gridSpan w:val="2"/>
            <w:tcBorders>
              <w:top w:val="single" w:sz="4" w:space="0" w:color="auto"/>
              <w:left w:val="single" w:sz="4" w:space="0" w:color="auto"/>
              <w:bottom w:val="single" w:sz="4" w:space="0" w:color="auto"/>
              <w:right w:val="single" w:sz="4" w:space="0" w:color="auto"/>
            </w:tcBorders>
          </w:tcPr>
          <w:p w14:paraId="0E71572E" w14:textId="77777777" w:rsidR="00B0483A" w:rsidRPr="00051915" w:rsidRDefault="00B0483A" w:rsidP="003D5420">
            <w:pPr>
              <w:pStyle w:val="Textoindependiente"/>
              <w:rPr>
                <w:rFonts w:ascii="Arial" w:hAnsi="Arial" w:cs="Arial"/>
                <w:sz w:val="16"/>
                <w:szCs w:val="16"/>
              </w:rPr>
            </w:pPr>
            <w:r w:rsidRPr="00051915">
              <w:rPr>
                <w:rFonts w:ascii="Arial" w:hAnsi="Arial" w:cs="Arial"/>
                <w:sz w:val="16"/>
                <w:szCs w:val="16"/>
              </w:rPr>
              <w:t>No uso de ventilación mecánica</w:t>
            </w:r>
          </w:p>
        </w:tc>
        <w:tc>
          <w:tcPr>
            <w:tcW w:w="2360" w:type="dxa"/>
            <w:gridSpan w:val="2"/>
            <w:tcBorders>
              <w:top w:val="single" w:sz="4" w:space="0" w:color="auto"/>
              <w:left w:val="single" w:sz="4" w:space="0" w:color="auto"/>
              <w:bottom w:val="single" w:sz="4" w:space="0" w:color="auto"/>
              <w:right w:val="single" w:sz="4" w:space="0" w:color="auto"/>
            </w:tcBorders>
          </w:tcPr>
          <w:p w14:paraId="2D2A343D" w14:textId="77777777" w:rsidR="00B0483A" w:rsidRDefault="00B0483A" w:rsidP="003D5420">
            <w:pPr>
              <w:pStyle w:val="Textoindependiente"/>
              <w:rPr>
                <w:rFonts w:ascii="Arial" w:hAnsi="Arial" w:cs="Arial"/>
                <w:sz w:val="16"/>
                <w:szCs w:val="16"/>
                <w:lang w:val="en-US"/>
              </w:rPr>
            </w:pPr>
            <w:r>
              <w:rPr>
                <w:rFonts w:ascii="Arial" w:hAnsi="Arial" w:cs="Arial"/>
                <w:sz w:val="16"/>
                <w:szCs w:val="16"/>
                <w:lang w:val="en-US"/>
              </w:rPr>
              <w:t>100% (12/12)</w:t>
            </w:r>
          </w:p>
        </w:tc>
        <w:tc>
          <w:tcPr>
            <w:tcW w:w="1275" w:type="dxa"/>
            <w:gridSpan w:val="2"/>
            <w:tcBorders>
              <w:top w:val="single" w:sz="4" w:space="0" w:color="auto"/>
              <w:left w:val="single" w:sz="4" w:space="0" w:color="auto"/>
              <w:bottom w:val="single" w:sz="4" w:space="0" w:color="auto"/>
              <w:right w:val="single" w:sz="4" w:space="0" w:color="auto"/>
            </w:tcBorders>
          </w:tcPr>
          <w:p w14:paraId="4722C84C" w14:textId="77777777" w:rsidR="00B0483A" w:rsidRDefault="00B0483A" w:rsidP="003D5420">
            <w:pPr>
              <w:pStyle w:val="Textoindependiente"/>
              <w:rPr>
                <w:rFonts w:ascii="Arial" w:hAnsi="Arial" w:cs="Arial"/>
                <w:sz w:val="16"/>
                <w:szCs w:val="16"/>
                <w:lang w:val="en-US"/>
              </w:rPr>
            </w:pPr>
            <w:r>
              <w:rPr>
                <w:rFonts w:ascii="Arial" w:hAnsi="Arial" w:cs="Arial"/>
                <w:sz w:val="16"/>
                <w:szCs w:val="16"/>
                <w:lang w:val="en-US"/>
              </w:rPr>
              <w:t>78% (62/80)</w:t>
            </w:r>
          </w:p>
        </w:tc>
        <w:tc>
          <w:tcPr>
            <w:tcW w:w="2094" w:type="dxa"/>
            <w:gridSpan w:val="2"/>
            <w:tcBorders>
              <w:top w:val="single" w:sz="4" w:space="0" w:color="auto"/>
              <w:left w:val="single" w:sz="4" w:space="0" w:color="auto"/>
              <w:bottom w:val="single" w:sz="4" w:space="0" w:color="auto"/>
              <w:right w:val="single" w:sz="4" w:space="0" w:color="auto"/>
            </w:tcBorders>
          </w:tcPr>
          <w:p w14:paraId="1C6AF808" w14:textId="44ACA886" w:rsidR="00B0483A" w:rsidRDefault="00B0483A" w:rsidP="003D5420">
            <w:pPr>
              <w:pStyle w:val="Textoindependiente"/>
              <w:rPr>
                <w:rFonts w:ascii="Arial" w:hAnsi="Arial" w:cs="Arial"/>
                <w:sz w:val="16"/>
                <w:szCs w:val="16"/>
                <w:lang w:val="en-US"/>
              </w:rPr>
            </w:pPr>
            <w:r>
              <w:rPr>
                <w:rFonts w:ascii="Arial" w:hAnsi="Arial" w:cs="Arial"/>
                <w:sz w:val="16"/>
                <w:szCs w:val="16"/>
                <w:lang w:val="en-US"/>
              </w:rPr>
              <w:t>NNT</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4,4 (3,2 a 7,5)</w:t>
            </w:r>
          </w:p>
          <w:p w14:paraId="4EBA1E60" w14:textId="126DFBBC" w:rsidR="00B0483A" w:rsidRDefault="00B0483A" w:rsidP="003D5420">
            <w:pPr>
              <w:pStyle w:val="Textoindependiente"/>
              <w:rPr>
                <w:rFonts w:ascii="Arial" w:hAnsi="Arial" w:cs="Arial"/>
                <w:sz w:val="16"/>
                <w:szCs w:val="16"/>
                <w:lang w:val="en-US"/>
              </w:rPr>
            </w:pPr>
            <w:r>
              <w:rPr>
                <w:rFonts w:ascii="Arial" w:hAnsi="Arial" w:cs="Arial"/>
                <w:sz w:val="16"/>
                <w:szCs w:val="16"/>
                <w:lang w:val="en-US"/>
              </w:rPr>
              <w:t>RAR</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0,2 (0,1 a 0,3)</w:t>
            </w:r>
          </w:p>
          <w:p w14:paraId="552C300D" w14:textId="7DC5E58F" w:rsidR="00B0483A" w:rsidRDefault="00B0483A" w:rsidP="003D5420">
            <w:pPr>
              <w:pStyle w:val="Textoindependiente"/>
              <w:rPr>
                <w:rFonts w:ascii="Arial" w:hAnsi="Arial" w:cs="Arial"/>
                <w:sz w:val="16"/>
                <w:szCs w:val="16"/>
                <w:lang w:val="en-US"/>
              </w:rPr>
            </w:pPr>
            <w:r>
              <w:rPr>
                <w:rFonts w:ascii="Arial" w:hAnsi="Arial" w:cs="Arial"/>
                <w:sz w:val="16"/>
                <w:szCs w:val="16"/>
                <w:lang w:val="en-US"/>
              </w:rPr>
              <w:t>RR</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1,3 (1,1 a 1,5)</w:t>
            </w:r>
          </w:p>
        </w:tc>
        <w:tc>
          <w:tcPr>
            <w:tcW w:w="1994" w:type="dxa"/>
            <w:gridSpan w:val="2"/>
            <w:tcBorders>
              <w:top w:val="single" w:sz="4" w:space="0" w:color="auto"/>
              <w:left w:val="single" w:sz="4" w:space="0" w:color="auto"/>
              <w:bottom w:val="single" w:sz="4" w:space="0" w:color="auto"/>
              <w:right w:val="single" w:sz="4" w:space="0" w:color="auto"/>
            </w:tcBorders>
          </w:tcPr>
          <w:p w14:paraId="1B3C4123" w14:textId="5721C29F" w:rsidR="00B0483A" w:rsidRPr="0011135F" w:rsidRDefault="00B0483A" w:rsidP="003D5420">
            <w:pPr>
              <w:pStyle w:val="Textoindependiente"/>
              <w:rPr>
                <w:rFonts w:ascii="Arial" w:hAnsi="Arial" w:cs="Arial"/>
                <w:sz w:val="16"/>
                <w:szCs w:val="16"/>
                <w:lang w:val="en-US"/>
              </w:rPr>
            </w:pPr>
            <w:r w:rsidRPr="0011135F">
              <w:rPr>
                <w:rFonts w:ascii="Arial" w:hAnsi="Arial" w:cs="Arial"/>
                <w:sz w:val="16"/>
                <w:szCs w:val="16"/>
                <w:lang w:val="en-US"/>
              </w:rPr>
              <w:t>NNT</w:t>
            </w:r>
            <w:r w:rsidR="00D17AB4">
              <w:rPr>
                <w:rFonts w:ascii="Arial" w:hAnsi="Arial" w:cs="Arial"/>
                <w:sz w:val="16"/>
                <w:szCs w:val="16"/>
                <w:lang w:val="en-US"/>
              </w:rPr>
              <w:t xml:space="preserve"> </w:t>
            </w:r>
            <w:r w:rsidRPr="0011135F">
              <w:rPr>
                <w:rFonts w:ascii="Arial" w:hAnsi="Arial" w:cs="Arial"/>
                <w:sz w:val="16"/>
                <w:szCs w:val="16"/>
                <w:lang w:val="en-US"/>
              </w:rPr>
              <w:t>=</w:t>
            </w:r>
            <w:r w:rsidR="00D17AB4">
              <w:rPr>
                <w:rFonts w:ascii="Arial" w:hAnsi="Arial" w:cs="Arial"/>
                <w:sz w:val="16"/>
                <w:szCs w:val="16"/>
                <w:lang w:val="en-US"/>
              </w:rPr>
              <w:t xml:space="preserve"> </w:t>
            </w:r>
            <w:r w:rsidRPr="0011135F">
              <w:rPr>
                <w:rFonts w:ascii="Arial" w:hAnsi="Arial" w:cs="Arial"/>
                <w:sz w:val="16"/>
                <w:szCs w:val="16"/>
                <w:lang w:val="en-US"/>
              </w:rPr>
              <w:t>4,</w:t>
            </w:r>
            <w:r>
              <w:rPr>
                <w:rFonts w:ascii="Arial" w:hAnsi="Arial" w:cs="Arial"/>
                <w:sz w:val="16"/>
                <w:szCs w:val="16"/>
                <w:lang w:val="en-US"/>
              </w:rPr>
              <w:t>5 (3,1 a 7,4</w:t>
            </w:r>
            <w:r w:rsidRPr="0011135F">
              <w:rPr>
                <w:rFonts w:ascii="Arial" w:hAnsi="Arial" w:cs="Arial"/>
                <w:sz w:val="16"/>
                <w:szCs w:val="16"/>
                <w:lang w:val="en-US"/>
              </w:rPr>
              <w:t>)</w:t>
            </w:r>
          </w:p>
          <w:p w14:paraId="719B8A18" w14:textId="7C5BD690" w:rsidR="00B0483A" w:rsidRPr="0011135F" w:rsidRDefault="00B0483A" w:rsidP="003D5420">
            <w:pPr>
              <w:pStyle w:val="Textoindependiente"/>
              <w:rPr>
                <w:rFonts w:ascii="Arial" w:hAnsi="Arial" w:cs="Arial"/>
                <w:sz w:val="16"/>
                <w:szCs w:val="16"/>
                <w:lang w:val="en-US"/>
              </w:rPr>
            </w:pPr>
            <w:r w:rsidRPr="0011135F">
              <w:rPr>
                <w:rFonts w:ascii="Arial" w:hAnsi="Arial" w:cs="Arial"/>
                <w:sz w:val="16"/>
                <w:szCs w:val="16"/>
                <w:lang w:val="en-US"/>
              </w:rPr>
              <w:t>RAR</w:t>
            </w:r>
            <w:r w:rsidR="00D17AB4">
              <w:rPr>
                <w:rFonts w:ascii="Arial" w:hAnsi="Arial" w:cs="Arial"/>
                <w:sz w:val="16"/>
                <w:szCs w:val="16"/>
                <w:lang w:val="en-US"/>
              </w:rPr>
              <w:t xml:space="preserve"> </w:t>
            </w:r>
            <w:r w:rsidRPr="0011135F">
              <w:rPr>
                <w:rFonts w:ascii="Arial" w:hAnsi="Arial" w:cs="Arial"/>
                <w:sz w:val="16"/>
                <w:szCs w:val="16"/>
                <w:lang w:val="en-US"/>
              </w:rPr>
              <w:t>=</w:t>
            </w:r>
            <w:r w:rsidR="00D17AB4">
              <w:rPr>
                <w:rFonts w:ascii="Arial" w:hAnsi="Arial" w:cs="Arial"/>
                <w:sz w:val="16"/>
                <w:szCs w:val="16"/>
                <w:lang w:val="en-US"/>
              </w:rPr>
              <w:t xml:space="preserve"> </w:t>
            </w:r>
            <w:r w:rsidRPr="0011135F">
              <w:rPr>
                <w:rFonts w:ascii="Arial" w:hAnsi="Arial" w:cs="Arial"/>
                <w:sz w:val="16"/>
                <w:szCs w:val="16"/>
                <w:lang w:val="en-US"/>
              </w:rPr>
              <w:t>0,2 (0,1 a 0,3)</w:t>
            </w:r>
          </w:p>
          <w:p w14:paraId="770DA544" w14:textId="3359E85B" w:rsidR="00B0483A" w:rsidRDefault="00B0483A" w:rsidP="003D5420">
            <w:pPr>
              <w:pStyle w:val="Textoindependiente"/>
              <w:rPr>
                <w:rFonts w:ascii="Arial" w:hAnsi="Arial" w:cs="Arial"/>
                <w:sz w:val="16"/>
                <w:szCs w:val="16"/>
                <w:lang w:val="en-US"/>
              </w:rPr>
            </w:pPr>
            <w:r>
              <w:rPr>
                <w:rFonts w:ascii="Arial" w:hAnsi="Arial" w:cs="Arial"/>
                <w:sz w:val="16"/>
                <w:szCs w:val="16"/>
                <w:lang w:val="en-US"/>
              </w:rPr>
              <w:t>RR</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1,3 (1,2</w:t>
            </w:r>
            <w:r w:rsidRPr="0011135F">
              <w:rPr>
                <w:rFonts w:ascii="Arial" w:hAnsi="Arial" w:cs="Arial"/>
                <w:sz w:val="16"/>
                <w:szCs w:val="16"/>
                <w:lang w:val="en-US"/>
              </w:rPr>
              <w:t xml:space="preserve"> a 1,5)</w:t>
            </w:r>
          </w:p>
        </w:tc>
      </w:tr>
      <w:tr w:rsidR="00B0483A" w14:paraId="0081E4A1" w14:textId="77777777" w:rsidTr="0024027B">
        <w:tblPrEx>
          <w:jc w:val="center"/>
          <w:tblInd w:w="0" w:type="dxa"/>
        </w:tblPrEx>
        <w:trPr>
          <w:gridBefore w:val="1"/>
          <w:wBefore w:w="470" w:type="dxa"/>
          <w:cantSplit/>
          <w:jc w:val="center"/>
        </w:trPr>
        <w:tc>
          <w:tcPr>
            <w:tcW w:w="2035" w:type="dxa"/>
            <w:gridSpan w:val="2"/>
            <w:tcBorders>
              <w:top w:val="single" w:sz="4" w:space="0" w:color="auto"/>
              <w:left w:val="single" w:sz="4" w:space="0" w:color="auto"/>
              <w:bottom w:val="single" w:sz="4" w:space="0" w:color="auto"/>
              <w:right w:val="single" w:sz="4" w:space="0" w:color="auto"/>
            </w:tcBorders>
          </w:tcPr>
          <w:p w14:paraId="0738C197" w14:textId="77777777" w:rsidR="00B0483A" w:rsidRPr="00051915" w:rsidRDefault="00B0483A" w:rsidP="003D5420">
            <w:pPr>
              <w:pStyle w:val="Textoindependiente"/>
              <w:rPr>
                <w:rFonts w:ascii="Arial" w:hAnsi="Arial" w:cs="Arial"/>
                <w:sz w:val="16"/>
                <w:szCs w:val="16"/>
              </w:rPr>
            </w:pPr>
            <w:r w:rsidRPr="00051915">
              <w:rPr>
                <w:rFonts w:ascii="Arial" w:hAnsi="Arial" w:cs="Arial"/>
                <w:sz w:val="16"/>
                <w:szCs w:val="16"/>
              </w:rPr>
              <w:t>No muerte ni uso de ventilación mecánica</w:t>
            </w:r>
          </w:p>
        </w:tc>
        <w:tc>
          <w:tcPr>
            <w:tcW w:w="2360" w:type="dxa"/>
            <w:gridSpan w:val="2"/>
            <w:tcBorders>
              <w:top w:val="single" w:sz="4" w:space="0" w:color="auto"/>
              <w:left w:val="single" w:sz="4" w:space="0" w:color="auto"/>
              <w:bottom w:val="single" w:sz="4" w:space="0" w:color="auto"/>
              <w:right w:val="single" w:sz="4" w:space="0" w:color="auto"/>
            </w:tcBorders>
          </w:tcPr>
          <w:p w14:paraId="27676B44" w14:textId="77777777" w:rsidR="00B0483A" w:rsidRDefault="00B0483A" w:rsidP="003D5420">
            <w:pPr>
              <w:pStyle w:val="Textoindependiente"/>
              <w:rPr>
                <w:rFonts w:ascii="Arial" w:hAnsi="Arial" w:cs="Arial"/>
                <w:sz w:val="16"/>
                <w:szCs w:val="16"/>
                <w:lang w:val="en-US"/>
              </w:rPr>
            </w:pPr>
            <w:r>
              <w:rPr>
                <w:rFonts w:ascii="Arial" w:hAnsi="Arial" w:cs="Arial"/>
                <w:sz w:val="16"/>
                <w:szCs w:val="16"/>
                <w:lang w:val="en-US"/>
              </w:rPr>
              <w:t>100% (12/12)</w:t>
            </w:r>
          </w:p>
        </w:tc>
        <w:tc>
          <w:tcPr>
            <w:tcW w:w="1275" w:type="dxa"/>
            <w:gridSpan w:val="2"/>
            <w:tcBorders>
              <w:top w:val="single" w:sz="4" w:space="0" w:color="auto"/>
              <w:left w:val="single" w:sz="4" w:space="0" w:color="auto"/>
              <w:bottom w:val="single" w:sz="4" w:space="0" w:color="auto"/>
              <w:right w:val="single" w:sz="4" w:space="0" w:color="auto"/>
            </w:tcBorders>
          </w:tcPr>
          <w:p w14:paraId="458AC607" w14:textId="77777777" w:rsidR="00B0483A" w:rsidRDefault="00B0483A" w:rsidP="003D5420">
            <w:pPr>
              <w:pStyle w:val="Textoindependiente"/>
              <w:rPr>
                <w:rFonts w:ascii="Arial" w:hAnsi="Arial" w:cs="Arial"/>
                <w:sz w:val="16"/>
                <w:szCs w:val="16"/>
                <w:lang w:val="en-US"/>
              </w:rPr>
            </w:pPr>
            <w:r>
              <w:rPr>
                <w:rFonts w:ascii="Arial" w:hAnsi="Arial" w:cs="Arial"/>
                <w:sz w:val="16"/>
                <w:szCs w:val="16"/>
                <w:lang w:val="en-US"/>
              </w:rPr>
              <w:t>61% (49/80)</w:t>
            </w:r>
          </w:p>
        </w:tc>
        <w:tc>
          <w:tcPr>
            <w:tcW w:w="2094" w:type="dxa"/>
            <w:gridSpan w:val="2"/>
            <w:tcBorders>
              <w:top w:val="single" w:sz="4" w:space="0" w:color="auto"/>
              <w:left w:val="single" w:sz="4" w:space="0" w:color="auto"/>
              <w:bottom w:val="single" w:sz="4" w:space="0" w:color="auto"/>
              <w:right w:val="single" w:sz="4" w:space="0" w:color="auto"/>
            </w:tcBorders>
          </w:tcPr>
          <w:p w14:paraId="77DBC877" w14:textId="46E4BDBA" w:rsidR="00B0483A" w:rsidRDefault="00B0483A" w:rsidP="003D5420">
            <w:pPr>
              <w:pStyle w:val="Textoindependiente"/>
              <w:rPr>
                <w:rFonts w:ascii="Arial" w:hAnsi="Arial" w:cs="Arial"/>
                <w:sz w:val="16"/>
                <w:szCs w:val="16"/>
                <w:lang w:val="en-US"/>
              </w:rPr>
            </w:pPr>
            <w:r>
              <w:rPr>
                <w:rFonts w:ascii="Arial" w:hAnsi="Arial" w:cs="Arial"/>
                <w:sz w:val="16"/>
                <w:szCs w:val="16"/>
                <w:lang w:val="en-US"/>
              </w:rPr>
              <w:t>NNT</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2,6 (2,0 a 3,6)</w:t>
            </w:r>
          </w:p>
          <w:p w14:paraId="45A679D6" w14:textId="11457EE5" w:rsidR="00B0483A" w:rsidRDefault="00B0483A" w:rsidP="003D5420">
            <w:pPr>
              <w:pStyle w:val="Textoindependiente"/>
              <w:rPr>
                <w:rFonts w:ascii="Arial" w:hAnsi="Arial" w:cs="Arial"/>
                <w:sz w:val="16"/>
                <w:szCs w:val="16"/>
                <w:lang w:val="en-US"/>
              </w:rPr>
            </w:pPr>
            <w:r>
              <w:rPr>
                <w:rFonts w:ascii="Arial" w:hAnsi="Arial" w:cs="Arial"/>
                <w:sz w:val="16"/>
                <w:szCs w:val="16"/>
                <w:lang w:val="en-US"/>
              </w:rPr>
              <w:t>RAR</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0,4 (0,3 a 0,5)</w:t>
            </w:r>
          </w:p>
          <w:p w14:paraId="1E9CE348" w14:textId="58B8CDA4" w:rsidR="00B0483A" w:rsidRDefault="00B0483A" w:rsidP="003D5420">
            <w:pPr>
              <w:pStyle w:val="Textoindependiente"/>
              <w:rPr>
                <w:rFonts w:ascii="Arial" w:hAnsi="Arial" w:cs="Arial"/>
                <w:sz w:val="16"/>
                <w:szCs w:val="16"/>
                <w:lang w:val="en-US"/>
              </w:rPr>
            </w:pPr>
            <w:r>
              <w:rPr>
                <w:rFonts w:ascii="Arial" w:hAnsi="Arial" w:cs="Arial"/>
                <w:sz w:val="16"/>
                <w:szCs w:val="16"/>
                <w:lang w:val="en-US"/>
              </w:rPr>
              <w:t>RR</w:t>
            </w:r>
            <w:r w:rsidR="00D17AB4">
              <w:rPr>
                <w:rFonts w:ascii="Arial" w:hAnsi="Arial" w:cs="Arial"/>
                <w:sz w:val="16"/>
                <w:szCs w:val="16"/>
                <w:lang w:val="en-US"/>
              </w:rPr>
              <w:t xml:space="preserve"> </w:t>
            </w:r>
            <w:r>
              <w:rPr>
                <w:rFonts w:ascii="Arial" w:hAnsi="Arial" w:cs="Arial"/>
                <w:sz w:val="16"/>
                <w:szCs w:val="16"/>
                <w:lang w:val="en-US"/>
              </w:rPr>
              <w:t>=</w:t>
            </w:r>
            <w:r w:rsidR="00D17AB4">
              <w:rPr>
                <w:rFonts w:ascii="Arial" w:hAnsi="Arial" w:cs="Arial"/>
                <w:sz w:val="16"/>
                <w:szCs w:val="16"/>
                <w:lang w:val="en-US"/>
              </w:rPr>
              <w:t xml:space="preserve"> </w:t>
            </w:r>
            <w:r>
              <w:rPr>
                <w:rFonts w:ascii="Arial" w:hAnsi="Arial" w:cs="Arial"/>
                <w:sz w:val="16"/>
                <w:szCs w:val="16"/>
                <w:lang w:val="en-US"/>
              </w:rPr>
              <w:t>1,6 (1,4 a 1,9)</w:t>
            </w:r>
          </w:p>
        </w:tc>
        <w:tc>
          <w:tcPr>
            <w:tcW w:w="1994" w:type="dxa"/>
            <w:gridSpan w:val="2"/>
            <w:tcBorders>
              <w:top w:val="single" w:sz="4" w:space="0" w:color="auto"/>
              <w:left w:val="single" w:sz="4" w:space="0" w:color="auto"/>
              <w:bottom w:val="single" w:sz="4" w:space="0" w:color="auto"/>
              <w:right w:val="single" w:sz="4" w:space="0" w:color="auto"/>
            </w:tcBorders>
          </w:tcPr>
          <w:p w14:paraId="03C80126" w14:textId="2C4C1AC5" w:rsidR="00B0483A" w:rsidRPr="0011135F" w:rsidRDefault="00B0483A" w:rsidP="003D5420">
            <w:pPr>
              <w:pStyle w:val="Textoindependiente"/>
              <w:rPr>
                <w:rFonts w:ascii="Arial" w:hAnsi="Arial" w:cs="Arial"/>
                <w:sz w:val="16"/>
                <w:szCs w:val="16"/>
                <w:lang w:val="en-US"/>
              </w:rPr>
            </w:pPr>
            <w:r w:rsidRPr="0011135F">
              <w:rPr>
                <w:rFonts w:ascii="Arial" w:hAnsi="Arial" w:cs="Arial"/>
                <w:sz w:val="16"/>
                <w:szCs w:val="16"/>
                <w:lang w:val="en-US"/>
              </w:rPr>
              <w:t>NNT</w:t>
            </w:r>
            <w:r w:rsidR="00D17AB4">
              <w:rPr>
                <w:rFonts w:ascii="Arial" w:hAnsi="Arial" w:cs="Arial"/>
                <w:sz w:val="16"/>
                <w:szCs w:val="16"/>
                <w:lang w:val="en-US"/>
              </w:rPr>
              <w:t xml:space="preserve"> </w:t>
            </w:r>
            <w:r w:rsidRPr="0011135F">
              <w:rPr>
                <w:rFonts w:ascii="Arial" w:hAnsi="Arial" w:cs="Arial"/>
                <w:sz w:val="16"/>
                <w:szCs w:val="16"/>
                <w:lang w:val="en-US"/>
              </w:rPr>
              <w:t>=</w:t>
            </w:r>
            <w:r w:rsidR="00D17AB4">
              <w:rPr>
                <w:rFonts w:ascii="Arial" w:hAnsi="Arial" w:cs="Arial"/>
                <w:sz w:val="16"/>
                <w:szCs w:val="16"/>
                <w:lang w:val="en-US"/>
              </w:rPr>
              <w:t xml:space="preserve"> </w:t>
            </w:r>
            <w:r w:rsidRPr="0011135F">
              <w:rPr>
                <w:rFonts w:ascii="Arial" w:hAnsi="Arial" w:cs="Arial"/>
                <w:sz w:val="16"/>
                <w:szCs w:val="16"/>
                <w:lang w:val="en-US"/>
              </w:rPr>
              <w:t xml:space="preserve">2,6 </w:t>
            </w:r>
            <w:r>
              <w:rPr>
                <w:rFonts w:ascii="Arial" w:hAnsi="Arial" w:cs="Arial"/>
                <w:sz w:val="16"/>
                <w:szCs w:val="16"/>
                <w:lang w:val="en-US"/>
              </w:rPr>
              <w:t>(</w:t>
            </w:r>
            <w:r w:rsidRPr="0011135F">
              <w:rPr>
                <w:rFonts w:ascii="Arial" w:hAnsi="Arial" w:cs="Arial"/>
                <w:sz w:val="16"/>
                <w:szCs w:val="16"/>
                <w:lang w:val="en-US"/>
              </w:rPr>
              <w:t>2,0 a 3,6)</w:t>
            </w:r>
          </w:p>
          <w:p w14:paraId="2AE0C6ED" w14:textId="203FB7F2" w:rsidR="00B0483A" w:rsidRPr="0011135F" w:rsidRDefault="00B0483A" w:rsidP="003D5420">
            <w:pPr>
              <w:pStyle w:val="Textoindependiente"/>
              <w:rPr>
                <w:rFonts w:ascii="Arial" w:hAnsi="Arial" w:cs="Arial"/>
                <w:sz w:val="16"/>
                <w:szCs w:val="16"/>
                <w:lang w:val="en-US"/>
              </w:rPr>
            </w:pPr>
            <w:r w:rsidRPr="0011135F">
              <w:rPr>
                <w:rFonts w:ascii="Arial" w:hAnsi="Arial" w:cs="Arial"/>
                <w:sz w:val="16"/>
                <w:szCs w:val="16"/>
                <w:lang w:val="en-US"/>
              </w:rPr>
              <w:t>RAR</w:t>
            </w:r>
            <w:r w:rsidR="00D17AB4">
              <w:rPr>
                <w:rFonts w:ascii="Arial" w:hAnsi="Arial" w:cs="Arial"/>
                <w:sz w:val="16"/>
                <w:szCs w:val="16"/>
                <w:lang w:val="en-US"/>
              </w:rPr>
              <w:t xml:space="preserve"> </w:t>
            </w:r>
            <w:r w:rsidRPr="0011135F">
              <w:rPr>
                <w:rFonts w:ascii="Arial" w:hAnsi="Arial" w:cs="Arial"/>
                <w:sz w:val="16"/>
                <w:szCs w:val="16"/>
                <w:lang w:val="en-US"/>
              </w:rPr>
              <w:t>=</w:t>
            </w:r>
            <w:r w:rsidR="00D17AB4">
              <w:rPr>
                <w:rFonts w:ascii="Arial" w:hAnsi="Arial" w:cs="Arial"/>
                <w:sz w:val="16"/>
                <w:szCs w:val="16"/>
                <w:lang w:val="en-US"/>
              </w:rPr>
              <w:t xml:space="preserve"> </w:t>
            </w:r>
            <w:r w:rsidRPr="0011135F">
              <w:rPr>
                <w:rFonts w:ascii="Arial" w:hAnsi="Arial" w:cs="Arial"/>
                <w:sz w:val="16"/>
                <w:szCs w:val="16"/>
                <w:lang w:val="en-US"/>
              </w:rPr>
              <w:t>0,4 (0,3 a 0,5)</w:t>
            </w:r>
          </w:p>
          <w:p w14:paraId="0C3C4DD0" w14:textId="2ACFFD07" w:rsidR="00B0483A" w:rsidRDefault="00B0483A" w:rsidP="003D5420">
            <w:pPr>
              <w:pStyle w:val="Textoindependiente"/>
              <w:rPr>
                <w:rFonts w:ascii="Arial" w:hAnsi="Arial" w:cs="Arial"/>
                <w:sz w:val="16"/>
                <w:szCs w:val="16"/>
                <w:lang w:val="en-US"/>
              </w:rPr>
            </w:pPr>
            <w:r w:rsidRPr="0011135F">
              <w:rPr>
                <w:rFonts w:ascii="Arial" w:hAnsi="Arial" w:cs="Arial"/>
                <w:sz w:val="16"/>
                <w:szCs w:val="16"/>
                <w:lang w:val="en-US"/>
              </w:rPr>
              <w:t>RR</w:t>
            </w:r>
            <w:r w:rsidR="00D17AB4">
              <w:rPr>
                <w:rFonts w:ascii="Arial" w:hAnsi="Arial" w:cs="Arial"/>
                <w:sz w:val="16"/>
                <w:szCs w:val="16"/>
                <w:lang w:val="en-US"/>
              </w:rPr>
              <w:t xml:space="preserve"> </w:t>
            </w:r>
            <w:r w:rsidRPr="0011135F">
              <w:rPr>
                <w:rFonts w:ascii="Arial" w:hAnsi="Arial" w:cs="Arial"/>
                <w:sz w:val="16"/>
                <w:szCs w:val="16"/>
                <w:lang w:val="en-US"/>
              </w:rPr>
              <w:t>=</w:t>
            </w:r>
            <w:r w:rsidR="00D17AB4">
              <w:rPr>
                <w:rFonts w:ascii="Arial" w:hAnsi="Arial" w:cs="Arial"/>
                <w:sz w:val="16"/>
                <w:szCs w:val="16"/>
                <w:lang w:val="en-US"/>
              </w:rPr>
              <w:t xml:space="preserve"> </w:t>
            </w:r>
            <w:r w:rsidRPr="0011135F">
              <w:rPr>
                <w:rFonts w:ascii="Arial" w:hAnsi="Arial" w:cs="Arial"/>
                <w:sz w:val="16"/>
                <w:szCs w:val="16"/>
                <w:lang w:val="en-US"/>
              </w:rPr>
              <w:t xml:space="preserve">1,6 (1,4 a </w:t>
            </w:r>
            <w:r>
              <w:rPr>
                <w:rFonts w:ascii="Arial" w:hAnsi="Arial" w:cs="Arial"/>
                <w:sz w:val="16"/>
                <w:szCs w:val="16"/>
                <w:lang w:val="en-US"/>
              </w:rPr>
              <w:t>2,0</w:t>
            </w:r>
            <w:r w:rsidRPr="0011135F">
              <w:rPr>
                <w:rFonts w:ascii="Arial" w:hAnsi="Arial" w:cs="Arial"/>
                <w:sz w:val="16"/>
                <w:szCs w:val="16"/>
                <w:lang w:val="en-US"/>
              </w:rPr>
              <w:t>)</w:t>
            </w:r>
          </w:p>
        </w:tc>
      </w:tr>
      <w:tr w:rsidR="00B0483A" w14:paraId="7BD0F15C" w14:textId="77777777" w:rsidTr="0024027B">
        <w:tblPrEx>
          <w:jc w:val="center"/>
          <w:tblInd w:w="0" w:type="dxa"/>
        </w:tblPrEx>
        <w:trPr>
          <w:gridBefore w:val="1"/>
          <w:wBefore w:w="470" w:type="dxa"/>
          <w:cantSplit/>
          <w:jc w:val="center"/>
        </w:trPr>
        <w:tc>
          <w:tcPr>
            <w:tcW w:w="9758" w:type="dxa"/>
            <w:gridSpan w:val="10"/>
            <w:tcBorders>
              <w:top w:val="single" w:sz="4" w:space="0" w:color="auto"/>
              <w:left w:val="single" w:sz="4" w:space="0" w:color="auto"/>
              <w:bottom w:val="single" w:sz="4" w:space="0" w:color="auto"/>
              <w:right w:val="single" w:sz="4" w:space="0" w:color="auto"/>
            </w:tcBorders>
            <w:shd w:val="clear" w:color="auto" w:fill="E6E6E6"/>
            <w:hideMark/>
          </w:tcPr>
          <w:p w14:paraId="122CB395" w14:textId="77777777" w:rsidR="00B0483A" w:rsidRDefault="00B0483A" w:rsidP="003D5420">
            <w:pPr>
              <w:pStyle w:val="Textoindependiente"/>
              <w:rPr>
                <w:rFonts w:ascii="Arial" w:hAnsi="Arial" w:cs="Arial"/>
                <w:b/>
                <w:bCs/>
                <w:sz w:val="16"/>
                <w:szCs w:val="16"/>
              </w:rPr>
            </w:pPr>
            <w:r>
              <w:rPr>
                <w:rFonts w:ascii="Arial" w:hAnsi="Arial" w:cs="Arial"/>
                <w:b/>
                <w:bCs/>
                <w:sz w:val="16"/>
                <w:szCs w:val="16"/>
              </w:rPr>
              <w:t>INTERPRETACIÓN DE LOS RESULTADOS DE LA COMPARACIÓN INDIRECTA</w:t>
            </w:r>
          </w:p>
          <w:p w14:paraId="57F20C5B" w14:textId="77777777" w:rsidR="00B0483A" w:rsidRDefault="00B0483A" w:rsidP="003D5420">
            <w:pPr>
              <w:pStyle w:val="Textoindependiente"/>
              <w:rPr>
                <w:rFonts w:ascii="Arial" w:hAnsi="Arial" w:cs="Arial"/>
                <w:b/>
                <w:bCs/>
                <w:sz w:val="16"/>
                <w:szCs w:val="16"/>
              </w:rPr>
            </w:pPr>
            <w:r>
              <w:rPr>
                <w:rFonts w:ascii="Arial" w:hAnsi="Arial" w:cs="Arial"/>
                <w:b/>
                <w:bCs/>
                <w:sz w:val="16"/>
                <w:szCs w:val="16"/>
              </w:rPr>
              <w:t xml:space="preserve">Se interpretan correctamente                           SI  </w:t>
            </w:r>
            <w:r>
              <w:rPr>
                <w:rFonts w:ascii="Arial" w:hAnsi="Arial" w:cs="Arial"/>
                <w:b/>
                <w:bCs/>
                <w:noProof/>
                <w:sz w:val="16"/>
                <w:szCs w:val="16"/>
              </w:rPr>
              <mc:AlternateContent>
                <mc:Choice Requires="wps">
                  <w:drawing>
                    <wp:inline distT="0" distB="0" distL="0" distR="0" wp14:anchorId="0B364755" wp14:editId="3C5B4146">
                      <wp:extent cx="114300" cy="114300"/>
                      <wp:effectExtent l="9525" t="9525" r="9525" b="9525"/>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07FD1723" w14:textId="77777777" w:rsidR="00A22536" w:rsidRDefault="00A22536" w:rsidP="00B0483A">
                                  <w:pPr>
                                    <w:rPr>
                                      <w:sz w:val="16"/>
                                      <w:szCs w:val="16"/>
                                    </w:rPr>
                                  </w:pPr>
                                </w:p>
                              </w:txbxContent>
                            </wps:txbx>
                            <wps:bodyPr rot="0" vert="horz" wrap="square" lIns="0" tIns="0" rIns="0" bIns="0" anchor="t" anchorCtr="0" upright="1">
                              <a:noAutofit/>
                            </wps:bodyPr>
                          </wps:wsp>
                        </a:graphicData>
                      </a:graphic>
                    </wp:inline>
                  </w:drawing>
                </mc:Choice>
                <mc:Fallback>
                  <w:pict>
                    <v:shape w14:anchorId="0B364755" id="Cuadro de texto 34" o:spid="_x0000_s1037"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">
                      <v:textbox inset="0,0,0,0">
                        <w:txbxContent>
                          <w:p w14:paraId="07FD1723" w14:textId="77777777" w:rsidR="00A22536" w:rsidRDefault="00A22536" w:rsidP="00B0483A">
                            <w:pPr>
                              <w:rPr>
                                <w:sz w:val="16"/>
                                <w:szCs w:val="16"/>
                              </w:rPr>
                            </w:pPr>
                          </w:p>
                        </w:txbxContent>
                      </v:textbox>
                      <w10:anchorlock/>
                    </v:shape>
                  </w:pict>
                </mc:Fallback>
              </mc:AlternateContent>
            </w:r>
            <w:r>
              <w:rPr>
                <w:rFonts w:ascii="Arial" w:hAnsi="Arial" w:cs="Arial"/>
                <w:b/>
                <w:bCs/>
                <w:sz w:val="16"/>
                <w:szCs w:val="16"/>
              </w:rPr>
              <w:t xml:space="preserve">           NO   </w:t>
            </w:r>
            <w:r>
              <w:rPr>
                <w:rFonts w:ascii="Arial" w:hAnsi="Arial" w:cs="Arial"/>
                <w:b/>
                <w:bCs/>
                <w:noProof/>
                <w:sz w:val="16"/>
                <w:szCs w:val="16"/>
              </w:rPr>
              <mc:AlternateContent>
                <mc:Choice Requires="wps">
                  <w:drawing>
                    <wp:inline distT="0" distB="0" distL="0" distR="0" wp14:anchorId="13E3F984" wp14:editId="2BE803B0">
                      <wp:extent cx="114300" cy="114300"/>
                      <wp:effectExtent l="9525" t="9525" r="9525" b="9525"/>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136D609A" w14:textId="77777777" w:rsidR="00A22536" w:rsidRDefault="00A22536" w:rsidP="00B0483A">
                                  <w:pPr>
                                    <w:rPr>
                                      <w:sz w:val="16"/>
                                      <w:szCs w:val="16"/>
                                    </w:rPr>
                                  </w:pPr>
                                </w:p>
                              </w:txbxContent>
                            </wps:txbx>
                            <wps:bodyPr rot="0" vert="horz" wrap="square" lIns="0" tIns="0" rIns="0" bIns="0" anchor="t" anchorCtr="0" upright="1">
                              <a:noAutofit/>
                            </wps:bodyPr>
                          </wps:wsp>
                        </a:graphicData>
                      </a:graphic>
                    </wp:inline>
                  </w:drawing>
                </mc:Choice>
                <mc:Fallback>
                  <w:pict>
                    <v:shape w14:anchorId="13E3F984" id="Cuadro de texto 33" o:spid="_x0000_s1038"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">
                      <v:textbox inset="0,0,0,0">
                        <w:txbxContent>
                          <w:p w14:paraId="136D609A" w14:textId="77777777" w:rsidR="00A22536" w:rsidRDefault="00A22536" w:rsidP="00B0483A">
                            <w:pPr>
                              <w:rPr>
                                <w:sz w:val="16"/>
                                <w:szCs w:val="16"/>
                              </w:rPr>
                            </w:pPr>
                          </w:p>
                        </w:txbxContent>
                      </v:textbox>
                      <w10:anchorlock/>
                    </v:shape>
                  </w:pict>
                </mc:Fallback>
              </mc:AlternateContent>
            </w:r>
            <w:r>
              <w:rPr>
                <w:rFonts w:ascii="Arial" w:hAnsi="Arial" w:cs="Arial"/>
                <w:b/>
                <w:bCs/>
                <w:sz w:val="16"/>
                <w:szCs w:val="16"/>
              </w:rPr>
              <w:t xml:space="preserve">           Dudoso </w:t>
            </w:r>
            <w:r>
              <w:rPr>
                <w:rFonts w:ascii="Arial" w:hAnsi="Arial" w:cs="Arial"/>
                <w:b/>
                <w:bCs/>
                <w:noProof/>
                <w:sz w:val="16"/>
                <w:szCs w:val="16"/>
              </w:rPr>
              <mc:AlternateContent>
                <mc:Choice Requires="wps">
                  <w:drawing>
                    <wp:inline distT="0" distB="0" distL="0" distR="0" wp14:anchorId="7EE23C64" wp14:editId="4833D724">
                      <wp:extent cx="114300" cy="114300"/>
                      <wp:effectExtent l="9525" t="9525" r="9525" b="9525"/>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661FA0FA" w14:textId="77777777" w:rsidR="00A22536" w:rsidRPr="0011135F" w:rsidRDefault="00A22536" w:rsidP="00B0483A">
                                  <w:pPr>
                                    <w:rPr>
                                      <w:rFonts w:ascii="Arial" w:hAnsi="Arial" w:cs="Arial"/>
                                      <w:sz w:val="16"/>
                                      <w:szCs w:val="16"/>
                                    </w:rPr>
                                  </w:pPr>
                                  <w:r>
                                    <w:rPr>
                                      <w:rFonts w:ascii="Arial" w:hAnsi="Arial" w:cs="Arial"/>
                                      <w:sz w:val="16"/>
                                      <w:szCs w:val="16"/>
                                    </w:rPr>
                                    <w:t xml:space="preserve"> x</w:t>
                                  </w:r>
                                </w:p>
                              </w:txbxContent>
                            </wps:txbx>
                            <wps:bodyPr rot="0" vert="horz" wrap="square" lIns="0" tIns="0" rIns="0" bIns="0" anchor="t" anchorCtr="0" upright="1">
                              <a:noAutofit/>
                            </wps:bodyPr>
                          </wps:wsp>
                        </a:graphicData>
                      </a:graphic>
                    </wp:inline>
                  </w:drawing>
                </mc:Choice>
                <mc:Fallback>
                  <w:pict>
                    <v:shape w14:anchorId="7EE23C64" id="Cuadro de texto 32" o:spid="_x0000_s1039"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">
                      <v:textbox inset="0,0,0,0">
                        <w:txbxContent>
                          <w:p w14:paraId="661FA0FA" w14:textId="77777777" w:rsidR="00A22536" w:rsidRPr="0011135F" w:rsidRDefault="00A22536" w:rsidP="00B0483A">
                            <w:pPr>
                              <w:rPr>
                                <w:rFonts w:ascii="Arial" w:hAnsi="Arial" w:cs="Arial"/>
                                <w:sz w:val="16"/>
                                <w:szCs w:val="16"/>
                              </w:rPr>
                            </w:pPr>
                            <w:r>
                              <w:rPr>
                                <w:rFonts w:ascii="Arial" w:hAnsi="Arial" w:cs="Arial"/>
                                <w:sz w:val="16"/>
                                <w:szCs w:val="16"/>
                              </w:rPr>
                              <w:t xml:space="preserve"> x</w:t>
                            </w:r>
                          </w:p>
                        </w:txbxContent>
                      </v:textbox>
                      <w10:anchorlock/>
                    </v:shape>
                  </w:pict>
                </mc:Fallback>
              </mc:AlternateContent>
            </w:r>
          </w:p>
        </w:tc>
      </w:tr>
      <w:tr w:rsidR="00B0483A" w14:paraId="6BE34620" w14:textId="77777777" w:rsidTr="0024027B">
        <w:tblPrEx>
          <w:jc w:val="center"/>
          <w:tblInd w:w="0" w:type="dxa"/>
        </w:tblPrEx>
        <w:trPr>
          <w:gridBefore w:val="1"/>
          <w:wBefore w:w="470" w:type="dxa"/>
          <w:cantSplit/>
          <w:jc w:val="center"/>
        </w:trPr>
        <w:tc>
          <w:tcPr>
            <w:tcW w:w="9758" w:type="dxa"/>
            <w:gridSpan w:val="10"/>
            <w:tcBorders>
              <w:top w:val="single" w:sz="4" w:space="0" w:color="auto"/>
              <w:left w:val="single" w:sz="4" w:space="0" w:color="auto"/>
              <w:bottom w:val="single" w:sz="4" w:space="0" w:color="auto"/>
              <w:right w:val="single" w:sz="4" w:space="0" w:color="auto"/>
            </w:tcBorders>
            <w:hideMark/>
          </w:tcPr>
          <w:p w14:paraId="19C846F8" w14:textId="77777777" w:rsidR="00B0483A" w:rsidRDefault="00B0483A" w:rsidP="003D5420">
            <w:pPr>
              <w:pStyle w:val="Textoindependiente"/>
              <w:rPr>
                <w:rFonts w:ascii="Arial" w:hAnsi="Arial" w:cs="Arial"/>
                <w:sz w:val="16"/>
                <w:szCs w:val="16"/>
              </w:rPr>
            </w:pPr>
            <w:r>
              <w:rPr>
                <w:rFonts w:ascii="Arial" w:hAnsi="Arial" w:cs="Arial"/>
                <w:sz w:val="16"/>
                <w:szCs w:val="16"/>
              </w:rPr>
              <w:t>Cómo se interpretaron:</w:t>
            </w:r>
          </w:p>
          <w:p w14:paraId="335744FA" w14:textId="77777777" w:rsidR="00B0483A" w:rsidRDefault="00B0483A" w:rsidP="003D5420">
            <w:pPr>
              <w:pStyle w:val="Textoindependiente"/>
              <w:rPr>
                <w:rFonts w:ascii="Arial" w:hAnsi="Arial" w:cs="Arial"/>
                <w:sz w:val="16"/>
                <w:szCs w:val="16"/>
              </w:rPr>
            </w:pPr>
            <w:r>
              <w:rPr>
                <w:rFonts w:ascii="Arial" w:hAnsi="Arial" w:cs="Arial"/>
                <w:sz w:val="16"/>
                <w:szCs w:val="16"/>
              </w:rPr>
              <w:t xml:space="preserve">Se discutió la heterogeneidad              </w:t>
            </w:r>
            <w:r>
              <w:rPr>
                <w:rFonts w:ascii="Arial" w:hAnsi="Arial" w:cs="Arial"/>
                <w:b/>
                <w:bCs/>
                <w:sz w:val="16"/>
                <w:szCs w:val="16"/>
              </w:rPr>
              <w:t xml:space="preserve">SI </w:t>
            </w:r>
            <w:r>
              <w:rPr>
                <w:rFonts w:ascii="Arial" w:hAnsi="Arial" w:cs="Arial"/>
                <w:b/>
                <w:bCs/>
                <w:noProof/>
                <w:sz w:val="16"/>
                <w:szCs w:val="16"/>
              </w:rPr>
              <mc:AlternateContent>
                <mc:Choice Requires="wps">
                  <w:drawing>
                    <wp:inline distT="0" distB="0" distL="0" distR="0" wp14:anchorId="07D16203" wp14:editId="06A9D014">
                      <wp:extent cx="114300" cy="114300"/>
                      <wp:effectExtent l="9525" t="9525" r="9525" b="9525"/>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666F7707" w14:textId="77777777" w:rsidR="00A22536" w:rsidRPr="0011135F" w:rsidRDefault="00A22536" w:rsidP="00B0483A">
                                  <w:pPr>
                                    <w:rPr>
                                      <w:rFonts w:ascii="Arial" w:hAnsi="Arial" w:cs="Arial"/>
                                      <w:sz w:val="16"/>
                                      <w:szCs w:val="16"/>
                                    </w:rPr>
                                  </w:pPr>
                                  <w:r>
                                    <w:rPr>
                                      <w:sz w:val="16"/>
                                      <w:szCs w:val="16"/>
                                    </w:rPr>
                                    <w:t xml:space="preserve"> </w:t>
                                  </w:r>
                                  <w:r w:rsidRPr="0011135F">
                                    <w:rPr>
                                      <w:rFonts w:ascii="Arial" w:hAnsi="Arial" w:cs="Arial"/>
                                      <w:sz w:val="16"/>
                                      <w:szCs w:val="16"/>
                                    </w:rPr>
                                    <w:t>x</w:t>
                                  </w:r>
                                </w:p>
                              </w:txbxContent>
                            </wps:txbx>
                            <wps:bodyPr rot="0" vert="horz" wrap="square" lIns="0" tIns="0" rIns="0" bIns="0" anchor="t" anchorCtr="0" upright="1">
                              <a:noAutofit/>
                            </wps:bodyPr>
                          </wps:wsp>
                        </a:graphicData>
                      </a:graphic>
                    </wp:inline>
                  </w:drawing>
                </mc:Choice>
                <mc:Fallback>
                  <w:pict>
                    <v:shape w14:anchorId="07D16203" id="Cuadro de texto 31" o:spid="_x0000_s1040"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">
                      <v:textbox inset="0,0,0,0">
                        <w:txbxContent>
                          <w:p w14:paraId="666F7707" w14:textId="77777777" w:rsidR="00A22536" w:rsidRPr="0011135F" w:rsidRDefault="00A22536" w:rsidP="00B0483A">
                            <w:pPr>
                              <w:rPr>
                                <w:rFonts w:ascii="Arial" w:hAnsi="Arial" w:cs="Arial"/>
                                <w:sz w:val="16"/>
                                <w:szCs w:val="16"/>
                              </w:rPr>
                            </w:pPr>
                            <w:r>
                              <w:rPr>
                                <w:sz w:val="16"/>
                                <w:szCs w:val="16"/>
                              </w:rPr>
                              <w:t xml:space="preserve"> </w:t>
                            </w:r>
                            <w:r w:rsidRPr="0011135F">
                              <w:rPr>
                                <w:rFonts w:ascii="Arial" w:hAnsi="Arial" w:cs="Arial"/>
                                <w:sz w:val="16"/>
                                <w:szCs w:val="16"/>
                              </w:rPr>
                              <w:t>x</w:t>
                            </w:r>
                          </w:p>
                        </w:txbxContent>
                      </v:textbox>
                      <w10:anchorlock/>
                    </v:shape>
                  </w:pict>
                </mc:Fallback>
              </mc:AlternateContent>
            </w:r>
            <w:r>
              <w:rPr>
                <w:rFonts w:ascii="Arial" w:hAnsi="Arial" w:cs="Arial"/>
                <w:b/>
                <w:bCs/>
                <w:sz w:val="16"/>
                <w:szCs w:val="16"/>
              </w:rPr>
              <w:t xml:space="preserve">               NO </w:t>
            </w:r>
            <w:r>
              <w:rPr>
                <w:rFonts w:ascii="Arial" w:hAnsi="Arial" w:cs="Arial"/>
                <w:b/>
                <w:bCs/>
                <w:noProof/>
                <w:sz w:val="16"/>
                <w:szCs w:val="16"/>
              </w:rPr>
              <mc:AlternateContent>
                <mc:Choice Requires="wps">
                  <w:drawing>
                    <wp:inline distT="0" distB="0" distL="0" distR="0" wp14:anchorId="3BA05194" wp14:editId="10666B18">
                      <wp:extent cx="114300" cy="114300"/>
                      <wp:effectExtent l="9525" t="9525" r="9525" b="9525"/>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5D362A12" w14:textId="77777777" w:rsidR="00A22536" w:rsidRDefault="00A22536" w:rsidP="00B0483A">
                                  <w:pPr>
                                    <w:rPr>
                                      <w:sz w:val="16"/>
                                      <w:szCs w:val="16"/>
                                    </w:rPr>
                                  </w:pPr>
                                </w:p>
                              </w:txbxContent>
                            </wps:txbx>
                            <wps:bodyPr rot="0" vert="horz" wrap="square" lIns="0" tIns="0" rIns="0" bIns="0" anchor="t" anchorCtr="0" upright="1">
                              <a:noAutofit/>
                            </wps:bodyPr>
                          </wps:wsp>
                        </a:graphicData>
                      </a:graphic>
                    </wp:inline>
                  </w:drawing>
                </mc:Choice>
                <mc:Fallback>
                  <w:pict>
                    <v:shape w14:anchorId="3BA05194" id="Cuadro de texto 30" o:spid="_x0000_s1041"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">
                      <v:textbox inset="0,0,0,0">
                        <w:txbxContent>
                          <w:p w14:paraId="5D362A12" w14:textId="77777777" w:rsidR="00A22536" w:rsidRDefault="00A22536" w:rsidP="00B0483A">
                            <w:pPr>
                              <w:rPr>
                                <w:sz w:val="16"/>
                                <w:szCs w:val="16"/>
                              </w:rPr>
                            </w:pPr>
                          </w:p>
                        </w:txbxContent>
                      </v:textbox>
                      <w10:anchorlock/>
                    </v:shape>
                  </w:pict>
                </mc:Fallback>
              </mc:AlternateContent>
            </w:r>
            <w:r>
              <w:rPr>
                <w:rFonts w:ascii="Arial" w:hAnsi="Arial" w:cs="Arial"/>
                <w:b/>
                <w:bCs/>
                <w:sz w:val="16"/>
                <w:szCs w:val="16"/>
              </w:rPr>
              <w:t xml:space="preserve">              Dudoso </w:t>
            </w:r>
            <w:r>
              <w:rPr>
                <w:rFonts w:ascii="Arial" w:hAnsi="Arial" w:cs="Arial"/>
                <w:b/>
                <w:bCs/>
                <w:noProof/>
                <w:sz w:val="16"/>
                <w:szCs w:val="16"/>
              </w:rPr>
              <mc:AlternateContent>
                <mc:Choice Requires="wps">
                  <w:drawing>
                    <wp:inline distT="0" distB="0" distL="0" distR="0" wp14:anchorId="44272068" wp14:editId="2C130176">
                      <wp:extent cx="114300" cy="114300"/>
                      <wp:effectExtent l="9525" t="9525" r="9525" b="9525"/>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01F8EF47" w14:textId="77777777" w:rsidR="00A22536" w:rsidRDefault="00A22536" w:rsidP="00B0483A">
                                  <w:pPr>
                                    <w:rPr>
                                      <w:sz w:val="16"/>
                                      <w:szCs w:val="16"/>
                                    </w:rPr>
                                  </w:pPr>
                                </w:p>
                              </w:txbxContent>
                            </wps:txbx>
                            <wps:bodyPr rot="0" vert="horz" wrap="square" lIns="0" tIns="0" rIns="0" bIns="0" anchor="t" anchorCtr="0" upright="1">
                              <a:noAutofit/>
                            </wps:bodyPr>
                          </wps:wsp>
                        </a:graphicData>
                      </a:graphic>
                    </wp:inline>
                  </w:drawing>
                </mc:Choice>
                <mc:Fallback>
                  <w:pict>
                    <v:shape w14:anchorId="44272068" id="Cuadro de texto 29" o:spid="_x0000_s1042"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">
                      <v:textbox inset="0,0,0,0">
                        <w:txbxContent>
                          <w:p w14:paraId="01F8EF47" w14:textId="77777777" w:rsidR="00A22536" w:rsidRDefault="00A22536" w:rsidP="00B0483A">
                            <w:pPr>
                              <w:rPr>
                                <w:sz w:val="16"/>
                                <w:szCs w:val="16"/>
                              </w:rPr>
                            </w:pPr>
                          </w:p>
                        </w:txbxContent>
                      </v:textbox>
                      <w10:anchorlock/>
                    </v:shape>
                  </w:pict>
                </mc:Fallback>
              </mc:AlternateContent>
            </w:r>
          </w:p>
          <w:p w14:paraId="35FDFD18" w14:textId="77777777" w:rsidR="00B0483A" w:rsidRDefault="00B0483A" w:rsidP="003D5420">
            <w:pPr>
              <w:pStyle w:val="Textoindependiente"/>
              <w:rPr>
                <w:rFonts w:ascii="Arial" w:hAnsi="Arial" w:cs="Arial"/>
                <w:sz w:val="16"/>
                <w:szCs w:val="16"/>
              </w:rPr>
            </w:pPr>
            <w:r>
              <w:rPr>
                <w:rFonts w:ascii="Arial" w:hAnsi="Arial" w:cs="Arial"/>
                <w:sz w:val="16"/>
                <w:szCs w:val="16"/>
              </w:rPr>
              <w:t xml:space="preserve">Se realizó análisis de sensibilidad  (reanálisis cambiando datos de partida de la comparación)   </w:t>
            </w:r>
            <w:r>
              <w:rPr>
                <w:rFonts w:ascii="Arial" w:hAnsi="Arial" w:cs="Arial"/>
                <w:b/>
                <w:bCs/>
                <w:sz w:val="16"/>
                <w:szCs w:val="16"/>
              </w:rPr>
              <w:t xml:space="preserve">SI </w:t>
            </w:r>
            <w:r>
              <w:rPr>
                <w:rFonts w:ascii="Arial" w:hAnsi="Arial" w:cs="Arial"/>
                <w:b/>
                <w:bCs/>
                <w:noProof/>
                <w:sz w:val="16"/>
                <w:szCs w:val="16"/>
              </w:rPr>
              <mc:AlternateContent>
                <mc:Choice Requires="wps">
                  <w:drawing>
                    <wp:inline distT="0" distB="0" distL="0" distR="0" wp14:anchorId="702BD0E0" wp14:editId="5BF90661">
                      <wp:extent cx="114300" cy="114300"/>
                      <wp:effectExtent l="9525" t="9525" r="9525" b="9525"/>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46001823" w14:textId="77777777" w:rsidR="00A22536" w:rsidRDefault="00A22536" w:rsidP="00B0483A">
                                  <w:pPr>
                                    <w:rPr>
                                      <w:sz w:val="16"/>
                                      <w:szCs w:val="16"/>
                                    </w:rPr>
                                  </w:pPr>
                                </w:p>
                              </w:txbxContent>
                            </wps:txbx>
                            <wps:bodyPr rot="0" vert="horz" wrap="square" lIns="0" tIns="0" rIns="0" bIns="0" anchor="t" anchorCtr="0" upright="1">
                              <a:noAutofit/>
                            </wps:bodyPr>
                          </wps:wsp>
                        </a:graphicData>
                      </a:graphic>
                    </wp:inline>
                  </w:drawing>
                </mc:Choice>
                <mc:Fallback>
                  <w:pict>
                    <v:shape w14:anchorId="702BD0E0" id="Cuadro de texto 28" o:spid="_x0000_s1043"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">
                      <v:textbox inset="0,0,0,0">
                        <w:txbxContent>
                          <w:p w14:paraId="46001823" w14:textId="77777777" w:rsidR="00A22536" w:rsidRDefault="00A22536" w:rsidP="00B0483A">
                            <w:pPr>
                              <w:rPr>
                                <w:sz w:val="16"/>
                                <w:szCs w:val="16"/>
                              </w:rPr>
                            </w:pPr>
                          </w:p>
                        </w:txbxContent>
                      </v:textbox>
                      <w10:anchorlock/>
                    </v:shape>
                  </w:pict>
                </mc:Fallback>
              </mc:AlternateContent>
            </w:r>
            <w:r>
              <w:rPr>
                <w:rFonts w:ascii="Arial" w:hAnsi="Arial" w:cs="Arial"/>
                <w:b/>
                <w:bCs/>
                <w:sz w:val="16"/>
                <w:szCs w:val="16"/>
              </w:rPr>
              <w:t xml:space="preserve">               NO </w:t>
            </w:r>
            <w:r>
              <w:rPr>
                <w:rFonts w:ascii="Arial" w:hAnsi="Arial" w:cs="Arial"/>
                <w:b/>
                <w:bCs/>
                <w:noProof/>
                <w:sz w:val="16"/>
                <w:szCs w:val="16"/>
              </w:rPr>
              <mc:AlternateContent>
                <mc:Choice Requires="wps">
                  <w:drawing>
                    <wp:inline distT="0" distB="0" distL="0" distR="0" wp14:anchorId="7B768B61" wp14:editId="0DCE07C5">
                      <wp:extent cx="114300" cy="114300"/>
                      <wp:effectExtent l="9525" t="9525" r="9525" b="9525"/>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0CAACA0A" w14:textId="77777777" w:rsidR="00A22536" w:rsidRPr="0011135F" w:rsidRDefault="00A22536" w:rsidP="00B0483A">
                                  <w:pPr>
                                    <w:rPr>
                                      <w:rFonts w:ascii="Arial" w:hAnsi="Arial" w:cs="Arial"/>
                                      <w:sz w:val="16"/>
                                      <w:szCs w:val="16"/>
                                    </w:rPr>
                                  </w:pPr>
                                  <w:r>
                                    <w:rPr>
                                      <w:rFonts w:ascii="Arial" w:hAnsi="Arial" w:cs="Arial"/>
                                      <w:sz w:val="16"/>
                                      <w:szCs w:val="16"/>
                                    </w:rPr>
                                    <w:t xml:space="preserve"> x</w:t>
                                  </w:r>
                                </w:p>
                              </w:txbxContent>
                            </wps:txbx>
                            <wps:bodyPr rot="0" vert="horz" wrap="square" lIns="0" tIns="0" rIns="0" bIns="0" anchor="t" anchorCtr="0" upright="1">
                              <a:noAutofit/>
                            </wps:bodyPr>
                          </wps:wsp>
                        </a:graphicData>
                      </a:graphic>
                    </wp:inline>
                  </w:drawing>
                </mc:Choice>
                <mc:Fallback>
                  <w:pict>
                    <v:shape w14:anchorId="7B768B61" id="Cuadro de texto 27" o:spid="_x0000_s1044"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">
                      <v:textbox inset="0,0,0,0">
                        <w:txbxContent>
                          <w:p w14:paraId="0CAACA0A" w14:textId="77777777" w:rsidR="00A22536" w:rsidRPr="0011135F" w:rsidRDefault="00A22536" w:rsidP="00B0483A">
                            <w:pPr>
                              <w:rPr>
                                <w:rFonts w:ascii="Arial" w:hAnsi="Arial" w:cs="Arial"/>
                                <w:sz w:val="16"/>
                                <w:szCs w:val="16"/>
                              </w:rPr>
                            </w:pPr>
                            <w:r>
                              <w:rPr>
                                <w:rFonts w:ascii="Arial" w:hAnsi="Arial" w:cs="Arial"/>
                                <w:sz w:val="16"/>
                                <w:szCs w:val="16"/>
                              </w:rPr>
                              <w:t xml:space="preserve"> x</w:t>
                            </w:r>
                          </w:p>
                        </w:txbxContent>
                      </v:textbox>
                      <w10:anchorlock/>
                    </v:shape>
                  </w:pict>
                </mc:Fallback>
              </mc:AlternateContent>
            </w:r>
            <w:r>
              <w:rPr>
                <w:rFonts w:ascii="Arial" w:hAnsi="Arial" w:cs="Arial"/>
                <w:b/>
                <w:bCs/>
                <w:sz w:val="16"/>
                <w:szCs w:val="16"/>
              </w:rPr>
              <w:t xml:space="preserve">                         </w:t>
            </w:r>
          </w:p>
        </w:tc>
      </w:tr>
      <w:tr w:rsidR="00B0483A" w14:paraId="4DF6B66C" w14:textId="77777777" w:rsidTr="0024027B">
        <w:tblPrEx>
          <w:jc w:val="center"/>
          <w:tblInd w:w="0" w:type="dxa"/>
        </w:tblPrEx>
        <w:trPr>
          <w:gridBefore w:val="1"/>
          <w:wBefore w:w="470" w:type="dxa"/>
          <w:cantSplit/>
          <w:jc w:val="center"/>
        </w:trPr>
        <w:tc>
          <w:tcPr>
            <w:tcW w:w="9758" w:type="dxa"/>
            <w:gridSpan w:val="10"/>
            <w:tcBorders>
              <w:top w:val="single" w:sz="4" w:space="0" w:color="auto"/>
              <w:left w:val="single" w:sz="4" w:space="0" w:color="auto"/>
              <w:bottom w:val="single" w:sz="4" w:space="0" w:color="auto"/>
              <w:right w:val="single" w:sz="4" w:space="0" w:color="auto"/>
            </w:tcBorders>
          </w:tcPr>
          <w:p w14:paraId="0906339D" w14:textId="1649E811" w:rsidR="00B0483A" w:rsidRDefault="00B0483A" w:rsidP="00482C21">
            <w:pPr>
              <w:pStyle w:val="Textoindependiente"/>
              <w:jc w:val="both"/>
              <w:rPr>
                <w:rFonts w:ascii="Arial" w:hAnsi="Arial" w:cs="Arial"/>
                <w:sz w:val="16"/>
                <w:szCs w:val="16"/>
              </w:rPr>
            </w:pPr>
            <w:r w:rsidRPr="00C14A71">
              <w:rPr>
                <w:rFonts w:ascii="Arial" w:hAnsi="Arial" w:cs="Arial"/>
                <w:b/>
                <w:sz w:val="16"/>
                <w:szCs w:val="16"/>
              </w:rPr>
              <w:t>Otros comentarios.</w:t>
            </w:r>
            <w:r>
              <w:rPr>
                <w:rFonts w:ascii="Arial" w:hAnsi="Arial" w:cs="Arial"/>
                <w:sz w:val="16"/>
                <w:szCs w:val="16"/>
              </w:rPr>
              <w:t xml:space="preserve"> En este caso, a las habituales limitaciones de las comparaciones indirectas, se le suma el hecho de que </w:t>
            </w:r>
            <w:r w:rsidR="001F24F3">
              <w:rPr>
                <w:rFonts w:ascii="Arial" w:hAnsi="Arial" w:cs="Arial"/>
                <w:sz w:val="16"/>
                <w:szCs w:val="16"/>
              </w:rPr>
              <w:t>el</w:t>
            </w:r>
            <w:r>
              <w:rPr>
                <w:rFonts w:ascii="Arial" w:hAnsi="Arial" w:cs="Arial"/>
                <w:sz w:val="16"/>
                <w:szCs w:val="16"/>
              </w:rPr>
              <w:t xml:space="preserve"> ensayos </w:t>
            </w:r>
            <w:r w:rsidR="001F24F3">
              <w:rPr>
                <w:rFonts w:ascii="Arial" w:hAnsi="Arial" w:cs="Arial"/>
                <w:sz w:val="16"/>
                <w:szCs w:val="16"/>
              </w:rPr>
              <w:t xml:space="preserve">con </w:t>
            </w:r>
            <w:r w:rsidR="001F24F3" w:rsidRPr="00C14A71">
              <w:rPr>
                <w:rFonts w:ascii="Arial" w:hAnsi="Arial" w:cs="Arial"/>
                <w:color w:val="000000" w:themeColor="text1"/>
                <w:sz w:val="16"/>
                <w:szCs w:val="16"/>
              </w:rPr>
              <w:t>onasemnogen abeparvovec</w:t>
            </w:r>
            <w:r w:rsidR="001F24F3">
              <w:rPr>
                <w:rFonts w:ascii="Arial" w:hAnsi="Arial" w:cs="Arial"/>
                <w:color w:val="000000" w:themeColor="text1"/>
                <w:sz w:val="16"/>
                <w:szCs w:val="16"/>
              </w:rPr>
              <w:t xml:space="preserve"> no </w:t>
            </w:r>
            <w:r>
              <w:rPr>
                <w:rFonts w:ascii="Arial" w:hAnsi="Arial" w:cs="Arial"/>
                <w:sz w:val="16"/>
                <w:szCs w:val="16"/>
              </w:rPr>
              <w:t xml:space="preserve">tiene grupo control. Aunque los criterios de inclusión eran muy parecidos, las características de los pacientes del ensayo con </w:t>
            </w:r>
            <w:r w:rsidRPr="00C14A71">
              <w:rPr>
                <w:rFonts w:ascii="Arial" w:hAnsi="Arial" w:cs="Arial"/>
                <w:color w:val="000000" w:themeColor="text1"/>
                <w:sz w:val="16"/>
                <w:szCs w:val="16"/>
              </w:rPr>
              <w:t>onasemnogen abeparvovec</w:t>
            </w:r>
            <w:r>
              <w:rPr>
                <w:rFonts w:ascii="Arial" w:hAnsi="Arial" w:cs="Arial"/>
                <w:color w:val="000000" w:themeColor="text1"/>
                <w:sz w:val="16"/>
                <w:szCs w:val="16"/>
              </w:rPr>
              <w:t xml:space="preserve"> pueden considerarse más favorables (CHOP-INTEND: 28 </w:t>
            </w:r>
            <w:r w:rsidR="00D17AB4">
              <w:rPr>
                <w:rFonts w:ascii="Arial" w:hAnsi="Arial" w:cs="Arial"/>
                <w:color w:val="000000" w:themeColor="text1"/>
                <w:sz w:val="16"/>
                <w:szCs w:val="16"/>
              </w:rPr>
              <w:t>frente a</w:t>
            </w:r>
            <w:r>
              <w:rPr>
                <w:rFonts w:ascii="Arial" w:hAnsi="Arial" w:cs="Arial"/>
                <w:color w:val="000000" w:themeColor="text1"/>
                <w:sz w:val="16"/>
                <w:szCs w:val="16"/>
              </w:rPr>
              <w:t xml:space="preserve"> 26,6; edad media en la primera dosis: 3,4 </w:t>
            </w:r>
            <w:r w:rsidR="00D17AB4">
              <w:rPr>
                <w:rFonts w:ascii="Arial" w:hAnsi="Arial" w:cs="Arial"/>
                <w:color w:val="000000" w:themeColor="text1"/>
                <w:sz w:val="16"/>
                <w:szCs w:val="16"/>
              </w:rPr>
              <w:t>frente a</w:t>
            </w:r>
            <w:r>
              <w:rPr>
                <w:rFonts w:ascii="Arial" w:hAnsi="Arial" w:cs="Arial"/>
                <w:color w:val="000000" w:themeColor="text1"/>
                <w:sz w:val="16"/>
                <w:szCs w:val="16"/>
              </w:rPr>
              <w:t xml:space="preserve"> 5,3 y pacientes con ventilación mecánica al inicio: 17% </w:t>
            </w:r>
            <w:r w:rsidR="00D17AB4">
              <w:rPr>
                <w:rFonts w:ascii="Arial" w:hAnsi="Arial" w:cs="Arial"/>
                <w:color w:val="000000" w:themeColor="text1"/>
                <w:sz w:val="16"/>
                <w:szCs w:val="16"/>
              </w:rPr>
              <w:t>frene a</w:t>
            </w:r>
            <w:r>
              <w:rPr>
                <w:rFonts w:ascii="Arial" w:hAnsi="Arial" w:cs="Arial"/>
                <w:color w:val="000000" w:themeColor="text1"/>
                <w:sz w:val="16"/>
                <w:szCs w:val="16"/>
              </w:rPr>
              <w:t xml:space="preserve"> 26%)</w:t>
            </w:r>
          </w:p>
        </w:tc>
      </w:tr>
      <w:tr w:rsidR="00B0483A" w14:paraId="6877FBE9" w14:textId="77777777" w:rsidTr="0024027B">
        <w:tblPrEx>
          <w:jc w:val="center"/>
          <w:tblInd w:w="0" w:type="dxa"/>
        </w:tblPrEx>
        <w:trPr>
          <w:gridBefore w:val="1"/>
          <w:wBefore w:w="470" w:type="dxa"/>
          <w:cantSplit/>
          <w:jc w:val="center"/>
        </w:trPr>
        <w:tc>
          <w:tcPr>
            <w:tcW w:w="9758" w:type="dxa"/>
            <w:gridSpan w:val="10"/>
            <w:tcBorders>
              <w:top w:val="single" w:sz="4" w:space="0" w:color="auto"/>
              <w:left w:val="single" w:sz="4" w:space="0" w:color="auto"/>
              <w:bottom w:val="single" w:sz="4" w:space="0" w:color="auto"/>
              <w:right w:val="single" w:sz="4" w:space="0" w:color="auto"/>
            </w:tcBorders>
            <w:hideMark/>
          </w:tcPr>
          <w:p w14:paraId="0CC12368" w14:textId="77777777" w:rsidR="00B0483A" w:rsidRDefault="00B0483A" w:rsidP="003D5420">
            <w:pPr>
              <w:pStyle w:val="Textoindependiente"/>
              <w:rPr>
                <w:rFonts w:ascii="Arial" w:hAnsi="Arial" w:cs="Arial"/>
                <w:sz w:val="16"/>
                <w:szCs w:val="16"/>
              </w:rPr>
            </w:pPr>
            <w:r>
              <w:rPr>
                <w:rFonts w:ascii="Arial" w:hAnsi="Arial" w:cs="Arial"/>
                <w:sz w:val="16"/>
                <w:szCs w:val="16"/>
              </w:rPr>
              <w:t xml:space="preserve">Está justificada la comparación indirecta:  </w:t>
            </w:r>
            <w:r>
              <w:rPr>
                <w:rFonts w:ascii="Arial" w:hAnsi="Arial" w:cs="Arial"/>
                <w:b/>
                <w:bCs/>
                <w:sz w:val="16"/>
                <w:szCs w:val="16"/>
              </w:rPr>
              <w:t xml:space="preserve">SI </w:t>
            </w:r>
            <w:r>
              <w:rPr>
                <w:rFonts w:ascii="Arial" w:hAnsi="Arial" w:cs="Arial"/>
                <w:b/>
                <w:bCs/>
                <w:noProof/>
                <w:sz w:val="16"/>
                <w:szCs w:val="16"/>
              </w:rPr>
              <mc:AlternateContent>
                <mc:Choice Requires="wps">
                  <w:drawing>
                    <wp:inline distT="0" distB="0" distL="0" distR="0" wp14:anchorId="340CCA0A" wp14:editId="69AFA152">
                      <wp:extent cx="114300" cy="114300"/>
                      <wp:effectExtent l="9525" t="9525" r="9525" b="9525"/>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0F15AB84" w14:textId="77777777" w:rsidR="00A22536" w:rsidRDefault="00A22536" w:rsidP="00B0483A">
                                  <w:pPr>
                                    <w:rPr>
                                      <w:sz w:val="16"/>
                                      <w:szCs w:val="16"/>
                                    </w:rPr>
                                  </w:pPr>
                                </w:p>
                              </w:txbxContent>
                            </wps:txbx>
                            <wps:bodyPr rot="0" vert="horz" wrap="square" lIns="0" tIns="0" rIns="0" bIns="0" anchor="t" anchorCtr="0" upright="1">
                              <a:noAutofit/>
                            </wps:bodyPr>
                          </wps:wsp>
                        </a:graphicData>
                      </a:graphic>
                    </wp:inline>
                  </w:drawing>
                </mc:Choice>
                <mc:Fallback>
                  <w:pict>
                    <v:shape w14:anchorId="340CCA0A" id="Cuadro de texto 26" o:spid="_x0000_s1045"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">
                      <v:textbox inset="0,0,0,0">
                        <w:txbxContent>
                          <w:p w14:paraId="0F15AB84" w14:textId="77777777" w:rsidR="00A22536" w:rsidRDefault="00A22536" w:rsidP="00B0483A">
                            <w:pPr>
                              <w:rPr>
                                <w:sz w:val="16"/>
                                <w:szCs w:val="16"/>
                              </w:rPr>
                            </w:pPr>
                          </w:p>
                        </w:txbxContent>
                      </v:textbox>
                      <w10:anchorlock/>
                    </v:shape>
                  </w:pict>
                </mc:Fallback>
              </mc:AlternateContent>
            </w:r>
            <w:r>
              <w:rPr>
                <w:rFonts w:ascii="Arial" w:hAnsi="Arial" w:cs="Arial"/>
                <w:b/>
                <w:bCs/>
                <w:sz w:val="16"/>
                <w:szCs w:val="16"/>
              </w:rPr>
              <w:t xml:space="preserve">              NO </w:t>
            </w:r>
            <w:r>
              <w:rPr>
                <w:rFonts w:ascii="Arial" w:hAnsi="Arial" w:cs="Arial"/>
                <w:b/>
                <w:bCs/>
                <w:noProof/>
                <w:sz w:val="16"/>
                <w:szCs w:val="16"/>
              </w:rPr>
              <mc:AlternateContent>
                <mc:Choice Requires="wps">
                  <w:drawing>
                    <wp:inline distT="0" distB="0" distL="0" distR="0" wp14:anchorId="11CCAFC4" wp14:editId="747FB809">
                      <wp:extent cx="114300" cy="114300"/>
                      <wp:effectExtent l="9525" t="9525" r="9525" b="9525"/>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4D619E2D" w14:textId="77777777" w:rsidR="00A22536" w:rsidRDefault="00A22536" w:rsidP="00B0483A">
                                  <w:pPr>
                                    <w:rPr>
                                      <w:sz w:val="16"/>
                                      <w:szCs w:val="16"/>
                                    </w:rPr>
                                  </w:pPr>
                                </w:p>
                              </w:txbxContent>
                            </wps:txbx>
                            <wps:bodyPr rot="0" vert="horz" wrap="square" lIns="0" tIns="0" rIns="0" bIns="0" anchor="t" anchorCtr="0" upright="1">
                              <a:noAutofit/>
                            </wps:bodyPr>
                          </wps:wsp>
                        </a:graphicData>
                      </a:graphic>
                    </wp:inline>
                  </w:drawing>
                </mc:Choice>
                <mc:Fallback>
                  <w:pict>
                    <v:shape w14:anchorId="11CCAFC4" id="Cuadro de texto 25" o:spid="_x0000_s1046"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">
                      <v:textbox inset="0,0,0,0">
                        <w:txbxContent>
                          <w:p w14:paraId="4D619E2D" w14:textId="77777777" w:rsidR="00A22536" w:rsidRDefault="00A22536" w:rsidP="00B0483A">
                            <w:pPr>
                              <w:rPr>
                                <w:sz w:val="16"/>
                                <w:szCs w:val="16"/>
                              </w:rPr>
                            </w:pPr>
                          </w:p>
                        </w:txbxContent>
                      </v:textbox>
                      <w10:anchorlock/>
                    </v:shape>
                  </w:pict>
                </mc:Fallback>
              </mc:AlternateContent>
            </w:r>
            <w:r>
              <w:rPr>
                <w:rFonts w:ascii="Arial" w:hAnsi="Arial" w:cs="Arial"/>
                <w:b/>
                <w:bCs/>
                <w:sz w:val="16"/>
                <w:szCs w:val="16"/>
              </w:rPr>
              <w:t xml:space="preserve">              Dudoso </w:t>
            </w:r>
            <w:r>
              <w:rPr>
                <w:rFonts w:ascii="Arial" w:hAnsi="Arial" w:cs="Arial"/>
                <w:b/>
                <w:bCs/>
                <w:noProof/>
                <w:sz w:val="16"/>
                <w:szCs w:val="16"/>
              </w:rPr>
              <mc:AlternateContent>
                <mc:Choice Requires="wps">
                  <w:drawing>
                    <wp:inline distT="0" distB="0" distL="0" distR="0" wp14:anchorId="62C41632" wp14:editId="17946FC8">
                      <wp:extent cx="114300" cy="114300"/>
                      <wp:effectExtent l="9525" t="9525" r="9525" b="9525"/>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4FDF92B" w14:textId="77777777" w:rsidR="00A22536" w:rsidRDefault="00A22536" w:rsidP="00B0483A">
                                  <w:pPr>
                                    <w:rPr>
                                      <w:sz w:val="16"/>
                                      <w:szCs w:val="16"/>
                                    </w:rPr>
                                  </w:pPr>
                                  <w:r>
                                    <w:rPr>
                                      <w:sz w:val="16"/>
                                      <w:szCs w:val="16"/>
                                    </w:rPr>
                                    <w:t xml:space="preserve"> x</w:t>
                                  </w:r>
                                </w:p>
                              </w:txbxContent>
                            </wps:txbx>
                            <wps:bodyPr rot="0" vert="horz" wrap="square" lIns="0" tIns="0" rIns="0" bIns="0" anchor="t" anchorCtr="0" upright="1">
                              <a:noAutofit/>
                            </wps:bodyPr>
                          </wps:wsp>
                        </a:graphicData>
                      </a:graphic>
                    </wp:inline>
                  </w:drawing>
                </mc:Choice>
                <mc:Fallback>
                  <w:pict>
                    <v:shape w14:anchorId="62C41632" id="Cuadro de texto 24" o:spid="_x0000_s1047"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">
                      <v:textbox inset="0,0,0,0">
                        <w:txbxContent>
                          <w:p w14:paraId="34FDF92B" w14:textId="77777777" w:rsidR="00A22536" w:rsidRDefault="00A22536" w:rsidP="00B0483A">
                            <w:pPr>
                              <w:rPr>
                                <w:sz w:val="16"/>
                                <w:szCs w:val="16"/>
                              </w:rPr>
                            </w:pPr>
                            <w:r>
                              <w:rPr>
                                <w:sz w:val="16"/>
                                <w:szCs w:val="16"/>
                              </w:rPr>
                              <w:t xml:space="preserve"> x</w:t>
                            </w:r>
                          </w:p>
                        </w:txbxContent>
                      </v:textbox>
                      <w10:anchorlock/>
                    </v:shape>
                  </w:pict>
                </mc:Fallback>
              </mc:AlternateContent>
            </w:r>
            <w:r>
              <w:rPr>
                <w:rFonts w:ascii="Arial" w:hAnsi="Arial" w:cs="Arial"/>
                <w:b/>
                <w:bCs/>
                <w:sz w:val="16"/>
                <w:szCs w:val="16"/>
              </w:rPr>
              <w:t xml:space="preserve"> </w:t>
            </w:r>
          </w:p>
        </w:tc>
      </w:tr>
      <w:tr w:rsidR="00B0483A" w14:paraId="2FD4A121" w14:textId="77777777" w:rsidTr="0024027B">
        <w:tblPrEx>
          <w:jc w:val="center"/>
          <w:tblInd w:w="0" w:type="dxa"/>
        </w:tblPrEx>
        <w:trPr>
          <w:gridBefore w:val="1"/>
          <w:wBefore w:w="470" w:type="dxa"/>
          <w:cantSplit/>
          <w:jc w:val="center"/>
        </w:trPr>
        <w:tc>
          <w:tcPr>
            <w:tcW w:w="9758" w:type="dxa"/>
            <w:gridSpan w:val="10"/>
            <w:tcBorders>
              <w:top w:val="single" w:sz="4" w:space="0" w:color="auto"/>
              <w:left w:val="single" w:sz="4" w:space="0" w:color="auto"/>
              <w:bottom w:val="single" w:sz="4" w:space="0" w:color="auto"/>
              <w:right w:val="single" w:sz="4" w:space="0" w:color="auto"/>
            </w:tcBorders>
            <w:hideMark/>
          </w:tcPr>
          <w:p w14:paraId="5E07FD26" w14:textId="77777777" w:rsidR="00B0483A" w:rsidRDefault="00B0483A" w:rsidP="003D5420">
            <w:pPr>
              <w:pStyle w:val="Textoindependiente"/>
              <w:rPr>
                <w:rFonts w:ascii="Arial" w:hAnsi="Arial" w:cs="Arial"/>
                <w:sz w:val="16"/>
                <w:szCs w:val="16"/>
              </w:rPr>
            </w:pPr>
            <w:r>
              <w:rPr>
                <w:rFonts w:ascii="Arial" w:hAnsi="Arial" w:cs="Arial"/>
                <w:sz w:val="16"/>
                <w:szCs w:val="16"/>
              </w:rPr>
              <w:t xml:space="preserve">Realizada por: Laboratorio fabricante        </w:t>
            </w:r>
            <w:r>
              <w:rPr>
                <w:rFonts w:ascii="Arial" w:hAnsi="Arial" w:cs="Arial"/>
                <w:noProof/>
                <w:sz w:val="16"/>
                <w:szCs w:val="16"/>
              </w:rPr>
              <mc:AlternateContent>
                <mc:Choice Requires="wps">
                  <w:drawing>
                    <wp:inline distT="0" distB="0" distL="0" distR="0" wp14:anchorId="3491098C" wp14:editId="3B281B0C">
                      <wp:extent cx="114300" cy="114300"/>
                      <wp:effectExtent l="9525" t="9525" r="9525" b="9525"/>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0E4CB1C7" w14:textId="77777777" w:rsidR="00A22536" w:rsidRDefault="00A22536" w:rsidP="00B0483A">
                                  <w:pPr>
                                    <w:rPr>
                                      <w:sz w:val="16"/>
                                      <w:szCs w:val="16"/>
                                    </w:rPr>
                                  </w:pPr>
                                  <w:r>
                                    <w:rPr>
                                      <w:sz w:val="16"/>
                                      <w:szCs w:val="16"/>
                                    </w:rPr>
                                    <w:t xml:space="preserve"> x</w:t>
                                  </w:r>
                                </w:p>
                              </w:txbxContent>
                            </wps:txbx>
                            <wps:bodyPr rot="0" vert="horz" wrap="square" lIns="0" tIns="0" rIns="0" bIns="0" anchor="t" anchorCtr="0" upright="1">
                              <a:noAutofit/>
                            </wps:bodyPr>
                          </wps:wsp>
                        </a:graphicData>
                      </a:graphic>
                    </wp:inline>
                  </w:drawing>
                </mc:Choice>
                <mc:Fallback>
                  <w:pict>
                    <v:shape w14:anchorId="3491098C" id="Cuadro de texto 23" o:spid="_x0000_s1048"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">
                      <v:textbox inset="0,0,0,0">
                        <w:txbxContent>
                          <w:p w14:paraId="0E4CB1C7" w14:textId="77777777" w:rsidR="00A22536" w:rsidRDefault="00A22536" w:rsidP="00B0483A">
                            <w:pPr>
                              <w:rPr>
                                <w:sz w:val="16"/>
                                <w:szCs w:val="16"/>
                              </w:rPr>
                            </w:pPr>
                            <w:r>
                              <w:rPr>
                                <w:sz w:val="16"/>
                                <w:szCs w:val="16"/>
                              </w:rPr>
                              <w:t xml:space="preserve"> x</w:t>
                            </w:r>
                          </w:p>
                        </w:txbxContent>
                      </v:textbox>
                      <w10:anchorlock/>
                    </v:shape>
                  </w:pict>
                </mc:Fallback>
              </mc:AlternateContent>
            </w:r>
            <w:r>
              <w:rPr>
                <w:rFonts w:ascii="Arial" w:hAnsi="Arial" w:cs="Arial"/>
                <w:sz w:val="16"/>
                <w:szCs w:val="16"/>
              </w:rPr>
              <w:t xml:space="preserve">      Patrocinada por laboratorio </w:t>
            </w:r>
            <w:r>
              <w:rPr>
                <w:rFonts w:ascii="Arial" w:hAnsi="Arial" w:cs="Arial"/>
                <w:noProof/>
                <w:sz w:val="16"/>
                <w:szCs w:val="16"/>
              </w:rPr>
              <mc:AlternateContent>
                <mc:Choice Requires="wps">
                  <w:drawing>
                    <wp:inline distT="0" distB="0" distL="0" distR="0" wp14:anchorId="0CA27760" wp14:editId="4FCA5373">
                      <wp:extent cx="114300" cy="114300"/>
                      <wp:effectExtent l="9525" t="9525" r="9525" b="9525"/>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F4CD9E3" w14:textId="77777777" w:rsidR="00A22536" w:rsidRDefault="00A22536" w:rsidP="00B0483A">
                                  <w:pPr>
                                    <w:rPr>
                                      <w:sz w:val="16"/>
                                      <w:szCs w:val="16"/>
                                    </w:rPr>
                                  </w:pPr>
                                </w:p>
                              </w:txbxContent>
                            </wps:txbx>
                            <wps:bodyPr rot="0" vert="horz" wrap="square" lIns="0" tIns="0" rIns="0" bIns="0" anchor="t" anchorCtr="0" upright="1">
                              <a:noAutofit/>
                            </wps:bodyPr>
                          </wps:wsp>
                        </a:graphicData>
                      </a:graphic>
                    </wp:inline>
                  </w:drawing>
                </mc:Choice>
                <mc:Fallback>
                  <w:pict>
                    <v:shape w14:anchorId="0CA27760" id="Cuadro de texto 22" o:spid="_x0000_s1049"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">
                      <v:textbox inset="0,0,0,0">
                        <w:txbxContent>
                          <w:p w14:paraId="2F4CD9E3" w14:textId="77777777" w:rsidR="00A22536" w:rsidRDefault="00A22536" w:rsidP="00B0483A">
                            <w:pPr>
                              <w:rPr>
                                <w:sz w:val="16"/>
                                <w:szCs w:val="16"/>
                              </w:rPr>
                            </w:pPr>
                          </w:p>
                        </w:txbxContent>
                      </v:textbox>
                      <w10:anchorlock/>
                    </v:shape>
                  </w:pict>
                </mc:Fallback>
              </mc:AlternateContent>
            </w:r>
            <w:r>
              <w:rPr>
                <w:rFonts w:ascii="Arial" w:hAnsi="Arial" w:cs="Arial"/>
                <w:sz w:val="16"/>
                <w:szCs w:val="16"/>
              </w:rPr>
              <w:t xml:space="preserve">   Organismo independiente </w:t>
            </w:r>
            <w:r>
              <w:rPr>
                <w:rFonts w:ascii="Arial" w:hAnsi="Arial" w:cs="Arial"/>
                <w:noProof/>
                <w:sz w:val="16"/>
                <w:szCs w:val="16"/>
              </w:rPr>
              <mc:AlternateContent>
                <mc:Choice Requires="wps">
                  <w:drawing>
                    <wp:inline distT="0" distB="0" distL="0" distR="0" wp14:anchorId="1FF037C0" wp14:editId="5D97737A">
                      <wp:extent cx="114300" cy="114300"/>
                      <wp:effectExtent l="9525" t="9525" r="9525" b="9525"/>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24FB4F4" w14:textId="77777777" w:rsidR="00A22536" w:rsidRDefault="00A22536" w:rsidP="00B0483A">
                                  <w:pPr>
                                    <w:rPr>
                                      <w:sz w:val="16"/>
                                      <w:szCs w:val="16"/>
                                    </w:rPr>
                                  </w:pPr>
                                </w:p>
                              </w:txbxContent>
                            </wps:txbx>
                            <wps:bodyPr rot="0" vert="horz" wrap="square" lIns="0" tIns="0" rIns="0" bIns="0" anchor="t" anchorCtr="0" upright="1">
                              <a:noAutofit/>
                            </wps:bodyPr>
                          </wps:wsp>
                        </a:graphicData>
                      </a:graphic>
                    </wp:inline>
                  </w:drawing>
                </mc:Choice>
                <mc:Fallback>
                  <w:pict>
                    <v:shape w14:anchorId="1FF037C0" id="Cuadro de texto 21" o:spid="_x0000_s1050" type="#_x0000_t202"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">
                      <v:textbox inset="0,0,0,0">
                        <w:txbxContent>
                          <w:p w14:paraId="324FB4F4" w14:textId="77777777" w:rsidR="00A22536" w:rsidRDefault="00A22536" w:rsidP="00B0483A">
                            <w:pPr>
                              <w:rPr>
                                <w:sz w:val="16"/>
                                <w:szCs w:val="16"/>
                              </w:rPr>
                            </w:pPr>
                          </w:p>
                        </w:txbxContent>
                      </v:textbox>
                      <w10:anchorlock/>
                    </v:shape>
                  </w:pict>
                </mc:Fallback>
              </mc:AlternateContent>
            </w:r>
            <w:r>
              <w:rPr>
                <w:rFonts w:ascii="Arial" w:hAnsi="Arial" w:cs="Arial"/>
                <w:sz w:val="16"/>
                <w:szCs w:val="16"/>
              </w:rPr>
              <w:t xml:space="preserve">    </w:t>
            </w:r>
          </w:p>
          <w:p w14:paraId="73877D08" w14:textId="77777777" w:rsidR="00B0483A" w:rsidRDefault="00B0483A" w:rsidP="003D5420">
            <w:pPr>
              <w:pStyle w:val="Textoindependiente"/>
              <w:rPr>
                <w:rFonts w:ascii="Arial" w:hAnsi="Arial" w:cs="Arial"/>
                <w:sz w:val="16"/>
                <w:szCs w:val="16"/>
              </w:rPr>
            </w:pPr>
            <w:r>
              <w:rPr>
                <w:rFonts w:ascii="Arial" w:hAnsi="Arial" w:cs="Arial"/>
                <w:sz w:val="16"/>
                <w:szCs w:val="16"/>
              </w:rPr>
              <w:t>Nombre: Avexis (Novartis)</w:t>
            </w:r>
          </w:p>
        </w:tc>
      </w:tr>
    </w:tbl>
    <w:p w14:paraId="32BA08CC" w14:textId="77777777" w:rsidR="00D17AB4" w:rsidRDefault="00D17AB4" w:rsidP="001F6887">
      <w:pPr>
        <w:pStyle w:val="Default"/>
        <w:spacing w:after="0" w:line="240" w:lineRule="auto"/>
        <w:jc w:val="both"/>
        <w:rPr>
          <w:rFonts w:ascii="Arial" w:hAnsi="Arial" w:cs="Arial"/>
          <w:bCs/>
          <w:sz w:val="20"/>
          <w:szCs w:val="20"/>
        </w:rPr>
      </w:pPr>
    </w:p>
    <w:p w14:paraId="6226C743" w14:textId="77777777" w:rsidR="004D5D35" w:rsidRPr="00301EB6" w:rsidRDefault="004D5D35"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r w:rsidRPr="00301EB6">
        <w:rPr>
          <w:rFonts w:ascii="Arial" w:hAnsi="Arial" w:cs="Arial"/>
          <w:sz w:val="20"/>
          <w:szCs w:val="20"/>
        </w:rPr>
        <w:t>5.3.b.2 Comparaciones indirectas de elaboración propia</w:t>
      </w:r>
      <w:bookmarkEnd w:id="72"/>
      <w:bookmarkEnd w:id="73"/>
    </w:p>
    <w:p w14:paraId="2C01E1C0" w14:textId="77777777" w:rsidR="00301EB6" w:rsidRPr="00CF53DA" w:rsidRDefault="00301EB6" w:rsidP="001F6887">
      <w:pPr>
        <w:pStyle w:val="Default"/>
        <w:spacing w:after="0" w:line="240" w:lineRule="auto"/>
        <w:jc w:val="both"/>
        <w:rPr>
          <w:rFonts w:ascii="Arial" w:hAnsi="Arial" w:cs="Arial"/>
          <w:bCs/>
          <w:sz w:val="14"/>
          <w:szCs w:val="20"/>
        </w:rPr>
      </w:pPr>
    </w:p>
    <w:p w14:paraId="49D5B9F1" w14:textId="7C0FFB96" w:rsidR="004D5D35" w:rsidRDefault="00301EB6" w:rsidP="001F6887">
      <w:pPr>
        <w:pStyle w:val="Default"/>
        <w:spacing w:after="0" w:line="240" w:lineRule="auto"/>
        <w:jc w:val="both"/>
        <w:rPr>
          <w:rFonts w:ascii="Arial" w:hAnsi="Arial" w:cs="Arial"/>
          <w:sz w:val="20"/>
          <w:szCs w:val="20"/>
        </w:rPr>
      </w:pPr>
      <w:r>
        <w:rPr>
          <w:rFonts w:ascii="Arial" w:hAnsi="Arial" w:cs="Arial"/>
          <w:sz w:val="20"/>
          <w:szCs w:val="20"/>
        </w:rPr>
        <w:t xml:space="preserve">Debido al diseño no comparativo de los ensayos clínicos no es posible realizar comparaciones indirectas ajustadas del fármaco. </w:t>
      </w:r>
    </w:p>
    <w:p w14:paraId="5F98C089" w14:textId="77777777" w:rsidR="0024027B" w:rsidRDefault="0024027B" w:rsidP="001F6887">
      <w:pPr>
        <w:pStyle w:val="Default"/>
        <w:spacing w:after="0" w:line="240" w:lineRule="auto"/>
        <w:jc w:val="both"/>
        <w:rPr>
          <w:rFonts w:ascii="Arial" w:hAnsi="Arial" w:cs="Arial"/>
          <w:sz w:val="20"/>
          <w:szCs w:val="20"/>
        </w:rPr>
      </w:pPr>
    </w:p>
    <w:p w14:paraId="52E33D61" w14:textId="1E3593D6" w:rsidR="00FA0C0C" w:rsidRPr="004D5D35"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74" w:name="_Toc348931376"/>
      <w:bookmarkStart w:id="75" w:name="_Toc344399649"/>
      <w:r w:rsidRPr="004D5D35">
        <w:rPr>
          <w:rFonts w:ascii="Arial" w:hAnsi="Arial" w:cs="Arial"/>
          <w:sz w:val="20"/>
          <w:szCs w:val="20"/>
        </w:rPr>
        <w:t>5.4 Evaluación de fuentes secundarias</w:t>
      </w:r>
      <w:bookmarkEnd w:id="74"/>
      <w:bookmarkEnd w:id="75"/>
    </w:p>
    <w:p w14:paraId="72B687BB" w14:textId="77777777" w:rsidR="00FA0C0C" w:rsidRDefault="00FA0C0C" w:rsidP="001F6887">
      <w:pPr>
        <w:jc w:val="both"/>
        <w:rPr>
          <w:rFonts w:ascii="Arial" w:hAnsi="Arial" w:cs="Arial"/>
          <w:b/>
          <w:bCs/>
          <w:color w:val="0000FF"/>
          <w:sz w:val="20"/>
          <w:szCs w:val="20"/>
        </w:rPr>
      </w:pPr>
    </w:p>
    <w:p w14:paraId="5F81F470" w14:textId="0607F475" w:rsidR="00FA0C0C" w:rsidRPr="004D5D35"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76" w:name="_Toc348931377"/>
      <w:r w:rsidRPr="004D5D35">
        <w:rPr>
          <w:rFonts w:ascii="Arial" w:hAnsi="Arial" w:cs="Arial"/>
          <w:sz w:val="20"/>
          <w:szCs w:val="20"/>
        </w:rPr>
        <w:t>5.4.1 Guías de Práctica clínica</w:t>
      </w:r>
      <w:bookmarkEnd w:id="76"/>
    </w:p>
    <w:p w14:paraId="14556738" w14:textId="77777777" w:rsidR="00C36620" w:rsidRPr="00C36620" w:rsidRDefault="00C36620"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MS Mincho" w:hAnsi="Arial" w:cs="Arial"/>
          <w:color w:val="000000"/>
          <w:sz w:val="20"/>
          <w:szCs w:val="20"/>
          <w:lang w:eastAsia="ja-JP"/>
        </w:rPr>
      </w:pPr>
    </w:p>
    <w:p w14:paraId="5DCA83AE" w14:textId="18E120E2" w:rsidR="00C36620" w:rsidRDefault="00C36620" w:rsidP="001F6887">
      <w:pPr>
        <w:pStyle w:val="Default"/>
        <w:pBdr>
          <w:bottom w:val="single" w:sz="4" w:space="1" w:color="auto"/>
        </w:pBdr>
        <w:spacing w:after="0" w:line="240" w:lineRule="auto"/>
        <w:jc w:val="both"/>
        <w:rPr>
          <w:rFonts w:ascii="Arial" w:hAnsi="Arial" w:cs="Arial"/>
          <w:b/>
          <w:bCs/>
          <w:sz w:val="20"/>
          <w:szCs w:val="20"/>
          <w:lang w:val="en-US"/>
        </w:rPr>
      </w:pPr>
      <w:r w:rsidRPr="00C36620">
        <w:rPr>
          <w:rFonts w:ascii="Arial" w:hAnsi="Arial" w:cs="Arial"/>
          <w:b/>
          <w:bCs/>
          <w:sz w:val="20"/>
          <w:szCs w:val="20"/>
          <w:lang w:val="en-US"/>
        </w:rPr>
        <w:t>Treatment Algorithm for Infants Diagnosed with Spinal Muscular Atrophy through Newborn Screening</w:t>
      </w:r>
      <w:r>
        <w:rPr>
          <w:rFonts w:ascii="Arial" w:hAnsi="Arial" w:cs="Arial"/>
          <w:b/>
          <w:bCs/>
          <w:sz w:val="20"/>
          <w:szCs w:val="20"/>
          <w:lang w:val="en-US"/>
        </w:rPr>
        <w:t>: Cure SMA Group Working (2018)</w:t>
      </w:r>
      <w:r w:rsidR="00DD71A3">
        <w:rPr>
          <w:rStyle w:val="Refdenotaalfinal"/>
          <w:rFonts w:ascii="Arial" w:hAnsi="Arial" w:cs="Arial"/>
          <w:b/>
          <w:bCs/>
          <w:sz w:val="20"/>
          <w:szCs w:val="20"/>
          <w:lang w:val="en-US"/>
        </w:rPr>
        <w:endnoteReference w:id="25"/>
      </w:r>
      <w:r>
        <w:rPr>
          <w:rFonts w:ascii="Arial" w:hAnsi="Arial" w:cs="Arial"/>
          <w:b/>
          <w:bCs/>
          <w:sz w:val="20"/>
          <w:szCs w:val="20"/>
          <w:lang w:val="en-US"/>
        </w:rPr>
        <w:t>:</w:t>
      </w:r>
    </w:p>
    <w:p w14:paraId="3B9DE98E" w14:textId="77777777" w:rsidR="00E94445" w:rsidRDefault="00E94445" w:rsidP="001F6887">
      <w:pPr>
        <w:pStyle w:val="Default"/>
        <w:spacing w:after="0" w:line="240" w:lineRule="auto"/>
        <w:jc w:val="both"/>
        <w:rPr>
          <w:rFonts w:ascii="Arial" w:hAnsi="Arial" w:cs="Arial"/>
          <w:b/>
          <w:bCs/>
          <w:sz w:val="20"/>
          <w:szCs w:val="20"/>
          <w:lang w:val="en-US"/>
        </w:rPr>
      </w:pPr>
    </w:p>
    <w:p w14:paraId="55C6CB99" w14:textId="77777777" w:rsidR="00D17AB4" w:rsidRDefault="00106C08"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MS Mincho" w:hAnsi="Arial" w:cs="Arial"/>
          <w:color w:val="000000"/>
          <w:sz w:val="20"/>
          <w:szCs w:val="20"/>
          <w:lang w:eastAsia="ja-JP"/>
        </w:rPr>
      </w:pPr>
      <w:r>
        <w:rPr>
          <w:rFonts w:ascii="Arial" w:eastAsia="MS Mincho" w:hAnsi="Arial" w:cs="Arial"/>
          <w:color w:val="000000"/>
          <w:sz w:val="20"/>
          <w:szCs w:val="20"/>
          <w:lang w:eastAsia="ja-JP"/>
        </w:rPr>
        <w:t>Un grupo de trabajo compuesto por 15 expertos, elaboró en 2018</w:t>
      </w:r>
      <w:r w:rsidR="002E4778">
        <w:rPr>
          <w:rFonts w:ascii="Arial" w:eastAsia="MS Mincho" w:hAnsi="Arial" w:cs="Arial"/>
          <w:color w:val="000000"/>
          <w:sz w:val="20"/>
          <w:szCs w:val="20"/>
          <w:lang w:eastAsia="ja-JP"/>
        </w:rPr>
        <w:t>,</w:t>
      </w:r>
      <w:r>
        <w:rPr>
          <w:rFonts w:ascii="Arial" w:eastAsia="MS Mincho" w:hAnsi="Arial" w:cs="Arial"/>
          <w:color w:val="000000"/>
          <w:sz w:val="20"/>
          <w:szCs w:val="20"/>
          <w:lang w:eastAsia="ja-JP"/>
        </w:rPr>
        <w:t xml:space="preserve"> mediante metodología D</w:t>
      </w:r>
      <w:r w:rsidR="002E4778">
        <w:rPr>
          <w:rFonts w:ascii="Arial" w:eastAsia="MS Mincho" w:hAnsi="Arial" w:cs="Arial"/>
          <w:color w:val="000000"/>
          <w:sz w:val="20"/>
          <w:szCs w:val="20"/>
          <w:lang w:eastAsia="ja-JP"/>
        </w:rPr>
        <w:t xml:space="preserve">elphi, </w:t>
      </w:r>
      <w:r>
        <w:rPr>
          <w:rFonts w:ascii="Arial" w:eastAsia="MS Mincho" w:hAnsi="Arial" w:cs="Arial"/>
          <w:color w:val="000000"/>
          <w:sz w:val="20"/>
          <w:szCs w:val="20"/>
          <w:lang w:eastAsia="ja-JP"/>
        </w:rPr>
        <w:t>un</w:t>
      </w:r>
      <w:r w:rsidR="00C36620" w:rsidRPr="00C36620">
        <w:rPr>
          <w:rFonts w:ascii="Arial" w:eastAsia="MS Mincho" w:hAnsi="Arial" w:cs="Arial"/>
          <w:color w:val="000000"/>
          <w:sz w:val="20"/>
          <w:szCs w:val="20"/>
          <w:lang w:eastAsia="ja-JP"/>
        </w:rPr>
        <w:t xml:space="preserve"> algoritmo de tratamiento </w:t>
      </w:r>
      <w:r>
        <w:rPr>
          <w:rFonts w:ascii="Arial" w:eastAsia="MS Mincho" w:hAnsi="Arial" w:cs="Arial"/>
          <w:color w:val="000000"/>
          <w:sz w:val="20"/>
          <w:szCs w:val="20"/>
          <w:lang w:eastAsia="ja-JP"/>
        </w:rPr>
        <w:t xml:space="preserve">de la AME basado en el </w:t>
      </w:r>
      <w:r w:rsidR="004C37E0">
        <w:rPr>
          <w:rFonts w:ascii="Arial" w:eastAsia="MS Mincho" w:hAnsi="Arial" w:cs="Arial"/>
          <w:color w:val="000000"/>
          <w:sz w:val="20"/>
          <w:szCs w:val="20"/>
          <w:lang w:eastAsia="ja-JP"/>
        </w:rPr>
        <w:t>número</w:t>
      </w:r>
      <w:r>
        <w:rPr>
          <w:rFonts w:ascii="Arial" w:eastAsia="MS Mincho" w:hAnsi="Arial" w:cs="Arial"/>
          <w:color w:val="000000"/>
          <w:sz w:val="20"/>
          <w:szCs w:val="20"/>
          <w:lang w:eastAsia="ja-JP"/>
        </w:rPr>
        <w:t xml:space="preserve"> de copias de SMN2. </w:t>
      </w:r>
      <w:r w:rsidR="002E4778">
        <w:rPr>
          <w:rFonts w:ascii="Arial" w:eastAsia="MS Mincho" w:hAnsi="Arial" w:cs="Arial"/>
          <w:color w:val="000000"/>
          <w:sz w:val="20"/>
          <w:szCs w:val="20"/>
          <w:lang w:eastAsia="ja-JP"/>
        </w:rPr>
        <w:t>Cabe señalar que en el momento de publicación de este documento, el único tratamiento disponible para el tratamiento de la AME era nusinersen</w:t>
      </w:r>
      <w:r w:rsidR="00D17AB4">
        <w:rPr>
          <w:rFonts w:ascii="Arial" w:eastAsia="MS Mincho" w:hAnsi="Arial" w:cs="Arial"/>
          <w:color w:val="000000"/>
          <w:sz w:val="20"/>
          <w:szCs w:val="20"/>
          <w:lang w:eastAsia="ja-JP"/>
        </w:rPr>
        <w:t>.</w:t>
      </w:r>
    </w:p>
    <w:p w14:paraId="5B06B72E" w14:textId="66E58F0D" w:rsidR="004C37E0" w:rsidRDefault="002E4778" w:rsidP="00240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MS Mincho" w:hAnsi="Arial" w:cs="Arial"/>
          <w:color w:val="000000"/>
          <w:sz w:val="20"/>
          <w:szCs w:val="20"/>
          <w:lang w:eastAsia="ja-JP"/>
        </w:rPr>
      </w:pPr>
      <w:r>
        <w:rPr>
          <w:rFonts w:ascii="Arial" w:eastAsia="MS Mincho" w:hAnsi="Arial" w:cs="Arial"/>
          <w:color w:val="000000"/>
          <w:sz w:val="20"/>
          <w:szCs w:val="20"/>
          <w:lang w:eastAsia="ja-JP"/>
        </w:rPr>
        <w:t>.</w:t>
      </w:r>
      <w:r w:rsidR="004C37E0" w:rsidRPr="004C37E0">
        <w:rPr>
          <w:rFonts w:ascii="Arial" w:eastAsia="MS Mincho" w:hAnsi="Arial" w:cs="Arial"/>
          <w:noProof/>
          <w:color w:val="000000"/>
          <w:sz w:val="20"/>
          <w:szCs w:val="20"/>
        </w:rPr>
        <w:drawing>
          <wp:inline distT="0" distB="0" distL="0" distR="0" wp14:anchorId="11AC691F" wp14:editId="7CCDEAEC">
            <wp:extent cx="4286707" cy="273699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6707" cy="2736995"/>
                    </a:xfrm>
                    <a:prstGeom prst="rect">
                      <a:avLst/>
                    </a:prstGeom>
                  </pic:spPr>
                </pic:pic>
              </a:graphicData>
            </a:graphic>
          </wp:inline>
        </w:drawing>
      </w:r>
    </w:p>
    <w:p w14:paraId="5527D04D" w14:textId="1505E364" w:rsidR="004C37E0" w:rsidRDefault="004C37E0"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MS Mincho" w:hAnsi="Arial" w:cs="Arial"/>
          <w:b/>
          <w:color w:val="000000"/>
          <w:sz w:val="20"/>
          <w:szCs w:val="20"/>
          <w:lang w:eastAsia="ja-JP"/>
        </w:rPr>
      </w:pPr>
      <w:r w:rsidRPr="00CF53DA">
        <w:rPr>
          <w:rFonts w:ascii="Arial" w:eastAsia="MS Mincho" w:hAnsi="Arial" w:cs="Arial"/>
          <w:b/>
          <w:color w:val="000000"/>
          <w:sz w:val="20"/>
          <w:szCs w:val="20"/>
          <w:lang w:eastAsia="ja-JP"/>
        </w:rPr>
        <w:t>Figura 1. Algoritmo de tratamiento de la AME según el SMA Group Working 2018.</w:t>
      </w:r>
    </w:p>
    <w:p w14:paraId="24690E26" w14:textId="77777777" w:rsidR="002E4778" w:rsidRDefault="002E4778"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MS Mincho" w:hAnsi="Arial" w:cs="Arial"/>
          <w:color w:val="000000"/>
          <w:sz w:val="22"/>
          <w:szCs w:val="20"/>
          <w:lang w:eastAsia="ja-JP"/>
        </w:rPr>
      </w:pPr>
    </w:p>
    <w:p w14:paraId="5F0C8E3D" w14:textId="47FF338A" w:rsidR="00FA0C0C" w:rsidRPr="002E4778"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77" w:name="_Toc348931378"/>
      <w:r w:rsidRPr="002E4778">
        <w:rPr>
          <w:rFonts w:ascii="Arial" w:hAnsi="Arial" w:cs="Arial"/>
          <w:sz w:val="20"/>
          <w:szCs w:val="20"/>
        </w:rPr>
        <w:t>5.4.2 Evaluaciones previas por organismos independientes</w:t>
      </w:r>
      <w:bookmarkEnd w:id="77"/>
      <w:r w:rsidR="002E4778">
        <w:rPr>
          <w:rFonts w:ascii="Arial" w:hAnsi="Arial" w:cs="Arial"/>
          <w:sz w:val="20"/>
          <w:szCs w:val="20"/>
        </w:rPr>
        <w:t>.</w:t>
      </w:r>
    </w:p>
    <w:p w14:paraId="23751185" w14:textId="77777777" w:rsidR="00E94445" w:rsidRDefault="00E94445" w:rsidP="001F6887">
      <w:pPr>
        <w:pBdr>
          <w:bottom w:val="single" w:sz="4" w:space="0" w:color="auto"/>
        </w:pBdr>
        <w:jc w:val="both"/>
        <w:rPr>
          <w:rFonts w:ascii="Arial" w:hAnsi="Arial" w:cs="Arial"/>
          <w:b/>
          <w:sz w:val="20"/>
          <w:szCs w:val="20"/>
        </w:rPr>
      </w:pPr>
    </w:p>
    <w:p w14:paraId="6003A17C" w14:textId="7B55C62C" w:rsidR="002E4778" w:rsidRPr="002E4778" w:rsidRDefault="002E4778" w:rsidP="001F6887">
      <w:pPr>
        <w:pBdr>
          <w:bottom w:val="single" w:sz="4" w:space="0" w:color="auto"/>
        </w:pBdr>
        <w:jc w:val="both"/>
        <w:rPr>
          <w:rFonts w:ascii="Arial" w:hAnsi="Arial" w:cs="Arial"/>
          <w:b/>
          <w:sz w:val="20"/>
          <w:szCs w:val="20"/>
        </w:rPr>
      </w:pPr>
      <w:r w:rsidRPr="002E4778">
        <w:rPr>
          <w:rFonts w:ascii="Arial" w:hAnsi="Arial" w:cs="Arial"/>
          <w:b/>
          <w:sz w:val="20"/>
          <w:szCs w:val="20"/>
        </w:rPr>
        <w:lastRenderedPageBreak/>
        <w:t>IPT</w:t>
      </w:r>
    </w:p>
    <w:p w14:paraId="36021427" w14:textId="77777777" w:rsidR="00E94445" w:rsidRDefault="00E94445" w:rsidP="001F6887">
      <w:pPr>
        <w:jc w:val="both"/>
        <w:rPr>
          <w:rFonts w:ascii="Arial" w:hAnsi="Arial" w:cs="Arial"/>
          <w:sz w:val="20"/>
          <w:szCs w:val="20"/>
        </w:rPr>
      </w:pPr>
    </w:p>
    <w:p w14:paraId="00311FF0" w14:textId="2FFE4C31" w:rsidR="008919AE" w:rsidRDefault="002E4778" w:rsidP="001F6887">
      <w:pPr>
        <w:jc w:val="both"/>
        <w:rPr>
          <w:rFonts w:ascii="Arial" w:hAnsi="Arial" w:cs="Arial"/>
          <w:sz w:val="20"/>
          <w:szCs w:val="20"/>
        </w:rPr>
      </w:pPr>
      <w:r>
        <w:rPr>
          <w:rFonts w:ascii="Arial" w:hAnsi="Arial" w:cs="Arial"/>
          <w:sz w:val="20"/>
          <w:szCs w:val="20"/>
        </w:rPr>
        <w:t xml:space="preserve">No disponible a </w:t>
      </w:r>
      <w:r w:rsidR="00D5226F">
        <w:rPr>
          <w:rFonts w:ascii="Arial" w:hAnsi="Arial" w:cs="Arial"/>
          <w:sz w:val="20"/>
          <w:szCs w:val="20"/>
        </w:rPr>
        <w:t xml:space="preserve">4 </w:t>
      </w:r>
      <w:r>
        <w:rPr>
          <w:rFonts w:ascii="Arial" w:hAnsi="Arial" w:cs="Arial"/>
          <w:sz w:val="20"/>
          <w:szCs w:val="20"/>
        </w:rPr>
        <w:t xml:space="preserve">de </w:t>
      </w:r>
      <w:r w:rsidR="00D5226F">
        <w:rPr>
          <w:rFonts w:ascii="Arial" w:hAnsi="Arial" w:cs="Arial"/>
          <w:sz w:val="20"/>
          <w:szCs w:val="20"/>
        </w:rPr>
        <w:t>diciembre</w:t>
      </w:r>
      <w:r>
        <w:rPr>
          <w:rFonts w:ascii="Arial" w:hAnsi="Arial" w:cs="Arial"/>
          <w:sz w:val="20"/>
          <w:szCs w:val="20"/>
        </w:rPr>
        <w:t xml:space="preserve"> de 2020.</w:t>
      </w:r>
    </w:p>
    <w:p w14:paraId="2695C3D2" w14:textId="77777777" w:rsidR="00D17AB4" w:rsidRDefault="00D17AB4" w:rsidP="001F6887">
      <w:pPr>
        <w:pBdr>
          <w:bottom w:val="single" w:sz="4" w:space="1" w:color="auto"/>
        </w:pBdr>
        <w:jc w:val="both"/>
        <w:rPr>
          <w:rFonts w:ascii="Arial" w:hAnsi="Arial" w:cs="Arial"/>
          <w:b/>
          <w:sz w:val="20"/>
          <w:szCs w:val="20"/>
        </w:rPr>
      </w:pPr>
    </w:p>
    <w:p w14:paraId="4CFF582D" w14:textId="77777777" w:rsidR="002E4778" w:rsidRPr="002E4778" w:rsidRDefault="002E4778" w:rsidP="001F6887">
      <w:pPr>
        <w:pBdr>
          <w:bottom w:val="single" w:sz="4" w:space="1" w:color="auto"/>
        </w:pBdr>
        <w:jc w:val="both"/>
        <w:rPr>
          <w:rFonts w:ascii="Arial" w:hAnsi="Arial" w:cs="Arial"/>
          <w:b/>
          <w:sz w:val="20"/>
          <w:szCs w:val="20"/>
        </w:rPr>
      </w:pPr>
      <w:r w:rsidRPr="002E4778">
        <w:rPr>
          <w:rFonts w:ascii="Arial" w:hAnsi="Arial" w:cs="Arial"/>
          <w:b/>
          <w:sz w:val="20"/>
          <w:szCs w:val="20"/>
        </w:rPr>
        <w:t>NICE</w:t>
      </w:r>
    </w:p>
    <w:p w14:paraId="08CBE274" w14:textId="77777777" w:rsidR="00E94445" w:rsidRDefault="00E94445" w:rsidP="001F6887">
      <w:pPr>
        <w:jc w:val="both"/>
        <w:rPr>
          <w:rFonts w:ascii="Arial" w:hAnsi="Arial" w:cs="Arial"/>
          <w:sz w:val="20"/>
          <w:szCs w:val="20"/>
        </w:rPr>
      </w:pPr>
    </w:p>
    <w:p w14:paraId="12661C83" w14:textId="2812680C" w:rsidR="00FA0C0C" w:rsidRDefault="00FA0C0C" w:rsidP="001F6887">
      <w:pPr>
        <w:jc w:val="both"/>
        <w:rPr>
          <w:rFonts w:ascii="Arial" w:hAnsi="Arial" w:cs="Arial"/>
          <w:sz w:val="20"/>
          <w:szCs w:val="20"/>
        </w:rPr>
      </w:pPr>
      <w:r>
        <w:rPr>
          <w:rFonts w:ascii="Arial" w:hAnsi="Arial" w:cs="Arial"/>
          <w:sz w:val="20"/>
          <w:szCs w:val="20"/>
        </w:rPr>
        <w:t xml:space="preserve">El </w:t>
      </w:r>
      <w:r>
        <w:rPr>
          <w:rFonts w:ascii="Arial" w:hAnsi="Arial" w:cs="Arial"/>
          <w:i/>
          <w:iCs/>
          <w:sz w:val="20"/>
          <w:szCs w:val="20"/>
        </w:rPr>
        <w:t>National Institute of Health and Care Excellence</w:t>
      </w:r>
      <w:r>
        <w:rPr>
          <w:rFonts w:ascii="Arial" w:hAnsi="Arial" w:cs="Arial"/>
          <w:sz w:val="20"/>
          <w:szCs w:val="20"/>
        </w:rPr>
        <w:t xml:space="preserve"> (NICE) </w:t>
      </w:r>
      <w:r w:rsidR="00CF7B73">
        <w:rPr>
          <w:rFonts w:ascii="Arial" w:hAnsi="Arial" w:cs="Arial"/>
          <w:sz w:val="20"/>
          <w:szCs w:val="20"/>
        </w:rPr>
        <w:t>está en desarrollo de su informe que tiene pre</w:t>
      </w:r>
      <w:r w:rsidR="002E4778">
        <w:rPr>
          <w:rFonts w:ascii="Arial" w:hAnsi="Arial" w:cs="Arial"/>
          <w:sz w:val="20"/>
          <w:szCs w:val="20"/>
        </w:rPr>
        <w:t xml:space="preserve">vista su publicación para </w:t>
      </w:r>
      <w:r w:rsidR="000D7B74">
        <w:rPr>
          <w:rFonts w:ascii="Arial" w:hAnsi="Arial" w:cs="Arial"/>
          <w:sz w:val="20"/>
          <w:szCs w:val="20"/>
        </w:rPr>
        <w:t>marzo</w:t>
      </w:r>
      <w:r w:rsidR="002E4778">
        <w:rPr>
          <w:rFonts w:ascii="Arial" w:hAnsi="Arial" w:cs="Arial"/>
          <w:sz w:val="20"/>
          <w:szCs w:val="20"/>
        </w:rPr>
        <w:t xml:space="preserve"> de </w:t>
      </w:r>
      <w:r w:rsidR="00CF7B73">
        <w:rPr>
          <w:rFonts w:ascii="Arial" w:hAnsi="Arial" w:cs="Arial"/>
          <w:sz w:val="20"/>
          <w:szCs w:val="20"/>
        </w:rPr>
        <w:t>2021.</w:t>
      </w:r>
    </w:p>
    <w:p w14:paraId="104AAC7B" w14:textId="77777777" w:rsidR="00D5226F" w:rsidRDefault="00D5226F" w:rsidP="001F6887">
      <w:pPr>
        <w:jc w:val="both"/>
        <w:rPr>
          <w:rFonts w:ascii="Arial" w:hAnsi="Arial" w:cs="Arial"/>
          <w:sz w:val="20"/>
          <w:szCs w:val="20"/>
        </w:rPr>
      </w:pPr>
    </w:p>
    <w:p w14:paraId="4F172B52" w14:textId="68DB7E76" w:rsidR="002E4778" w:rsidRDefault="002E4778" w:rsidP="001F6887">
      <w:pPr>
        <w:pStyle w:val="HTMLconformatoprevio"/>
        <w:pBdr>
          <w:bottom w:val="single" w:sz="4" w:space="1" w:color="auto"/>
        </w:pBdr>
        <w:jc w:val="both"/>
        <w:rPr>
          <w:rFonts w:ascii="Arial" w:hAnsi="Arial" w:cs="Arial"/>
          <w:b/>
        </w:rPr>
      </w:pPr>
      <w:r>
        <w:rPr>
          <w:rFonts w:ascii="Arial" w:hAnsi="Arial" w:cs="Arial"/>
          <w:b/>
        </w:rPr>
        <w:t>ICER</w:t>
      </w:r>
      <w:bookmarkStart w:id="78" w:name="_Ref52799698"/>
      <w:r w:rsidR="002A5260">
        <w:rPr>
          <w:rStyle w:val="Refdenotaalfinal"/>
          <w:rFonts w:ascii="Arial" w:hAnsi="Arial" w:cs="Arial"/>
          <w:b/>
        </w:rPr>
        <w:endnoteReference w:id="26"/>
      </w:r>
      <w:bookmarkEnd w:id="78"/>
    </w:p>
    <w:p w14:paraId="10BB3E28" w14:textId="77777777" w:rsidR="00E94445" w:rsidRDefault="00E94445" w:rsidP="001F6887">
      <w:pPr>
        <w:pStyle w:val="HTMLconformatoprevio"/>
        <w:jc w:val="both"/>
        <w:rPr>
          <w:rFonts w:ascii="Arial" w:hAnsi="Arial" w:cs="Arial"/>
        </w:rPr>
      </w:pPr>
    </w:p>
    <w:p w14:paraId="636C0F30" w14:textId="2C589810" w:rsidR="00703C2F" w:rsidRDefault="00FA0C0C" w:rsidP="001F6887">
      <w:pPr>
        <w:pStyle w:val="HTMLconformatoprevio"/>
        <w:jc w:val="both"/>
        <w:rPr>
          <w:rFonts w:ascii="Arial" w:hAnsi="Arial" w:cs="Arial"/>
        </w:rPr>
      </w:pPr>
      <w:r>
        <w:rPr>
          <w:rFonts w:ascii="Arial" w:hAnsi="Arial" w:cs="Arial"/>
        </w:rPr>
        <w:t xml:space="preserve">El </w:t>
      </w:r>
      <w:r>
        <w:rPr>
          <w:rFonts w:ascii="Arial" w:hAnsi="Arial" w:cs="Arial"/>
          <w:i/>
          <w:iCs/>
        </w:rPr>
        <w:t>Institute of Clinical and Economic Review</w:t>
      </w:r>
      <w:r>
        <w:rPr>
          <w:rFonts w:ascii="Arial" w:hAnsi="Arial" w:cs="Arial"/>
        </w:rPr>
        <w:t xml:space="preserve"> (ICER) </w:t>
      </w:r>
      <w:r w:rsidR="00B923CD">
        <w:rPr>
          <w:rFonts w:ascii="Arial" w:hAnsi="Arial" w:cs="Arial"/>
        </w:rPr>
        <w:t>publicó en 2019</w:t>
      </w:r>
      <w:r>
        <w:rPr>
          <w:rFonts w:ascii="Arial" w:hAnsi="Arial" w:cs="Arial"/>
        </w:rPr>
        <w:t xml:space="preserve"> un informe en el que se revisa el uso de </w:t>
      </w:r>
      <w:r w:rsidR="00E94445">
        <w:rPr>
          <w:rFonts w:ascii="Arial" w:hAnsi="Arial" w:cs="Arial"/>
        </w:rPr>
        <w:t>nusinersen</w:t>
      </w:r>
      <w:r w:rsidR="00B81A78">
        <w:rPr>
          <w:rFonts w:ascii="Arial" w:hAnsi="Arial" w:cs="Arial"/>
        </w:rPr>
        <w:t xml:space="preserve"> y </w:t>
      </w:r>
      <w:r w:rsidR="0070077A">
        <w:rPr>
          <w:rFonts w:ascii="Arial" w:eastAsia="MS Mincho" w:hAnsi="Arial" w:cs="Arial"/>
          <w:color w:val="000000"/>
          <w:lang w:eastAsia="ja-JP"/>
        </w:rPr>
        <w:t>o</w:t>
      </w:r>
      <w:r w:rsidR="0070077A" w:rsidRPr="00E94445">
        <w:rPr>
          <w:rFonts w:ascii="Arial" w:eastAsia="MS Mincho" w:hAnsi="Arial" w:cs="Arial"/>
          <w:color w:val="000000"/>
          <w:lang w:eastAsia="ja-JP"/>
        </w:rPr>
        <w:t>nasemnogen abeparvovec</w:t>
      </w:r>
      <w:r w:rsidR="0070077A">
        <w:rPr>
          <w:rFonts w:ascii="Arial" w:eastAsia="MS Mincho" w:hAnsi="Arial" w:cs="Arial"/>
          <w:color w:val="000000"/>
          <w:lang w:eastAsia="ja-JP"/>
        </w:rPr>
        <w:t xml:space="preserve"> </w:t>
      </w:r>
      <w:r w:rsidR="00B81A78">
        <w:rPr>
          <w:rFonts w:ascii="Arial" w:hAnsi="Arial" w:cs="Arial"/>
        </w:rPr>
        <w:t xml:space="preserve">en </w:t>
      </w:r>
      <w:r w:rsidR="00E85D48">
        <w:rPr>
          <w:rFonts w:ascii="Arial" w:hAnsi="Arial" w:cs="Arial"/>
        </w:rPr>
        <w:t>AME</w:t>
      </w:r>
      <w:r w:rsidR="00B81A78">
        <w:rPr>
          <w:rFonts w:ascii="Arial" w:hAnsi="Arial" w:cs="Arial"/>
        </w:rPr>
        <w:t xml:space="preserve">. </w:t>
      </w:r>
    </w:p>
    <w:p w14:paraId="5932D4B7" w14:textId="77777777" w:rsidR="00E94445" w:rsidRDefault="00E94445" w:rsidP="001F6887">
      <w:pPr>
        <w:pStyle w:val="HTMLconformatoprevio"/>
        <w:jc w:val="both"/>
        <w:rPr>
          <w:rFonts w:ascii="Arial" w:hAnsi="Arial" w:cs="Arial"/>
        </w:rPr>
      </w:pPr>
    </w:p>
    <w:p w14:paraId="67128751" w14:textId="0ACB97AE" w:rsidR="00703C2F" w:rsidRDefault="00C36620" w:rsidP="001F6887">
      <w:pPr>
        <w:pStyle w:val="HTMLconformatoprevio"/>
        <w:numPr>
          <w:ilvl w:val="0"/>
          <w:numId w:val="14"/>
        </w:numPr>
        <w:jc w:val="both"/>
        <w:rPr>
          <w:rFonts w:ascii="Arial" w:eastAsia="MS Mincho" w:hAnsi="Arial" w:cs="Arial"/>
          <w:color w:val="000000"/>
          <w:lang w:eastAsia="ja-JP"/>
        </w:rPr>
      </w:pPr>
      <w:r w:rsidRPr="00C36620">
        <w:rPr>
          <w:rFonts w:ascii="Arial" w:eastAsia="MS Mincho" w:hAnsi="Arial" w:cs="Arial"/>
          <w:color w:val="000000"/>
          <w:lang w:eastAsia="ja-JP"/>
        </w:rPr>
        <w:t xml:space="preserve">El </w:t>
      </w:r>
      <w:r w:rsidR="00B923CD">
        <w:rPr>
          <w:rFonts w:ascii="Arial" w:eastAsia="MS Mincho" w:hAnsi="Arial" w:cs="Arial"/>
          <w:color w:val="000000"/>
          <w:lang w:eastAsia="ja-JP"/>
        </w:rPr>
        <w:t>Comité</w:t>
      </w:r>
      <w:r w:rsidRPr="00C36620">
        <w:rPr>
          <w:rFonts w:ascii="Arial" w:eastAsia="MS Mincho" w:hAnsi="Arial" w:cs="Arial"/>
          <w:color w:val="000000"/>
          <w:lang w:eastAsia="ja-JP"/>
        </w:rPr>
        <w:t xml:space="preserve"> encontró</w:t>
      </w:r>
      <w:r w:rsidR="00812DDF">
        <w:rPr>
          <w:rFonts w:ascii="Arial" w:eastAsia="MS Mincho" w:hAnsi="Arial" w:cs="Arial"/>
          <w:color w:val="000000"/>
          <w:lang w:eastAsia="ja-JP"/>
        </w:rPr>
        <w:t xml:space="preserve"> </w:t>
      </w:r>
      <w:r w:rsidRPr="00C36620">
        <w:rPr>
          <w:rFonts w:ascii="Arial" w:eastAsia="MS Mincho" w:hAnsi="Arial" w:cs="Arial"/>
          <w:color w:val="000000"/>
          <w:lang w:eastAsia="ja-JP"/>
        </w:rPr>
        <w:t xml:space="preserve">evidencia suficiente para demostrar un beneficio neto </w:t>
      </w:r>
      <w:r w:rsidR="00B923CD">
        <w:rPr>
          <w:rFonts w:ascii="Arial" w:eastAsia="MS Mincho" w:hAnsi="Arial" w:cs="Arial"/>
          <w:color w:val="000000"/>
          <w:lang w:eastAsia="ja-JP"/>
        </w:rPr>
        <w:t>en</w:t>
      </w:r>
      <w:r w:rsidRPr="00C36620">
        <w:rPr>
          <w:rFonts w:ascii="Arial" w:eastAsia="MS Mincho" w:hAnsi="Arial" w:cs="Arial"/>
          <w:color w:val="000000"/>
          <w:lang w:eastAsia="ja-JP"/>
        </w:rPr>
        <w:t xml:space="preserve"> la salud</w:t>
      </w:r>
      <w:r w:rsidR="00EE2C0C">
        <w:rPr>
          <w:rFonts w:ascii="Arial" w:eastAsia="MS Mincho" w:hAnsi="Arial" w:cs="Arial"/>
          <w:color w:val="000000"/>
          <w:lang w:eastAsia="ja-JP"/>
        </w:rPr>
        <w:t xml:space="preserve"> </w:t>
      </w:r>
      <w:r w:rsidR="00B923CD" w:rsidRPr="00C36620">
        <w:rPr>
          <w:rFonts w:ascii="Arial" w:eastAsia="MS Mincho" w:hAnsi="Arial" w:cs="Arial"/>
          <w:color w:val="000000"/>
          <w:lang w:eastAsia="ja-JP"/>
        </w:rPr>
        <w:t xml:space="preserve">para </w:t>
      </w:r>
      <w:r w:rsidR="00E94445">
        <w:rPr>
          <w:rFonts w:ascii="Arial" w:hAnsi="Arial" w:cs="Arial"/>
        </w:rPr>
        <w:t xml:space="preserve">nusinersen </w:t>
      </w:r>
      <w:r w:rsidR="00B923CD" w:rsidRPr="00C36620">
        <w:rPr>
          <w:rFonts w:ascii="Arial" w:eastAsia="MS Mincho" w:hAnsi="Arial" w:cs="Arial"/>
          <w:color w:val="000000"/>
          <w:lang w:eastAsia="ja-JP"/>
        </w:rPr>
        <w:t>y</w:t>
      </w:r>
      <w:r w:rsidR="00B923CD">
        <w:rPr>
          <w:rFonts w:ascii="Arial" w:eastAsia="MS Mincho" w:hAnsi="Arial" w:cs="Arial"/>
          <w:color w:val="000000"/>
          <w:lang w:eastAsia="ja-JP"/>
        </w:rPr>
        <w:t xml:space="preserve"> </w:t>
      </w:r>
      <w:r w:rsidR="00E94445">
        <w:rPr>
          <w:rFonts w:ascii="Arial" w:eastAsia="MS Mincho" w:hAnsi="Arial" w:cs="Arial"/>
          <w:color w:val="000000"/>
          <w:lang w:eastAsia="ja-JP"/>
        </w:rPr>
        <w:t>o</w:t>
      </w:r>
      <w:r w:rsidR="00E94445" w:rsidRPr="00E94445">
        <w:rPr>
          <w:rFonts w:ascii="Arial" w:eastAsia="MS Mincho" w:hAnsi="Arial" w:cs="Arial"/>
          <w:color w:val="000000"/>
          <w:lang w:eastAsia="ja-JP"/>
        </w:rPr>
        <w:t>nasemnogen abeparvovec</w:t>
      </w:r>
      <w:r w:rsidR="00B923CD" w:rsidRPr="00C36620">
        <w:rPr>
          <w:rFonts w:ascii="Arial" w:eastAsia="MS Mincho" w:hAnsi="Arial" w:cs="Arial"/>
          <w:color w:val="000000"/>
          <w:lang w:eastAsia="ja-JP"/>
        </w:rPr>
        <w:t xml:space="preserve"> </w:t>
      </w:r>
      <w:r w:rsidR="00703C2F">
        <w:rPr>
          <w:rFonts w:ascii="Arial" w:eastAsia="MS Mincho" w:hAnsi="Arial" w:cs="Arial"/>
          <w:color w:val="000000"/>
          <w:lang w:eastAsia="ja-JP"/>
        </w:rPr>
        <w:t>frente a</w:t>
      </w:r>
      <w:r w:rsidR="00B923CD">
        <w:rPr>
          <w:rFonts w:ascii="Arial" w:eastAsia="MS Mincho" w:hAnsi="Arial" w:cs="Arial"/>
          <w:color w:val="000000"/>
          <w:lang w:eastAsia="ja-JP"/>
        </w:rPr>
        <w:t>l tratamiento de soporte</w:t>
      </w:r>
      <w:r w:rsidR="00B923CD" w:rsidRPr="00C36620">
        <w:rPr>
          <w:rFonts w:ascii="Arial" w:eastAsia="MS Mincho" w:hAnsi="Arial" w:cs="Arial"/>
          <w:color w:val="000000"/>
          <w:lang w:eastAsia="ja-JP"/>
        </w:rPr>
        <w:t xml:space="preserve"> </w:t>
      </w:r>
      <w:r w:rsidRPr="00C36620">
        <w:rPr>
          <w:rFonts w:ascii="Arial" w:eastAsia="MS Mincho" w:hAnsi="Arial" w:cs="Arial"/>
          <w:color w:val="000000"/>
          <w:lang w:eastAsia="ja-JP"/>
        </w:rPr>
        <w:t xml:space="preserve">en la AME de </w:t>
      </w:r>
      <w:r w:rsidRPr="00703C2F">
        <w:rPr>
          <w:rFonts w:ascii="Arial" w:eastAsia="MS Mincho" w:hAnsi="Arial" w:cs="Arial"/>
          <w:b/>
          <w:color w:val="000000"/>
          <w:lang w:eastAsia="ja-JP"/>
        </w:rPr>
        <w:t>inicio infantil</w:t>
      </w:r>
      <w:r w:rsidR="00812DDF">
        <w:rPr>
          <w:rFonts w:ascii="Arial" w:eastAsia="MS Mincho" w:hAnsi="Arial" w:cs="Arial"/>
          <w:color w:val="000000"/>
          <w:lang w:eastAsia="ja-JP"/>
        </w:rPr>
        <w:t xml:space="preserve">, pero estas evidencias no </w:t>
      </w:r>
      <w:r w:rsidR="00812DDF" w:rsidRPr="00C36620">
        <w:rPr>
          <w:rFonts w:ascii="Arial" w:eastAsia="MS Mincho" w:hAnsi="Arial" w:cs="Arial"/>
          <w:color w:val="000000"/>
          <w:lang w:eastAsia="ja-JP"/>
        </w:rPr>
        <w:t>fue</w:t>
      </w:r>
      <w:r w:rsidR="00812DDF">
        <w:rPr>
          <w:rFonts w:ascii="Arial" w:eastAsia="MS Mincho" w:hAnsi="Arial" w:cs="Arial"/>
          <w:color w:val="000000"/>
          <w:lang w:eastAsia="ja-JP"/>
        </w:rPr>
        <w:t xml:space="preserve">ron </w:t>
      </w:r>
      <w:r w:rsidR="00812DDF" w:rsidRPr="00C36620">
        <w:rPr>
          <w:rFonts w:ascii="Arial" w:eastAsia="MS Mincho" w:hAnsi="Arial" w:cs="Arial"/>
          <w:color w:val="000000"/>
          <w:lang w:eastAsia="ja-JP"/>
        </w:rPr>
        <w:t>suficiente</w:t>
      </w:r>
      <w:r w:rsidR="00812DDF">
        <w:rPr>
          <w:rFonts w:ascii="Arial" w:eastAsia="MS Mincho" w:hAnsi="Arial" w:cs="Arial"/>
          <w:color w:val="000000"/>
          <w:lang w:eastAsia="ja-JP"/>
        </w:rPr>
        <w:t>s</w:t>
      </w:r>
      <w:r w:rsidR="00812DDF" w:rsidRPr="00C36620">
        <w:rPr>
          <w:rFonts w:ascii="Arial" w:eastAsia="MS Mincho" w:hAnsi="Arial" w:cs="Arial"/>
          <w:color w:val="000000"/>
          <w:lang w:eastAsia="ja-JP"/>
        </w:rPr>
        <w:t xml:space="preserve"> para </w:t>
      </w:r>
      <w:r w:rsidR="00812DDF">
        <w:rPr>
          <w:rFonts w:ascii="Arial" w:eastAsia="MS Mincho" w:hAnsi="Arial" w:cs="Arial"/>
          <w:color w:val="000000"/>
          <w:lang w:eastAsia="ja-JP"/>
        </w:rPr>
        <w:t>comparar ni siquiera de manera indirecta</w:t>
      </w:r>
      <w:r w:rsidR="00812DDF" w:rsidRPr="00C36620">
        <w:rPr>
          <w:rFonts w:ascii="Arial" w:eastAsia="MS Mincho" w:hAnsi="Arial" w:cs="Arial"/>
          <w:color w:val="000000"/>
          <w:lang w:eastAsia="ja-JP"/>
        </w:rPr>
        <w:t xml:space="preserve"> </w:t>
      </w:r>
      <w:r w:rsidR="00E94445">
        <w:rPr>
          <w:rFonts w:ascii="Arial" w:hAnsi="Arial" w:cs="Arial"/>
        </w:rPr>
        <w:t xml:space="preserve">nusinersen </w:t>
      </w:r>
      <w:r w:rsidR="00812DDF" w:rsidRPr="00C36620">
        <w:rPr>
          <w:rFonts w:ascii="Arial" w:eastAsia="MS Mincho" w:hAnsi="Arial" w:cs="Arial"/>
          <w:color w:val="000000"/>
          <w:lang w:eastAsia="ja-JP"/>
        </w:rPr>
        <w:t xml:space="preserve">y </w:t>
      </w:r>
      <w:r w:rsidR="00E94445">
        <w:rPr>
          <w:rFonts w:ascii="Arial" w:eastAsia="MS Mincho" w:hAnsi="Arial" w:cs="Arial"/>
          <w:color w:val="000000"/>
          <w:lang w:eastAsia="ja-JP"/>
        </w:rPr>
        <w:t>o</w:t>
      </w:r>
      <w:r w:rsidR="00E94445" w:rsidRPr="00E94445">
        <w:rPr>
          <w:rFonts w:ascii="Arial" w:eastAsia="MS Mincho" w:hAnsi="Arial" w:cs="Arial"/>
          <w:color w:val="000000"/>
          <w:lang w:eastAsia="ja-JP"/>
        </w:rPr>
        <w:t>nasemnog</w:t>
      </w:r>
      <w:r w:rsidR="00482C21">
        <w:rPr>
          <w:rFonts w:ascii="Arial" w:eastAsia="MS Mincho" w:hAnsi="Arial" w:cs="Arial"/>
          <w:color w:val="000000"/>
          <w:lang w:eastAsia="ja-JP"/>
        </w:rPr>
        <w:t>én</w:t>
      </w:r>
      <w:r w:rsidR="00E94445" w:rsidRPr="00E94445">
        <w:rPr>
          <w:rFonts w:ascii="Arial" w:eastAsia="MS Mincho" w:hAnsi="Arial" w:cs="Arial"/>
          <w:color w:val="000000"/>
          <w:lang w:eastAsia="ja-JP"/>
        </w:rPr>
        <w:t xml:space="preserve"> abeparvovec</w:t>
      </w:r>
      <w:r w:rsidR="00E94445">
        <w:rPr>
          <w:rFonts w:ascii="Arial" w:eastAsia="MS Mincho" w:hAnsi="Arial" w:cs="Arial"/>
          <w:color w:val="000000"/>
          <w:lang w:eastAsia="ja-JP"/>
        </w:rPr>
        <w:t>.</w:t>
      </w:r>
    </w:p>
    <w:p w14:paraId="3A4E5E4F" w14:textId="5F488045" w:rsidR="00703C2F" w:rsidRDefault="00812DDF" w:rsidP="001F6887">
      <w:pPr>
        <w:pStyle w:val="HTMLconformatoprevio"/>
        <w:numPr>
          <w:ilvl w:val="0"/>
          <w:numId w:val="14"/>
        </w:numPr>
        <w:jc w:val="both"/>
        <w:rPr>
          <w:rFonts w:ascii="Arial" w:eastAsia="MS Mincho" w:hAnsi="Arial" w:cs="Arial"/>
          <w:color w:val="000000"/>
          <w:lang w:eastAsia="ja-JP"/>
        </w:rPr>
      </w:pPr>
      <w:r>
        <w:rPr>
          <w:rFonts w:ascii="Arial" w:eastAsia="MS Mincho" w:hAnsi="Arial" w:cs="Arial"/>
          <w:color w:val="000000"/>
          <w:lang w:eastAsia="ja-JP"/>
        </w:rPr>
        <w:t>Se</w:t>
      </w:r>
      <w:r w:rsidR="00C36620" w:rsidRPr="00C36620">
        <w:rPr>
          <w:rFonts w:ascii="Arial" w:eastAsia="MS Mincho" w:hAnsi="Arial" w:cs="Arial"/>
          <w:color w:val="000000"/>
          <w:lang w:eastAsia="ja-JP"/>
        </w:rPr>
        <w:t xml:space="preserve"> consideró que la evidencia era suficiente</w:t>
      </w:r>
      <w:r w:rsidR="00EE2C0C">
        <w:rPr>
          <w:rFonts w:ascii="Arial" w:eastAsia="MS Mincho" w:hAnsi="Arial" w:cs="Arial"/>
          <w:color w:val="000000"/>
          <w:lang w:eastAsia="ja-JP"/>
        </w:rPr>
        <w:t xml:space="preserve"> </w:t>
      </w:r>
      <w:r w:rsidR="00C36620" w:rsidRPr="00C36620">
        <w:rPr>
          <w:rFonts w:ascii="Arial" w:eastAsia="MS Mincho" w:hAnsi="Arial" w:cs="Arial"/>
          <w:color w:val="000000"/>
          <w:lang w:eastAsia="ja-JP"/>
        </w:rPr>
        <w:t xml:space="preserve">para mostrar un beneficio neto para la salud </w:t>
      </w:r>
      <w:r w:rsidR="00EE2C0C">
        <w:rPr>
          <w:rFonts w:ascii="Arial" w:eastAsia="MS Mincho" w:hAnsi="Arial" w:cs="Arial"/>
          <w:color w:val="000000"/>
          <w:lang w:eastAsia="ja-JP"/>
        </w:rPr>
        <w:t xml:space="preserve">de </w:t>
      </w:r>
      <w:r w:rsidR="00E94445">
        <w:rPr>
          <w:rFonts w:ascii="Arial" w:hAnsi="Arial" w:cs="Arial"/>
        </w:rPr>
        <w:t xml:space="preserve">nusinersen </w:t>
      </w:r>
      <w:r w:rsidR="00C36620" w:rsidRPr="00C36620">
        <w:rPr>
          <w:rFonts w:ascii="Arial" w:eastAsia="MS Mincho" w:hAnsi="Arial" w:cs="Arial"/>
          <w:color w:val="000000"/>
          <w:lang w:eastAsia="ja-JP"/>
        </w:rPr>
        <w:t xml:space="preserve">en </w:t>
      </w:r>
      <w:r w:rsidR="00EE2C0C">
        <w:rPr>
          <w:rFonts w:ascii="Arial" w:eastAsia="MS Mincho" w:hAnsi="Arial" w:cs="Arial"/>
          <w:color w:val="000000"/>
          <w:lang w:eastAsia="ja-JP"/>
        </w:rPr>
        <w:t xml:space="preserve">las </w:t>
      </w:r>
      <w:r w:rsidR="00EE2C0C" w:rsidRPr="00812DDF">
        <w:rPr>
          <w:rFonts w:ascii="Arial" w:eastAsia="MS Mincho" w:hAnsi="Arial" w:cs="Arial"/>
          <w:b/>
          <w:color w:val="000000"/>
          <w:lang w:eastAsia="ja-JP"/>
        </w:rPr>
        <w:t>formas</w:t>
      </w:r>
      <w:r w:rsidR="00C36620" w:rsidRPr="00812DDF">
        <w:rPr>
          <w:rFonts w:ascii="Arial" w:eastAsia="MS Mincho" w:hAnsi="Arial" w:cs="Arial"/>
          <w:b/>
          <w:color w:val="000000"/>
          <w:lang w:eastAsia="ja-JP"/>
        </w:rPr>
        <w:t xml:space="preserve"> tardí</w:t>
      </w:r>
      <w:r w:rsidR="00EE2C0C" w:rsidRPr="00812DDF">
        <w:rPr>
          <w:rFonts w:ascii="Arial" w:eastAsia="MS Mincho" w:hAnsi="Arial" w:cs="Arial"/>
          <w:b/>
          <w:color w:val="000000"/>
          <w:lang w:eastAsia="ja-JP"/>
        </w:rPr>
        <w:t xml:space="preserve">as </w:t>
      </w:r>
      <w:r w:rsidR="00C36620" w:rsidRPr="00812DDF">
        <w:rPr>
          <w:rFonts w:ascii="Arial" w:eastAsia="MS Mincho" w:hAnsi="Arial" w:cs="Arial"/>
          <w:b/>
          <w:color w:val="000000"/>
          <w:lang w:eastAsia="ja-JP"/>
        </w:rPr>
        <w:t>y presintomátic</w:t>
      </w:r>
      <w:r w:rsidR="00EE2C0C" w:rsidRPr="00812DDF">
        <w:rPr>
          <w:rFonts w:ascii="Arial" w:eastAsia="MS Mincho" w:hAnsi="Arial" w:cs="Arial"/>
          <w:b/>
          <w:color w:val="000000"/>
          <w:lang w:eastAsia="ja-JP"/>
        </w:rPr>
        <w:t>as</w:t>
      </w:r>
      <w:r w:rsidR="00EE2C0C">
        <w:rPr>
          <w:rFonts w:ascii="Arial" w:eastAsia="MS Mincho" w:hAnsi="Arial" w:cs="Arial"/>
          <w:color w:val="000000"/>
          <w:lang w:eastAsia="ja-JP"/>
        </w:rPr>
        <w:t xml:space="preserve">. </w:t>
      </w:r>
    </w:p>
    <w:p w14:paraId="5209FBFB" w14:textId="52CFF644" w:rsidR="00812DDF" w:rsidRDefault="00812DDF" w:rsidP="001F6887">
      <w:pPr>
        <w:pStyle w:val="HTMLconformatoprevio"/>
        <w:numPr>
          <w:ilvl w:val="0"/>
          <w:numId w:val="14"/>
        </w:numPr>
        <w:jc w:val="both"/>
        <w:rPr>
          <w:rFonts w:ascii="Arial" w:eastAsia="MS Mincho" w:hAnsi="Arial" w:cs="Arial"/>
          <w:color w:val="000000"/>
          <w:lang w:eastAsia="ja-JP"/>
        </w:rPr>
      </w:pPr>
      <w:r>
        <w:rPr>
          <w:rFonts w:ascii="Arial" w:eastAsia="MS Mincho" w:hAnsi="Arial" w:cs="Arial"/>
          <w:color w:val="000000"/>
          <w:lang w:eastAsia="ja-JP"/>
        </w:rPr>
        <w:t>L</w:t>
      </w:r>
      <w:r w:rsidRPr="00C36620">
        <w:rPr>
          <w:rFonts w:ascii="Arial" w:eastAsia="MS Mincho" w:hAnsi="Arial" w:cs="Arial"/>
          <w:color w:val="000000"/>
          <w:lang w:eastAsia="ja-JP"/>
        </w:rPr>
        <w:t>a</w:t>
      </w:r>
      <w:r>
        <w:rPr>
          <w:rFonts w:ascii="Arial" w:eastAsia="MS Mincho" w:hAnsi="Arial" w:cs="Arial"/>
          <w:color w:val="000000"/>
          <w:lang w:eastAsia="ja-JP"/>
        </w:rPr>
        <w:t>s</w:t>
      </w:r>
      <w:r w:rsidRPr="00C36620">
        <w:rPr>
          <w:rFonts w:ascii="Arial" w:eastAsia="MS Mincho" w:hAnsi="Arial" w:cs="Arial"/>
          <w:color w:val="000000"/>
          <w:lang w:eastAsia="ja-JP"/>
        </w:rPr>
        <w:t xml:space="preserve"> evidencia</w:t>
      </w:r>
      <w:r>
        <w:rPr>
          <w:rFonts w:ascii="Arial" w:eastAsia="MS Mincho" w:hAnsi="Arial" w:cs="Arial"/>
          <w:color w:val="000000"/>
          <w:lang w:eastAsia="ja-JP"/>
        </w:rPr>
        <w:t>s</w:t>
      </w:r>
      <w:r w:rsidRPr="00C36620">
        <w:rPr>
          <w:rFonts w:ascii="Arial" w:eastAsia="MS Mincho" w:hAnsi="Arial" w:cs="Arial"/>
          <w:color w:val="000000"/>
          <w:lang w:eastAsia="ja-JP"/>
        </w:rPr>
        <w:t xml:space="preserve"> </w:t>
      </w:r>
      <w:r>
        <w:rPr>
          <w:rFonts w:ascii="Arial" w:eastAsia="MS Mincho" w:hAnsi="Arial" w:cs="Arial"/>
          <w:color w:val="000000"/>
          <w:lang w:eastAsia="ja-JP"/>
        </w:rPr>
        <w:t xml:space="preserve">disponibles </w:t>
      </w:r>
      <w:r w:rsidRPr="00C36620">
        <w:rPr>
          <w:rFonts w:ascii="Arial" w:eastAsia="MS Mincho" w:hAnsi="Arial" w:cs="Arial"/>
          <w:color w:val="000000"/>
          <w:lang w:eastAsia="ja-JP"/>
        </w:rPr>
        <w:t>de</w:t>
      </w:r>
      <w:r>
        <w:rPr>
          <w:rFonts w:ascii="Arial" w:eastAsia="MS Mincho" w:hAnsi="Arial" w:cs="Arial"/>
          <w:color w:val="000000"/>
          <w:lang w:eastAsia="ja-JP"/>
        </w:rPr>
        <w:t xml:space="preserve"> </w:t>
      </w:r>
      <w:r w:rsidR="00E94445">
        <w:rPr>
          <w:rFonts w:ascii="Arial" w:eastAsia="MS Mincho" w:hAnsi="Arial" w:cs="Arial"/>
          <w:color w:val="000000"/>
          <w:lang w:eastAsia="ja-JP"/>
        </w:rPr>
        <w:t>o</w:t>
      </w:r>
      <w:r w:rsidR="00E94445" w:rsidRPr="00E94445">
        <w:rPr>
          <w:rFonts w:ascii="Arial" w:eastAsia="MS Mincho" w:hAnsi="Arial" w:cs="Arial"/>
          <w:color w:val="000000"/>
          <w:lang w:eastAsia="ja-JP"/>
        </w:rPr>
        <w:t>nasemnogen abeparvovec</w:t>
      </w:r>
      <w:r>
        <w:rPr>
          <w:rFonts w:ascii="Arial" w:eastAsia="MS Mincho" w:hAnsi="Arial" w:cs="Arial"/>
          <w:color w:val="000000"/>
          <w:lang w:eastAsia="ja-JP"/>
        </w:rPr>
        <w:t xml:space="preserve"> resultaron</w:t>
      </w:r>
      <w:r w:rsidRPr="00C36620">
        <w:rPr>
          <w:rFonts w:ascii="Arial" w:eastAsia="MS Mincho" w:hAnsi="Arial" w:cs="Arial"/>
          <w:color w:val="000000"/>
          <w:lang w:eastAsia="ja-JP"/>
        </w:rPr>
        <w:t xml:space="preserve"> </w:t>
      </w:r>
      <w:r>
        <w:rPr>
          <w:rFonts w:ascii="Arial" w:eastAsia="MS Mincho" w:hAnsi="Arial" w:cs="Arial"/>
          <w:color w:val="000000"/>
          <w:lang w:eastAsia="ja-JP"/>
        </w:rPr>
        <w:t>in</w:t>
      </w:r>
      <w:r w:rsidRPr="00C36620">
        <w:rPr>
          <w:rFonts w:ascii="Arial" w:eastAsia="MS Mincho" w:hAnsi="Arial" w:cs="Arial"/>
          <w:color w:val="000000"/>
          <w:lang w:eastAsia="ja-JP"/>
        </w:rPr>
        <w:t>suficiente</w:t>
      </w:r>
      <w:r>
        <w:rPr>
          <w:rFonts w:ascii="Arial" w:eastAsia="MS Mincho" w:hAnsi="Arial" w:cs="Arial"/>
          <w:color w:val="000000"/>
          <w:lang w:eastAsia="ja-JP"/>
        </w:rPr>
        <w:t>s</w:t>
      </w:r>
      <w:r w:rsidRPr="00C36620">
        <w:rPr>
          <w:rFonts w:ascii="Arial" w:eastAsia="MS Mincho" w:hAnsi="Arial" w:cs="Arial"/>
          <w:color w:val="000000"/>
          <w:lang w:eastAsia="ja-JP"/>
        </w:rPr>
        <w:t xml:space="preserve"> para mostrar</w:t>
      </w:r>
      <w:r>
        <w:rPr>
          <w:rFonts w:ascii="Arial" w:eastAsia="MS Mincho" w:hAnsi="Arial" w:cs="Arial"/>
          <w:color w:val="000000"/>
          <w:lang w:eastAsia="ja-JP"/>
        </w:rPr>
        <w:t xml:space="preserve"> </w:t>
      </w:r>
      <w:r w:rsidRPr="00C36620">
        <w:rPr>
          <w:rFonts w:ascii="Arial" w:eastAsia="MS Mincho" w:hAnsi="Arial" w:cs="Arial"/>
          <w:color w:val="000000"/>
          <w:lang w:eastAsia="ja-JP"/>
        </w:rPr>
        <w:t xml:space="preserve">beneficio para la salud en pacientes </w:t>
      </w:r>
      <w:r w:rsidRPr="00E94445">
        <w:rPr>
          <w:rFonts w:ascii="Arial" w:eastAsia="MS Mincho" w:hAnsi="Arial" w:cs="Arial"/>
          <w:b/>
          <w:color w:val="000000"/>
          <w:lang w:eastAsia="ja-JP"/>
        </w:rPr>
        <w:t>presintomáticos</w:t>
      </w:r>
      <w:r>
        <w:rPr>
          <w:rFonts w:ascii="Arial" w:eastAsia="MS Mincho" w:hAnsi="Arial" w:cs="Arial"/>
          <w:color w:val="000000"/>
          <w:lang w:eastAsia="ja-JP"/>
        </w:rPr>
        <w:t xml:space="preserve"> (en la fecha de redacción del informe aún no había datos del estudio SPR1NT)</w:t>
      </w:r>
      <w:r w:rsidRPr="00C36620">
        <w:rPr>
          <w:rFonts w:ascii="Arial" w:eastAsia="MS Mincho" w:hAnsi="Arial" w:cs="Arial"/>
          <w:color w:val="000000"/>
          <w:lang w:eastAsia="ja-JP"/>
        </w:rPr>
        <w:t>.</w:t>
      </w:r>
    </w:p>
    <w:p w14:paraId="7A4C38FA" w14:textId="77777777" w:rsidR="00E94445" w:rsidRDefault="00E94445"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MS Mincho" w:hAnsi="Arial" w:cs="Arial"/>
          <w:color w:val="000000"/>
          <w:sz w:val="20"/>
          <w:szCs w:val="20"/>
          <w:lang w:eastAsia="ja-JP"/>
        </w:rPr>
      </w:pPr>
    </w:p>
    <w:p w14:paraId="47A0742B" w14:textId="17F8C544" w:rsidR="00E94445" w:rsidRDefault="00FC160B"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MS Mincho" w:hAnsi="Arial" w:cs="Arial"/>
          <w:color w:val="000000"/>
          <w:sz w:val="20"/>
          <w:szCs w:val="20"/>
          <w:lang w:eastAsia="ja-JP"/>
        </w:rPr>
      </w:pPr>
      <w:r>
        <w:rPr>
          <w:rFonts w:ascii="Arial" w:eastAsia="MS Mincho" w:hAnsi="Arial" w:cs="Arial"/>
          <w:color w:val="000000"/>
          <w:sz w:val="20"/>
          <w:szCs w:val="20"/>
          <w:lang w:eastAsia="ja-JP"/>
        </w:rPr>
        <w:t>L</w:t>
      </w:r>
      <w:r w:rsidRPr="00FC160B">
        <w:rPr>
          <w:rFonts w:ascii="Arial" w:eastAsia="MS Mincho" w:hAnsi="Arial" w:cs="Arial"/>
          <w:color w:val="000000"/>
          <w:sz w:val="20"/>
          <w:szCs w:val="20"/>
          <w:lang w:eastAsia="ja-JP"/>
        </w:rPr>
        <w:t>os miembros del Co</w:t>
      </w:r>
      <w:r>
        <w:rPr>
          <w:rFonts w:ascii="Arial" w:eastAsia="MS Mincho" w:hAnsi="Arial" w:cs="Arial"/>
          <w:color w:val="000000"/>
          <w:sz w:val="20"/>
          <w:szCs w:val="20"/>
          <w:lang w:eastAsia="ja-JP"/>
        </w:rPr>
        <w:t xml:space="preserve">mité </w:t>
      </w:r>
      <w:r w:rsidRPr="00FC160B">
        <w:rPr>
          <w:rFonts w:ascii="Arial" w:eastAsia="MS Mincho" w:hAnsi="Arial" w:cs="Arial"/>
          <w:color w:val="000000"/>
          <w:sz w:val="20"/>
          <w:szCs w:val="20"/>
          <w:lang w:eastAsia="ja-JP"/>
        </w:rPr>
        <w:t>consider</w:t>
      </w:r>
      <w:r>
        <w:rPr>
          <w:rFonts w:ascii="Arial" w:eastAsia="MS Mincho" w:hAnsi="Arial" w:cs="Arial"/>
          <w:color w:val="000000"/>
          <w:sz w:val="20"/>
          <w:szCs w:val="20"/>
          <w:lang w:eastAsia="ja-JP"/>
        </w:rPr>
        <w:t>aron</w:t>
      </w:r>
      <w:r w:rsidRPr="00FC160B">
        <w:rPr>
          <w:rFonts w:ascii="Arial" w:eastAsia="MS Mincho" w:hAnsi="Arial" w:cs="Arial"/>
          <w:color w:val="000000"/>
          <w:sz w:val="20"/>
          <w:szCs w:val="20"/>
          <w:lang w:eastAsia="ja-JP"/>
        </w:rPr>
        <w:t xml:space="preserve"> otros beneficios y </w:t>
      </w:r>
      <w:r>
        <w:rPr>
          <w:rFonts w:ascii="Arial" w:eastAsia="MS Mincho" w:hAnsi="Arial" w:cs="Arial"/>
          <w:color w:val="000000"/>
          <w:sz w:val="20"/>
          <w:szCs w:val="20"/>
          <w:lang w:eastAsia="ja-JP"/>
        </w:rPr>
        <w:t xml:space="preserve">consideraciones </w:t>
      </w:r>
      <w:r w:rsidRPr="00FC160B">
        <w:rPr>
          <w:rFonts w:ascii="Arial" w:eastAsia="MS Mincho" w:hAnsi="Arial" w:cs="Arial"/>
          <w:color w:val="000000"/>
          <w:sz w:val="20"/>
          <w:szCs w:val="20"/>
          <w:lang w:eastAsia="ja-JP"/>
        </w:rPr>
        <w:t>contextuales</w:t>
      </w:r>
      <w:r>
        <w:rPr>
          <w:rFonts w:ascii="Arial" w:eastAsia="MS Mincho" w:hAnsi="Arial" w:cs="Arial"/>
          <w:color w:val="000000"/>
          <w:sz w:val="20"/>
          <w:szCs w:val="20"/>
          <w:lang w:eastAsia="ja-JP"/>
        </w:rPr>
        <w:t xml:space="preserve"> </w:t>
      </w:r>
      <w:r w:rsidRPr="00FC160B">
        <w:rPr>
          <w:rFonts w:ascii="Arial" w:eastAsia="MS Mincho" w:hAnsi="Arial" w:cs="Arial"/>
          <w:color w:val="000000"/>
          <w:sz w:val="20"/>
          <w:szCs w:val="20"/>
          <w:lang w:eastAsia="ja-JP"/>
        </w:rPr>
        <w:t xml:space="preserve">que pueden no ser </w:t>
      </w:r>
      <w:r w:rsidRPr="00E94445">
        <w:rPr>
          <w:rFonts w:ascii="Arial" w:eastAsia="MS Mincho" w:hAnsi="Arial" w:cs="Arial"/>
          <w:color w:val="000000"/>
          <w:sz w:val="20"/>
          <w:szCs w:val="20"/>
          <w:lang w:eastAsia="ja-JP"/>
        </w:rPr>
        <w:t>captadas por la evidencia clínica. Ambos tratamientos reducirían la carga familiar o del cuidador</w:t>
      </w:r>
      <w:r w:rsidR="00812DDF" w:rsidRPr="00E94445">
        <w:rPr>
          <w:rFonts w:ascii="Arial" w:eastAsia="MS Mincho" w:hAnsi="Arial" w:cs="Arial"/>
          <w:color w:val="000000"/>
          <w:sz w:val="20"/>
          <w:szCs w:val="20"/>
          <w:lang w:eastAsia="ja-JP"/>
        </w:rPr>
        <w:t>.</w:t>
      </w:r>
      <w:r w:rsidR="00482C21">
        <w:rPr>
          <w:rFonts w:ascii="Arial" w:eastAsia="MS Mincho" w:hAnsi="Arial" w:cs="Arial"/>
          <w:color w:val="000000"/>
          <w:sz w:val="20"/>
          <w:szCs w:val="20"/>
          <w:lang w:eastAsia="ja-JP"/>
        </w:rPr>
        <w:t xml:space="preserve"> Además, onasemnogé</w:t>
      </w:r>
      <w:r w:rsidR="00E94445" w:rsidRPr="00E94445">
        <w:rPr>
          <w:rFonts w:ascii="Arial" w:eastAsia="MS Mincho" w:hAnsi="Arial" w:cs="Arial"/>
          <w:color w:val="000000"/>
          <w:sz w:val="20"/>
          <w:szCs w:val="20"/>
          <w:lang w:eastAsia="ja-JP"/>
        </w:rPr>
        <w:t>n abeparvovec</w:t>
      </w:r>
      <w:r w:rsidR="00E94445">
        <w:rPr>
          <w:rFonts w:ascii="Arial" w:eastAsia="MS Mincho" w:hAnsi="Arial" w:cs="Arial"/>
          <w:color w:val="000000"/>
          <w:sz w:val="20"/>
          <w:szCs w:val="20"/>
          <w:lang w:eastAsia="ja-JP"/>
        </w:rPr>
        <w:t xml:space="preserve"> presenta menor </w:t>
      </w:r>
      <w:r w:rsidRPr="00FC160B">
        <w:rPr>
          <w:rFonts w:ascii="Arial" w:eastAsia="MS Mincho" w:hAnsi="Arial" w:cs="Arial"/>
          <w:color w:val="000000"/>
          <w:sz w:val="20"/>
          <w:szCs w:val="20"/>
          <w:lang w:eastAsia="ja-JP"/>
        </w:rPr>
        <w:t xml:space="preserve">complejidad de </w:t>
      </w:r>
      <w:r w:rsidR="00E94445">
        <w:rPr>
          <w:rFonts w:ascii="Arial" w:eastAsia="MS Mincho" w:hAnsi="Arial" w:cs="Arial"/>
          <w:color w:val="000000"/>
          <w:sz w:val="20"/>
          <w:szCs w:val="20"/>
          <w:lang w:eastAsia="ja-JP"/>
        </w:rPr>
        <w:t>que</w:t>
      </w:r>
      <w:r w:rsidRPr="00FC160B">
        <w:rPr>
          <w:rFonts w:ascii="Arial" w:eastAsia="MS Mincho" w:hAnsi="Arial" w:cs="Arial"/>
          <w:color w:val="000000"/>
          <w:sz w:val="20"/>
          <w:szCs w:val="20"/>
          <w:lang w:eastAsia="ja-JP"/>
        </w:rPr>
        <w:t xml:space="preserve"> </w:t>
      </w:r>
      <w:r w:rsidR="00E94445" w:rsidRPr="00E94445">
        <w:rPr>
          <w:rFonts w:ascii="Arial" w:hAnsi="Arial" w:cs="Arial"/>
          <w:sz w:val="20"/>
          <w:szCs w:val="20"/>
        </w:rPr>
        <w:t>nusinersen</w:t>
      </w:r>
      <w:r w:rsidRPr="00E94445">
        <w:rPr>
          <w:rFonts w:ascii="Arial" w:eastAsia="MS Mincho" w:hAnsi="Arial" w:cs="Arial"/>
          <w:color w:val="000000"/>
          <w:sz w:val="20"/>
          <w:szCs w:val="20"/>
          <w:lang w:eastAsia="ja-JP"/>
        </w:rPr>
        <w:t>, ya que ofrece una dosis única.</w:t>
      </w:r>
      <w:r w:rsidR="00953F52" w:rsidRPr="00E94445">
        <w:rPr>
          <w:rFonts w:ascii="Arial" w:eastAsia="MS Mincho" w:hAnsi="Arial" w:cs="Arial"/>
          <w:color w:val="000000"/>
          <w:sz w:val="20"/>
          <w:szCs w:val="20"/>
          <w:lang w:eastAsia="ja-JP"/>
        </w:rPr>
        <w:t xml:space="preserve"> </w:t>
      </w:r>
    </w:p>
    <w:p w14:paraId="0F8DF4C3" w14:textId="77777777" w:rsidR="00E94445" w:rsidRDefault="00E94445"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MS Mincho" w:hAnsi="Arial" w:cs="Arial"/>
          <w:color w:val="000000"/>
          <w:sz w:val="20"/>
          <w:szCs w:val="20"/>
          <w:lang w:eastAsia="ja-JP"/>
        </w:rPr>
      </w:pPr>
    </w:p>
    <w:p w14:paraId="6275989B" w14:textId="7195814A" w:rsidR="00FC160B" w:rsidRDefault="00FC160B"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MS Mincho" w:hAnsi="Arial" w:cs="Arial"/>
          <w:color w:val="000000"/>
          <w:sz w:val="20"/>
          <w:szCs w:val="20"/>
          <w:lang w:eastAsia="ja-JP"/>
        </w:rPr>
      </w:pPr>
      <w:r w:rsidRPr="00E94445">
        <w:rPr>
          <w:rFonts w:ascii="Arial" w:eastAsia="MS Mincho" w:hAnsi="Arial" w:cs="Arial"/>
          <w:color w:val="000000"/>
          <w:sz w:val="20"/>
          <w:szCs w:val="20"/>
          <w:lang w:eastAsia="ja-JP"/>
        </w:rPr>
        <w:t xml:space="preserve">Una posible desventaja asociada </w:t>
      </w:r>
      <w:r w:rsidR="00953F52" w:rsidRPr="00E94445">
        <w:rPr>
          <w:rFonts w:ascii="Arial" w:eastAsia="MS Mincho" w:hAnsi="Arial" w:cs="Arial"/>
          <w:color w:val="000000"/>
          <w:sz w:val="20"/>
          <w:szCs w:val="20"/>
          <w:lang w:eastAsia="ja-JP"/>
        </w:rPr>
        <w:t xml:space="preserve">a </w:t>
      </w:r>
      <w:r w:rsidRPr="00E94445">
        <w:rPr>
          <w:rFonts w:ascii="Arial" w:eastAsia="MS Mincho" w:hAnsi="Arial" w:cs="Arial"/>
          <w:color w:val="000000"/>
          <w:sz w:val="20"/>
          <w:szCs w:val="20"/>
          <w:lang w:eastAsia="ja-JP"/>
        </w:rPr>
        <w:t>estos</w:t>
      </w:r>
      <w:r w:rsidRPr="00FC160B">
        <w:rPr>
          <w:rFonts w:ascii="Arial" w:eastAsia="MS Mincho" w:hAnsi="Arial" w:cs="Arial"/>
          <w:color w:val="000000"/>
          <w:sz w:val="20"/>
          <w:szCs w:val="20"/>
          <w:lang w:eastAsia="ja-JP"/>
        </w:rPr>
        <w:t xml:space="preserve"> tratamientos es que pueden crear o ampliar</w:t>
      </w:r>
      <w:r w:rsidR="00953F52">
        <w:rPr>
          <w:rFonts w:ascii="Arial" w:eastAsia="MS Mincho" w:hAnsi="Arial" w:cs="Arial"/>
          <w:color w:val="000000"/>
          <w:sz w:val="20"/>
          <w:szCs w:val="20"/>
          <w:lang w:eastAsia="ja-JP"/>
        </w:rPr>
        <w:t xml:space="preserve"> </w:t>
      </w:r>
      <w:r w:rsidRPr="00FC160B">
        <w:rPr>
          <w:rFonts w:ascii="Arial" w:eastAsia="MS Mincho" w:hAnsi="Arial" w:cs="Arial"/>
          <w:color w:val="000000"/>
          <w:sz w:val="20"/>
          <w:szCs w:val="20"/>
          <w:lang w:eastAsia="ja-JP"/>
        </w:rPr>
        <w:t>disparidades de salud a través de factores socioeconómicos,</w:t>
      </w:r>
      <w:r w:rsidR="00953F52">
        <w:rPr>
          <w:rFonts w:ascii="Arial" w:eastAsia="MS Mincho" w:hAnsi="Arial" w:cs="Arial"/>
          <w:color w:val="000000"/>
          <w:sz w:val="20"/>
          <w:szCs w:val="20"/>
          <w:lang w:eastAsia="ja-JP"/>
        </w:rPr>
        <w:t xml:space="preserve"> </w:t>
      </w:r>
      <w:r w:rsidRPr="00FC160B">
        <w:rPr>
          <w:rFonts w:ascii="Arial" w:eastAsia="MS Mincho" w:hAnsi="Arial" w:cs="Arial"/>
          <w:color w:val="000000"/>
          <w:sz w:val="20"/>
          <w:szCs w:val="20"/>
          <w:lang w:eastAsia="ja-JP"/>
        </w:rPr>
        <w:t>grupos geográficos, raciales o étnicos</w:t>
      </w:r>
      <w:r w:rsidR="00953F52">
        <w:rPr>
          <w:rFonts w:ascii="Arial" w:eastAsia="MS Mincho" w:hAnsi="Arial" w:cs="Arial"/>
          <w:color w:val="000000"/>
          <w:sz w:val="20"/>
          <w:szCs w:val="20"/>
          <w:lang w:eastAsia="ja-JP"/>
        </w:rPr>
        <w:t xml:space="preserve">, dependiendo del modelo sanitario de cada país. </w:t>
      </w:r>
    </w:p>
    <w:p w14:paraId="034D813B" w14:textId="77777777" w:rsidR="00051915" w:rsidRDefault="00051915"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MS Mincho" w:hAnsi="Arial" w:cs="Arial"/>
          <w:color w:val="000000"/>
          <w:sz w:val="20"/>
          <w:szCs w:val="20"/>
          <w:lang w:eastAsia="ja-JP"/>
        </w:rPr>
      </w:pPr>
    </w:p>
    <w:p w14:paraId="1D64774B" w14:textId="77777777" w:rsidR="0024027B" w:rsidRPr="00C36620" w:rsidRDefault="0024027B"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MS Mincho" w:hAnsi="Arial" w:cs="Arial"/>
          <w:color w:val="000000"/>
          <w:sz w:val="20"/>
          <w:szCs w:val="20"/>
          <w:lang w:eastAsia="ja-JP"/>
        </w:rPr>
      </w:pPr>
    </w:p>
    <w:p w14:paraId="7E2F9938" w14:textId="52AB6E7A" w:rsidR="00FA0C0C" w:rsidRPr="00051915"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lang w:val="en-GB"/>
        </w:rPr>
      </w:pPr>
      <w:bookmarkStart w:id="79" w:name="_Toc348931379"/>
      <w:r w:rsidRPr="00051915">
        <w:rPr>
          <w:rFonts w:ascii="Arial" w:hAnsi="Arial" w:cs="Arial"/>
          <w:sz w:val="20"/>
          <w:szCs w:val="20"/>
          <w:lang w:val="en-GB"/>
        </w:rPr>
        <w:t>5.4.3 Opiniones de expertos</w:t>
      </w:r>
      <w:bookmarkEnd w:id="79"/>
    </w:p>
    <w:p w14:paraId="6BFF2B63" w14:textId="77777777" w:rsidR="00036A6B" w:rsidRPr="00051915" w:rsidRDefault="00036A6B" w:rsidP="001F6887">
      <w:pPr>
        <w:pBdr>
          <w:bottom w:val="single" w:sz="4" w:space="1" w:color="auto"/>
        </w:pBdr>
        <w:autoSpaceDE w:val="0"/>
        <w:autoSpaceDN w:val="0"/>
        <w:adjustRightInd w:val="0"/>
        <w:jc w:val="both"/>
        <w:rPr>
          <w:rFonts w:ascii="ArialUnicodeMS" w:hAnsi="ArialUnicodeMS" w:cs="ArialUnicodeMS"/>
          <w:b/>
          <w:sz w:val="20"/>
          <w:szCs w:val="20"/>
          <w:lang w:val="en-GB"/>
        </w:rPr>
      </w:pPr>
    </w:p>
    <w:p w14:paraId="56674275" w14:textId="47FEB796" w:rsidR="00F40083" w:rsidRPr="00051915" w:rsidRDefault="00F40083" w:rsidP="001F6887">
      <w:pPr>
        <w:pBdr>
          <w:bottom w:val="single" w:sz="4" w:space="1" w:color="auto"/>
        </w:pBdr>
        <w:autoSpaceDE w:val="0"/>
        <w:autoSpaceDN w:val="0"/>
        <w:adjustRightInd w:val="0"/>
        <w:jc w:val="both"/>
        <w:rPr>
          <w:rFonts w:ascii="ArialUnicodeMS" w:hAnsi="ArialUnicodeMS" w:cs="ArialUnicodeMS"/>
          <w:b/>
          <w:sz w:val="20"/>
          <w:szCs w:val="20"/>
          <w:lang w:val="en-GB"/>
        </w:rPr>
      </w:pPr>
      <w:r w:rsidRPr="00051915">
        <w:rPr>
          <w:rFonts w:ascii="ArialUnicodeMS" w:hAnsi="ArialUnicodeMS" w:cs="ArialUnicodeMS"/>
          <w:b/>
          <w:sz w:val="20"/>
          <w:szCs w:val="20"/>
          <w:lang w:val="en-GB"/>
        </w:rPr>
        <w:t>European ad-hoc consensus statement on gene replacement therapy for spinal muscular atrophy (2020).</w:t>
      </w:r>
      <w:r>
        <w:rPr>
          <w:rStyle w:val="Refdenotaalfinal"/>
          <w:rFonts w:ascii="ArialUnicodeMS" w:hAnsi="ArialUnicodeMS" w:cs="ArialUnicodeMS"/>
          <w:b/>
          <w:sz w:val="20"/>
          <w:szCs w:val="20"/>
        </w:rPr>
        <w:endnoteReference w:id="27"/>
      </w:r>
    </w:p>
    <w:p w14:paraId="73F5C2D0" w14:textId="77777777" w:rsidR="00F40083" w:rsidRPr="00051915" w:rsidRDefault="00F40083" w:rsidP="001F6887">
      <w:pPr>
        <w:rPr>
          <w:rFonts w:ascii="Arial" w:hAnsi="Arial" w:cs="Arial"/>
          <w:sz w:val="20"/>
          <w:szCs w:val="20"/>
          <w:lang w:val="en-GB"/>
        </w:rPr>
      </w:pPr>
    </w:p>
    <w:p w14:paraId="7D6F3D77" w14:textId="0CEA8BFE" w:rsidR="00FA0C0C" w:rsidRDefault="00F40083" w:rsidP="001F6887">
      <w:pPr>
        <w:jc w:val="both"/>
        <w:rPr>
          <w:rFonts w:ascii="Arial" w:hAnsi="Arial" w:cs="Arial"/>
          <w:sz w:val="20"/>
          <w:szCs w:val="20"/>
        </w:rPr>
      </w:pPr>
      <w:r>
        <w:rPr>
          <w:rFonts w:ascii="Arial" w:hAnsi="Arial" w:cs="Arial"/>
          <w:sz w:val="20"/>
          <w:szCs w:val="20"/>
        </w:rPr>
        <w:t>Un grupo de 15 expertos europeo</w:t>
      </w:r>
      <w:r w:rsidR="00863F65">
        <w:rPr>
          <w:rFonts w:ascii="Arial" w:hAnsi="Arial" w:cs="Arial"/>
          <w:sz w:val="20"/>
          <w:szCs w:val="20"/>
        </w:rPr>
        <w:t>s</w:t>
      </w:r>
      <w:r>
        <w:rPr>
          <w:rFonts w:ascii="Arial" w:hAnsi="Arial" w:cs="Arial"/>
          <w:sz w:val="20"/>
          <w:szCs w:val="20"/>
        </w:rPr>
        <w:t xml:space="preserve"> emitieron una serie de recomendaciones en relación a la terapia de reemplazo en AME:</w:t>
      </w:r>
    </w:p>
    <w:p w14:paraId="02DBDECB" w14:textId="18BDF988" w:rsidR="00F40083" w:rsidRDefault="00F40083" w:rsidP="001F6887">
      <w:pPr>
        <w:pStyle w:val="Prrafodelista"/>
        <w:numPr>
          <w:ilvl w:val="0"/>
          <w:numId w:val="15"/>
        </w:numPr>
        <w:spacing w:after="120"/>
        <w:ind w:left="714" w:hanging="357"/>
        <w:jc w:val="both"/>
        <w:rPr>
          <w:rFonts w:ascii="Arial" w:hAnsi="Arial" w:cs="Arial"/>
          <w:sz w:val="20"/>
          <w:szCs w:val="20"/>
        </w:rPr>
      </w:pPr>
      <w:r w:rsidRPr="00863F65">
        <w:rPr>
          <w:rFonts w:ascii="Arial" w:hAnsi="Arial" w:cs="Arial"/>
          <w:sz w:val="20"/>
          <w:szCs w:val="20"/>
        </w:rPr>
        <w:t>Los tipos tradicionales de AME (0, 1, 2, 3, 4) no son suficientes</w:t>
      </w:r>
      <w:r w:rsidR="00863F65" w:rsidRPr="00863F65">
        <w:rPr>
          <w:rFonts w:ascii="Arial" w:hAnsi="Arial" w:cs="Arial"/>
          <w:sz w:val="20"/>
          <w:szCs w:val="20"/>
        </w:rPr>
        <w:t xml:space="preserve"> </w:t>
      </w:r>
      <w:r w:rsidRPr="00863F65">
        <w:rPr>
          <w:rFonts w:ascii="Arial" w:hAnsi="Arial" w:cs="Arial"/>
          <w:sz w:val="20"/>
          <w:szCs w:val="20"/>
        </w:rPr>
        <w:t xml:space="preserve">para definir las poblaciones de pacientes que podrían beneficiarse más de la terapia génica. En </w:t>
      </w:r>
      <w:r w:rsidR="00863F65" w:rsidRPr="00863F65">
        <w:rPr>
          <w:rFonts w:ascii="Arial" w:hAnsi="Arial" w:cs="Arial"/>
          <w:sz w:val="20"/>
          <w:szCs w:val="20"/>
        </w:rPr>
        <w:t xml:space="preserve">pacientes </w:t>
      </w:r>
      <w:r w:rsidRPr="00863F65">
        <w:rPr>
          <w:rFonts w:ascii="Arial" w:hAnsi="Arial" w:cs="Arial"/>
          <w:b/>
          <w:sz w:val="20"/>
          <w:szCs w:val="20"/>
        </w:rPr>
        <w:t>sintomático</w:t>
      </w:r>
      <w:r w:rsidR="00863F65" w:rsidRPr="00863F65">
        <w:rPr>
          <w:rFonts w:ascii="Arial" w:hAnsi="Arial" w:cs="Arial"/>
          <w:b/>
          <w:sz w:val="20"/>
          <w:szCs w:val="20"/>
        </w:rPr>
        <w:t>s</w:t>
      </w:r>
      <w:r w:rsidR="00863F65" w:rsidRPr="00863F65">
        <w:rPr>
          <w:rFonts w:ascii="Arial" w:hAnsi="Arial" w:cs="Arial"/>
          <w:sz w:val="20"/>
          <w:szCs w:val="20"/>
        </w:rPr>
        <w:t>, la edad de inicio</w:t>
      </w:r>
      <w:r w:rsidRPr="00863F65">
        <w:rPr>
          <w:rFonts w:ascii="Arial" w:hAnsi="Arial" w:cs="Arial"/>
          <w:sz w:val="20"/>
          <w:szCs w:val="20"/>
        </w:rPr>
        <w:t>, la duración de la enfermedad y el estado de la función motora al inicio del tratamiento son</w:t>
      </w:r>
      <w:r w:rsidR="00863F65">
        <w:rPr>
          <w:rFonts w:ascii="Arial" w:hAnsi="Arial" w:cs="Arial"/>
          <w:sz w:val="20"/>
          <w:szCs w:val="20"/>
        </w:rPr>
        <w:t xml:space="preserve"> </w:t>
      </w:r>
      <w:r w:rsidRPr="00863F65">
        <w:rPr>
          <w:rFonts w:ascii="Arial" w:hAnsi="Arial" w:cs="Arial"/>
          <w:sz w:val="20"/>
          <w:szCs w:val="20"/>
        </w:rPr>
        <w:t>los factores más importantes que predicen la respuesta al tratamiento.</w:t>
      </w:r>
    </w:p>
    <w:p w14:paraId="1B364B11" w14:textId="29DBBEDF" w:rsidR="00863F65" w:rsidRDefault="00863F65" w:rsidP="001F6887">
      <w:pPr>
        <w:pStyle w:val="Prrafodelista"/>
        <w:numPr>
          <w:ilvl w:val="0"/>
          <w:numId w:val="15"/>
        </w:numPr>
        <w:spacing w:after="120"/>
        <w:ind w:left="714" w:hanging="357"/>
        <w:jc w:val="both"/>
        <w:rPr>
          <w:rFonts w:ascii="Arial" w:hAnsi="Arial" w:cs="Arial"/>
          <w:sz w:val="20"/>
          <w:szCs w:val="20"/>
        </w:rPr>
      </w:pPr>
      <w:r w:rsidRPr="00863F65">
        <w:rPr>
          <w:rFonts w:ascii="Arial" w:hAnsi="Arial" w:cs="Arial"/>
          <w:sz w:val="20"/>
          <w:szCs w:val="20"/>
        </w:rPr>
        <w:t xml:space="preserve">En pacientes </w:t>
      </w:r>
      <w:r w:rsidRPr="00863F65">
        <w:rPr>
          <w:rFonts w:ascii="Arial" w:hAnsi="Arial" w:cs="Arial"/>
          <w:b/>
          <w:sz w:val="20"/>
          <w:szCs w:val="20"/>
        </w:rPr>
        <w:t>presintomáticos</w:t>
      </w:r>
      <w:r w:rsidRPr="00863F65">
        <w:rPr>
          <w:rFonts w:ascii="Arial" w:hAnsi="Arial" w:cs="Arial"/>
          <w:sz w:val="20"/>
          <w:szCs w:val="20"/>
        </w:rPr>
        <w:t xml:space="preserve">, el número de copias de SMN2 y la edad de aparición son los predictores más importante de gravedad clínica. Hasta que no haya mejores </w:t>
      </w:r>
      <w:r>
        <w:rPr>
          <w:rFonts w:ascii="Arial" w:hAnsi="Arial" w:cs="Arial"/>
          <w:sz w:val="20"/>
          <w:szCs w:val="20"/>
        </w:rPr>
        <w:t>marc</w:t>
      </w:r>
      <w:r w:rsidRPr="00863F65">
        <w:rPr>
          <w:rFonts w:ascii="Arial" w:hAnsi="Arial" w:cs="Arial"/>
          <w:sz w:val="20"/>
          <w:szCs w:val="20"/>
        </w:rPr>
        <w:t xml:space="preserve">adores o predictores, las decisiones de tratamiento para pacientes presintomáticos deben basarse principalmente en el número de copias de SMN2. </w:t>
      </w:r>
    </w:p>
    <w:p w14:paraId="0BD64CFB" w14:textId="577B4E7E" w:rsidR="00863F65" w:rsidRDefault="00863F65" w:rsidP="001F6887">
      <w:pPr>
        <w:pStyle w:val="Prrafodelista"/>
        <w:numPr>
          <w:ilvl w:val="0"/>
          <w:numId w:val="15"/>
        </w:numPr>
        <w:spacing w:after="120"/>
        <w:ind w:left="714" w:hanging="357"/>
        <w:jc w:val="both"/>
        <w:rPr>
          <w:rFonts w:ascii="Arial" w:hAnsi="Arial" w:cs="Arial"/>
          <w:sz w:val="20"/>
          <w:szCs w:val="20"/>
        </w:rPr>
      </w:pPr>
      <w:r w:rsidRPr="004648BD">
        <w:rPr>
          <w:rFonts w:ascii="Arial" w:hAnsi="Arial" w:cs="Arial"/>
          <w:sz w:val="20"/>
          <w:szCs w:val="20"/>
        </w:rPr>
        <w:t xml:space="preserve">Hasta el momento no hay datos publicados sobre </w:t>
      </w:r>
      <w:r w:rsidR="0070077A">
        <w:rPr>
          <w:rFonts w:ascii="Arial" w:hAnsi="Arial" w:cs="Arial"/>
          <w:sz w:val="20"/>
          <w:szCs w:val="20"/>
        </w:rPr>
        <w:t xml:space="preserve">la </w:t>
      </w:r>
      <w:r w:rsidRPr="004648BD">
        <w:rPr>
          <w:rFonts w:ascii="Arial" w:hAnsi="Arial" w:cs="Arial"/>
          <w:sz w:val="20"/>
          <w:szCs w:val="20"/>
        </w:rPr>
        <w:t xml:space="preserve">eficacia y seguridad en </w:t>
      </w:r>
      <w:r w:rsidRPr="004648BD">
        <w:rPr>
          <w:rFonts w:ascii="Arial" w:hAnsi="Arial" w:cs="Arial"/>
          <w:b/>
          <w:sz w:val="20"/>
          <w:szCs w:val="20"/>
        </w:rPr>
        <w:t>m</w:t>
      </w:r>
      <w:r w:rsidR="004648BD" w:rsidRPr="004648BD">
        <w:rPr>
          <w:rFonts w:ascii="Arial" w:hAnsi="Arial" w:cs="Arial"/>
          <w:b/>
          <w:sz w:val="20"/>
          <w:szCs w:val="20"/>
        </w:rPr>
        <w:t>a</w:t>
      </w:r>
      <w:r w:rsidRPr="004648BD">
        <w:rPr>
          <w:rFonts w:ascii="Arial" w:hAnsi="Arial" w:cs="Arial"/>
          <w:b/>
          <w:sz w:val="20"/>
          <w:szCs w:val="20"/>
        </w:rPr>
        <w:t>yores de 6 meses</w:t>
      </w:r>
      <w:r w:rsidRPr="004648BD">
        <w:rPr>
          <w:rFonts w:ascii="Arial" w:hAnsi="Arial" w:cs="Arial"/>
          <w:sz w:val="20"/>
          <w:szCs w:val="20"/>
        </w:rPr>
        <w:t>. En esta población es particularmente importante que los médicos discutan la relación beneficio / ri</w:t>
      </w:r>
      <w:r w:rsidR="004648BD" w:rsidRPr="004648BD">
        <w:rPr>
          <w:rFonts w:ascii="Arial" w:hAnsi="Arial" w:cs="Arial"/>
          <w:sz w:val="20"/>
          <w:szCs w:val="20"/>
        </w:rPr>
        <w:t>esgo y manejen cuidadosamente la</w:t>
      </w:r>
      <w:r w:rsidRPr="004648BD">
        <w:rPr>
          <w:rFonts w:ascii="Arial" w:hAnsi="Arial" w:cs="Arial"/>
          <w:sz w:val="20"/>
          <w:szCs w:val="20"/>
        </w:rPr>
        <w:t>s</w:t>
      </w:r>
      <w:r w:rsidR="004648BD">
        <w:rPr>
          <w:rFonts w:ascii="Arial" w:hAnsi="Arial" w:cs="Arial"/>
          <w:sz w:val="20"/>
          <w:szCs w:val="20"/>
        </w:rPr>
        <w:t xml:space="preserve"> </w:t>
      </w:r>
      <w:r w:rsidRPr="004648BD">
        <w:rPr>
          <w:rFonts w:ascii="Arial" w:hAnsi="Arial" w:cs="Arial"/>
          <w:sz w:val="20"/>
          <w:szCs w:val="20"/>
        </w:rPr>
        <w:t>expectativas de los pacientes.</w:t>
      </w:r>
    </w:p>
    <w:p w14:paraId="755C7C20" w14:textId="77B2BAE3" w:rsidR="004648BD" w:rsidRDefault="004648BD" w:rsidP="001F6887">
      <w:pPr>
        <w:pStyle w:val="Prrafodelista"/>
        <w:numPr>
          <w:ilvl w:val="0"/>
          <w:numId w:val="15"/>
        </w:numPr>
        <w:spacing w:after="120"/>
        <w:ind w:left="714" w:hanging="357"/>
        <w:jc w:val="both"/>
        <w:rPr>
          <w:rFonts w:ascii="Arial" w:hAnsi="Arial" w:cs="Arial"/>
          <w:sz w:val="20"/>
          <w:szCs w:val="20"/>
        </w:rPr>
      </w:pPr>
      <w:r w:rsidRPr="004648BD">
        <w:rPr>
          <w:rFonts w:ascii="Arial" w:hAnsi="Arial" w:cs="Arial"/>
          <w:sz w:val="20"/>
          <w:szCs w:val="20"/>
        </w:rPr>
        <w:t xml:space="preserve">En pacientes que presentan </w:t>
      </w:r>
      <w:r w:rsidRPr="004648BD">
        <w:rPr>
          <w:rFonts w:ascii="Arial" w:hAnsi="Arial" w:cs="Arial"/>
          <w:b/>
          <w:sz w:val="20"/>
          <w:szCs w:val="20"/>
        </w:rPr>
        <w:t>síntomas al nacer,</w:t>
      </w:r>
      <w:r w:rsidRPr="004648BD">
        <w:rPr>
          <w:rFonts w:ascii="Arial" w:hAnsi="Arial" w:cs="Arial"/>
          <w:sz w:val="20"/>
          <w:szCs w:val="20"/>
        </w:rPr>
        <w:t xml:space="preserve"> tratados tras una </w:t>
      </w:r>
      <w:r w:rsidRPr="004648BD">
        <w:rPr>
          <w:rFonts w:ascii="Arial" w:hAnsi="Arial" w:cs="Arial"/>
          <w:b/>
          <w:sz w:val="20"/>
          <w:szCs w:val="20"/>
        </w:rPr>
        <w:t>larga duración</w:t>
      </w:r>
      <w:r w:rsidRPr="004648BD">
        <w:rPr>
          <w:rFonts w:ascii="Arial" w:hAnsi="Arial" w:cs="Arial"/>
          <w:sz w:val="20"/>
          <w:szCs w:val="20"/>
        </w:rPr>
        <w:t xml:space="preserve"> de la enfermedad, o con una </w:t>
      </w:r>
      <w:r w:rsidRPr="004648BD">
        <w:rPr>
          <w:rFonts w:ascii="Arial" w:hAnsi="Arial" w:cs="Arial"/>
          <w:b/>
          <w:sz w:val="20"/>
          <w:szCs w:val="20"/>
        </w:rPr>
        <w:t>evolución ya grave</w:t>
      </w:r>
      <w:r w:rsidRPr="004648BD">
        <w:rPr>
          <w:rFonts w:ascii="Arial" w:hAnsi="Arial" w:cs="Arial"/>
          <w:sz w:val="20"/>
          <w:szCs w:val="20"/>
        </w:rPr>
        <w:t xml:space="preserve">, los padres deben ser conscientes de que a pesar del uso de la terapia génica existe un alto riesgo de vivir con una discapacidad muy </w:t>
      </w:r>
      <w:r w:rsidRPr="004648BD">
        <w:rPr>
          <w:rFonts w:ascii="Arial" w:hAnsi="Arial" w:cs="Arial"/>
          <w:sz w:val="20"/>
          <w:szCs w:val="20"/>
        </w:rPr>
        <w:lastRenderedPageBreak/>
        <w:t>grave. Los cuidado</w:t>
      </w:r>
      <w:r>
        <w:rPr>
          <w:rFonts w:ascii="Arial" w:hAnsi="Arial" w:cs="Arial"/>
          <w:sz w:val="20"/>
          <w:szCs w:val="20"/>
        </w:rPr>
        <w:t>s</w:t>
      </w:r>
      <w:r w:rsidRPr="004648BD">
        <w:rPr>
          <w:rFonts w:ascii="Arial" w:hAnsi="Arial" w:cs="Arial"/>
          <w:sz w:val="20"/>
          <w:szCs w:val="20"/>
        </w:rPr>
        <w:t xml:space="preserve"> paliativos debe</w:t>
      </w:r>
      <w:r>
        <w:rPr>
          <w:rFonts w:ascii="Arial" w:hAnsi="Arial" w:cs="Arial"/>
          <w:sz w:val="20"/>
          <w:szCs w:val="20"/>
        </w:rPr>
        <w:t>n</w:t>
      </w:r>
      <w:r w:rsidRPr="004648BD">
        <w:rPr>
          <w:rFonts w:ascii="Arial" w:hAnsi="Arial" w:cs="Arial"/>
          <w:sz w:val="20"/>
          <w:szCs w:val="20"/>
        </w:rPr>
        <w:t xml:space="preserve"> ser discutido</w:t>
      </w:r>
      <w:r>
        <w:rPr>
          <w:rFonts w:ascii="Arial" w:hAnsi="Arial" w:cs="Arial"/>
          <w:sz w:val="20"/>
          <w:szCs w:val="20"/>
        </w:rPr>
        <w:t>s</w:t>
      </w:r>
      <w:r w:rsidRPr="004648BD">
        <w:rPr>
          <w:rFonts w:ascii="Arial" w:hAnsi="Arial" w:cs="Arial"/>
          <w:sz w:val="20"/>
          <w:szCs w:val="20"/>
        </w:rPr>
        <w:t xml:space="preserve"> como una opción de tratamiento alternativa en estas circunstancias.</w:t>
      </w:r>
    </w:p>
    <w:p w14:paraId="1EB88D01" w14:textId="5391D7FE" w:rsidR="004648BD" w:rsidRDefault="004648BD" w:rsidP="001F6887">
      <w:pPr>
        <w:pStyle w:val="Prrafodelista"/>
        <w:numPr>
          <w:ilvl w:val="0"/>
          <w:numId w:val="15"/>
        </w:numPr>
        <w:spacing w:after="120"/>
        <w:ind w:left="714" w:hanging="357"/>
        <w:jc w:val="both"/>
        <w:rPr>
          <w:rFonts w:ascii="Arial" w:hAnsi="Arial" w:cs="Arial"/>
          <w:sz w:val="20"/>
          <w:szCs w:val="20"/>
        </w:rPr>
      </w:pPr>
      <w:r w:rsidRPr="004648BD">
        <w:rPr>
          <w:rFonts w:ascii="Arial" w:hAnsi="Arial" w:cs="Arial"/>
          <w:sz w:val="20"/>
          <w:szCs w:val="20"/>
        </w:rPr>
        <w:t xml:space="preserve">Dado que el riesgo de la terapia génica aumenta con la dosis administrada, y dado que la dosis es directamente proporcional al peso, los pacientes </w:t>
      </w:r>
      <w:r w:rsidRPr="004648BD">
        <w:rPr>
          <w:rFonts w:ascii="Arial" w:hAnsi="Arial" w:cs="Arial"/>
          <w:b/>
          <w:sz w:val="20"/>
          <w:szCs w:val="20"/>
        </w:rPr>
        <w:t xml:space="preserve">que pesen más de 13,5 kg </w:t>
      </w:r>
      <w:r w:rsidR="0070077A" w:rsidRPr="0070077A">
        <w:rPr>
          <w:rFonts w:ascii="Arial" w:hAnsi="Arial" w:cs="Arial"/>
          <w:sz w:val="20"/>
          <w:szCs w:val="20"/>
        </w:rPr>
        <w:t>solo</w:t>
      </w:r>
      <w:r w:rsidR="0070077A">
        <w:rPr>
          <w:rFonts w:ascii="Arial" w:hAnsi="Arial" w:cs="Arial"/>
          <w:b/>
          <w:sz w:val="20"/>
          <w:szCs w:val="20"/>
        </w:rPr>
        <w:t xml:space="preserve"> </w:t>
      </w:r>
      <w:r w:rsidRPr="004648BD">
        <w:rPr>
          <w:rFonts w:ascii="Arial" w:hAnsi="Arial" w:cs="Arial"/>
          <w:sz w:val="20"/>
          <w:szCs w:val="20"/>
        </w:rPr>
        <w:t xml:space="preserve">deben ser tratados en circunstancias específicas. Para estos pacientes se debe considerar el tratamiento con otra terapia modificadora de la enfermedad o la futura administración intratecal de </w:t>
      </w:r>
      <w:r w:rsidR="00482C21">
        <w:rPr>
          <w:rFonts w:ascii="Arial" w:eastAsia="MS Mincho" w:hAnsi="Arial" w:cs="Arial"/>
          <w:color w:val="000000"/>
          <w:sz w:val="20"/>
          <w:szCs w:val="20"/>
          <w:lang w:eastAsia="ja-JP"/>
        </w:rPr>
        <w:t>onasemnogén</w:t>
      </w:r>
      <w:r w:rsidRPr="004648BD">
        <w:rPr>
          <w:rFonts w:ascii="Arial" w:eastAsia="MS Mincho" w:hAnsi="Arial" w:cs="Arial"/>
          <w:color w:val="000000"/>
          <w:sz w:val="20"/>
          <w:szCs w:val="20"/>
          <w:lang w:eastAsia="ja-JP"/>
        </w:rPr>
        <w:t xml:space="preserve"> abeparvovec </w:t>
      </w:r>
      <w:r w:rsidRPr="004648BD">
        <w:rPr>
          <w:rFonts w:ascii="Arial" w:hAnsi="Arial" w:cs="Arial"/>
          <w:sz w:val="20"/>
          <w:szCs w:val="20"/>
        </w:rPr>
        <w:t>como alternativa.</w:t>
      </w:r>
    </w:p>
    <w:p w14:paraId="016F91BD" w14:textId="32F76785" w:rsidR="004648BD" w:rsidRDefault="00B234F7" w:rsidP="001F6887">
      <w:pPr>
        <w:pStyle w:val="Prrafodelista"/>
        <w:numPr>
          <w:ilvl w:val="0"/>
          <w:numId w:val="15"/>
        </w:numPr>
        <w:spacing w:after="120"/>
        <w:ind w:left="714" w:hanging="357"/>
        <w:jc w:val="both"/>
        <w:rPr>
          <w:rFonts w:ascii="Arial" w:hAnsi="Arial" w:cs="Arial"/>
          <w:sz w:val="20"/>
          <w:szCs w:val="20"/>
        </w:rPr>
      </w:pPr>
      <w:r w:rsidRPr="00B234F7">
        <w:rPr>
          <w:rFonts w:ascii="Arial" w:hAnsi="Arial" w:cs="Arial"/>
          <w:sz w:val="20"/>
          <w:szCs w:val="20"/>
        </w:rPr>
        <w:t xml:space="preserve">Hasta ahora no hay evidencia publicada de que la </w:t>
      </w:r>
      <w:r w:rsidRPr="00B234F7">
        <w:rPr>
          <w:rFonts w:ascii="Arial" w:hAnsi="Arial" w:cs="Arial"/>
          <w:b/>
          <w:sz w:val="20"/>
          <w:szCs w:val="20"/>
        </w:rPr>
        <w:t>combinación de dos terapias</w:t>
      </w:r>
      <w:r w:rsidRPr="00B234F7">
        <w:rPr>
          <w:rFonts w:ascii="Arial" w:hAnsi="Arial" w:cs="Arial"/>
          <w:sz w:val="20"/>
          <w:szCs w:val="20"/>
        </w:rPr>
        <w:t xml:space="preserve"> modificadoras de la enfermedad (por ejemplo, terapia génica y nusinersen) </w:t>
      </w:r>
      <w:r w:rsidR="0070077A">
        <w:rPr>
          <w:rFonts w:ascii="Arial" w:hAnsi="Arial" w:cs="Arial"/>
          <w:sz w:val="20"/>
          <w:szCs w:val="20"/>
        </w:rPr>
        <w:t>sea</w:t>
      </w:r>
      <w:r w:rsidRPr="00B234F7">
        <w:rPr>
          <w:rFonts w:ascii="Arial" w:hAnsi="Arial" w:cs="Arial"/>
          <w:sz w:val="20"/>
          <w:szCs w:val="20"/>
        </w:rPr>
        <w:t xml:space="preserve"> superior a cualquier</w:t>
      </w:r>
      <w:r>
        <w:rPr>
          <w:rFonts w:ascii="Arial" w:hAnsi="Arial" w:cs="Arial"/>
          <w:sz w:val="20"/>
          <w:szCs w:val="20"/>
        </w:rPr>
        <w:t xml:space="preserve"> </w:t>
      </w:r>
      <w:r w:rsidRPr="00B234F7">
        <w:rPr>
          <w:rFonts w:ascii="Arial" w:hAnsi="Arial" w:cs="Arial"/>
          <w:sz w:val="20"/>
          <w:szCs w:val="20"/>
        </w:rPr>
        <w:t>tratamiento solo.</w:t>
      </w:r>
    </w:p>
    <w:p w14:paraId="47FDA4E8" w14:textId="584B16AE" w:rsidR="00B234F7" w:rsidRDefault="00B234F7" w:rsidP="001F6887">
      <w:pPr>
        <w:pStyle w:val="Prrafodelista"/>
        <w:numPr>
          <w:ilvl w:val="0"/>
          <w:numId w:val="15"/>
        </w:numPr>
        <w:spacing w:after="120"/>
        <w:ind w:left="714" w:hanging="357"/>
        <w:jc w:val="both"/>
        <w:rPr>
          <w:rFonts w:ascii="Arial" w:hAnsi="Arial" w:cs="Arial"/>
          <w:sz w:val="20"/>
          <w:szCs w:val="20"/>
        </w:rPr>
      </w:pPr>
      <w:r w:rsidRPr="00B234F7">
        <w:rPr>
          <w:rFonts w:ascii="Arial" w:hAnsi="Arial" w:cs="Arial"/>
          <w:sz w:val="20"/>
          <w:szCs w:val="20"/>
        </w:rPr>
        <w:t xml:space="preserve">Los centros que administren terapia génica para la AME deben tener una amplia experiencia en la evaluación y tratamiento de la AME de acuerdo con los estándares internacionales y también debe tener la capacidad y los recursos para hacer frente a los posibles efectos secundarios de la terapia génica. El personal debe estar capacitado y tener experiencia en el uso de instrumentos estandarizados y validados de medida de resultados de la AME para documentar los efectos del tratamiento. El reconocimiento como centro de referencia europeo o una </w:t>
      </w:r>
      <w:r w:rsidRPr="00B234F7">
        <w:rPr>
          <w:rFonts w:ascii="Arial" w:hAnsi="Arial" w:cs="Arial"/>
          <w:b/>
          <w:sz w:val="20"/>
          <w:szCs w:val="20"/>
        </w:rPr>
        <w:t xml:space="preserve">acreditación </w:t>
      </w:r>
      <w:r w:rsidRPr="00B234F7">
        <w:rPr>
          <w:rFonts w:ascii="Arial" w:hAnsi="Arial" w:cs="Arial"/>
          <w:sz w:val="20"/>
          <w:szCs w:val="20"/>
        </w:rPr>
        <w:t>nacional como centro neuromuscular</w:t>
      </w:r>
      <w:r>
        <w:rPr>
          <w:rFonts w:ascii="Arial" w:hAnsi="Arial" w:cs="Arial"/>
          <w:sz w:val="20"/>
          <w:szCs w:val="20"/>
        </w:rPr>
        <w:t xml:space="preserve"> </w:t>
      </w:r>
      <w:r w:rsidRPr="00B234F7">
        <w:rPr>
          <w:rFonts w:ascii="Arial" w:hAnsi="Arial" w:cs="Arial"/>
          <w:sz w:val="20"/>
          <w:szCs w:val="20"/>
        </w:rPr>
        <w:t>de experiencia podría servir como criterio de selección adicional.</w:t>
      </w:r>
    </w:p>
    <w:p w14:paraId="3428EF12" w14:textId="354D985D" w:rsidR="00987A30" w:rsidRDefault="00987A30" w:rsidP="001F6887">
      <w:pPr>
        <w:pStyle w:val="Prrafodelista"/>
        <w:numPr>
          <w:ilvl w:val="0"/>
          <w:numId w:val="15"/>
        </w:numPr>
        <w:spacing w:after="120"/>
        <w:ind w:left="714" w:hanging="357"/>
        <w:jc w:val="both"/>
        <w:rPr>
          <w:rFonts w:ascii="Arial" w:hAnsi="Arial" w:cs="Arial"/>
          <w:sz w:val="20"/>
          <w:szCs w:val="20"/>
        </w:rPr>
      </w:pPr>
      <w:r w:rsidRPr="00987A30">
        <w:rPr>
          <w:rFonts w:ascii="Arial" w:hAnsi="Arial" w:cs="Arial"/>
          <w:sz w:val="20"/>
          <w:szCs w:val="20"/>
        </w:rPr>
        <w:t xml:space="preserve">Existe evidencia convincente de que el </w:t>
      </w:r>
      <w:r w:rsidRPr="00987A30">
        <w:rPr>
          <w:rFonts w:ascii="Arial" w:hAnsi="Arial" w:cs="Arial"/>
          <w:b/>
          <w:sz w:val="20"/>
          <w:szCs w:val="20"/>
        </w:rPr>
        <w:t>inicio temprano</w:t>
      </w:r>
      <w:r w:rsidRPr="00987A30">
        <w:rPr>
          <w:rFonts w:ascii="Arial" w:hAnsi="Arial" w:cs="Arial"/>
          <w:sz w:val="20"/>
          <w:szCs w:val="20"/>
        </w:rPr>
        <w:t xml:space="preserve"> del tratamiento, idealmente en la etapa presintomática de la enfermedad, se asocia con notablemente mejores resultados en comparación con el inicio tardío del tratamiento. La AME es, por tanto, una buena candidata para su inclusión en programas de cribado neonatal. En pacientes recién diagnosticados, debe evitarse cualquier retraso del tratamiento. Idealmente, el período de tiempo entre el diagnóstico y el inicio de un tratamiento modificador de la enfermedad no debe exceder los 14 días. Esto es particularmente</w:t>
      </w:r>
      <w:r>
        <w:rPr>
          <w:rFonts w:ascii="Arial" w:hAnsi="Arial" w:cs="Arial"/>
          <w:sz w:val="20"/>
          <w:szCs w:val="20"/>
        </w:rPr>
        <w:t xml:space="preserve"> </w:t>
      </w:r>
      <w:r w:rsidRPr="00987A30">
        <w:rPr>
          <w:rFonts w:ascii="Arial" w:hAnsi="Arial" w:cs="Arial"/>
          <w:sz w:val="20"/>
          <w:szCs w:val="20"/>
        </w:rPr>
        <w:t>importante en los lactantes debido al curso progresivo de la enfermedad.</w:t>
      </w:r>
    </w:p>
    <w:p w14:paraId="7CDB03B8" w14:textId="3095035D" w:rsidR="00987A30" w:rsidRDefault="00987A30" w:rsidP="001F6887">
      <w:pPr>
        <w:pStyle w:val="Prrafodelista"/>
        <w:numPr>
          <w:ilvl w:val="0"/>
          <w:numId w:val="15"/>
        </w:numPr>
        <w:spacing w:after="120"/>
        <w:ind w:left="714" w:hanging="357"/>
        <w:jc w:val="both"/>
        <w:rPr>
          <w:rFonts w:ascii="Arial" w:hAnsi="Arial" w:cs="Arial"/>
          <w:sz w:val="20"/>
          <w:szCs w:val="20"/>
        </w:rPr>
      </w:pPr>
      <w:r w:rsidRPr="00987A30">
        <w:rPr>
          <w:rFonts w:ascii="Arial" w:hAnsi="Arial" w:cs="Arial"/>
          <w:sz w:val="20"/>
          <w:szCs w:val="20"/>
        </w:rPr>
        <w:t xml:space="preserve">Deben </w:t>
      </w:r>
      <w:r w:rsidRPr="003F36DA">
        <w:rPr>
          <w:rFonts w:ascii="Arial" w:hAnsi="Arial" w:cs="Arial"/>
          <w:b/>
          <w:sz w:val="20"/>
          <w:szCs w:val="20"/>
        </w:rPr>
        <w:t>recopilarse los datos sobre la eficacia y la seguridad</w:t>
      </w:r>
      <w:r w:rsidRPr="00987A30">
        <w:rPr>
          <w:rFonts w:ascii="Arial" w:hAnsi="Arial" w:cs="Arial"/>
          <w:sz w:val="20"/>
          <w:szCs w:val="20"/>
        </w:rPr>
        <w:t xml:space="preserve"> sistemáticamente para todos los pacientes tratados. El análisis de datos debe realizarse principalmente</w:t>
      </w:r>
      <w:r>
        <w:rPr>
          <w:rFonts w:ascii="Arial" w:hAnsi="Arial" w:cs="Arial"/>
          <w:sz w:val="20"/>
          <w:szCs w:val="20"/>
        </w:rPr>
        <w:t xml:space="preserve"> </w:t>
      </w:r>
      <w:r w:rsidRPr="00987A30">
        <w:rPr>
          <w:rFonts w:ascii="Arial" w:hAnsi="Arial" w:cs="Arial"/>
          <w:sz w:val="20"/>
          <w:szCs w:val="20"/>
        </w:rPr>
        <w:t>por instituciones y redes académicas.</w:t>
      </w:r>
    </w:p>
    <w:p w14:paraId="5FAEC6B3" w14:textId="3C2A4AFC" w:rsidR="00987A30" w:rsidRDefault="00987A30" w:rsidP="001F6887">
      <w:pPr>
        <w:pStyle w:val="Prrafodelista"/>
        <w:numPr>
          <w:ilvl w:val="0"/>
          <w:numId w:val="15"/>
        </w:numPr>
        <w:spacing w:after="120"/>
        <w:ind w:left="714" w:hanging="357"/>
        <w:jc w:val="both"/>
        <w:rPr>
          <w:rFonts w:ascii="Arial" w:hAnsi="Arial" w:cs="Arial"/>
          <w:sz w:val="20"/>
          <w:szCs w:val="20"/>
        </w:rPr>
      </w:pPr>
      <w:r w:rsidRPr="0070077A">
        <w:rPr>
          <w:rFonts w:ascii="Arial" w:hAnsi="Arial" w:cs="Arial"/>
          <w:sz w:val="20"/>
          <w:szCs w:val="20"/>
        </w:rPr>
        <w:t>Sobre la base de los datos actualmente disponibles y a la luz de las alternativas de tratamiento eficaces, la</w:t>
      </w:r>
      <w:r w:rsidR="0070077A">
        <w:rPr>
          <w:rFonts w:ascii="Arial" w:hAnsi="Arial" w:cs="Arial"/>
          <w:sz w:val="20"/>
          <w:szCs w:val="20"/>
        </w:rPr>
        <w:t xml:space="preserve"> </w:t>
      </w:r>
      <w:r w:rsidRPr="0070077A">
        <w:rPr>
          <w:rFonts w:ascii="Arial" w:hAnsi="Arial" w:cs="Arial"/>
          <w:sz w:val="20"/>
          <w:szCs w:val="20"/>
        </w:rPr>
        <w:t xml:space="preserve">terapia de reemplazo génica intravenosa con </w:t>
      </w:r>
      <w:r w:rsidR="00482C21">
        <w:rPr>
          <w:rFonts w:ascii="Arial" w:eastAsia="MS Mincho" w:hAnsi="Arial" w:cs="Arial"/>
          <w:color w:val="000000"/>
          <w:sz w:val="20"/>
          <w:szCs w:val="20"/>
          <w:lang w:eastAsia="ja-JP"/>
        </w:rPr>
        <w:t>onasemnogen</w:t>
      </w:r>
      <w:r w:rsidRPr="0070077A">
        <w:rPr>
          <w:rFonts w:ascii="Arial" w:eastAsia="MS Mincho" w:hAnsi="Arial" w:cs="Arial"/>
          <w:color w:val="000000"/>
          <w:sz w:val="20"/>
          <w:szCs w:val="20"/>
          <w:lang w:eastAsia="ja-JP"/>
        </w:rPr>
        <w:t xml:space="preserve"> abeparvovec</w:t>
      </w:r>
      <w:r w:rsidRPr="0070077A">
        <w:rPr>
          <w:rFonts w:ascii="Arial" w:hAnsi="Arial" w:cs="Arial"/>
          <w:sz w:val="20"/>
          <w:szCs w:val="20"/>
        </w:rPr>
        <w:t xml:space="preserve"> para l</w:t>
      </w:r>
      <w:r w:rsidR="003F36DA">
        <w:rPr>
          <w:rFonts w:ascii="Arial" w:hAnsi="Arial" w:cs="Arial"/>
          <w:sz w:val="20"/>
          <w:szCs w:val="20"/>
        </w:rPr>
        <w:t xml:space="preserve">os pacientes con un peso </w:t>
      </w:r>
      <w:r w:rsidRPr="0070077A">
        <w:rPr>
          <w:rFonts w:ascii="Arial" w:hAnsi="Arial" w:cs="Arial"/>
          <w:sz w:val="20"/>
          <w:szCs w:val="20"/>
        </w:rPr>
        <w:t xml:space="preserve">&gt; 13,5 kg solo deben realizarse bajo un control </w:t>
      </w:r>
      <w:r w:rsidR="003F36DA">
        <w:rPr>
          <w:rFonts w:ascii="Arial" w:hAnsi="Arial" w:cs="Arial"/>
          <w:sz w:val="20"/>
          <w:szCs w:val="20"/>
        </w:rPr>
        <w:t>muy</w:t>
      </w:r>
      <w:r w:rsidRPr="0070077A">
        <w:rPr>
          <w:rFonts w:ascii="Arial" w:hAnsi="Arial" w:cs="Arial"/>
          <w:sz w:val="20"/>
          <w:szCs w:val="20"/>
        </w:rPr>
        <w:t xml:space="preserve"> riguroso </w:t>
      </w:r>
      <w:r w:rsidR="0070077A">
        <w:rPr>
          <w:rFonts w:ascii="Arial" w:hAnsi="Arial" w:cs="Arial"/>
          <w:sz w:val="20"/>
          <w:szCs w:val="20"/>
        </w:rPr>
        <w:t xml:space="preserve">del </w:t>
      </w:r>
      <w:r w:rsidRPr="0070077A">
        <w:rPr>
          <w:rFonts w:ascii="Arial" w:hAnsi="Arial" w:cs="Arial"/>
          <w:sz w:val="20"/>
          <w:szCs w:val="20"/>
        </w:rPr>
        <w:t>protocolo</w:t>
      </w:r>
      <w:r w:rsidR="003F36DA">
        <w:rPr>
          <w:rFonts w:ascii="Arial" w:hAnsi="Arial" w:cs="Arial"/>
          <w:sz w:val="20"/>
          <w:szCs w:val="20"/>
        </w:rPr>
        <w:t>,</w:t>
      </w:r>
      <w:r w:rsidRPr="0070077A">
        <w:rPr>
          <w:rFonts w:ascii="Arial" w:hAnsi="Arial" w:cs="Arial"/>
          <w:sz w:val="20"/>
          <w:szCs w:val="20"/>
        </w:rPr>
        <w:t xml:space="preserve"> con seguimiento continuo de seguridad y eficacia. Esta recopilación de datos</w:t>
      </w:r>
      <w:r w:rsidR="0070077A">
        <w:rPr>
          <w:rFonts w:ascii="Arial" w:hAnsi="Arial" w:cs="Arial"/>
          <w:sz w:val="20"/>
          <w:szCs w:val="20"/>
        </w:rPr>
        <w:t xml:space="preserve"> </w:t>
      </w:r>
      <w:r w:rsidRPr="0070077A">
        <w:rPr>
          <w:rFonts w:ascii="Arial" w:hAnsi="Arial" w:cs="Arial"/>
          <w:sz w:val="20"/>
          <w:szCs w:val="20"/>
        </w:rPr>
        <w:t>se logra mejor en un entorno de ensayo clínico.</w:t>
      </w:r>
    </w:p>
    <w:p w14:paraId="33B692C7" w14:textId="2C2CC46E" w:rsidR="0070077A" w:rsidRDefault="0070077A" w:rsidP="001F6887">
      <w:pPr>
        <w:pStyle w:val="Prrafodelista"/>
        <w:numPr>
          <w:ilvl w:val="0"/>
          <w:numId w:val="15"/>
        </w:numPr>
        <w:spacing w:after="120"/>
        <w:ind w:left="714" w:hanging="357"/>
        <w:jc w:val="both"/>
        <w:rPr>
          <w:rFonts w:ascii="Arial" w:hAnsi="Arial" w:cs="Arial"/>
          <w:sz w:val="20"/>
          <w:szCs w:val="20"/>
        </w:rPr>
      </w:pPr>
      <w:r w:rsidRPr="0070077A">
        <w:rPr>
          <w:rFonts w:ascii="Arial" w:hAnsi="Arial" w:cs="Arial"/>
          <w:sz w:val="20"/>
          <w:szCs w:val="20"/>
        </w:rPr>
        <w:t xml:space="preserve">Como el uso de </w:t>
      </w:r>
      <w:r w:rsidR="00482C21">
        <w:rPr>
          <w:rFonts w:ascii="Arial" w:eastAsia="MS Mincho" w:hAnsi="Arial" w:cs="Arial"/>
          <w:color w:val="000000"/>
          <w:sz w:val="20"/>
          <w:szCs w:val="20"/>
          <w:lang w:eastAsia="ja-JP"/>
        </w:rPr>
        <w:t>onasemnogen</w:t>
      </w:r>
      <w:r w:rsidRPr="0070077A">
        <w:rPr>
          <w:rFonts w:ascii="Arial" w:eastAsia="MS Mincho" w:hAnsi="Arial" w:cs="Arial"/>
          <w:color w:val="000000"/>
          <w:sz w:val="20"/>
          <w:szCs w:val="20"/>
          <w:lang w:eastAsia="ja-JP"/>
        </w:rPr>
        <w:t xml:space="preserve"> abeparvovec</w:t>
      </w:r>
      <w:r w:rsidRPr="0070077A">
        <w:rPr>
          <w:rFonts w:ascii="Arial" w:hAnsi="Arial" w:cs="Arial"/>
          <w:sz w:val="20"/>
          <w:szCs w:val="20"/>
        </w:rPr>
        <w:t xml:space="preserve"> generará evidencia adicional durante los próximos años, la industria farmacéutica, reguladores, representantes de pacientes y académicos deben colaborar para garantizar que todos los datos nuevos sobre eficacia y seguridad disponibles se publiquen de manera imparcial y oportuna. Este creciente cuerpo de evidencia es indispensable para una mejor evaluación de riesgo-beneficio para futuros pacientes y no debe ser</w:t>
      </w:r>
      <w:r>
        <w:rPr>
          <w:rFonts w:ascii="Arial" w:hAnsi="Arial" w:cs="Arial"/>
          <w:sz w:val="20"/>
          <w:szCs w:val="20"/>
        </w:rPr>
        <w:t xml:space="preserve"> </w:t>
      </w:r>
      <w:r w:rsidRPr="0070077A">
        <w:rPr>
          <w:rFonts w:ascii="Arial" w:hAnsi="Arial" w:cs="Arial"/>
          <w:sz w:val="20"/>
          <w:szCs w:val="20"/>
        </w:rPr>
        <w:t>obstaculizado por intereses comerciales o académicos particulares.</w:t>
      </w:r>
    </w:p>
    <w:p w14:paraId="02BA5A19" w14:textId="77777777" w:rsidR="0024027B" w:rsidRDefault="0024027B" w:rsidP="0024027B">
      <w:pPr>
        <w:pStyle w:val="Prrafodelista"/>
        <w:ind w:left="714"/>
        <w:jc w:val="both"/>
        <w:rPr>
          <w:rFonts w:ascii="Arial" w:hAnsi="Arial" w:cs="Arial"/>
          <w:sz w:val="20"/>
          <w:szCs w:val="20"/>
        </w:rPr>
      </w:pPr>
    </w:p>
    <w:p w14:paraId="2F95F42C" w14:textId="4B397E40" w:rsidR="00FA0C0C" w:rsidRPr="00E94445"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80" w:name="_Toc348931380"/>
      <w:r w:rsidRPr="00E94445">
        <w:rPr>
          <w:rFonts w:ascii="Arial" w:hAnsi="Arial" w:cs="Arial"/>
          <w:sz w:val="20"/>
          <w:szCs w:val="20"/>
        </w:rPr>
        <w:t>5.4.4 Otras fuentes.</w:t>
      </w:r>
      <w:bookmarkEnd w:id="80"/>
    </w:p>
    <w:p w14:paraId="547C743F" w14:textId="77777777" w:rsidR="004158AA" w:rsidRDefault="004158AA" w:rsidP="001F6887">
      <w:pPr>
        <w:pBdr>
          <w:bottom w:val="single" w:sz="4" w:space="1" w:color="auto"/>
        </w:pBdr>
        <w:jc w:val="both"/>
        <w:rPr>
          <w:rFonts w:ascii="Arial" w:hAnsi="Arial" w:cs="Arial"/>
          <w:b/>
          <w:sz w:val="20"/>
          <w:szCs w:val="20"/>
        </w:rPr>
      </w:pPr>
    </w:p>
    <w:p w14:paraId="49F637C0" w14:textId="2536188C" w:rsidR="00E94445" w:rsidRPr="003F36DA" w:rsidRDefault="003F36DA" w:rsidP="001F6887">
      <w:pPr>
        <w:pBdr>
          <w:bottom w:val="single" w:sz="4" w:space="1" w:color="auto"/>
        </w:pBdr>
        <w:jc w:val="both"/>
        <w:rPr>
          <w:rFonts w:ascii="Arial" w:hAnsi="Arial" w:cs="Arial"/>
          <w:b/>
          <w:sz w:val="20"/>
          <w:szCs w:val="20"/>
        </w:rPr>
      </w:pPr>
      <w:r w:rsidRPr="003F36DA">
        <w:rPr>
          <w:rFonts w:ascii="Arial" w:hAnsi="Arial" w:cs="Arial"/>
          <w:b/>
          <w:sz w:val="20"/>
          <w:szCs w:val="20"/>
        </w:rPr>
        <w:t>EPAR</w:t>
      </w:r>
      <w:r w:rsidR="00956245" w:rsidRPr="00956245">
        <w:rPr>
          <w:rFonts w:ascii="Arial" w:hAnsi="Arial" w:cs="Arial"/>
          <w:b/>
          <w:sz w:val="20"/>
          <w:szCs w:val="20"/>
          <w:vertAlign w:val="superscript"/>
        </w:rPr>
        <w:fldChar w:fldCharType="begin"/>
      </w:r>
      <w:r w:rsidR="00956245" w:rsidRPr="00956245">
        <w:rPr>
          <w:rFonts w:ascii="Arial" w:hAnsi="Arial" w:cs="Arial"/>
          <w:b/>
          <w:sz w:val="20"/>
          <w:szCs w:val="20"/>
          <w:vertAlign w:val="superscript"/>
        </w:rPr>
        <w:instrText xml:space="preserve"> NOTEREF _Ref52267010 \h </w:instrText>
      </w:r>
      <w:r w:rsidR="00956245">
        <w:rPr>
          <w:rFonts w:ascii="Arial" w:hAnsi="Arial" w:cs="Arial"/>
          <w:b/>
          <w:sz w:val="20"/>
          <w:szCs w:val="20"/>
          <w:vertAlign w:val="superscript"/>
        </w:rPr>
        <w:instrText xml:space="preserve"> \* MERGEFORMAT </w:instrText>
      </w:r>
      <w:r w:rsidR="00956245" w:rsidRPr="00956245">
        <w:rPr>
          <w:rFonts w:ascii="Arial" w:hAnsi="Arial" w:cs="Arial"/>
          <w:b/>
          <w:sz w:val="20"/>
          <w:szCs w:val="20"/>
          <w:vertAlign w:val="superscript"/>
        </w:rPr>
      </w:r>
      <w:r w:rsidR="00956245" w:rsidRPr="00956245">
        <w:rPr>
          <w:rFonts w:ascii="Arial" w:hAnsi="Arial" w:cs="Arial"/>
          <w:b/>
          <w:sz w:val="20"/>
          <w:szCs w:val="20"/>
          <w:vertAlign w:val="superscript"/>
        </w:rPr>
        <w:fldChar w:fldCharType="separate"/>
      </w:r>
      <w:r w:rsidR="00E277F2">
        <w:rPr>
          <w:rFonts w:ascii="Arial" w:hAnsi="Arial" w:cs="Arial"/>
          <w:b/>
          <w:sz w:val="20"/>
          <w:szCs w:val="20"/>
          <w:vertAlign w:val="superscript"/>
        </w:rPr>
        <w:t>1</w:t>
      </w:r>
      <w:r w:rsidR="00956245" w:rsidRPr="00956245">
        <w:rPr>
          <w:rFonts w:ascii="Arial" w:hAnsi="Arial" w:cs="Arial"/>
          <w:b/>
          <w:sz w:val="20"/>
          <w:szCs w:val="20"/>
          <w:vertAlign w:val="superscript"/>
        </w:rPr>
        <w:fldChar w:fldCharType="end"/>
      </w:r>
    </w:p>
    <w:p w14:paraId="736772C1" w14:textId="77777777" w:rsidR="003F36DA" w:rsidRPr="003F36DA" w:rsidRDefault="003F36DA" w:rsidP="001F6887">
      <w:pPr>
        <w:autoSpaceDE w:val="0"/>
        <w:autoSpaceDN w:val="0"/>
        <w:adjustRightInd w:val="0"/>
        <w:rPr>
          <w:rFonts w:ascii="Arial" w:hAnsi="Arial" w:cs="Arial"/>
          <w:color w:val="000000"/>
          <w:sz w:val="20"/>
          <w:szCs w:val="20"/>
        </w:rPr>
      </w:pPr>
    </w:p>
    <w:p w14:paraId="41AC3D23" w14:textId="46541A44" w:rsidR="003F36DA" w:rsidRDefault="003F36DA" w:rsidP="001F6887">
      <w:pPr>
        <w:autoSpaceDE w:val="0"/>
        <w:autoSpaceDN w:val="0"/>
        <w:adjustRightInd w:val="0"/>
        <w:jc w:val="both"/>
        <w:rPr>
          <w:rFonts w:ascii="Arial" w:hAnsi="Arial" w:cs="Arial"/>
          <w:color w:val="000000"/>
          <w:sz w:val="20"/>
          <w:szCs w:val="20"/>
        </w:rPr>
      </w:pPr>
      <w:r w:rsidRPr="003F36DA">
        <w:rPr>
          <w:rFonts w:ascii="Arial" w:hAnsi="Arial" w:cs="Arial"/>
          <w:color w:val="000000"/>
          <w:sz w:val="20"/>
          <w:szCs w:val="20"/>
        </w:rPr>
        <w:t>Los</w:t>
      </w:r>
      <w:r>
        <w:rPr>
          <w:rFonts w:ascii="Arial" w:hAnsi="Arial" w:cs="Arial"/>
          <w:color w:val="000000"/>
          <w:sz w:val="20"/>
          <w:szCs w:val="20"/>
        </w:rPr>
        <w:t xml:space="preserve"> e</w:t>
      </w:r>
      <w:r w:rsidRPr="003F36DA">
        <w:rPr>
          <w:rFonts w:ascii="Arial" w:hAnsi="Arial" w:cs="Arial"/>
          <w:color w:val="000000"/>
          <w:sz w:val="20"/>
          <w:szCs w:val="20"/>
        </w:rPr>
        <w:t>xpertos</w:t>
      </w:r>
      <w:r>
        <w:rPr>
          <w:rFonts w:ascii="Arial" w:hAnsi="Arial" w:cs="Arial"/>
          <w:color w:val="000000"/>
          <w:sz w:val="20"/>
          <w:szCs w:val="20"/>
        </w:rPr>
        <w:t xml:space="preserve"> </w:t>
      </w:r>
      <w:r w:rsidRPr="003F36DA">
        <w:rPr>
          <w:rFonts w:ascii="Arial" w:hAnsi="Arial" w:cs="Arial"/>
          <w:color w:val="000000"/>
          <w:sz w:val="20"/>
          <w:szCs w:val="20"/>
        </w:rPr>
        <w:t>del</w:t>
      </w:r>
      <w:r>
        <w:rPr>
          <w:rFonts w:ascii="Arial" w:hAnsi="Arial" w:cs="Arial"/>
          <w:color w:val="000000"/>
          <w:sz w:val="20"/>
          <w:szCs w:val="20"/>
        </w:rPr>
        <w:t xml:space="preserve"> </w:t>
      </w:r>
      <w:r w:rsidRPr="003F36DA">
        <w:rPr>
          <w:rFonts w:ascii="Arial" w:hAnsi="Arial" w:cs="Arial"/>
          <w:color w:val="000000"/>
          <w:sz w:val="20"/>
          <w:szCs w:val="20"/>
        </w:rPr>
        <w:t>“Scientific</w:t>
      </w:r>
      <w:r>
        <w:rPr>
          <w:rFonts w:ascii="Arial" w:hAnsi="Arial" w:cs="Arial"/>
          <w:color w:val="000000"/>
          <w:sz w:val="20"/>
          <w:szCs w:val="20"/>
        </w:rPr>
        <w:t xml:space="preserve"> </w:t>
      </w:r>
      <w:r w:rsidRPr="003F36DA">
        <w:rPr>
          <w:rFonts w:ascii="Arial" w:hAnsi="Arial" w:cs="Arial"/>
          <w:color w:val="000000"/>
          <w:sz w:val="20"/>
          <w:szCs w:val="20"/>
        </w:rPr>
        <w:t>Advisory</w:t>
      </w:r>
      <w:r>
        <w:rPr>
          <w:rFonts w:ascii="Arial" w:hAnsi="Arial" w:cs="Arial"/>
          <w:color w:val="000000"/>
          <w:sz w:val="20"/>
          <w:szCs w:val="20"/>
        </w:rPr>
        <w:t xml:space="preserve"> </w:t>
      </w:r>
      <w:r w:rsidRPr="003F36DA">
        <w:rPr>
          <w:rFonts w:ascii="Arial" w:hAnsi="Arial" w:cs="Arial"/>
          <w:color w:val="000000"/>
          <w:sz w:val="20"/>
          <w:szCs w:val="20"/>
        </w:rPr>
        <w:t>Group”</w:t>
      </w:r>
      <w:r>
        <w:rPr>
          <w:rFonts w:ascii="Arial" w:hAnsi="Arial" w:cs="Arial"/>
          <w:color w:val="000000"/>
          <w:sz w:val="20"/>
          <w:szCs w:val="20"/>
        </w:rPr>
        <w:t xml:space="preserve"> </w:t>
      </w:r>
      <w:r w:rsidRPr="003F36DA">
        <w:rPr>
          <w:rFonts w:ascii="Arial" w:hAnsi="Arial" w:cs="Arial"/>
          <w:color w:val="000000"/>
          <w:sz w:val="20"/>
          <w:szCs w:val="20"/>
        </w:rPr>
        <w:t>(SAG)</w:t>
      </w:r>
      <w:r w:rsidR="004158AA">
        <w:rPr>
          <w:rFonts w:ascii="Arial" w:hAnsi="Arial" w:cs="Arial"/>
          <w:color w:val="000000"/>
          <w:sz w:val="20"/>
          <w:szCs w:val="20"/>
        </w:rPr>
        <w:t>,</w:t>
      </w:r>
      <w:r>
        <w:rPr>
          <w:rFonts w:ascii="Arial" w:hAnsi="Arial" w:cs="Arial"/>
          <w:color w:val="000000"/>
          <w:sz w:val="20"/>
          <w:szCs w:val="20"/>
        </w:rPr>
        <w:t xml:space="preserve"> en las consideraciones adicionales</w:t>
      </w:r>
      <w:r w:rsidR="004158AA">
        <w:rPr>
          <w:rFonts w:ascii="Arial" w:hAnsi="Arial" w:cs="Arial"/>
          <w:color w:val="000000"/>
          <w:sz w:val="20"/>
          <w:szCs w:val="20"/>
        </w:rPr>
        <w:t xml:space="preserve"> del informe </w:t>
      </w:r>
      <w:r w:rsidR="00A665D0">
        <w:rPr>
          <w:rFonts w:ascii="Arial" w:hAnsi="Arial" w:cs="Arial"/>
          <w:color w:val="000000"/>
          <w:sz w:val="20"/>
          <w:szCs w:val="20"/>
        </w:rPr>
        <w:t>EP</w:t>
      </w:r>
      <w:r w:rsidR="004158AA">
        <w:rPr>
          <w:rFonts w:ascii="Arial" w:hAnsi="Arial" w:cs="Arial"/>
          <w:color w:val="000000"/>
          <w:sz w:val="20"/>
          <w:szCs w:val="20"/>
        </w:rPr>
        <w:t>AR</w:t>
      </w:r>
      <w:r w:rsidR="00A665D0">
        <w:rPr>
          <w:rFonts w:ascii="Arial" w:hAnsi="Arial" w:cs="Arial"/>
          <w:color w:val="000000"/>
          <w:sz w:val="20"/>
          <w:szCs w:val="20"/>
        </w:rPr>
        <w:t xml:space="preserve"> de </w:t>
      </w:r>
      <w:r w:rsidR="00482C21">
        <w:rPr>
          <w:rFonts w:ascii="Arial" w:eastAsia="MS Mincho" w:hAnsi="Arial" w:cs="Arial"/>
          <w:color w:val="000000"/>
          <w:sz w:val="20"/>
          <w:szCs w:val="20"/>
          <w:lang w:eastAsia="ja-JP"/>
        </w:rPr>
        <w:t>onasemnogen</w:t>
      </w:r>
      <w:r w:rsidR="00A665D0" w:rsidRPr="0070077A">
        <w:rPr>
          <w:rFonts w:ascii="Arial" w:eastAsia="MS Mincho" w:hAnsi="Arial" w:cs="Arial"/>
          <w:color w:val="000000"/>
          <w:sz w:val="20"/>
          <w:szCs w:val="20"/>
          <w:lang w:eastAsia="ja-JP"/>
        </w:rPr>
        <w:t xml:space="preserve"> abeparvovec</w:t>
      </w:r>
      <w:r w:rsidRPr="003F36DA">
        <w:rPr>
          <w:rFonts w:ascii="Arial" w:hAnsi="Arial" w:cs="Arial"/>
          <w:color w:val="000000"/>
          <w:sz w:val="20"/>
          <w:szCs w:val="20"/>
        </w:rPr>
        <w:t>,</w:t>
      </w:r>
      <w:r>
        <w:rPr>
          <w:rFonts w:ascii="Arial" w:hAnsi="Arial" w:cs="Arial"/>
          <w:color w:val="000000"/>
          <w:sz w:val="20"/>
          <w:szCs w:val="20"/>
        </w:rPr>
        <w:t xml:space="preserve"> indicaron </w:t>
      </w:r>
      <w:r w:rsidRPr="003F36DA">
        <w:rPr>
          <w:rFonts w:ascii="Arial" w:hAnsi="Arial" w:cs="Arial"/>
          <w:color w:val="000000"/>
          <w:sz w:val="20"/>
          <w:szCs w:val="20"/>
        </w:rPr>
        <w:t>que</w:t>
      </w:r>
      <w:r>
        <w:rPr>
          <w:rFonts w:ascii="Arial" w:hAnsi="Arial" w:cs="Arial"/>
          <w:color w:val="000000"/>
          <w:sz w:val="20"/>
          <w:szCs w:val="20"/>
        </w:rPr>
        <w:t xml:space="preserve"> </w:t>
      </w:r>
      <w:r w:rsidRPr="003F36DA">
        <w:rPr>
          <w:rFonts w:ascii="Arial" w:hAnsi="Arial" w:cs="Arial"/>
          <w:color w:val="000000"/>
          <w:sz w:val="20"/>
          <w:szCs w:val="20"/>
        </w:rPr>
        <w:t>la</w:t>
      </w:r>
      <w:r>
        <w:rPr>
          <w:rFonts w:ascii="Arial" w:hAnsi="Arial" w:cs="Arial"/>
          <w:color w:val="000000"/>
          <w:sz w:val="20"/>
          <w:szCs w:val="20"/>
        </w:rPr>
        <w:t xml:space="preserve"> </w:t>
      </w:r>
      <w:r w:rsidRPr="003F36DA">
        <w:rPr>
          <w:rFonts w:ascii="Arial" w:hAnsi="Arial" w:cs="Arial"/>
          <w:color w:val="000000"/>
          <w:sz w:val="20"/>
          <w:szCs w:val="20"/>
        </w:rPr>
        <w:t>edad</w:t>
      </w:r>
      <w:r>
        <w:rPr>
          <w:rFonts w:ascii="Arial" w:hAnsi="Arial" w:cs="Arial"/>
          <w:color w:val="000000"/>
          <w:sz w:val="20"/>
          <w:szCs w:val="20"/>
        </w:rPr>
        <w:t xml:space="preserve"> </w:t>
      </w:r>
      <w:r w:rsidRPr="003F36DA">
        <w:rPr>
          <w:rFonts w:ascii="Arial" w:hAnsi="Arial" w:cs="Arial"/>
          <w:color w:val="000000"/>
          <w:sz w:val="20"/>
          <w:szCs w:val="20"/>
        </w:rPr>
        <w:t>y</w:t>
      </w:r>
      <w:r>
        <w:rPr>
          <w:rFonts w:ascii="Arial" w:hAnsi="Arial" w:cs="Arial"/>
          <w:color w:val="000000"/>
          <w:sz w:val="20"/>
          <w:szCs w:val="20"/>
        </w:rPr>
        <w:t xml:space="preserve"> </w:t>
      </w:r>
      <w:r w:rsidRPr="003F36DA">
        <w:rPr>
          <w:rFonts w:ascii="Arial" w:hAnsi="Arial" w:cs="Arial"/>
          <w:color w:val="000000"/>
          <w:sz w:val="20"/>
          <w:szCs w:val="20"/>
        </w:rPr>
        <w:t>el</w:t>
      </w:r>
      <w:r>
        <w:rPr>
          <w:rFonts w:ascii="Arial" w:hAnsi="Arial" w:cs="Arial"/>
          <w:color w:val="000000"/>
          <w:sz w:val="20"/>
          <w:szCs w:val="20"/>
        </w:rPr>
        <w:t xml:space="preserve"> </w:t>
      </w:r>
      <w:r w:rsidRPr="003F36DA">
        <w:rPr>
          <w:rFonts w:ascii="Arial" w:hAnsi="Arial" w:cs="Arial"/>
          <w:color w:val="000000"/>
          <w:sz w:val="20"/>
          <w:szCs w:val="20"/>
        </w:rPr>
        <w:t>peso</w:t>
      </w:r>
      <w:r>
        <w:rPr>
          <w:rFonts w:ascii="Arial" w:hAnsi="Arial" w:cs="Arial"/>
          <w:color w:val="000000"/>
          <w:sz w:val="20"/>
          <w:szCs w:val="20"/>
        </w:rPr>
        <w:t xml:space="preserve"> </w:t>
      </w:r>
      <w:r w:rsidRPr="003F36DA">
        <w:rPr>
          <w:rFonts w:ascii="Arial" w:hAnsi="Arial" w:cs="Arial"/>
          <w:color w:val="000000"/>
          <w:sz w:val="20"/>
          <w:szCs w:val="20"/>
        </w:rPr>
        <w:t>no</w:t>
      </w:r>
      <w:r>
        <w:rPr>
          <w:rFonts w:ascii="Arial" w:hAnsi="Arial" w:cs="Arial"/>
          <w:color w:val="000000"/>
          <w:sz w:val="20"/>
          <w:szCs w:val="20"/>
        </w:rPr>
        <w:t xml:space="preserve"> </w:t>
      </w:r>
      <w:r w:rsidRPr="003F36DA">
        <w:rPr>
          <w:rFonts w:ascii="Arial" w:hAnsi="Arial" w:cs="Arial"/>
          <w:color w:val="000000"/>
          <w:sz w:val="20"/>
          <w:szCs w:val="20"/>
        </w:rPr>
        <w:t>deberían</w:t>
      </w:r>
      <w:r>
        <w:rPr>
          <w:rFonts w:ascii="Arial" w:hAnsi="Arial" w:cs="Arial"/>
          <w:color w:val="000000"/>
          <w:sz w:val="20"/>
          <w:szCs w:val="20"/>
        </w:rPr>
        <w:t xml:space="preserve"> </w:t>
      </w:r>
      <w:r w:rsidRPr="003F36DA">
        <w:rPr>
          <w:rFonts w:ascii="Arial" w:hAnsi="Arial" w:cs="Arial"/>
          <w:color w:val="000000"/>
          <w:sz w:val="20"/>
          <w:szCs w:val="20"/>
        </w:rPr>
        <w:t>ser</w:t>
      </w:r>
      <w:r>
        <w:rPr>
          <w:rFonts w:ascii="Arial" w:hAnsi="Arial" w:cs="Arial"/>
          <w:color w:val="000000"/>
          <w:sz w:val="20"/>
          <w:szCs w:val="20"/>
        </w:rPr>
        <w:t xml:space="preserve"> </w:t>
      </w:r>
      <w:r w:rsidRPr="003F36DA">
        <w:rPr>
          <w:rFonts w:ascii="Arial" w:hAnsi="Arial" w:cs="Arial"/>
          <w:color w:val="000000"/>
          <w:sz w:val="20"/>
          <w:szCs w:val="20"/>
        </w:rPr>
        <w:t>factores</w:t>
      </w:r>
      <w:r>
        <w:rPr>
          <w:rFonts w:ascii="Arial" w:hAnsi="Arial" w:cs="Arial"/>
          <w:color w:val="000000"/>
          <w:sz w:val="20"/>
          <w:szCs w:val="20"/>
        </w:rPr>
        <w:t xml:space="preserve"> </w:t>
      </w:r>
      <w:r w:rsidRPr="003F36DA">
        <w:rPr>
          <w:rFonts w:ascii="Arial" w:hAnsi="Arial" w:cs="Arial"/>
          <w:color w:val="000000"/>
          <w:sz w:val="20"/>
          <w:szCs w:val="20"/>
        </w:rPr>
        <w:t>que</w:t>
      </w:r>
      <w:r>
        <w:rPr>
          <w:rFonts w:ascii="Arial" w:hAnsi="Arial" w:cs="Arial"/>
          <w:color w:val="000000"/>
          <w:sz w:val="20"/>
          <w:szCs w:val="20"/>
        </w:rPr>
        <w:t xml:space="preserve"> </w:t>
      </w:r>
      <w:r w:rsidR="004158AA">
        <w:rPr>
          <w:rFonts w:ascii="Arial" w:hAnsi="Arial" w:cs="Arial"/>
          <w:color w:val="000000"/>
          <w:sz w:val="20"/>
          <w:szCs w:val="20"/>
        </w:rPr>
        <w:t>restringier</w:t>
      </w:r>
      <w:r w:rsidRPr="003F36DA">
        <w:rPr>
          <w:rFonts w:ascii="Arial" w:hAnsi="Arial" w:cs="Arial"/>
          <w:color w:val="000000"/>
          <w:sz w:val="20"/>
          <w:szCs w:val="20"/>
        </w:rPr>
        <w:t>an</w:t>
      </w:r>
      <w:r>
        <w:rPr>
          <w:rFonts w:ascii="Arial" w:hAnsi="Arial" w:cs="Arial"/>
          <w:color w:val="000000"/>
          <w:sz w:val="20"/>
          <w:szCs w:val="20"/>
        </w:rPr>
        <w:t xml:space="preserve"> </w:t>
      </w:r>
      <w:r w:rsidRPr="003F36DA">
        <w:rPr>
          <w:rFonts w:ascii="Arial" w:hAnsi="Arial" w:cs="Arial"/>
          <w:color w:val="000000"/>
          <w:sz w:val="20"/>
          <w:szCs w:val="20"/>
        </w:rPr>
        <w:t>el</w:t>
      </w:r>
      <w:r>
        <w:rPr>
          <w:rFonts w:ascii="Arial" w:hAnsi="Arial" w:cs="Arial"/>
          <w:color w:val="000000"/>
          <w:sz w:val="20"/>
          <w:szCs w:val="20"/>
        </w:rPr>
        <w:t xml:space="preserve"> </w:t>
      </w:r>
      <w:r w:rsidRPr="003F36DA">
        <w:rPr>
          <w:rFonts w:ascii="Arial" w:hAnsi="Arial" w:cs="Arial"/>
          <w:color w:val="000000"/>
          <w:sz w:val="20"/>
          <w:szCs w:val="20"/>
        </w:rPr>
        <w:t>tratamiento.</w:t>
      </w:r>
    </w:p>
    <w:p w14:paraId="45847133" w14:textId="77777777" w:rsidR="004158AA" w:rsidRDefault="004158AA" w:rsidP="001F6887">
      <w:pPr>
        <w:autoSpaceDE w:val="0"/>
        <w:autoSpaceDN w:val="0"/>
        <w:adjustRightInd w:val="0"/>
        <w:jc w:val="both"/>
        <w:rPr>
          <w:rFonts w:ascii="Arial" w:hAnsi="Arial" w:cs="Arial"/>
          <w:color w:val="000000"/>
          <w:sz w:val="20"/>
          <w:szCs w:val="20"/>
        </w:rPr>
      </w:pPr>
    </w:p>
    <w:p w14:paraId="3CBE0797" w14:textId="62C37674" w:rsidR="003F36DA" w:rsidRPr="003F36DA" w:rsidRDefault="003F36DA" w:rsidP="001F6887">
      <w:pPr>
        <w:autoSpaceDE w:val="0"/>
        <w:autoSpaceDN w:val="0"/>
        <w:adjustRightInd w:val="0"/>
        <w:jc w:val="both"/>
        <w:rPr>
          <w:rFonts w:ascii="Arial" w:hAnsi="Arial" w:cs="Arial"/>
          <w:color w:val="000000"/>
          <w:sz w:val="20"/>
          <w:szCs w:val="20"/>
        </w:rPr>
      </w:pPr>
      <w:r w:rsidRPr="003F36DA">
        <w:rPr>
          <w:rFonts w:ascii="Arial" w:hAnsi="Arial" w:cs="Arial"/>
          <w:color w:val="000000"/>
          <w:sz w:val="20"/>
          <w:szCs w:val="20"/>
        </w:rPr>
        <w:t>Los</w:t>
      </w:r>
      <w:r w:rsidR="004158AA">
        <w:rPr>
          <w:rFonts w:ascii="Arial" w:hAnsi="Arial" w:cs="Arial"/>
          <w:color w:val="000000"/>
          <w:sz w:val="20"/>
          <w:szCs w:val="20"/>
        </w:rPr>
        <w:t xml:space="preserve"> </w:t>
      </w:r>
      <w:r w:rsidRPr="003F36DA">
        <w:rPr>
          <w:rFonts w:ascii="Arial" w:hAnsi="Arial" w:cs="Arial"/>
          <w:color w:val="000000"/>
          <w:sz w:val="20"/>
          <w:szCs w:val="20"/>
        </w:rPr>
        <w:t>expertos</w:t>
      </w:r>
      <w:r w:rsidR="004158AA">
        <w:rPr>
          <w:rFonts w:ascii="Arial" w:hAnsi="Arial" w:cs="Arial"/>
          <w:color w:val="000000"/>
          <w:sz w:val="20"/>
          <w:szCs w:val="20"/>
        </w:rPr>
        <w:t xml:space="preserve"> </w:t>
      </w:r>
      <w:r w:rsidR="00A665D0">
        <w:rPr>
          <w:rFonts w:ascii="Arial" w:hAnsi="Arial" w:cs="Arial"/>
          <w:color w:val="000000"/>
          <w:sz w:val="20"/>
          <w:szCs w:val="20"/>
        </w:rPr>
        <w:t xml:space="preserve">también </w:t>
      </w:r>
      <w:r w:rsidRPr="003F36DA">
        <w:rPr>
          <w:rFonts w:ascii="Arial" w:hAnsi="Arial" w:cs="Arial"/>
          <w:color w:val="000000"/>
          <w:sz w:val="20"/>
          <w:szCs w:val="20"/>
        </w:rPr>
        <w:t>fueron</w:t>
      </w:r>
      <w:r w:rsidR="004158AA">
        <w:rPr>
          <w:rFonts w:ascii="Arial" w:hAnsi="Arial" w:cs="Arial"/>
          <w:color w:val="000000"/>
          <w:sz w:val="20"/>
          <w:szCs w:val="20"/>
        </w:rPr>
        <w:t xml:space="preserve"> </w:t>
      </w:r>
      <w:r w:rsidRPr="003F36DA">
        <w:rPr>
          <w:rFonts w:ascii="Arial" w:hAnsi="Arial" w:cs="Arial"/>
          <w:color w:val="000000"/>
          <w:sz w:val="20"/>
          <w:szCs w:val="20"/>
        </w:rPr>
        <w:t>unánimes</w:t>
      </w:r>
      <w:r w:rsidR="004158AA">
        <w:rPr>
          <w:rFonts w:ascii="Arial" w:hAnsi="Arial" w:cs="Arial"/>
          <w:color w:val="000000"/>
          <w:sz w:val="20"/>
          <w:szCs w:val="20"/>
        </w:rPr>
        <w:t xml:space="preserve"> </w:t>
      </w:r>
      <w:r w:rsidRPr="003F36DA">
        <w:rPr>
          <w:rFonts w:ascii="Arial" w:hAnsi="Arial" w:cs="Arial"/>
          <w:color w:val="000000"/>
          <w:sz w:val="20"/>
          <w:szCs w:val="20"/>
        </w:rPr>
        <w:t>en</w:t>
      </w:r>
      <w:r w:rsidR="004158AA">
        <w:rPr>
          <w:rFonts w:ascii="Arial" w:hAnsi="Arial" w:cs="Arial"/>
          <w:color w:val="000000"/>
          <w:sz w:val="20"/>
          <w:szCs w:val="20"/>
        </w:rPr>
        <w:t xml:space="preserve"> </w:t>
      </w:r>
      <w:r w:rsidRPr="003F36DA">
        <w:rPr>
          <w:rFonts w:ascii="Arial" w:hAnsi="Arial" w:cs="Arial"/>
          <w:color w:val="000000"/>
          <w:sz w:val="20"/>
          <w:szCs w:val="20"/>
        </w:rPr>
        <w:t>que</w:t>
      </w:r>
      <w:r w:rsidR="004158AA">
        <w:rPr>
          <w:rFonts w:ascii="Arial" w:hAnsi="Arial" w:cs="Arial"/>
          <w:color w:val="000000"/>
          <w:sz w:val="20"/>
          <w:szCs w:val="20"/>
        </w:rPr>
        <w:t xml:space="preserve"> </w:t>
      </w:r>
      <w:r w:rsidRPr="003F36DA">
        <w:rPr>
          <w:rFonts w:ascii="Arial" w:hAnsi="Arial" w:cs="Arial"/>
          <w:color w:val="000000"/>
          <w:sz w:val="20"/>
          <w:szCs w:val="20"/>
        </w:rPr>
        <w:t>el</w:t>
      </w:r>
      <w:r w:rsidR="004158AA">
        <w:rPr>
          <w:rFonts w:ascii="Arial" w:hAnsi="Arial" w:cs="Arial"/>
          <w:color w:val="000000"/>
          <w:sz w:val="20"/>
          <w:szCs w:val="20"/>
        </w:rPr>
        <w:t xml:space="preserve"> </w:t>
      </w:r>
      <w:r w:rsidRPr="003F36DA">
        <w:rPr>
          <w:rFonts w:ascii="Arial" w:hAnsi="Arial" w:cs="Arial"/>
          <w:color w:val="000000"/>
          <w:sz w:val="20"/>
          <w:szCs w:val="20"/>
        </w:rPr>
        <w:t>tratamiento</w:t>
      </w:r>
      <w:r w:rsidR="004158AA">
        <w:rPr>
          <w:rFonts w:ascii="Arial" w:hAnsi="Arial" w:cs="Arial"/>
          <w:color w:val="000000"/>
          <w:sz w:val="20"/>
          <w:szCs w:val="20"/>
        </w:rPr>
        <w:t xml:space="preserve"> </w:t>
      </w:r>
      <w:r w:rsidRPr="003F36DA">
        <w:rPr>
          <w:rFonts w:ascii="Arial" w:hAnsi="Arial" w:cs="Arial"/>
          <w:color w:val="000000"/>
          <w:sz w:val="20"/>
          <w:szCs w:val="20"/>
        </w:rPr>
        <w:t>debe</w:t>
      </w:r>
      <w:r w:rsidR="004158AA">
        <w:rPr>
          <w:rFonts w:ascii="Arial" w:hAnsi="Arial" w:cs="Arial"/>
          <w:color w:val="000000"/>
          <w:sz w:val="20"/>
          <w:szCs w:val="20"/>
        </w:rPr>
        <w:t xml:space="preserve"> </w:t>
      </w:r>
      <w:r w:rsidRPr="003F36DA">
        <w:rPr>
          <w:rFonts w:ascii="Arial" w:hAnsi="Arial" w:cs="Arial"/>
          <w:color w:val="000000"/>
          <w:sz w:val="20"/>
          <w:szCs w:val="20"/>
        </w:rPr>
        <w:t>iniciarse</w:t>
      </w:r>
      <w:r w:rsidR="004158AA">
        <w:rPr>
          <w:rFonts w:ascii="Arial" w:hAnsi="Arial" w:cs="Arial"/>
          <w:color w:val="000000"/>
          <w:sz w:val="20"/>
          <w:szCs w:val="20"/>
        </w:rPr>
        <w:t xml:space="preserve"> </w:t>
      </w:r>
      <w:r w:rsidRPr="003F36DA">
        <w:rPr>
          <w:rFonts w:ascii="Arial" w:hAnsi="Arial" w:cs="Arial"/>
          <w:color w:val="000000"/>
          <w:sz w:val="20"/>
          <w:szCs w:val="20"/>
        </w:rPr>
        <w:t>lo</w:t>
      </w:r>
      <w:r w:rsidR="004158AA">
        <w:rPr>
          <w:rFonts w:ascii="Arial" w:hAnsi="Arial" w:cs="Arial"/>
          <w:color w:val="000000"/>
          <w:sz w:val="20"/>
          <w:szCs w:val="20"/>
        </w:rPr>
        <w:t xml:space="preserve"> </w:t>
      </w:r>
      <w:r w:rsidRPr="003F36DA">
        <w:rPr>
          <w:rFonts w:ascii="Arial" w:hAnsi="Arial" w:cs="Arial"/>
          <w:color w:val="000000"/>
          <w:sz w:val="20"/>
          <w:szCs w:val="20"/>
        </w:rPr>
        <w:t>antes</w:t>
      </w:r>
      <w:r w:rsidR="004158AA">
        <w:rPr>
          <w:rFonts w:ascii="Arial" w:hAnsi="Arial" w:cs="Arial"/>
          <w:color w:val="000000"/>
          <w:sz w:val="20"/>
          <w:szCs w:val="20"/>
        </w:rPr>
        <w:t xml:space="preserve"> </w:t>
      </w:r>
      <w:r w:rsidRPr="003F36DA">
        <w:rPr>
          <w:rFonts w:ascii="Arial" w:hAnsi="Arial" w:cs="Arial"/>
          <w:color w:val="000000"/>
          <w:sz w:val="20"/>
          <w:szCs w:val="20"/>
        </w:rPr>
        <w:t>posible.</w:t>
      </w:r>
      <w:r w:rsidR="004158AA">
        <w:rPr>
          <w:rFonts w:ascii="Arial" w:hAnsi="Arial" w:cs="Arial"/>
          <w:color w:val="000000"/>
          <w:sz w:val="20"/>
          <w:szCs w:val="20"/>
        </w:rPr>
        <w:t xml:space="preserve"> </w:t>
      </w:r>
      <w:r w:rsidRPr="003F36DA">
        <w:rPr>
          <w:rFonts w:ascii="Arial" w:hAnsi="Arial" w:cs="Arial"/>
          <w:color w:val="000000"/>
          <w:sz w:val="20"/>
          <w:szCs w:val="20"/>
        </w:rPr>
        <w:t>Los</w:t>
      </w:r>
      <w:r w:rsidR="004158AA">
        <w:rPr>
          <w:rFonts w:ascii="Arial" w:hAnsi="Arial" w:cs="Arial"/>
          <w:color w:val="000000"/>
          <w:sz w:val="20"/>
          <w:szCs w:val="20"/>
        </w:rPr>
        <w:t xml:space="preserve"> </w:t>
      </w:r>
      <w:r w:rsidRPr="003F36DA">
        <w:rPr>
          <w:rFonts w:ascii="Arial" w:hAnsi="Arial" w:cs="Arial"/>
          <w:color w:val="000000"/>
          <w:sz w:val="20"/>
          <w:szCs w:val="20"/>
        </w:rPr>
        <w:t>pacientes</w:t>
      </w:r>
      <w:r w:rsidR="004158AA">
        <w:rPr>
          <w:rFonts w:ascii="Arial" w:hAnsi="Arial" w:cs="Arial"/>
          <w:color w:val="000000"/>
          <w:sz w:val="20"/>
          <w:szCs w:val="20"/>
        </w:rPr>
        <w:t xml:space="preserve"> a</w:t>
      </w:r>
      <w:r w:rsidRPr="003F36DA">
        <w:rPr>
          <w:rFonts w:ascii="Arial" w:hAnsi="Arial" w:cs="Arial"/>
          <w:color w:val="000000"/>
          <w:sz w:val="20"/>
          <w:szCs w:val="20"/>
        </w:rPr>
        <w:t>sintomáticos,</w:t>
      </w:r>
      <w:r w:rsidR="004158AA">
        <w:rPr>
          <w:rFonts w:ascii="Arial" w:hAnsi="Arial" w:cs="Arial"/>
          <w:color w:val="000000"/>
          <w:sz w:val="20"/>
          <w:szCs w:val="20"/>
        </w:rPr>
        <w:t xml:space="preserve"> </w:t>
      </w:r>
      <w:r w:rsidRPr="003F36DA">
        <w:rPr>
          <w:rFonts w:ascii="Arial" w:hAnsi="Arial" w:cs="Arial"/>
          <w:color w:val="000000"/>
          <w:sz w:val="20"/>
          <w:szCs w:val="20"/>
        </w:rPr>
        <w:t>deberían</w:t>
      </w:r>
      <w:r w:rsidR="004158AA">
        <w:rPr>
          <w:rFonts w:ascii="Arial" w:hAnsi="Arial" w:cs="Arial"/>
          <w:color w:val="000000"/>
          <w:sz w:val="20"/>
          <w:szCs w:val="20"/>
        </w:rPr>
        <w:t xml:space="preserve"> </w:t>
      </w:r>
      <w:r w:rsidRPr="003F36DA">
        <w:rPr>
          <w:rFonts w:ascii="Arial" w:hAnsi="Arial" w:cs="Arial"/>
          <w:color w:val="000000"/>
          <w:sz w:val="20"/>
          <w:szCs w:val="20"/>
        </w:rPr>
        <w:t>ser</w:t>
      </w:r>
      <w:r w:rsidR="004158AA">
        <w:rPr>
          <w:rFonts w:ascii="Arial" w:hAnsi="Arial" w:cs="Arial"/>
          <w:color w:val="000000"/>
          <w:sz w:val="20"/>
          <w:szCs w:val="20"/>
        </w:rPr>
        <w:t xml:space="preserve"> </w:t>
      </w:r>
      <w:r w:rsidRPr="003F36DA">
        <w:rPr>
          <w:rFonts w:ascii="Arial" w:hAnsi="Arial" w:cs="Arial"/>
          <w:color w:val="000000"/>
          <w:sz w:val="20"/>
          <w:szCs w:val="20"/>
        </w:rPr>
        <w:t>tratados</w:t>
      </w:r>
      <w:r w:rsidR="004158AA">
        <w:rPr>
          <w:rFonts w:ascii="Arial" w:hAnsi="Arial" w:cs="Arial"/>
          <w:color w:val="000000"/>
          <w:sz w:val="20"/>
          <w:szCs w:val="20"/>
        </w:rPr>
        <w:t xml:space="preserve"> </w:t>
      </w:r>
      <w:r w:rsidRPr="003F36DA">
        <w:rPr>
          <w:rFonts w:ascii="Arial" w:hAnsi="Arial" w:cs="Arial"/>
          <w:color w:val="000000"/>
          <w:sz w:val="20"/>
          <w:szCs w:val="20"/>
        </w:rPr>
        <w:t>inmediatamente</w:t>
      </w:r>
      <w:r w:rsidR="004158AA">
        <w:rPr>
          <w:rFonts w:ascii="Arial" w:hAnsi="Arial" w:cs="Arial"/>
          <w:color w:val="000000"/>
          <w:sz w:val="20"/>
          <w:szCs w:val="20"/>
        </w:rPr>
        <w:t xml:space="preserve"> </w:t>
      </w:r>
      <w:r w:rsidRPr="003F36DA">
        <w:rPr>
          <w:rFonts w:ascii="Arial" w:hAnsi="Arial" w:cs="Arial"/>
          <w:color w:val="000000"/>
          <w:sz w:val="20"/>
          <w:szCs w:val="20"/>
        </w:rPr>
        <w:t>después</w:t>
      </w:r>
      <w:r w:rsidR="004158AA">
        <w:rPr>
          <w:rFonts w:ascii="Arial" w:hAnsi="Arial" w:cs="Arial"/>
          <w:color w:val="000000"/>
          <w:sz w:val="20"/>
          <w:szCs w:val="20"/>
        </w:rPr>
        <w:t xml:space="preserve"> </w:t>
      </w:r>
      <w:r w:rsidRPr="003F36DA">
        <w:rPr>
          <w:rFonts w:ascii="Arial" w:hAnsi="Arial" w:cs="Arial"/>
          <w:color w:val="000000"/>
          <w:sz w:val="20"/>
          <w:szCs w:val="20"/>
        </w:rPr>
        <w:t>de</w:t>
      </w:r>
      <w:r w:rsidR="004158AA">
        <w:rPr>
          <w:rFonts w:ascii="Arial" w:hAnsi="Arial" w:cs="Arial"/>
          <w:color w:val="000000"/>
          <w:sz w:val="20"/>
          <w:szCs w:val="20"/>
        </w:rPr>
        <w:t xml:space="preserve"> </w:t>
      </w:r>
      <w:r w:rsidRPr="003F36DA">
        <w:rPr>
          <w:rFonts w:ascii="Arial" w:hAnsi="Arial" w:cs="Arial"/>
          <w:color w:val="000000"/>
          <w:sz w:val="20"/>
          <w:szCs w:val="20"/>
        </w:rPr>
        <w:t>la</w:t>
      </w:r>
      <w:r w:rsidR="004158AA">
        <w:rPr>
          <w:rFonts w:ascii="Arial" w:hAnsi="Arial" w:cs="Arial"/>
          <w:color w:val="000000"/>
          <w:sz w:val="20"/>
          <w:szCs w:val="20"/>
        </w:rPr>
        <w:t xml:space="preserve"> </w:t>
      </w:r>
      <w:r w:rsidRPr="003F36DA">
        <w:rPr>
          <w:rFonts w:ascii="Arial" w:hAnsi="Arial" w:cs="Arial"/>
          <w:color w:val="000000"/>
          <w:sz w:val="20"/>
          <w:szCs w:val="20"/>
        </w:rPr>
        <w:t>identificación</w:t>
      </w:r>
      <w:r w:rsidR="004158AA">
        <w:rPr>
          <w:rFonts w:ascii="Arial" w:hAnsi="Arial" w:cs="Arial"/>
          <w:color w:val="000000"/>
          <w:sz w:val="20"/>
          <w:szCs w:val="20"/>
        </w:rPr>
        <w:t xml:space="preserve"> </w:t>
      </w:r>
      <w:r w:rsidRPr="003F36DA">
        <w:rPr>
          <w:rFonts w:ascii="Arial" w:hAnsi="Arial" w:cs="Arial"/>
          <w:color w:val="000000"/>
          <w:sz w:val="20"/>
          <w:szCs w:val="20"/>
        </w:rPr>
        <w:t>de</w:t>
      </w:r>
      <w:r w:rsidR="004158AA">
        <w:rPr>
          <w:rFonts w:ascii="Arial" w:hAnsi="Arial" w:cs="Arial"/>
          <w:color w:val="000000"/>
          <w:sz w:val="20"/>
          <w:szCs w:val="20"/>
        </w:rPr>
        <w:t xml:space="preserve"> </w:t>
      </w:r>
      <w:r w:rsidRPr="003F36DA">
        <w:rPr>
          <w:rFonts w:ascii="Arial" w:hAnsi="Arial" w:cs="Arial"/>
          <w:color w:val="000000"/>
          <w:sz w:val="20"/>
          <w:szCs w:val="20"/>
        </w:rPr>
        <w:t>mutaciones</w:t>
      </w:r>
      <w:r w:rsidR="004158AA">
        <w:rPr>
          <w:rFonts w:ascii="Arial" w:hAnsi="Arial" w:cs="Arial"/>
          <w:color w:val="000000"/>
          <w:sz w:val="20"/>
          <w:szCs w:val="20"/>
        </w:rPr>
        <w:t xml:space="preserve"> </w:t>
      </w:r>
      <w:r w:rsidRPr="003F36DA">
        <w:rPr>
          <w:rFonts w:ascii="Arial" w:hAnsi="Arial" w:cs="Arial"/>
          <w:color w:val="000000"/>
          <w:sz w:val="20"/>
          <w:szCs w:val="20"/>
        </w:rPr>
        <w:t>genética</w:t>
      </w:r>
      <w:r w:rsidR="004158AA">
        <w:rPr>
          <w:rFonts w:ascii="Arial" w:hAnsi="Arial" w:cs="Arial"/>
          <w:color w:val="000000"/>
          <w:sz w:val="20"/>
          <w:szCs w:val="20"/>
        </w:rPr>
        <w:t xml:space="preserve">s </w:t>
      </w:r>
      <w:r w:rsidRPr="003F36DA">
        <w:rPr>
          <w:rFonts w:ascii="Arial" w:hAnsi="Arial" w:cs="Arial"/>
          <w:color w:val="000000"/>
          <w:sz w:val="20"/>
          <w:szCs w:val="20"/>
        </w:rPr>
        <w:t>bi-alélicas</w:t>
      </w:r>
      <w:r w:rsidR="004158AA">
        <w:rPr>
          <w:rFonts w:ascii="Arial" w:hAnsi="Arial" w:cs="Arial"/>
          <w:color w:val="000000"/>
          <w:sz w:val="20"/>
          <w:szCs w:val="20"/>
        </w:rPr>
        <w:t xml:space="preserve"> </w:t>
      </w:r>
      <w:r w:rsidRPr="003F36DA">
        <w:rPr>
          <w:rFonts w:ascii="Arial" w:hAnsi="Arial" w:cs="Arial"/>
          <w:color w:val="000000"/>
          <w:sz w:val="20"/>
          <w:szCs w:val="20"/>
        </w:rPr>
        <w:t>en</w:t>
      </w:r>
      <w:r w:rsidR="004158AA">
        <w:rPr>
          <w:rFonts w:ascii="Arial" w:hAnsi="Arial" w:cs="Arial"/>
          <w:color w:val="000000"/>
          <w:sz w:val="20"/>
          <w:szCs w:val="20"/>
        </w:rPr>
        <w:t xml:space="preserve"> </w:t>
      </w:r>
      <w:r w:rsidRPr="003F36DA">
        <w:rPr>
          <w:rFonts w:ascii="Arial" w:hAnsi="Arial" w:cs="Arial"/>
          <w:color w:val="000000"/>
          <w:sz w:val="20"/>
          <w:szCs w:val="20"/>
        </w:rPr>
        <w:t>el</w:t>
      </w:r>
      <w:r w:rsidR="004158AA">
        <w:rPr>
          <w:rFonts w:ascii="Arial" w:hAnsi="Arial" w:cs="Arial"/>
          <w:color w:val="000000"/>
          <w:sz w:val="20"/>
          <w:szCs w:val="20"/>
        </w:rPr>
        <w:t xml:space="preserve"> </w:t>
      </w:r>
      <w:r w:rsidRPr="003F36DA">
        <w:rPr>
          <w:rFonts w:ascii="Arial" w:hAnsi="Arial" w:cs="Arial"/>
          <w:color w:val="000000"/>
          <w:sz w:val="20"/>
          <w:szCs w:val="20"/>
        </w:rPr>
        <w:t>gen</w:t>
      </w:r>
      <w:r w:rsidR="004158AA">
        <w:rPr>
          <w:rFonts w:ascii="Arial" w:hAnsi="Arial" w:cs="Arial"/>
          <w:color w:val="000000"/>
          <w:sz w:val="20"/>
          <w:szCs w:val="20"/>
        </w:rPr>
        <w:t xml:space="preserve"> </w:t>
      </w:r>
      <w:r w:rsidRPr="003F36DA">
        <w:rPr>
          <w:rFonts w:ascii="Arial" w:hAnsi="Arial" w:cs="Arial"/>
          <w:i/>
          <w:iCs/>
          <w:color w:val="000000"/>
          <w:sz w:val="20"/>
          <w:szCs w:val="20"/>
        </w:rPr>
        <w:t>SMN1</w:t>
      </w:r>
      <w:r w:rsidRPr="003F36DA">
        <w:rPr>
          <w:rFonts w:ascii="Arial" w:hAnsi="Arial" w:cs="Arial"/>
          <w:color w:val="000000"/>
          <w:sz w:val="20"/>
          <w:szCs w:val="20"/>
        </w:rPr>
        <w:t>.</w:t>
      </w:r>
    </w:p>
    <w:p w14:paraId="2C80BD26" w14:textId="77777777" w:rsidR="00956245" w:rsidRDefault="00956245" w:rsidP="001F6887">
      <w:pPr>
        <w:jc w:val="both"/>
        <w:rPr>
          <w:rFonts w:ascii="Arial" w:hAnsi="Arial" w:cs="Arial"/>
          <w:sz w:val="20"/>
          <w:szCs w:val="20"/>
        </w:rPr>
      </w:pPr>
    </w:p>
    <w:p w14:paraId="1269E99D" w14:textId="7583A4E3" w:rsidR="00956245" w:rsidRPr="00D5226F" w:rsidRDefault="004158AA" w:rsidP="001F6887">
      <w:pPr>
        <w:jc w:val="both"/>
        <w:rPr>
          <w:rFonts w:ascii="Arial" w:eastAsia="MS Mincho" w:hAnsi="Arial" w:cs="Arial"/>
          <w:color w:val="000000"/>
          <w:sz w:val="20"/>
          <w:szCs w:val="20"/>
          <w:lang w:eastAsia="ja-JP"/>
        </w:rPr>
      </w:pPr>
      <w:r>
        <w:rPr>
          <w:rFonts w:ascii="Arial" w:hAnsi="Arial" w:cs="Arial"/>
          <w:sz w:val="20"/>
          <w:szCs w:val="20"/>
        </w:rPr>
        <w:lastRenderedPageBreak/>
        <w:t>En este informe se indica que, a</w:t>
      </w:r>
      <w:r w:rsidRPr="004158AA">
        <w:rPr>
          <w:rFonts w:ascii="Arial" w:hAnsi="Arial" w:cs="Arial"/>
          <w:sz w:val="20"/>
          <w:szCs w:val="20"/>
        </w:rPr>
        <w:t>unque otra opción de tratamiento disponible es nusinersen, el tratamiento con nusinersen está asociado</w:t>
      </w:r>
      <w:r>
        <w:rPr>
          <w:rFonts w:ascii="Arial" w:hAnsi="Arial" w:cs="Arial"/>
          <w:sz w:val="20"/>
          <w:szCs w:val="20"/>
        </w:rPr>
        <w:t xml:space="preserve"> </w:t>
      </w:r>
      <w:r w:rsidRPr="004158AA">
        <w:rPr>
          <w:rFonts w:ascii="Arial" w:hAnsi="Arial" w:cs="Arial"/>
          <w:sz w:val="20"/>
          <w:szCs w:val="20"/>
        </w:rPr>
        <w:t>con una carga significativa para el paciente, ya que requiere una inyección intratecal de por vida, asociada</w:t>
      </w:r>
      <w:r w:rsidR="00956245">
        <w:rPr>
          <w:rFonts w:ascii="Arial" w:hAnsi="Arial" w:cs="Arial"/>
          <w:sz w:val="20"/>
          <w:szCs w:val="20"/>
        </w:rPr>
        <w:t xml:space="preserve"> </w:t>
      </w:r>
      <w:r w:rsidRPr="004158AA">
        <w:rPr>
          <w:rFonts w:ascii="Arial" w:hAnsi="Arial" w:cs="Arial"/>
          <w:sz w:val="20"/>
          <w:szCs w:val="20"/>
        </w:rPr>
        <w:t xml:space="preserve">con riesgos de seguridad. Se acuerda que los datos de </w:t>
      </w:r>
      <w:r w:rsidR="00482C21">
        <w:rPr>
          <w:rFonts w:ascii="Arial" w:eastAsia="MS Mincho" w:hAnsi="Arial" w:cs="Arial"/>
          <w:color w:val="000000"/>
          <w:sz w:val="20"/>
          <w:szCs w:val="20"/>
          <w:lang w:eastAsia="ja-JP"/>
        </w:rPr>
        <w:t>onasemnogén</w:t>
      </w:r>
      <w:r w:rsidR="00956245" w:rsidRPr="0070077A">
        <w:rPr>
          <w:rFonts w:ascii="Arial" w:eastAsia="MS Mincho" w:hAnsi="Arial" w:cs="Arial"/>
          <w:color w:val="000000"/>
          <w:sz w:val="20"/>
          <w:szCs w:val="20"/>
          <w:lang w:eastAsia="ja-JP"/>
        </w:rPr>
        <w:t xml:space="preserve"> abeparvovec</w:t>
      </w:r>
      <w:r w:rsidRPr="004158AA">
        <w:rPr>
          <w:rFonts w:ascii="Arial" w:hAnsi="Arial" w:cs="Arial"/>
          <w:sz w:val="20"/>
          <w:szCs w:val="20"/>
        </w:rPr>
        <w:t xml:space="preserve"> evaluados hasta ahora sugieren fuertemente que</w:t>
      </w:r>
      <w:r w:rsidR="00956245">
        <w:rPr>
          <w:rFonts w:ascii="Arial" w:hAnsi="Arial" w:cs="Arial"/>
          <w:sz w:val="20"/>
          <w:szCs w:val="20"/>
        </w:rPr>
        <w:t xml:space="preserve"> su </w:t>
      </w:r>
      <w:r w:rsidRPr="004158AA">
        <w:rPr>
          <w:rFonts w:ascii="Arial" w:hAnsi="Arial" w:cs="Arial"/>
          <w:sz w:val="20"/>
          <w:szCs w:val="20"/>
        </w:rPr>
        <w:t>eficacia en la población de pacientes previs</w:t>
      </w:r>
      <w:r w:rsidR="00956245">
        <w:rPr>
          <w:rFonts w:ascii="Arial" w:hAnsi="Arial" w:cs="Arial"/>
          <w:sz w:val="20"/>
          <w:szCs w:val="20"/>
        </w:rPr>
        <w:t xml:space="preserve">ta superará la de nusinersen. </w:t>
      </w:r>
      <w:r w:rsidRPr="004158AA">
        <w:rPr>
          <w:rFonts w:ascii="Arial" w:hAnsi="Arial" w:cs="Arial"/>
          <w:sz w:val="20"/>
          <w:szCs w:val="20"/>
        </w:rPr>
        <w:t>Además, se considera que dada la diferencia en el mecanismo de acción entre nusinersen y</w:t>
      </w:r>
      <w:r w:rsidR="00956245">
        <w:rPr>
          <w:rFonts w:ascii="Arial" w:hAnsi="Arial" w:cs="Arial"/>
          <w:sz w:val="20"/>
          <w:szCs w:val="20"/>
        </w:rPr>
        <w:t xml:space="preserve"> </w:t>
      </w:r>
      <w:r w:rsidR="00482C21">
        <w:rPr>
          <w:rFonts w:ascii="Arial" w:eastAsia="MS Mincho" w:hAnsi="Arial" w:cs="Arial"/>
          <w:color w:val="000000"/>
          <w:sz w:val="20"/>
          <w:szCs w:val="20"/>
          <w:lang w:eastAsia="ja-JP"/>
        </w:rPr>
        <w:t>onasemnogén</w:t>
      </w:r>
      <w:r w:rsidR="00956245" w:rsidRPr="0070077A">
        <w:rPr>
          <w:rFonts w:ascii="Arial" w:eastAsia="MS Mincho" w:hAnsi="Arial" w:cs="Arial"/>
          <w:color w:val="000000"/>
          <w:sz w:val="20"/>
          <w:szCs w:val="20"/>
          <w:lang w:eastAsia="ja-JP"/>
        </w:rPr>
        <w:t xml:space="preserve"> abeparvovec</w:t>
      </w:r>
      <w:r w:rsidRPr="004158AA">
        <w:rPr>
          <w:rFonts w:ascii="Arial" w:hAnsi="Arial" w:cs="Arial"/>
          <w:sz w:val="20"/>
          <w:szCs w:val="20"/>
        </w:rPr>
        <w:t xml:space="preserve">, se espera que </w:t>
      </w:r>
      <w:r w:rsidR="00482C21">
        <w:rPr>
          <w:rFonts w:ascii="Arial" w:eastAsia="MS Mincho" w:hAnsi="Arial" w:cs="Arial"/>
          <w:color w:val="000000"/>
          <w:sz w:val="20"/>
          <w:szCs w:val="20"/>
          <w:lang w:eastAsia="ja-JP"/>
        </w:rPr>
        <w:t>onasemnogén</w:t>
      </w:r>
      <w:r w:rsidR="00956245" w:rsidRPr="0070077A">
        <w:rPr>
          <w:rFonts w:ascii="Arial" w:eastAsia="MS Mincho" w:hAnsi="Arial" w:cs="Arial"/>
          <w:color w:val="000000"/>
          <w:sz w:val="20"/>
          <w:szCs w:val="20"/>
          <w:lang w:eastAsia="ja-JP"/>
        </w:rPr>
        <w:t xml:space="preserve"> abeparvovec</w:t>
      </w:r>
      <w:r w:rsidRPr="004158AA">
        <w:rPr>
          <w:rFonts w:ascii="Arial" w:hAnsi="Arial" w:cs="Arial"/>
          <w:sz w:val="20"/>
          <w:szCs w:val="20"/>
        </w:rPr>
        <w:t xml:space="preserve"> sea más eficaz en pacientes con 2 copias de SMN2 ya que</w:t>
      </w:r>
      <w:r w:rsidR="00956245">
        <w:rPr>
          <w:rFonts w:ascii="Arial" w:hAnsi="Arial" w:cs="Arial"/>
          <w:sz w:val="20"/>
          <w:szCs w:val="20"/>
        </w:rPr>
        <w:t xml:space="preserve"> </w:t>
      </w:r>
      <w:r w:rsidRPr="004158AA">
        <w:rPr>
          <w:rFonts w:ascii="Arial" w:hAnsi="Arial" w:cs="Arial"/>
          <w:sz w:val="20"/>
          <w:szCs w:val="20"/>
        </w:rPr>
        <w:t xml:space="preserve">nusinersen aumenta la transcripción de la proteína de longitud completa del gen SMN2. Por lo tanto, </w:t>
      </w:r>
      <w:r w:rsidR="00956245">
        <w:rPr>
          <w:rFonts w:ascii="Arial" w:hAnsi="Arial" w:cs="Arial"/>
          <w:sz w:val="20"/>
          <w:szCs w:val="20"/>
        </w:rPr>
        <w:t>c</w:t>
      </w:r>
      <w:r w:rsidRPr="004158AA">
        <w:rPr>
          <w:rFonts w:ascii="Arial" w:hAnsi="Arial" w:cs="Arial"/>
          <w:sz w:val="20"/>
          <w:szCs w:val="20"/>
        </w:rPr>
        <w:t xml:space="preserve">abe esperar una </w:t>
      </w:r>
      <w:r w:rsidR="00956245" w:rsidRPr="004158AA">
        <w:rPr>
          <w:rFonts w:ascii="Arial" w:hAnsi="Arial" w:cs="Arial"/>
          <w:sz w:val="20"/>
          <w:szCs w:val="20"/>
        </w:rPr>
        <w:t>importante</w:t>
      </w:r>
      <w:r w:rsidR="00956245">
        <w:rPr>
          <w:rFonts w:ascii="Arial" w:hAnsi="Arial" w:cs="Arial"/>
          <w:sz w:val="20"/>
          <w:szCs w:val="20"/>
        </w:rPr>
        <w:t xml:space="preserve"> </w:t>
      </w:r>
      <w:r w:rsidRPr="004158AA">
        <w:rPr>
          <w:rFonts w:ascii="Arial" w:hAnsi="Arial" w:cs="Arial"/>
          <w:sz w:val="20"/>
          <w:szCs w:val="20"/>
        </w:rPr>
        <w:t xml:space="preserve">ventaja terapéutica para </w:t>
      </w:r>
      <w:r w:rsidR="00482C21">
        <w:rPr>
          <w:rFonts w:ascii="Arial" w:eastAsia="MS Mincho" w:hAnsi="Arial" w:cs="Arial"/>
          <w:color w:val="000000"/>
          <w:sz w:val="20"/>
          <w:szCs w:val="20"/>
          <w:lang w:eastAsia="ja-JP"/>
        </w:rPr>
        <w:t>onasemnogén</w:t>
      </w:r>
      <w:r w:rsidR="00956245" w:rsidRPr="0070077A">
        <w:rPr>
          <w:rFonts w:ascii="Arial" w:eastAsia="MS Mincho" w:hAnsi="Arial" w:cs="Arial"/>
          <w:color w:val="000000"/>
          <w:sz w:val="20"/>
          <w:szCs w:val="20"/>
          <w:lang w:eastAsia="ja-JP"/>
        </w:rPr>
        <w:t xml:space="preserve"> abeparvovec</w:t>
      </w:r>
      <w:r w:rsidR="00956245">
        <w:rPr>
          <w:rFonts w:ascii="Arial" w:eastAsia="MS Mincho" w:hAnsi="Arial" w:cs="Arial"/>
          <w:color w:val="000000"/>
          <w:sz w:val="20"/>
          <w:szCs w:val="20"/>
          <w:lang w:eastAsia="ja-JP"/>
        </w:rPr>
        <w:t>.</w:t>
      </w:r>
    </w:p>
    <w:p w14:paraId="189C0FC3" w14:textId="45128EB4" w:rsidR="00956245" w:rsidRDefault="00956245" w:rsidP="001F6887">
      <w:pPr>
        <w:jc w:val="both"/>
        <w:rPr>
          <w:rFonts w:ascii="Arial" w:hAnsi="Arial" w:cs="Arial"/>
          <w:sz w:val="20"/>
          <w:szCs w:val="20"/>
        </w:rPr>
      </w:pPr>
    </w:p>
    <w:p w14:paraId="73F9766A" w14:textId="2A49094A" w:rsidR="00051915" w:rsidRDefault="00051915" w:rsidP="001F6887">
      <w:pPr>
        <w:jc w:val="both"/>
        <w:rPr>
          <w:rFonts w:ascii="Arial" w:hAnsi="Arial" w:cs="Arial"/>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0"/>
      </w:tblGrid>
      <w:tr w:rsidR="00FA0C0C" w14:paraId="453F6650" w14:textId="77777777" w:rsidTr="00CF6657">
        <w:trPr>
          <w:trHeight w:val="228"/>
        </w:trPr>
        <w:tc>
          <w:tcPr>
            <w:tcW w:w="8890" w:type="dxa"/>
            <w:shd w:val="clear" w:color="auto" w:fill="B3B3B3"/>
          </w:tcPr>
          <w:p w14:paraId="6F08F22C" w14:textId="4278178B" w:rsidR="00FA0C0C" w:rsidRDefault="00FA0C0C" w:rsidP="001F6887">
            <w:pPr>
              <w:pStyle w:val="Ttulo1"/>
              <w:shd w:val="clear" w:color="auto" w:fill="A6A6A6"/>
              <w:rPr>
                <w:rFonts w:ascii="Arial" w:hAnsi="Arial" w:cs="Arial"/>
                <w:kern w:val="0"/>
                <w:sz w:val="20"/>
                <w:szCs w:val="20"/>
              </w:rPr>
            </w:pPr>
            <w:bookmarkStart w:id="81" w:name="_Toc348931381"/>
            <w:bookmarkStart w:id="82" w:name="_Toc344399650"/>
            <w:r>
              <w:rPr>
                <w:rFonts w:ascii="Arial" w:hAnsi="Arial" w:cs="Arial"/>
                <w:kern w:val="0"/>
                <w:sz w:val="20"/>
                <w:szCs w:val="20"/>
              </w:rPr>
              <w:t>6. EVALUACIÓN DE LA SEGURIDAD.</w:t>
            </w:r>
            <w:bookmarkEnd w:id="81"/>
            <w:bookmarkEnd w:id="82"/>
            <w:r>
              <w:rPr>
                <w:rFonts w:ascii="Arial" w:hAnsi="Arial" w:cs="Arial"/>
                <w:kern w:val="0"/>
                <w:sz w:val="20"/>
                <w:szCs w:val="20"/>
              </w:rPr>
              <w:t xml:space="preserve"> </w:t>
            </w:r>
          </w:p>
        </w:tc>
      </w:tr>
    </w:tbl>
    <w:p w14:paraId="2C44ED4C" w14:textId="77777777" w:rsidR="00FA0C0C" w:rsidRDefault="00FA0C0C" w:rsidP="001F6887">
      <w:pPr>
        <w:rPr>
          <w:rFonts w:ascii="Arial" w:hAnsi="Arial" w:cs="Arial"/>
          <w:sz w:val="20"/>
          <w:szCs w:val="20"/>
        </w:rPr>
      </w:pPr>
    </w:p>
    <w:p w14:paraId="6B50351A" w14:textId="142C14BA" w:rsidR="00FA0C0C" w:rsidRPr="001570AA"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16"/>
        </w:rPr>
      </w:pPr>
      <w:bookmarkStart w:id="83" w:name="_Toc348931382"/>
      <w:bookmarkStart w:id="84" w:name="_Toc344399651"/>
      <w:r w:rsidRPr="001570AA">
        <w:rPr>
          <w:rFonts w:ascii="Arial" w:hAnsi="Arial" w:cs="Arial"/>
          <w:sz w:val="20"/>
          <w:szCs w:val="16"/>
        </w:rPr>
        <w:t>6.1.a Descripción de la búsqueda bibliográfica</w:t>
      </w:r>
      <w:bookmarkEnd w:id="83"/>
      <w:bookmarkEnd w:id="84"/>
    </w:p>
    <w:p w14:paraId="373070BF" w14:textId="77777777" w:rsidR="00036A6B" w:rsidRDefault="00036A6B" w:rsidP="001F6887">
      <w:pPr>
        <w:shd w:val="clear" w:color="auto" w:fill="FFFFFF"/>
        <w:jc w:val="both"/>
        <w:rPr>
          <w:rFonts w:ascii="Arial" w:hAnsi="Arial" w:cs="Arial"/>
          <w:sz w:val="20"/>
          <w:szCs w:val="20"/>
        </w:rPr>
      </w:pPr>
    </w:p>
    <w:p w14:paraId="7F1224FF" w14:textId="1B9C3201" w:rsidR="00FA0C0C" w:rsidRDefault="00FA0C0C" w:rsidP="001F6887">
      <w:pPr>
        <w:shd w:val="clear" w:color="auto" w:fill="FFFFFF"/>
        <w:jc w:val="both"/>
        <w:rPr>
          <w:rFonts w:ascii="Arial" w:hAnsi="Arial" w:cs="Arial"/>
          <w:sz w:val="20"/>
          <w:szCs w:val="20"/>
        </w:rPr>
      </w:pPr>
      <w:r>
        <w:rPr>
          <w:rFonts w:ascii="Arial" w:hAnsi="Arial" w:cs="Arial"/>
          <w:sz w:val="20"/>
          <w:szCs w:val="20"/>
        </w:rPr>
        <w:t>La descrita en el apartado 5.1</w:t>
      </w:r>
      <w:r w:rsidR="002D5D42">
        <w:rPr>
          <w:rFonts w:ascii="Arial" w:hAnsi="Arial" w:cs="Arial"/>
          <w:sz w:val="20"/>
          <w:szCs w:val="20"/>
        </w:rPr>
        <w:t>.</w:t>
      </w:r>
    </w:p>
    <w:p w14:paraId="5800391F" w14:textId="77777777" w:rsidR="002D5D42" w:rsidRDefault="002D5D42" w:rsidP="001F6887">
      <w:pPr>
        <w:shd w:val="clear" w:color="auto" w:fill="FFFFFF"/>
        <w:jc w:val="both"/>
        <w:rPr>
          <w:rFonts w:ascii="Arial" w:hAnsi="Arial" w:cs="Arial"/>
          <w:sz w:val="20"/>
          <w:szCs w:val="20"/>
        </w:rPr>
      </w:pPr>
    </w:p>
    <w:p w14:paraId="52371EBD" w14:textId="77777777" w:rsidR="002D5D42" w:rsidRDefault="002D5D42" w:rsidP="001F6887">
      <w:pPr>
        <w:shd w:val="clear" w:color="auto" w:fill="FFFFFF"/>
        <w:jc w:val="both"/>
        <w:rPr>
          <w:rFonts w:ascii="Arial" w:hAnsi="Arial" w:cs="Arial"/>
          <w:sz w:val="20"/>
          <w:szCs w:val="20"/>
        </w:rPr>
      </w:pPr>
    </w:p>
    <w:p w14:paraId="762242E5" w14:textId="7A23E641" w:rsidR="00FA0C0C" w:rsidRPr="001570AA"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85" w:name="_Toc348931383"/>
      <w:bookmarkStart w:id="86" w:name="_Toc344399652"/>
      <w:r w:rsidRPr="001570AA">
        <w:rPr>
          <w:rFonts w:ascii="Arial" w:hAnsi="Arial" w:cs="Arial"/>
          <w:sz w:val="20"/>
          <w:szCs w:val="20"/>
        </w:rPr>
        <w:t>6.1.b Descripción de los efectos adversos más significativos</w:t>
      </w:r>
      <w:bookmarkEnd w:id="85"/>
      <w:bookmarkEnd w:id="86"/>
    </w:p>
    <w:p w14:paraId="58622BEC" w14:textId="77777777" w:rsidR="00036A6B" w:rsidRDefault="00036A6B" w:rsidP="001F6887">
      <w:pPr>
        <w:shd w:val="clear" w:color="auto" w:fill="FFFFFF"/>
        <w:jc w:val="both"/>
        <w:rPr>
          <w:rFonts w:ascii="Arial" w:hAnsi="Arial" w:cs="Arial"/>
          <w:sz w:val="20"/>
          <w:szCs w:val="20"/>
        </w:rPr>
      </w:pPr>
    </w:p>
    <w:p w14:paraId="2F073A57" w14:textId="05ED5C53" w:rsidR="003A1455" w:rsidRDefault="00FA0C0C" w:rsidP="001F6887">
      <w:pPr>
        <w:shd w:val="clear" w:color="auto" w:fill="FFFFFF"/>
        <w:jc w:val="both"/>
        <w:rPr>
          <w:rFonts w:ascii="Arial" w:hAnsi="Arial" w:cs="Arial"/>
          <w:sz w:val="20"/>
          <w:szCs w:val="20"/>
        </w:rPr>
      </w:pPr>
      <w:r>
        <w:rPr>
          <w:rFonts w:ascii="Arial" w:hAnsi="Arial" w:cs="Arial"/>
          <w:sz w:val="20"/>
          <w:szCs w:val="20"/>
        </w:rPr>
        <w:t>Según los datos del EPAR</w:t>
      </w:r>
      <w:r w:rsidR="001570AA" w:rsidRPr="001570AA">
        <w:rPr>
          <w:rFonts w:ascii="Arial" w:hAnsi="Arial" w:cs="Arial"/>
          <w:sz w:val="20"/>
          <w:szCs w:val="20"/>
          <w:vertAlign w:val="superscript"/>
        </w:rPr>
        <w:fldChar w:fldCharType="begin"/>
      </w:r>
      <w:r w:rsidR="001570AA" w:rsidRPr="001570AA">
        <w:rPr>
          <w:rFonts w:ascii="Arial" w:hAnsi="Arial" w:cs="Arial"/>
          <w:sz w:val="20"/>
          <w:szCs w:val="20"/>
          <w:vertAlign w:val="superscript"/>
        </w:rPr>
        <w:instrText xml:space="preserve"> NOTEREF _Ref52267010 \h </w:instrText>
      </w:r>
      <w:r w:rsidR="001570AA">
        <w:rPr>
          <w:rFonts w:ascii="Arial" w:hAnsi="Arial" w:cs="Arial"/>
          <w:sz w:val="20"/>
          <w:szCs w:val="20"/>
          <w:vertAlign w:val="superscript"/>
        </w:rPr>
        <w:instrText xml:space="preserve"> \* MERGEFORMAT </w:instrText>
      </w:r>
      <w:r w:rsidR="001570AA" w:rsidRPr="001570AA">
        <w:rPr>
          <w:rFonts w:ascii="Arial" w:hAnsi="Arial" w:cs="Arial"/>
          <w:sz w:val="20"/>
          <w:szCs w:val="20"/>
          <w:vertAlign w:val="superscript"/>
        </w:rPr>
      </w:r>
      <w:r w:rsidR="001570AA" w:rsidRPr="001570AA">
        <w:rPr>
          <w:rFonts w:ascii="Arial" w:hAnsi="Arial" w:cs="Arial"/>
          <w:sz w:val="20"/>
          <w:szCs w:val="20"/>
          <w:vertAlign w:val="superscript"/>
        </w:rPr>
        <w:fldChar w:fldCharType="separate"/>
      </w:r>
      <w:r w:rsidR="00E277F2">
        <w:rPr>
          <w:rFonts w:ascii="Arial" w:hAnsi="Arial" w:cs="Arial"/>
          <w:sz w:val="20"/>
          <w:szCs w:val="20"/>
          <w:vertAlign w:val="superscript"/>
        </w:rPr>
        <w:t>1</w:t>
      </w:r>
      <w:r w:rsidR="001570AA" w:rsidRPr="001570AA">
        <w:rPr>
          <w:rFonts w:ascii="Arial" w:hAnsi="Arial" w:cs="Arial"/>
          <w:sz w:val="20"/>
          <w:szCs w:val="20"/>
          <w:vertAlign w:val="superscript"/>
        </w:rPr>
        <w:fldChar w:fldCharType="end"/>
      </w:r>
      <w:r w:rsidR="00C25A29">
        <w:rPr>
          <w:rFonts w:ascii="Arial" w:hAnsi="Arial" w:cs="Arial"/>
          <w:sz w:val="20"/>
          <w:szCs w:val="20"/>
        </w:rPr>
        <w:t>, l</w:t>
      </w:r>
      <w:r w:rsidR="00C25A29" w:rsidRPr="00C25A29">
        <w:rPr>
          <w:rFonts w:ascii="Arial" w:hAnsi="Arial" w:cs="Arial"/>
          <w:sz w:val="20"/>
          <w:szCs w:val="20"/>
        </w:rPr>
        <w:t xml:space="preserve">as reacciones adversas comunicadas con </w:t>
      </w:r>
      <w:r w:rsidR="00C25A29" w:rsidRPr="003A1455">
        <w:rPr>
          <w:rFonts w:ascii="Arial" w:hAnsi="Arial" w:cs="Arial"/>
          <w:b/>
          <w:sz w:val="20"/>
          <w:szCs w:val="20"/>
        </w:rPr>
        <w:t>más frecuencia</w:t>
      </w:r>
      <w:r w:rsidR="00C25A29" w:rsidRPr="00C25A29">
        <w:rPr>
          <w:rFonts w:ascii="Arial" w:hAnsi="Arial" w:cs="Arial"/>
          <w:sz w:val="20"/>
          <w:szCs w:val="20"/>
        </w:rPr>
        <w:t xml:space="preserve"> tras la administración fueron el aumento transitorio de transaminasas hepáticas</w:t>
      </w:r>
      <w:r w:rsidR="00C25A29">
        <w:rPr>
          <w:rFonts w:ascii="Arial" w:hAnsi="Arial" w:cs="Arial"/>
          <w:sz w:val="20"/>
          <w:szCs w:val="20"/>
        </w:rPr>
        <w:t xml:space="preserve"> </w:t>
      </w:r>
      <w:r w:rsidR="00810DDE">
        <w:rPr>
          <w:rFonts w:ascii="Arial" w:hAnsi="Arial" w:cs="Arial"/>
          <w:sz w:val="20"/>
          <w:szCs w:val="20"/>
        </w:rPr>
        <w:t>(12,4</w:t>
      </w:r>
      <w:r w:rsidR="00C25A29" w:rsidRPr="00C25A29">
        <w:rPr>
          <w:rFonts w:ascii="Arial" w:hAnsi="Arial" w:cs="Arial"/>
          <w:sz w:val="20"/>
          <w:szCs w:val="20"/>
        </w:rPr>
        <w:t xml:space="preserve">%) y </w:t>
      </w:r>
      <w:r w:rsidR="001570AA">
        <w:rPr>
          <w:rFonts w:ascii="Arial" w:hAnsi="Arial" w:cs="Arial"/>
          <w:sz w:val="20"/>
          <w:szCs w:val="20"/>
        </w:rPr>
        <w:t xml:space="preserve">los </w:t>
      </w:r>
      <w:r w:rsidR="00C25A29" w:rsidRPr="00C25A29">
        <w:rPr>
          <w:rFonts w:ascii="Arial" w:hAnsi="Arial" w:cs="Arial"/>
          <w:sz w:val="20"/>
          <w:szCs w:val="20"/>
        </w:rPr>
        <w:t>vómitos (8,2</w:t>
      </w:r>
      <w:r w:rsidR="00810DDE">
        <w:rPr>
          <w:rFonts w:ascii="Arial" w:hAnsi="Arial" w:cs="Arial"/>
          <w:sz w:val="20"/>
          <w:szCs w:val="20"/>
        </w:rPr>
        <w:t>0</w:t>
      </w:r>
      <w:r w:rsidR="00C25A29" w:rsidRPr="00C25A29">
        <w:rPr>
          <w:rFonts w:ascii="Arial" w:hAnsi="Arial" w:cs="Arial"/>
          <w:sz w:val="20"/>
          <w:szCs w:val="20"/>
        </w:rPr>
        <w:t>%)</w:t>
      </w:r>
      <w:r w:rsidR="00C25A29">
        <w:rPr>
          <w:rFonts w:ascii="Arial" w:hAnsi="Arial" w:cs="Arial"/>
          <w:sz w:val="20"/>
          <w:szCs w:val="20"/>
        </w:rPr>
        <w:t>. Otras reacciones adversas frecuentes fueron trombocitopenia, pirexia y elevación de troponina I.</w:t>
      </w:r>
    </w:p>
    <w:p w14:paraId="493BE316" w14:textId="77777777" w:rsidR="00036A6B" w:rsidRDefault="00036A6B" w:rsidP="001F6887">
      <w:pPr>
        <w:shd w:val="clear" w:color="auto" w:fill="FFFFFF"/>
        <w:jc w:val="both"/>
        <w:rPr>
          <w:rFonts w:ascii="Arial" w:hAnsi="Arial" w:cs="Arial"/>
          <w:sz w:val="20"/>
          <w:szCs w:val="20"/>
        </w:rPr>
      </w:pPr>
    </w:p>
    <w:p w14:paraId="6EC89589" w14:textId="75562A3B" w:rsidR="00FA0C0C" w:rsidRDefault="00FA0C0C" w:rsidP="001F6887">
      <w:pPr>
        <w:shd w:val="clear" w:color="auto" w:fill="FFFFFF"/>
        <w:jc w:val="both"/>
        <w:rPr>
          <w:rFonts w:ascii="Arial" w:hAnsi="Arial" w:cs="Arial"/>
          <w:sz w:val="20"/>
          <w:szCs w:val="20"/>
        </w:rPr>
      </w:pPr>
      <w:r>
        <w:rPr>
          <w:rFonts w:ascii="Arial" w:hAnsi="Arial" w:cs="Arial"/>
          <w:sz w:val="20"/>
          <w:szCs w:val="20"/>
        </w:rPr>
        <w:t>A continuación, se detallan algunos efectos adversos de especial interés:</w:t>
      </w:r>
    </w:p>
    <w:p w14:paraId="1983A17B" w14:textId="77777777" w:rsidR="00036A6B" w:rsidRDefault="00036A6B" w:rsidP="001F6887">
      <w:pPr>
        <w:autoSpaceDE w:val="0"/>
        <w:autoSpaceDN w:val="0"/>
        <w:adjustRightInd w:val="0"/>
        <w:jc w:val="both"/>
        <w:rPr>
          <w:rFonts w:ascii="Arial" w:hAnsi="Arial" w:cs="Arial"/>
          <w:sz w:val="20"/>
          <w:szCs w:val="20"/>
          <w:u w:val="single"/>
        </w:rPr>
      </w:pPr>
    </w:p>
    <w:p w14:paraId="68FDFD15" w14:textId="51DFAFEB" w:rsidR="00C25A29" w:rsidRPr="00C25A29" w:rsidRDefault="00C25A29" w:rsidP="001F6887">
      <w:pPr>
        <w:autoSpaceDE w:val="0"/>
        <w:autoSpaceDN w:val="0"/>
        <w:adjustRightInd w:val="0"/>
        <w:jc w:val="both"/>
        <w:rPr>
          <w:rFonts w:ascii="Arial" w:hAnsi="Arial" w:cs="Arial"/>
          <w:sz w:val="20"/>
          <w:szCs w:val="20"/>
          <w:u w:val="single"/>
        </w:rPr>
      </w:pPr>
      <w:r w:rsidRPr="00C25A29">
        <w:rPr>
          <w:rFonts w:ascii="Arial" w:hAnsi="Arial" w:cs="Arial"/>
          <w:sz w:val="20"/>
          <w:szCs w:val="20"/>
          <w:u w:val="single"/>
        </w:rPr>
        <w:t xml:space="preserve">Trastornos hepatobiliares </w:t>
      </w:r>
    </w:p>
    <w:p w14:paraId="094FEEFD" w14:textId="1803F743" w:rsidR="00C25A29" w:rsidRDefault="00C25A29" w:rsidP="001F6887">
      <w:pPr>
        <w:autoSpaceDE w:val="0"/>
        <w:autoSpaceDN w:val="0"/>
        <w:adjustRightInd w:val="0"/>
        <w:jc w:val="both"/>
        <w:rPr>
          <w:rFonts w:ascii="Arial" w:hAnsi="Arial" w:cs="Arial"/>
          <w:sz w:val="20"/>
          <w:szCs w:val="20"/>
        </w:rPr>
      </w:pPr>
      <w:r w:rsidRPr="00C25A29">
        <w:rPr>
          <w:rFonts w:ascii="Arial" w:hAnsi="Arial" w:cs="Arial"/>
          <w:sz w:val="20"/>
          <w:szCs w:val="20"/>
        </w:rPr>
        <w:t>Se notificaron valores elevados de transaminasas superiores a dos veces el LSN en hasta un 12% de los</w:t>
      </w:r>
      <w:r w:rsidR="007543CF">
        <w:rPr>
          <w:rFonts w:ascii="Arial" w:hAnsi="Arial" w:cs="Arial"/>
          <w:sz w:val="20"/>
          <w:szCs w:val="20"/>
        </w:rPr>
        <w:t xml:space="preserve"> </w:t>
      </w:r>
      <w:r w:rsidRPr="00C25A29">
        <w:rPr>
          <w:rFonts w:ascii="Arial" w:hAnsi="Arial" w:cs="Arial"/>
          <w:sz w:val="20"/>
          <w:szCs w:val="20"/>
        </w:rPr>
        <w:t>pacientes tratados con la dosis recomendada, que se consideraron relacionados con el medicamento del estudio. Dos pacientes presentaron elevaciones de AST y ALT de &gt; 20 × LSN (uno de estos pacientes estaba sufriendo una infección viral). Estos pacientes estaban clínicamente asintomáticos, no presentaban ictericia ni una elevación clínicamente significativa de la bilirrubina. Las elevaciones de transaminasas séricas se resolvieron con el tratamiento con prednisolona y los pacientes se recuperaron sin secuelas clínicas. Fuera de los estudios clínicos, se notificó un caso de lesión hepática aguda gr</w:t>
      </w:r>
      <w:r w:rsidR="00810DDE">
        <w:rPr>
          <w:rFonts w:ascii="Arial" w:hAnsi="Arial" w:cs="Arial"/>
          <w:sz w:val="20"/>
          <w:szCs w:val="20"/>
        </w:rPr>
        <w:t>ave con onasemnogén abeparvovec</w:t>
      </w:r>
      <w:r w:rsidRPr="00C25A29">
        <w:rPr>
          <w:rFonts w:ascii="Arial" w:hAnsi="Arial" w:cs="Arial"/>
          <w:sz w:val="20"/>
          <w:szCs w:val="20"/>
        </w:rPr>
        <w:t>; el paciente estaba en tratamiento con nusinersen y tenía elevaciones de AST y ALT de &gt; 3 × LSN antes del tratamiento con</w:t>
      </w:r>
      <w:r w:rsidR="007543CF">
        <w:rPr>
          <w:rFonts w:ascii="Arial" w:hAnsi="Arial" w:cs="Arial"/>
          <w:sz w:val="20"/>
          <w:szCs w:val="20"/>
        </w:rPr>
        <w:t xml:space="preserve"> </w:t>
      </w:r>
      <w:r w:rsidR="00594A45">
        <w:rPr>
          <w:rFonts w:ascii="Arial" w:hAnsi="Arial" w:cs="Arial"/>
          <w:sz w:val="20"/>
          <w:szCs w:val="20"/>
        </w:rPr>
        <w:t>onasemnogén abeparvovec</w:t>
      </w:r>
      <w:r w:rsidRPr="00C25A29">
        <w:rPr>
          <w:rFonts w:ascii="Arial" w:hAnsi="Arial" w:cs="Arial"/>
          <w:sz w:val="20"/>
          <w:szCs w:val="20"/>
        </w:rPr>
        <w:t xml:space="preserve">. El paciente se recuperó con tratamiento adicional con esteroides. </w:t>
      </w:r>
    </w:p>
    <w:p w14:paraId="2EA5BB19" w14:textId="77777777" w:rsidR="007543CF" w:rsidRPr="00C25A29" w:rsidRDefault="007543CF" w:rsidP="001F6887">
      <w:pPr>
        <w:autoSpaceDE w:val="0"/>
        <w:autoSpaceDN w:val="0"/>
        <w:adjustRightInd w:val="0"/>
        <w:jc w:val="both"/>
        <w:rPr>
          <w:rFonts w:ascii="Arial" w:hAnsi="Arial" w:cs="Arial"/>
          <w:sz w:val="20"/>
          <w:szCs w:val="20"/>
        </w:rPr>
      </w:pPr>
    </w:p>
    <w:p w14:paraId="5A901AE1" w14:textId="27076FA5" w:rsidR="00C25A29" w:rsidRDefault="00C25A29" w:rsidP="001F6887">
      <w:pPr>
        <w:autoSpaceDE w:val="0"/>
        <w:autoSpaceDN w:val="0"/>
        <w:adjustRightInd w:val="0"/>
        <w:jc w:val="both"/>
        <w:rPr>
          <w:rFonts w:ascii="Arial" w:hAnsi="Arial" w:cs="Arial"/>
          <w:sz w:val="20"/>
          <w:szCs w:val="20"/>
          <w:u w:val="single"/>
        </w:rPr>
      </w:pPr>
      <w:r w:rsidRPr="007543CF">
        <w:rPr>
          <w:rFonts w:ascii="Arial" w:hAnsi="Arial" w:cs="Arial"/>
          <w:sz w:val="20"/>
          <w:szCs w:val="20"/>
          <w:u w:val="single"/>
        </w:rPr>
        <w:t xml:space="preserve">Trombocitopenia transitoria </w:t>
      </w:r>
    </w:p>
    <w:p w14:paraId="519BA4C1" w14:textId="77777777" w:rsidR="00193421" w:rsidRDefault="00C25A29" w:rsidP="001F6887">
      <w:pPr>
        <w:autoSpaceDE w:val="0"/>
        <w:autoSpaceDN w:val="0"/>
        <w:adjustRightInd w:val="0"/>
        <w:jc w:val="both"/>
        <w:rPr>
          <w:rFonts w:ascii="Arial" w:hAnsi="Arial" w:cs="Arial"/>
          <w:sz w:val="20"/>
          <w:szCs w:val="20"/>
        </w:rPr>
      </w:pPr>
      <w:r w:rsidRPr="00C25A29">
        <w:rPr>
          <w:rFonts w:ascii="Arial" w:hAnsi="Arial" w:cs="Arial"/>
          <w:sz w:val="20"/>
          <w:szCs w:val="20"/>
        </w:rPr>
        <w:t>Se han observado disminuciones transitorias con respecto al inicio en los recuentos medios de plaquetas (4,1%) en múltiples puntos temporales con posterioridad a la administración, y normalmente se resuelven dentro de las dos semanas. Las disminuciones en los recuentos de plaquetas fueron más prominentes durante la primera semana de tratamiento. Ningún paciente presentó síntomas clínicos asociados con una disminución de plaquetas</w:t>
      </w:r>
    </w:p>
    <w:p w14:paraId="656401B4" w14:textId="27751461" w:rsidR="00C25A29" w:rsidRPr="00C25A29" w:rsidRDefault="00C25A29" w:rsidP="001F6887">
      <w:pPr>
        <w:autoSpaceDE w:val="0"/>
        <w:autoSpaceDN w:val="0"/>
        <w:adjustRightInd w:val="0"/>
        <w:jc w:val="both"/>
        <w:rPr>
          <w:rFonts w:ascii="Arial" w:hAnsi="Arial" w:cs="Arial"/>
          <w:sz w:val="20"/>
          <w:szCs w:val="20"/>
        </w:rPr>
      </w:pPr>
      <w:r w:rsidRPr="00C25A29">
        <w:rPr>
          <w:rFonts w:ascii="Arial" w:hAnsi="Arial" w:cs="Arial"/>
          <w:sz w:val="20"/>
          <w:szCs w:val="20"/>
        </w:rPr>
        <w:t xml:space="preserve"> </w:t>
      </w:r>
    </w:p>
    <w:p w14:paraId="48A239AC" w14:textId="5B0C5FF2" w:rsidR="00C25A29" w:rsidRDefault="00C25A29" w:rsidP="001F6887">
      <w:pPr>
        <w:autoSpaceDE w:val="0"/>
        <w:autoSpaceDN w:val="0"/>
        <w:adjustRightInd w:val="0"/>
        <w:jc w:val="both"/>
        <w:rPr>
          <w:rFonts w:ascii="Arial" w:hAnsi="Arial" w:cs="Arial"/>
          <w:sz w:val="20"/>
          <w:szCs w:val="20"/>
          <w:u w:val="single"/>
        </w:rPr>
      </w:pPr>
      <w:r w:rsidRPr="00193421">
        <w:rPr>
          <w:rFonts w:ascii="Arial" w:hAnsi="Arial" w:cs="Arial"/>
          <w:sz w:val="20"/>
          <w:szCs w:val="20"/>
          <w:u w:val="single"/>
        </w:rPr>
        <w:t xml:space="preserve">Aumentos de los niveles de troponina I </w:t>
      </w:r>
    </w:p>
    <w:p w14:paraId="249BE459" w14:textId="600D351A" w:rsidR="00193421" w:rsidRDefault="00C25A29" w:rsidP="001F6887">
      <w:pPr>
        <w:autoSpaceDE w:val="0"/>
        <w:autoSpaceDN w:val="0"/>
        <w:adjustRightInd w:val="0"/>
        <w:jc w:val="both"/>
        <w:rPr>
          <w:rFonts w:ascii="Arial" w:hAnsi="Arial" w:cs="Arial"/>
          <w:sz w:val="20"/>
          <w:szCs w:val="20"/>
        </w:rPr>
      </w:pPr>
      <w:r w:rsidRPr="00C25A29">
        <w:rPr>
          <w:rFonts w:ascii="Arial" w:hAnsi="Arial" w:cs="Arial"/>
          <w:sz w:val="20"/>
          <w:szCs w:val="20"/>
        </w:rPr>
        <w:t>Se observaron aumentos de los niveles de troponina I cardíaca (3,1%) hasta 0,2 mcg/l tras la perfusión de</w:t>
      </w:r>
      <w:r w:rsidR="00193421">
        <w:rPr>
          <w:rFonts w:ascii="Arial" w:hAnsi="Arial" w:cs="Arial"/>
          <w:sz w:val="20"/>
          <w:szCs w:val="20"/>
        </w:rPr>
        <w:t xml:space="preserve"> </w:t>
      </w:r>
      <w:r w:rsidRPr="00C25A29">
        <w:rPr>
          <w:rFonts w:ascii="Arial" w:hAnsi="Arial" w:cs="Arial"/>
          <w:sz w:val="20"/>
          <w:szCs w:val="20"/>
        </w:rPr>
        <w:t xml:space="preserve">onasemnogén abeparvovec. En el programa de estudios clínicos, no se observó ningún hallazgo cardíaco clínicamente </w:t>
      </w:r>
      <w:r w:rsidR="00594A45">
        <w:rPr>
          <w:rFonts w:ascii="Arial" w:hAnsi="Arial" w:cs="Arial"/>
          <w:sz w:val="20"/>
          <w:szCs w:val="20"/>
        </w:rPr>
        <w:t>evidente tras la administración.</w:t>
      </w:r>
    </w:p>
    <w:p w14:paraId="128B48D0" w14:textId="3B5E1D6E" w:rsidR="00C25A29" w:rsidRPr="00C25A29" w:rsidRDefault="00C25A29" w:rsidP="001F6887">
      <w:pPr>
        <w:autoSpaceDE w:val="0"/>
        <w:autoSpaceDN w:val="0"/>
        <w:adjustRightInd w:val="0"/>
        <w:jc w:val="both"/>
        <w:rPr>
          <w:rFonts w:ascii="Arial" w:hAnsi="Arial" w:cs="Arial"/>
          <w:sz w:val="20"/>
          <w:szCs w:val="20"/>
        </w:rPr>
      </w:pPr>
      <w:r w:rsidRPr="00C25A29">
        <w:rPr>
          <w:rFonts w:ascii="Arial" w:hAnsi="Arial" w:cs="Arial"/>
          <w:sz w:val="20"/>
          <w:szCs w:val="20"/>
        </w:rPr>
        <w:t xml:space="preserve"> </w:t>
      </w:r>
    </w:p>
    <w:p w14:paraId="0475186D" w14:textId="0B93E694" w:rsidR="00C25A29" w:rsidRDefault="00C25A29" w:rsidP="001F6887">
      <w:pPr>
        <w:autoSpaceDE w:val="0"/>
        <w:autoSpaceDN w:val="0"/>
        <w:adjustRightInd w:val="0"/>
        <w:jc w:val="both"/>
        <w:rPr>
          <w:rFonts w:ascii="Arial" w:hAnsi="Arial" w:cs="Arial"/>
          <w:sz w:val="20"/>
          <w:szCs w:val="20"/>
          <w:u w:val="single"/>
        </w:rPr>
      </w:pPr>
      <w:r w:rsidRPr="00193421">
        <w:rPr>
          <w:rFonts w:ascii="Arial" w:hAnsi="Arial" w:cs="Arial"/>
          <w:sz w:val="20"/>
          <w:szCs w:val="20"/>
          <w:u w:val="single"/>
        </w:rPr>
        <w:t xml:space="preserve">Inmunogenia </w:t>
      </w:r>
    </w:p>
    <w:p w14:paraId="1E2F6C5D" w14:textId="75BB01C8" w:rsidR="00C25A29" w:rsidRPr="00C25A29" w:rsidRDefault="00C25A29" w:rsidP="001F6887">
      <w:pPr>
        <w:autoSpaceDE w:val="0"/>
        <w:autoSpaceDN w:val="0"/>
        <w:adjustRightInd w:val="0"/>
        <w:jc w:val="both"/>
        <w:rPr>
          <w:rFonts w:ascii="Arial" w:hAnsi="Arial" w:cs="Arial"/>
          <w:sz w:val="20"/>
          <w:szCs w:val="20"/>
        </w:rPr>
      </w:pPr>
      <w:r w:rsidRPr="00C25A29">
        <w:rPr>
          <w:rFonts w:ascii="Arial" w:hAnsi="Arial" w:cs="Arial"/>
          <w:sz w:val="20"/>
          <w:szCs w:val="20"/>
        </w:rPr>
        <w:t>En los estudios clínicos se midieron las concentraciones de anticuerpos anti AAV9 previas y posteriores a la terapia génica</w:t>
      </w:r>
      <w:r w:rsidR="00193421">
        <w:rPr>
          <w:rFonts w:ascii="Arial" w:hAnsi="Arial" w:cs="Arial"/>
          <w:sz w:val="20"/>
          <w:szCs w:val="20"/>
        </w:rPr>
        <w:t>.</w:t>
      </w:r>
      <w:r w:rsidRPr="00C25A29">
        <w:rPr>
          <w:rFonts w:ascii="Arial" w:hAnsi="Arial" w:cs="Arial"/>
          <w:sz w:val="20"/>
          <w:szCs w:val="20"/>
        </w:rPr>
        <w:t xml:space="preserve"> Todos los pacientes tratados con onasemnogén abeparvovec presentaron valores de anticuerpos anti AAV9 iguales o menores a 1:50 antes del tratamiento. Se observaron aumentos medios con respecto al inicio en la concentración de anticuerpos anti AAV9 en todos los pacientes</w:t>
      </w:r>
      <w:r w:rsidR="004056AE">
        <w:rPr>
          <w:rFonts w:ascii="Arial" w:hAnsi="Arial" w:cs="Arial"/>
          <w:sz w:val="20"/>
          <w:szCs w:val="20"/>
        </w:rPr>
        <w:t xml:space="preserve"> y</w:t>
      </w:r>
      <w:r w:rsidRPr="00C25A29">
        <w:rPr>
          <w:rFonts w:ascii="Arial" w:hAnsi="Arial" w:cs="Arial"/>
          <w:sz w:val="20"/>
          <w:szCs w:val="20"/>
        </w:rPr>
        <w:t xml:space="preserve"> en todos los puntos temporales salvo uno para niveles de concentración de anticuerpos al péptido AAV9, lo que refleja una respuesta normal al antígeno viral no propio. </w:t>
      </w:r>
      <w:r w:rsidRPr="00C25A29">
        <w:rPr>
          <w:rFonts w:ascii="Arial" w:hAnsi="Arial" w:cs="Arial"/>
          <w:sz w:val="20"/>
          <w:szCs w:val="20"/>
        </w:rPr>
        <w:lastRenderedPageBreak/>
        <w:t xml:space="preserve">Algunos pacientes tuvieron concentraciones anti AAV9 que excedían el nivel de cuantificación; sin embargo, la mayoría de estos pacientes no tuvieron reacciones adversas que pudieran ser clínicamente significativas. En consecuencia, no se ha establecido ninguna relación entre las concentraciones elevadas de anticuerpos anti AAV9 y el potencial para producir reacciones adversas o afectar parámetros de eficacia. </w:t>
      </w:r>
    </w:p>
    <w:p w14:paraId="7E2030AE" w14:textId="77777777" w:rsidR="003A1455" w:rsidRDefault="003A1455" w:rsidP="001F6887">
      <w:pPr>
        <w:shd w:val="clear" w:color="auto" w:fill="FFFFFF"/>
        <w:jc w:val="both"/>
        <w:rPr>
          <w:rFonts w:ascii="Arial" w:hAnsi="Arial" w:cs="Arial"/>
          <w:sz w:val="20"/>
          <w:szCs w:val="20"/>
        </w:rPr>
      </w:pPr>
    </w:p>
    <w:p w14:paraId="61F138E2" w14:textId="6599866C" w:rsidR="003A1455" w:rsidRDefault="003A1455" w:rsidP="001F6887">
      <w:pPr>
        <w:shd w:val="clear" w:color="auto" w:fill="FFFFFF"/>
        <w:jc w:val="both"/>
        <w:rPr>
          <w:rFonts w:ascii="Arial" w:hAnsi="Arial" w:cs="Arial"/>
          <w:sz w:val="20"/>
          <w:szCs w:val="20"/>
        </w:rPr>
      </w:pPr>
      <w:r>
        <w:rPr>
          <w:rFonts w:ascii="Arial" w:hAnsi="Arial" w:cs="Arial"/>
          <w:sz w:val="20"/>
          <w:szCs w:val="20"/>
        </w:rPr>
        <w:t xml:space="preserve">Los eventos </w:t>
      </w:r>
      <w:r w:rsidRPr="003A1455">
        <w:rPr>
          <w:rFonts w:ascii="Arial" w:hAnsi="Arial" w:cs="Arial"/>
          <w:b/>
          <w:sz w:val="20"/>
          <w:szCs w:val="20"/>
        </w:rPr>
        <w:t>adversos graves</w:t>
      </w:r>
      <w:r>
        <w:rPr>
          <w:rFonts w:ascii="Arial" w:hAnsi="Arial" w:cs="Arial"/>
          <w:sz w:val="20"/>
          <w:szCs w:val="20"/>
        </w:rPr>
        <w:t xml:space="preserve"> comunicados en más del 5% de los pacientes fueron: neumonía</w:t>
      </w:r>
      <w:r w:rsidR="00303844">
        <w:rPr>
          <w:rFonts w:ascii="Arial" w:hAnsi="Arial" w:cs="Arial"/>
          <w:sz w:val="20"/>
          <w:szCs w:val="20"/>
        </w:rPr>
        <w:t xml:space="preserve">, </w:t>
      </w:r>
      <w:r w:rsidR="000D7B74">
        <w:rPr>
          <w:rFonts w:ascii="Arial" w:hAnsi="Arial" w:cs="Arial"/>
          <w:sz w:val="20"/>
          <w:szCs w:val="20"/>
        </w:rPr>
        <w:t>distrés</w:t>
      </w:r>
      <w:r w:rsidR="00303844">
        <w:rPr>
          <w:rFonts w:ascii="Arial" w:hAnsi="Arial" w:cs="Arial"/>
          <w:sz w:val="20"/>
          <w:szCs w:val="20"/>
        </w:rPr>
        <w:t xml:space="preserve"> respiratorio, </w:t>
      </w:r>
      <w:r>
        <w:rPr>
          <w:rFonts w:ascii="Arial" w:hAnsi="Arial" w:cs="Arial"/>
          <w:sz w:val="20"/>
          <w:szCs w:val="20"/>
        </w:rPr>
        <w:t>infección del tracto respiratorio superior y broquiolitis por VRS</w:t>
      </w:r>
      <w:r w:rsidR="00303844">
        <w:rPr>
          <w:rFonts w:ascii="Arial" w:hAnsi="Arial" w:cs="Arial"/>
          <w:sz w:val="20"/>
          <w:szCs w:val="20"/>
        </w:rPr>
        <w:t>.</w:t>
      </w:r>
    </w:p>
    <w:p w14:paraId="69D6A108" w14:textId="77777777" w:rsidR="00036A6B" w:rsidRDefault="00036A6B" w:rsidP="001F6887">
      <w:pPr>
        <w:shd w:val="clear" w:color="auto" w:fill="FFFFFF"/>
        <w:jc w:val="both"/>
        <w:rPr>
          <w:rFonts w:ascii="Arial" w:hAnsi="Arial" w:cs="Arial"/>
          <w:sz w:val="20"/>
          <w:szCs w:val="20"/>
        </w:rPr>
      </w:pPr>
    </w:p>
    <w:tbl>
      <w:tblPr>
        <w:tblW w:w="884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74"/>
        <w:gridCol w:w="1475"/>
        <w:gridCol w:w="1474"/>
        <w:gridCol w:w="1475"/>
        <w:gridCol w:w="1474"/>
        <w:gridCol w:w="1476"/>
      </w:tblGrid>
      <w:tr w:rsidR="00C64239" w:rsidRPr="003137B2" w14:paraId="1F464A1E" w14:textId="77777777" w:rsidTr="00957BD8">
        <w:trPr>
          <w:trHeight w:val="280"/>
        </w:trPr>
        <w:tc>
          <w:tcPr>
            <w:tcW w:w="8848" w:type="dxa"/>
            <w:gridSpan w:val="6"/>
            <w:shd w:val="clear" w:color="auto" w:fill="CCFFCC"/>
            <w:vAlign w:val="center"/>
          </w:tcPr>
          <w:p w14:paraId="4D3FAFC0" w14:textId="4DC6C6E2" w:rsidR="00C64239" w:rsidRPr="00051915" w:rsidRDefault="00C64239" w:rsidP="001F6887">
            <w:pPr>
              <w:pStyle w:val="Textonotapie"/>
              <w:jc w:val="both"/>
            </w:pPr>
            <w:r w:rsidRPr="00051915">
              <w:rPr>
                <w:b/>
                <w:bCs/>
                <w:i/>
                <w:iCs/>
                <w:sz w:val="18"/>
                <w:szCs w:val="18"/>
              </w:rPr>
              <w:t xml:space="preserve">Tabla 6.1. Informe EPAR </w:t>
            </w:r>
            <w:r w:rsidR="00463AEF" w:rsidRPr="00051915">
              <w:rPr>
                <w:b/>
                <w:bCs/>
                <w:i/>
                <w:iCs/>
                <w:sz w:val="18"/>
                <w:szCs w:val="18"/>
              </w:rPr>
              <w:t xml:space="preserve">de la </w:t>
            </w:r>
            <w:r w:rsidRPr="00051915">
              <w:rPr>
                <w:b/>
                <w:bCs/>
                <w:i/>
                <w:iCs/>
                <w:sz w:val="18"/>
                <w:szCs w:val="18"/>
              </w:rPr>
              <w:t>EMA</w:t>
            </w:r>
            <w:r w:rsidR="00463AEF" w:rsidRPr="00463AEF">
              <w:rPr>
                <w:b/>
                <w:bCs/>
                <w:i/>
                <w:iCs/>
                <w:sz w:val="18"/>
                <w:szCs w:val="18"/>
                <w:vertAlign w:val="superscript"/>
                <w:lang w:val="en-US"/>
              </w:rPr>
              <w:fldChar w:fldCharType="begin"/>
            </w:r>
            <w:r w:rsidR="00463AEF" w:rsidRPr="00051915">
              <w:rPr>
                <w:b/>
                <w:bCs/>
                <w:i/>
                <w:iCs/>
                <w:sz w:val="18"/>
                <w:szCs w:val="18"/>
                <w:vertAlign w:val="superscript"/>
              </w:rPr>
              <w:instrText xml:space="preserve"> NOTEREF _Ref52267010 \h  \* MERGEFORMAT </w:instrText>
            </w:r>
            <w:r w:rsidR="00463AEF" w:rsidRPr="00463AEF">
              <w:rPr>
                <w:b/>
                <w:bCs/>
                <w:i/>
                <w:iCs/>
                <w:sz w:val="18"/>
                <w:szCs w:val="18"/>
                <w:vertAlign w:val="superscript"/>
                <w:lang w:val="en-US"/>
              </w:rPr>
            </w:r>
            <w:r w:rsidR="00463AEF" w:rsidRPr="00463AEF">
              <w:rPr>
                <w:b/>
                <w:bCs/>
                <w:i/>
                <w:iCs/>
                <w:sz w:val="18"/>
                <w:szCs w:val="18"/>
                <w:vertAlign w:val="superscript"/>
                <w:lang w:val="en-US"/>
              </w:rPr>
              <w:fldChar w:fldCharType="separate"/>
            </w:r>
            <w:r w:rsidR="00E277F2">
              <w:rPr>
                <w:b/>
                <w:bCs/>
                <w:i/>
                <w:iCs/>
                <w:sz w:val="18"/>
                <w:szCs w:val="18"/>
                <w:vertAlign w:val="superscript"/>
              </w:rPr>
              <w:t>1</w:t>
            </w:r>
            <w:r w:rsidR="00463AEF" w:rsidRPr="00463AEF">
              <w:rPr>
                <w:b/>
                <w:bCs/>
                <w:i/>
                <w:iCs/>
                <w:sz w:val="18"/>
                <w:szCs w:val="18"/>
                <w:vertAlign w:val="superscript"/>
                <w:lang w:val="en-US"/>
              </w:rPr>
              <w:fldChar w:fldCharType="end"/>
            </w:r>
          </w:p>
        </w:tc>
      </w:tr>
      <w:tr w:rsidR="00C64239" w14:paraId="2B52A21A" w14:textId="77777777" w:rsidTr="00957BD8">
        <w:trPr>
          <w:trHeight w:val="280"/>
        </w:trPr>
        <w:tc>
          <w:tcPr>
            <w:tcW w:w="8848" w:type="dxa"/>
            <w:gridSpan w:val="6"/>
            <w:shd w:val="clear" w:color="auto" w:fill="CCFFCC"/>
            <w:vAlign w:val="center"/>
          </w:tcPr>
          <w:p w14:paraId="669633EB" w14:textId="77777777" w:rsidR="00C64239" w:rsidRDefault="00C64239" w:rsidP="001F6887">
            <w:pPr>
              <w:jc w:val="both"/>
              <w:rPr>
                <w:rFonts w:ascii="Arial" w:hAnsi="Arial" w:cs="Arial"/>
                <w:i/>
                <w:iCs/>
                <w:sz w:val="16"/>
                <w:szCs w:val="16"/>
              </w:rPr>
            </w:pPr>
            <w:r>
              <w:rPr>
                <w:rFonts w:ascii="Arial" w:hAnsi="Arial" w:cs="Arial"/>
                <w:b/>
                <w:bCs/>
                <w:sz w:val="16"/>
                <w:szCs w:val="16"/>
              </w:rPr>
              <w:t>Resultados de seguridad</w:t>
            </w:r>
          </w:p>
        </w:tc>
      </w:tr>
      <w:tr w:rsidR="00C64239" w14:paraId="24572B36" w14:textId="77777777" w:rsidTr="00957BD8">
        <w:trPr>
          <w:trHeight w:val="392"/>
        </w:trPr>
        <w:tc>
          <w:tcPr>
            <w:tcW w:w="1474" w:type="dxa"/>
            <w:vMerge w:val="restart"/>
            <w:shd w:val="clear" w:color="auto" w:fill="FFFFFF" w:themeFill="background1"/>
            <w:vAlign w:val="center"/>
          </w:tcPr>
          <w:p w14:paraId="64DD7705" w14:textId="10B1BBB0" w:rsidR="00C64239" w:rsidRDefault="00C64239" w:rsidP="00036A6B">
            <w:pPr>
              <w:rPr>
                <w:rFonts w:ascii="Arial" w:hAnsi="Arial" w:cs="Arial"/>
                <w:b/>
                <w:bCs/>
                <w:sz w:val="16"/>
                <w:szCs w:val="16"/>
              </w:rPr>
            </w:pPr>
            <w:r>
              <w:rPr>
                <w:rFonts w:ascii="Arial" w:hAnsi="Arial" w:cs="Arial"/>
                <w:b/>
                <w:bCs/>
                <w:sz w:val="16"/>
                <w:szCs w:val="16"/>
              </w:rPr>
              <w:t>Efectos adversos grado III-IV</w:t>
            </w:r>
          </w:p>
        </w:tc>
        <w:tc>
          <w:tcPr>
            <w:tcW w:w="7374" w:type="dxa"/>
            <w:gridSpan w:val="5"/>
            <w:shd w:val="clear" w:color="auto" w:fill="FFFFFF" w:themeFill="background1"/>
            <w:vAlign w:val="center"/>
          </w:tcPr>
          <w:p w14:paraId="327A9948" w14:textId="40D45C85" w:rsidR="00C64239" w:rsidRDefault="00C64239" w:rsidP="001F6887">
            <w:pPr>
              <w:jc w:val="center"/>
              <w:rPr>
                <w:rFonts w:ascii="Arial" w:hAnsi="Arial" w:cs="Arial"/>
                <w:b/>
                <w:bCs/>
                <w:sz w:val="16"/>
                <w:szCs w:val="16"/>
              </w:rPr>
            </w:pPr>
            <w:r w:rsidRPr="00C64239">
              <w:rPr>
                <w:rFonts w:ascii="Arial" w:hAnsi="Arial" w:cs="Arial"/>
                <w:b/>
                <w:bCs/>
                <w:sz w:val="16"/>
                <w:szCs w:val="16"/>
              </w:rPr>
              <w:t>onasemnogén abeparvovec</w:t>
            </w:r>
          </w:p>
        </w:tc>
      </w:tr>
      <w:tr w:rsidR="00C64239" w14:paraId="658FBF6B" w14:textId="77777777" w:rsidTr="00D23092">
        <w:trPr>
          <w:trHeight w:val="392"/>
        </w:trPr>
        <w:tc>
          <w:tcPr>
            <w:tcW w:w="1474" w:type="dxa"/>
            <w:vMerge/>
            <w:shd w:val="clear" w:color="auto" w:fill="FFFFFF" w:themeFill="background1"/>
            <w:vAlign w:val="center"/>
          </w:tcPr>
          <w:p w14:paraId="75FE6308" w14:textId="6A927C26" w:rsidR="00C64239" w:rsidRPr="00C64239" w:rsidRDefault="00C64239" w:rsidP="001F6887">
            <w:pPr>
              <w:jc w:val="both"/>
              <w:rPr>
                <w:rFonts w:ascii="Arial" w:hAnsi="Arial" w:cs="Arial"/>
                <w:b/>
                <w:bCs/>
                <w:sz w:val="16"/>
                <w:szCs w:val="16"/>
              </w:rPr>
            </w:pPr>
          </w:p>
        </w:tc>
        <w:tc>
          <w:tcPr>
            <w:tcW w:w="1475" w:type="dxa"/>
            <w:shd w:val="clear" w:color="auto" w:fill="FFFFFF" w:themeFill="background1"/>
            <w:vAlign w:val="center"/>
          </w:tcPr>
          <w:p w14:paraId="3B2A2683" w14:textId="537FCB5A" w:rsidR="00C64239" w:rsidRDefault="00C64239" w:rsidP="001F6887">
            <w:pPr>
              <w:jc w:val="center"/>
              <w:rPr>
                <w:rFonts w:ascii="Arial" w:hAnsi="Arial" w:cs="Arial"/>
                <w:b/>
                <w:bCs/>
                <w:sz w:val="16"/>
                <w:szCs w:val="16"/>
              </w:rPr>
            </w:pPr>
            <w:r>
              <w:rPr>
                <w:rFonts w:ascii="Arial" w:hAnsi="Arial" w:cs="Arial"/>
                <w:b/>
                <w:bCs/>
                <w:sz w:val="16"/>
                <w:szCs w:val="16"/>
              </w:rPr>
              <w:t>CL-101</w:t>
            </w:r>
          </w:p>
        </w:tc>
        <w:tc>
          <w:tcPr>
            <w:tcW w:w="1474" w:type="dxa"/>
            <w:shd w:val="clear" w:color="auto" w:fill="FFFFFF" w:themeFill="background1"/>
            <w:vAlign w:val="center"/>
          </w:tcPr>
          <w:p w14:paraId="5B144C20" w14:textId="1F16F1A8" w:rsidR="00C64239" w:rsidRDefault="00C64239" w:rsidP="001F6887">
            <w:pPr>
              <w:jc w:val="center"/>
              <w:rPr>
                <w:rFonts w:ascii="Arial" w:hAnsi="Arial" w:cs="Arial"/>
                <w:b/>
                <w:bCs/>
                <w:sz w:val="16"/>
                <w:szCs w:val="16"/>
              </w:rPr>
            </w:pPr>
            <w:r>
              <w:rPr>
                <w:rFonts w:ascii="Arial" w:hAnsi="Arial" w:cs="Arial"/>
                <w:b/>
                <w:bCs/>
                <w:sz w:val="16"/>
                <w:szCs w:val="16"/>
              </w:rPr>
              <w:t>CL-302</w:t>
            </w:r>
          </w:p>
        </w:tc>
        <w:tc>
          <w:tcPr>
            <w:tcW w:w="1475" w:type="dxa"/>
            <w:shd w:val="clear" w:color="auto" w:fill="FFFFFF" w:themeFill="background1"/>
            <w:vAlign w:val="center"/>
          </w:tcPr>
          <w:p w14:paraId="34B94DFA" w14:textId="28F4B6CE" w:rsidR="00C64239" w:rsidRDefault="00C64239" w:rsidP="001F6887">
            <w:pPr>
              <w:jc w:val="center"/>
              <w:rPr>
                <w:rFonts w:ascii="Arial" w:hAnsi="Arial" w:cs="Arial"/>
                <w:b/>
                <w:bCs/>
                <w:sz w:val="16"/>
                <w:szCs w:val="16"/>
              </w:rPr>
            </w:pPr>
            <w:r>
              <w:rPr>
                <w:rFonts w:ascii="Arial" w:hAnsi="Arial" w:cs="Arial"/>
                <w:b/>
                <w:bCs/>
                <w:sz w:val="16"/>
                <w:szCs w:val="16"/>
              </w:rPr>
              <w:t>CL-303</w:t>
            </w:r>
          </w:p>
        </w:tc>
        <w:tc>
          <w:tcPr>
            <w:tcW w:w="1474" w:type="dxa"/>
            <w:shd w:val="clear" w:color="auto" w:fill="FFFFFF" w:themeFill="background1"/>
            <w:vAlign w:val="center"/>
          </w:tcPr>
          <w:p w14:paraId="43F14E4E" w14:textId="3F971FF3" w:rsidR="00C64239" w:rsidRDefault="00C64239" w:rsidP="001F6887">
            <w:pPr>
              <w:jc w:val="center"/>
              <w:rPr>
                <w:rFonts w:ascii="Arial" w:hAnsi="Arial" w:cs="Arial"/>
                <w:b/>
                <w:bCs/>
                <w:sz w:val="16"/>
                <w:szCs w:val="16"/>
              </w:rPr>
            </w:pPr>
            <w:r>
              <w:rPr>
                <w:rFonts w:ascii="Arial" w:hAnsi="Arial" w:cs="Arial"/>
                <w:b/>
                <w:bCs/>
                <w:sz w:val="16"/>
                <w:szCs w:val="16"/>
              </w:rPr>
              <w:t>CL-304</w:t>
            </w:r>
          </w:p>
        </w:tc>
        <w:tc>
          <w:tcPr>
            <w:tcW w:w="1476" w:type="dxa"/>
            <w:shd w:val="clear" w:color="auto" w:fill="FFFFFF" w:themeFill="background1"/>
            <w:vAlign w:val="center"/>
          </w:tcPr>
          <w:p w14:paraId="4EA686D7" w14:textId="4F15D420" w:rsidR="00C64239" w:rsidRDefault="00C64239" w:rsidP="001F6887">
            <w:pPr>
              <w:jc w:val="center"/>
              <w:rPr>
                <w:rFonts w:ascii="Arial" w:hAnsi="Arial" w:cs="Arial"/>
                <w:b/>
                <w:bCs/>
                <w:sz w:val="16"/>
                <w:szCs w:val="16"/>
              </w:rPr>
            </w:pPr>
            <w:r>
              <w:rPr>
                <w:rFonts w:ascii="Arial" w:hAnsi="Arial" w:cs="Arial"/>
                <w:b/>
                <w:bCs/>
                <w:sz w:val="16"/>
                <w:szCs w:val="16"/>
              </w:rPr>
              <w:t>TOTAL</w:t>
            </w:r>
          </w:p>
        </w:tc>
      </w:tr>
      <w:tr w:rsidR="00532A8E" w14:paraId="4C693330" w14:textId="77777777" w:rsidTr="00D23092">
        <w:trPr>
          <w:trHeight w:val="392"/>
        </w:trPr>
        <w:tc>
          <w:tcPr>
            <w:tcW w:w="1474" w:type="dxa"/>
            <w:shd w:val="clear" w:color="auto" w:fill="FFFFFF" w:themeFill="background1"/>
            <w:vAlign w:val="center"/>
          </w:tcPr>
          <w:p w14:paraId="28653430" w14:textId="77777777" w:rsidR="00532A8E" w:rsidRPr="00C64239" w:rsidRDefault="00532A8E" w:rsidP="001F6887">
            <w:pPr>
              <w:jc w:val="both"/>
              <w:rPr>
                <w:rFonts w:ascii="Arial" w:hAnsi="Arial" w:cs="Arial"/>
                <w:b/>
                <w:bCs/>
                <w:sz w:val="16"/>
                <w:szCs w:val="16"/>
              </w:rPr>
            </w:pPr>
            <w:r w:rsidRPr="00C64239">
              <w:rPr>
                <w:rFonts w:ascii="Arial" w:hAnsi="Arial" w:cs="Arial"/>
                <w:sz w:val="16"/>
              </w:rPr>
              <w:t>Neumonía</w:t>
            </w:r>
          </w:p>
        </w:tc>
        <w:tc>
          <w:tcPr>
            <w:tcW w:w="1475" w:type="dxa"/>
            <w:shd w:val="clear" w:color="auto" w:fill="FFFFFF" w:themeFill="background1"/>
            <w:vAlign w:val="center"/>
          </w:tcPr>
          <w:p w14:paraId="4D8FD07B" w14:textId="0D6A923B" w:rsidR="00532A8E" w:rsidRPr="00532A8E" w:rsidRDefault="00FA72E2" w:rsidP="001F6887">
            <w:pPr>
              <w:jc w:val="center"/>
              <w:rPr>
                <w:rFonts w:ascii="Arial" w:hAnsi="Arial" w:cs="Arial"/>
                <w:bCs/>
                <w:sz w:val="16"/>
                <w:szCs w:val="16"/>
              </w:rPr>
            </w:pPr>
            <w:r>
              <w:rPr>
                <w:rFonts w:ascii="Arial" w:hAnsi="Arial" w:cs="Arial"/>
                <w:bCs/>
                <w:sz w:val="16"/>
                <w:szCs w:val="16"/>
              </w:rPr>
              <w:t>5</w:t>
            </w:r>
            <w:r w:rsidR="00532A8E" w:rsidRPr="00532A8E">
              <w:rPr>
                <w:rFonts w:ascii="Arial" w:hAnsi="Arial" w:cs="Arial"/>
                <w:bCs/>
                <w:sz w:val="16"/>
                <w:szCs w:val="16"/>
              </w:rPr>
              <w:t>8,3%</w:t>
            </w:r>
          </w:p>
        </w:tc>
        <w:tc>
          <w:tcPr>
            <w:tcW w:w="1474" w:type="dxa"/>
            <w:shd w:val="clear" w:color="auto" w:fill="FFFFFF" w:themeFill="background1"/>
            <w:vAlign w:val="center"/>
          </w:tcPr>
          <w:p w14:paraId="213DDD9F"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12,1%</w:t>
            </w:r>
          </w:p>
        </w:tc>
        <w:tc>
          <w:tcPr>
            <w:tcW w:w="1475" w:type="dxa"/>
            <w:shd w:val="clear" w:color="auto" w:fill="FFFFFF" w:themeFill="background1"/>
            <w:vAlign w:val="center"/>
          </w:tcPr>
          <w:p w14:paraId="5D6BD58E"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9.1%</w:t>
            </w:r>
          </w:p>
        </w:tc>
        <w:tc>
          <w:tcPr>
            <w:tcW w:w="1474" w:type="dxa"/>
            <w:shd w:val="clear" w:color="auto" w:fill="FFFFFF" w:themeFill="background1"/>
            <w:vAlign w:val="center"/>
          </w:tcPr>
          <w:p w14:paraId="0CEC9CA7"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6C427401"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13,4%</w:t>
            </w:r>
          </w:p>
        </w:tc>
      </w:tr>
      <w:tr w:rsidR="00532A8E" w14:paraId="2B51C4B0" w14:textId="77777777" w:rsidTr="00D23092">
        <w:trPr>
          <w:trHeight w:val="392"/>
        </w:trPr>
        <w:tc>
          <w:tcPr>
            <w:tcW w:w="1474" w:type="dxa"/>
            <w:shd w:val="clear" w:color="auto" w:fill="FFFFFF" w:themeFill="background1"/>
            <w:vAlign w:val="center"/>
          </w:tcPr>
          <w:p w14:paraId="7ADD96C5" w14:textId="77777777" w:rsidR="00532A8E" w:rsidRPr="00C64239" w:rsidRDefault="00532A8E" w:rsidP="001F6887">
            <w:pPr>
              <w:jc w:val="both"/>
              <w:rPr>
                <w:rFonts w:ascii="Arial" w:hAnsi="Arial" w:cs="Arial"/>
                <w:b/>
                <w:bCs/>
                <w:sz w:val="16"/>
                <w:szCs w:val="16"/>
              </w:rPr>
            </w:pPr>
            <w:r w:rsidRPr="00C64239">
              <w:rPr>
                <w:rFonts w:ascii="Arial" w:hAnsi="Arial" w:cs="Arial"/>
                <w:sz w:val="16"/>
              </w:rPr>
              <w:t>Distres respiratorio</w:t>
            </w:r>
          </w:p>
        </w:tc>
        <w:tc>
          <w:tcPr>
            <w:tcW w:w="1475" w:type="dxa"/>
            <w:shd w:val="clear" w:color="auto" w:fill="FFFFFF" w:themeFill="background1"/>
            <w:vAlign w:val="center"/>
          </w:tcPr>
          <w:p w14:paraId="21EDF7B5"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16,7%</w:t>
            </w:r>
          </w:p>
        </w:tc>
        <w:tc>
          <w:tcPr>
            <w:tcW w:w="1474" w:type="dxa"/>
            <w:shd w:val="clear" w:color="auto" w:fill="FFFFFF" w:themeFill="background1"/>
            <w:vAlign w:val="center"/>
          </w:tcPr>
          <w:p w14:paraId="4144A336"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3%</w:t>
            </w:r>
          </w:p>
        </w:tc>
        <w:tc>
          <w:tcPr>
            <w:tcW w:w="1475" w:type="dxa"/>
            <w:shd w:val="clear" w:color="auto" w:fill="FFFFFF" w:themeFill="background1"/>
            <w:vAlign w:val="center"/>
          </w:tcPr>
          <w:p w14:paraId="01361AE6"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18,2%</w:t>
            </w:r>
          </w:p>
        </w:tc>
        <w:tc>
          <w:tcPr>
            <w:tcW w:w="1474" w:type="dxa"/>
            <w:shd w:val="clear" w:color="auto" w:fill="FFFFFF" w:themeFill="background1"/>
            <w:vAlign w:val="center"/>
          </w:tcPr>
          <w:p w14:paraId="13B29996"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45BAD387"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7,2%</w:t>
            </w:r>
          </w:p>
        </w:tc>
      </w:tr>
      <w:tr w:rsidR="00303844" w14:paraId="1B8EF9EE" w14:textId="77777777" w:rsidTr="00D23092">
        <w:trPr>
          <w:trHeight w:val="392"/>
        </w:trPr>
        <w:tc>
          <w:tcPr>
            <w:tcW w:w="1474" w:type="dxa"/>
            <w:shd w:val="clear" w:color="auto" w:fill="FFFFFF" w:themeFill="background1"/>
            <w:vAlign w:val="center"/>
          </w:tcPr>
          <w:p w14:paraId="6B9DAB18" w14:textId="7011532F" w:rsidR="00303844" w:rsidRPr="00C64239" w:rsidRDefault="00303844" w:rsidP="001F6887">
            <w:pPr>
              <w:jc w:val="both"/>
              <w:rPr>
                <w:rFonts w:ascii="Arial" w:hAnsi="Arial" w:cs="Arial"/>
                <w:sz w:val="16"/>
              </w:rPr>
            </w:pPr>
            <w:r>
              <w:rPr>
                <w:rFonts w:ascii="Arial" w:hAnsi="Arial" w:cs="Arial"/>
                <w:sz w:val="16"/>
              </w:rPr>
              <w:t>Infección en el tracto respiratorio superior</w:t>
            </w:r>
          </w:p>
        </w:tc>
        <w:tc>
          <w:tcPr>
            <w:tcW w:w="1475" w:type="dxa"/>
            <w:shd w:val="clear" w:color="auto" w:fill="FFFFFF" w:themeFill="background1"/>
            <w:vAlign w:val="center"/>
          </w:tcPr>
          <w:p w14:paraId="1AB9A172" w14:textId="26A07CE5" w:rsidR="00303844" w:rsidRPr="00532A8E" w:rsidRDefault="00036A6B" w:rsidP="001F6887">
            <w:pPr>
              <w:jc w:val="center"/>
              <w:rPr>
                <w:rFonts w:ascii="Arial" w:hAnsi="Arial" w:cs="Arial"/>
                <w:bCs/>
                <w:sz w:val="16"/>
                <w:szCs w:val="16"/>
              </w:rPr>
            </w:pPr>
            <w:r>
              <w:rPr>
                <w:rFonts w:ascii="Arial" w:hAnsi="Arial" w:cs="Arial"/>
                <w:bCs/>
                <w:sz w:val="16"/>
                <w:szCs w:val="16"/>
              </w:rPr>
              <w:t>3%</w:t>
            </w:r>
          </w:p>
        </w:tc>
        <w:tc>
          <w:tcPr>
            <w:tcW w:w="1474" w:type="dxa"/>
            <w:shd w:val="clear" w:color="auto" w:fill="FFFFFF" w:themeFill="background1"/>
            <w:vAlign w:val="center"/>
          </w:tcPr>
          <w:p w14:paraId="5E735147" w14:textId="644D1BDB" w:rsidR="00303844" w:rsidRPr="00532A8E" w:rsidRDefault="00303844" w:rsidP="001F6887">
            <w:pPr>
              <w:jc w:val="center"/>
              <w:rPr>
                <w:rFonts w:ascii="Arial" w:hAnsi="Arial" w:cs="Arial"/>
                <w:bCs/>
                <w:sz w:val="16"/>
                <w:szCs w:val="16"/>
              </w:rPr>
            </w:pPr>
            <w:r>
              <w:rPr>
                <w:rFonts w:ascii="Arial" w:hAnsi="Arial" w:cs="Arial"/>
                <w:bCs/>
                <w:sz w:val="16"/>
                <w:szCs w:val="16"/>
              </w:rPr>
              <w:t>6,1%</w:t>
            </w:r>
          </w:p>
        </w:tc>
        <w:tc>
          <w:tcPr>
            <w:tcW w:w="1475" w:type="dxa"/>
            <w:shd w:val="clear" w:color="auto" w:fill="FFFFFF" w:themeFill="background1"/>
            <w:vAlign w:val="center"/>
          </w:tcPr>
          <w:p w14:paraId="0901F9D9" w14:textId="14B3CB0C" w:rsidR="00303844" w:rsidRPr="00532A8E" w:rsidRDefault="00303844" w:rsidP="001F6887">
            <w:pPr>
              <w:jc w:val="center"/>
              <w:rPr>
                <w:rFonts w:ascii="Arial" w:hAnsi="Arial" w:cs="Arial"/>
                <w:color w:val="000000"/>
                <w:sz w:val="16"/>
                <w:szCs w:val="16"/>
              </w:rPr>
            </w:pPr>
            <w:r>
              <w:rPr>
                <w:rFonts w:ascii="Arial" w:hAnsi="Arial" w:cs="Arial"/>
                <w:color w:val="000000"/>
                <w:sz w:val="16"/>
                <w:szCs w:val="16"/>
              </w:rPr>
              <w:t>4,5%</w:t>
            </w:r>
          </w:p>
        </w:tc>
        <w:tc>
          <w:tcPr>
            <w:tcW w:w="1474" w:type="dxa"/>
            <w:shd w:val="clear" w:color="auto" w:fill="FFFFFF" w:themeFill="background1"/>
            <w:vAlign w:val="center"/>
          </w:tcPr>
          <w:p w14:paraId="2BDAA046" w14:textId="0CBE421A" w:rsidR="00303844" w:rsidRPr="00532A8E" w:rsidRDefault="00303844" w:rsidP="001F6887">
            <w:pPr>
              <w:jc w:val="center"/>
              <w:rPr>
                <w:rFonts w:ascii="Arial" w:hAnsi="Arial" w:cs="Arial"/>
                <w:bCs/>
                <w:sz w:val="16"/>
                <w:szCs w:val="16"/>
              </w:rPr>
            </w:pPr>
            <w:r>
              <w:rPr>
                <w:rFonts w:ascii="Arial" w:hAnsi="Arial" w:cs="Arial"/>
                <w:bCs/>
                <w:sz w:val="16"/>
                <w:szCs w:val="16"/>
              </w:rPr>
              <w:t>0%</w:t>
            </w:r>
          </w:p>
        </w:tc>
        <w:tc>
          <w:tcPr>
            <w:tcW w:w="1476" w:type="dxa"/>
            <w:shd w:val="clear" w:color="auto" w:fill="FFFFFF" w:themeFill="background1"/>
            <w:vAlign w:val="center"/>
          </w:tcPr>
          <w:p w14:paraId="7D4357DF" w14:textId="61523A19" w:rsidR="00303844" w:rsidRPr="00532A8E" w:rsidRDefault="00303844" w:rsidP="001F6887">
            <w:pPr>
              <w:jc w:val="center"/>
              <w:rPr>
                <w:rFonts w:ascii="Arial" w:hAnsi="Arial" w:cs="Arial"/>
                <w:bCs/>
                <w:sz w:val="16"/>
                <w:szCs w:val="16"/>
              </w:rPr>
            </w:pPr>
            <w:r>
              <w:rPr>
                <w:rFonts w:ascii="Arial" w:hAnsi="Arial" w:cs="Arial"/>
                <w:bCs/>
                <w:sz w:val="16"/>
                <w:szCs w:val="16"/>
              </w:rPr>
              <w:t>6,2%</w:t>
            </w:r>
          </w:p>
        </w:tc>
      </w:tr>
      <w:tr w:rsidR="00532A8E" w14:paraId="3B7C6ADB" w14:textId="77777777" w:rsidTr="00D23092">
        <w:trPr>
          <w:trHeight w:val="392"/>
        </w:trPr>
        <w:tc>
          <w:tcPr>
            <w:tcW w:w="1474" w:type="dxa"/>
            <w:shd w:val="clear" w:color="auto" w:fill="FFFFFF" w:themeFill="background1"/>
            <w:vAlign w:val="center"/>
          </w:tcPr>
          <w:p w14:paraId="7AF35F9D" w14:textId="77777777" w:rsidR="00532A8E" w:rsidRPr="00C64239" w:rsidRDefault="00532A8E" w:rsidP="001F6887">
            <w:pPr>
              <w:jc w:val="both"/>
              <w:rPr>
                <w:rFonts w:ascii="Arial" w:hAnsi="Arial" w:cs="Arial"/>
                <w:b/>
                <w:bCs/>
                <w:sz w:val="16"/>
                <w:szCs w:val="16"/>
              </w:rPr>
            </w:pPr>
            <w:r w:rsidRPr="00C64239">
              <w:rPr>
                <w:rFonts w:ascii="Arial" w:hAnsi="Arial" w:cs="Arial"/>
                <w:sz w:val="16"/>
              </w:rPr>
              <w:t>Bronquiolitis por VRS</w:t>
            </w:r>
          </w:p>
        </w:tc>
        <w:tc>
          <w:tcPr>
            <w:tcW w:w="1475" w:type="dxa"/>
            <w:shd w:val="clear" w:color="auto" w:fill="FFFFFF" w:themeFill="background1"/>
            <w:vAlign w:val="center"/>
          </w:tcPr>
          <w:p w14:paraId="65A7F568"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16,7%</w:t>
            </w:r>
          </w:p>
        </w:tc>
        <w:tc>
          <w:tcPr>
            <w:tcW w:w="1474" w:type="dxa"/>
            <w:shd w:val="clear" w:color="auto" w:fill="FFFFFF" w:themeFill="background1"/>
            <w:vAlign w:val="center"/>
          </w:tcPr>
          <w:p w14:paraId="777E7BDB"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4A628209"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9,1%</w:t>
            </w:r>
          </w:p>
        </w:tc>
        <w:tc>
          <w:tcPr>
            <w:tcW w:w="1474" w:type="dxa"/>
            <w:shd w:val="clear" w:color="auto" w:fill="FFFFFF" w:themeFill="background1"/>
            <w:vAlign w:val="center"/>
          </w:tcPr>
          <w:p w14:paraId="40236850"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2965A51F"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4,1%</w:t>
            </w:r>
          </w:p>
        </w:tc>
      </w:tr>
      <w:tr w:rsidR="00532A8E" w14:paraId="40BD66AF" w14:textId="77777777" w:rsidTr="00D23092">
        <w:trPr>
          <w:trHeight w:val="392"/>
        </w:trPr>
        <w:tc>
          <w:tcPr>
            <w:tcW w:w="1474" w:type="dxa"/>
            <w:shd w:val="clear" w:color="auto" w:fill="FFFFFF" w:themeFill="background1"/>
            <w:vAlign w:val="center"/>
          </w:tcPr>
          <w:p w14:paraId="2F1C302C" w14:textId="77777777" w:rsidR="00532A8E" w:rsidRPr="00C64239" w:rsidRDefault="00532A8E" w:rsidP="001F6887">
            <w:pPr>
              <w:jc w:val="both"/>
              <w:rPr>
                <w:rFonts w:ascii="Arial" w:hAnsi="Arial" w:cs="Arial"/>
                <w:b/>
                <w:bCs/>
                <w:sz w:val="16"/>
                <w:szCs w:val="16"/>
              </w:rPr>
            </w:pPr>
            <w:r w:rsidRPr="00C64239">
              <w:rPr>
                <w:rFonts w:ascii="Arial" w:hAnsi="Arial" w:cs="Arial"/>
                <w:sz w:val="16"/>
              </w:rPr>
              <w:t>Fallo respiratorio</w:t>
            </w:r>
          </w:p>
        </w:tc>
        <w:tc>
          <w:tcPr>
            <w:tcW w:w="1475" w:type="dxa"/>
            <w:shd w:val="clear" w:color="auto" w:fill="FFFFFF" w:themeFill="background1"/>
            <w:vAlign w:val="center"/>
          </w:tcPr>
          <w:p w14:paraId="6770CEF0"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6DBFCDE9"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3%</w:t>
            </w:r>
          </w:p>
        </w:tc>
        <w:tc>
          <w:tcPr>
            <w:tcW w:w="1475" w:type="dxa"/>
            <w:shd w:val="clear" w:color="auto" w:fill="FFFFFF" w:themeFill="background1"/>
            <w:vAlign w:val="center"/>
          </w:tcPr>
          <w:p w14:paraId="724B6618"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9,1%</w:t>
            </w:r>
          </w:p>
        </w:tc>
        <w:tc>
          <w:tcPr>
            <w:tcW w:w="1474" w:type="dxa"/>
            <w:shd w:val="clear" w:color="auto" w:fill="FFFFFF" w:themeFill="background1"/>
            <w:vAlign w:val="center"/>
          </w:tcPr>
          <w:p w14:paraId="519889B3"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63E76FEB"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3,1%</w:t>
            </w:r>
          </w:p>
        </w:tc>
      </w:tr>
      <w:tr w:rsidR="00532A8E" w14:paraId="096B5A4D" w14:textId="77777777" w:rsidTr="00D23092">
        <w:trPr>
          <w:trHeight w:val="392"/>
        </w:trPr>
        <w:tc>
          <w:tcPr>
            <w:tcW w:w="1474" w:type="dxa"/>
            <w:shd w:val="clear" w:color="auto" w:fill="FFFFFF" w:themeFill="background1"/>
            <w:vAlign w:val="center"/>
          </w:tcPr>
          <w:p w14:paraId="3D191906" w14:textId="32FBA3A3" w:rsidR="00532A8E" w:rsidRPr="00C64239" w:rsidRDefault="00D23092" w:rsidP="00D23092">
            <w:pPr>
              <w:jc w:val="both"/>
              <w:rPr>
                <w:rFonts w:ascii="Arial" w:hAnsi="Arial" w:cs="Arial"/>
                <w:b/>
                <w:bCs/>
                <w:sz w:val="16"/>
                <w:szCs w:val="16"/>
              </w:rPr>
            </w:pPr>
            <w:r>
              <w:rPr>
                <w:rFonts w:ascii="Arial" w:hAnsi="Arial" w:cs="Arial"/>
                <w:sz w:val="16"/>
              </w:rPr>
              <w:t xml:space="preserve">Elevación ALT </w:t>
            </w:r>
          </w:p>
        </w:tc>
        <w:tc>
          <w:tcPr>
            <w:tcW w:w="1475" w:type="dxa"/>
            <w:shd w:val="clear" w:color="auto" w:fill="FFFFFF" w:themeFill="background1"/>
            <w:vAlign w:val="center"/>
          </w:tcPr>
          <w:p w14:paraId="06E1BFAB"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1D82B759"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3%</w:t>
            </w:r>
          </w:p>
        </w:tc>
        <w:tc>
          <w:tcPr>
            <w:tcW w:w="1475" w:type="dxa"/>
            <w:shd w:val="clear" w:color="auto" w:fill="FFFFFF" w:themeFill="background1"/>
            <w:vAlign w:val="center"/>
          </w:tcPr>
          <w:p w14:paraId="3AC09BF6"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0A2C02EA"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5578769D"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2,1%</w:t>
            </w:r>
          </w:p>
        </w:tc>
      </w:tr>
      <w:tr w:rsidR="00D23092" w14:paraId="7B36638F" w14:textId="77777777" w:rsidTr="00D23092">
        <w:trPr>
          <w:trHeight w:val="392"/>
        </w:trPr>
        <w:tc>
          <w:tcPr>
            <w:tcW w:w="1474" w:type="dxa"/>
            <w:shd w:val="clear" w:color="auto" w:fill="FFFFFF" w:themeFill="background1"/>
            <w:vAlign w:val="center"/>
          </w:tcPr>
          <w:p w14:paraId="3305EFD4" w14:textId="61198FB6" w:rsidR="00D23092" w:rsidRPr="00C64239" w:rsidRDefault="00D23092" w:rsidP="001E66A0">
            <w:pPr>
              <w:jc w:val="both"/>
              <w:rPr>
                <w:rFonts w:ascii="Arial" w:hAnsi="Arial" w:cs="Arial"/>
                <w:b/>
                <w:bCs/>
                <w:sz w:val="16"/>
                <w:szCs w:val="16"/>
              </w:rPr>
            </w:pPr>
            <w:r>
              <w:rPr>
                <w:rFonts w:ascii="Arial" w:hAnsi="Arial" w:cs="Arial"/>
                <w:sz w:val="16"/>
              </w:rPr>
              <w:t>Elevación</w:t>
            </w:r>
            <w:r w:rsidRPr="00C64239">
              <w:rPr>
                <w:rFonts w:ascii="Arial" w:hAnsi="Arial" w:cs="Arial"/>
                <w:sz w:val="16"/>
              </w:rPr>
              <w:t xml:space="preserve"> AST</w:t>
            </w:r>
          </w:p>
        </w:tc>
        <w:tc>
          <w:tcPr>
            <w:tcW w:w="1475" w:type="dxa"/>
            <w:shd w:val="clear" w:color="auto" w:fill="FFFFFF" w:themeFill="background1"/>
            <w:vAlign w:val="center"/>
          </w:tcPr>
          <w:p w14:paraId="05CE589C" w14:textId="77777777" w:rsidR="00D23092" w:rsidRPr="00532A8E" w:rsidRDefault="00D23092" w:rsidP="001E66A0">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582A12D1" w14:textId="77777777" w:rsidR="00D23092" w:rsidRPr="00532A8E" w:rsidRDefault="00D23092" w:rsidP="001E66A0">
            <w:pPr>
              <w:jc w:val="center"/>
              <w:rPr>
                <w:rFonts w:ascii="Arial" w:hAnsi="Arial" w:cs="Arial"/>
                <w:bCs/>
                <w:sz w:val="16"/>
                <w:szCs w:val="16"/>
              </w:rPr>
            </w:pPr>
            <w:r w:rsidRPr="00532A8E">
              <w:rPr>
                <w:rFonts w:ascii="Arial" w:hAnsi="Arial" w:cs="Arial"/>
                <w:bCs/>
                <w:sz w:val="16"/>
                <w:szCs w:val="16"/>
              </w:rPr>
              <w:t>3%</w:t>
            </w:r>
          </w:p>
        </w:tc>
        <w:tc>
          <w:tcPr>
            <w:tcW w:w="1475" w:type="dxa"/>
            <w:shd w:val="clear" w:color="auto" w:fill="FFFFFF" w:themeFill="background1"/>
            <w:vAlign w:val="center"/>
          </w:tcPr>
          <w:p w14:paraId="6120B3F7" w14:textId="77777777" w:rsidR="00D23092" w:rsidRPr="00532A8E" w:rsidRDefault="00D23092" w:rsidP="001E66A0">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3EA4F4FB" w14:textId="77777777" w:rsidR="00D23092" w:rsidRPr="00532A8E" w:rsidRDefault="00D23092" w:rsidP="001E66A0">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59570A63" w14:textId="77777777" w:rsidR="00D23092" w:rsidRPr="00532A8E" w:rsidRDefault="00D23092" w:rsidP="001E66A0">
            <w:pPr>
              <w:jc w:val="center"/>
              <w:rPr>
                <w:rFonts w:ascii="Arial" w:hAnsi="Arial" w:cs="Arial"/>
                <w:bCs/>
                <w:sz w:val="16"/>
                <w:szCs w:val="16"/>
              </w:rPr>
            </w:pPr>
            <w:r w:rsidRPr="00532A8E">
              <w:rPr>
                <w:rFonts w:ascii="Arial" w:hAnsi="Arial" w:cs="Arial"/>
                <w:bCs/>
                <w:sz w:val="16"/>
                <w:szCs w:val="16"/>
              </w:rPr>
              <w:t>2,1%</w:t>
            </w:r>
          </w:p>
        </w:tc>
      </w:tr>
      <w:tr w:rsidR="00532A8E" w14:paraId="5F2D8701" w14:textId="77777777" w:rsidTr="00D23092">
        <w:trPr>
          <w:trHeight w:val="392"/>
        </w:trPr>
        <w:tc>
          <w:tcPr>
            <w:tcW w:w="1474" w:type="dxa"/>
            <w:shd w:val="clear" w:color="auto" w:fill="FFFFFF" w:themeFill="background1"/>
            <w:vAlign w:val="center"/>
          </w:tcPr>
          <w:p w14:paraId="7673F9B6" w14:textId="77777777" w:rsidR="00532A8E" w:rsidRPr="00C64239" w:rsidRDefault="00532A8E" w:rsidP="001F6887">
            <w:pPr>
              <w:jc w:val="both"/>
              <w:rPr>
                <w:rFonts w:ascii="Arial" w:hAnsi="Arial" w:cs="Arial"/>
                <w:b/>
                <w:bCs/>
                <w:sz w:val="16"/>
                <w:szCs w:val="16"/>
              </w:rPr>
            </w:pPr>
            <w:r w:rsidRPr="00C64239">
              <w:rPr>
                <w:rFonts w:ascii="Arial" w:hAnsi="Arial" w:cs="Arial"/>
                <w:sz w:val="16"/>
              </w:rPr>
              <w:t>Trastornos alimentarios</w:t>
            </w:r>
          </w:p>
        </w:tc>
        <w:tc>
          <w:tcPr>
            <w:tcW w:w="1475" w:type="dxa"/>
            <w:shd w:val="clear" w:color="auto" w:fill="FFFFFF" w:themeFill="background1"/>
            <w:vAlign w:val="center"/>
          </w:tcPr>
          <w:p w14:paraId="5A3FAEBB"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581F2043" w14:textId="3B73021F" w:rsidR="00532A8E" w:rsidRPr="00532A8E" w:rsidRDefault="00D23092" w:rsidP="001F6887">
            <w:pPr>
              <w:jc w:val="center"/>
              <w:rPr>
                <w:rFonts w:ascii="Arial" w:hAnsi="Arial" w:cs="Arial"/>
                <w:bCs/>
                <w:sz w:val="16"/>
                <w:szCs w:val="16"/>
              </w:rPr>
            </w:pPr>
            <w:r>
              <w:rPr>
                <w:rFonts w:ascii="Arial" w:hAnsi="Arial" w:cs="Arial"/>
                <w:bCs/>
                <w:sz w:val="16"/>
                <w:szCs w:val="16"/>
              </w:rPr>
              <w:t>0</w:t>
            </w:r>
            <w:r w:rsidR="00532A8E" w:rsidRPr="00532A8E">
              <w:rPr>
                <w:rFonts w:ascii="Arial" w:hAnsi="Arial" w:cs="Arial"/>
                <w:bCs/>
                <w:sz w:val="16"/>
                <w:szCs w:val="16"/>
              </w:rPr>
              <w:t>%</w:t>
            </w:r>
          </w:p>
        </w:tc>
        <w:tc>
          <w:tcPr>
            <w:tcW w:w="1475" w:type="dxa"/>
            <w:shd w:val="clear" w:color="auto" w:fill="FFFFFF" w:themeFill="background1"/>
            <w:vAlign w:val="center"/>
          </w:tcPr>
          <w:p w14:paraId="3D258C7F"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648BBC07"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5FB934DA" w14:textId="1E6B1C57" w:rsidR="00532A8E" w:rsidRPr="00532A8E" w:rsidRDefault="00532A8E" w:rsidP="001F6887">
            <w:pPr>
              <w:jc w:val="center"/>
              <w:rPr>
                <w:rFonts w:ascii="Arial" w:hAnsi="Arial" w:cs="Arial"/>
                <w:bCs/>
                <w:sz w:val="16"/>
                <w:szCs w:val="16"/>
              </w:rPr>
            </w:pPr>
            <w:r w:rsidRPr="00532A8E">
              <w:rPr>
                <w:rFonts w:ascii="Arial" w:hAnsi="Arial" w:cs="Arial"/>
                <w:bCs/>
                <w:sz w:val="16"/>
                <w:szCs w:val="16"/>
              </w:rPr>
              <w:t>1%</w:t>
            </w:r>
          </w:p>
        </w:tc>
      </w:tr>
      <w:tr w:rsidR="00532A8E" w14:paraId="73FEEAF4" w14:textId="77777777" w:rsidTr="00D23092">
        <w:trPr>
          <w:trHeight w:val="392"/>
        </w:trPr>
        <w:tc>
          <w:tcPr>
            <w:tcW w:w="1474" w:type="dxa"/>
            <w:shd w:val="clear" w:color="auto" w:fill="FFFFFF" w:themeFill="background1"/>
            <w:vAlign w:val="center"/>
          </w:tcPr>
          <w:p w14:paraId="70A11C35" w14:textId="77777777" w:rsidR="00532A8E" w:rsidRDefault="00532A8E" w:rsidP="001F6887">
            <w:pPr>
              <w:jc w:val="both"/>
              <w:rPr>
                <w:rFonts w:ascii="Arial" w:hAnsi="Arial" w:cs="Arial"/>
                <w:b/>
                <w:bCs/>
                <w:sz w:val="16"/>
                <w:szCs w:val="16"/>
              </w:rPr>
            </w:pPr>
            <w:r>
              <w:rPr>
                <w:rFonts w:ascii="Arial" w:hAnsi="Arial" w:cs="Arial"/>
                <w:color w:val="000000"/>
                <w:sz w:val="16"/>
                <w:szCs w:val="16"/>
              </w:rPr>
              <w:t>Atelectasias</w:t>
            </w:r>
          </w:p>
        </w:tc>
        <w:tc>
          <w:tcPr>
            <w:tcW w:w="1475" w:type="dxa"/>
            <w:shd w:val="clear" w:color="auto" w:fill="FFFFFF" w:themeFill="background1"/>
            <w:vAlign w:val="center"/>
          </w:tcPr>
          <w:p w14:paraId="6FC41E34"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8,3%</w:t>
            </w:r>
          </w:p>
        </w:tc>
        <w:tc>
          <w:tcPr>
            <w:tcW w:w="1474" w:type="dxa"/>
            <w:shd w:val="clear" w:color="auto" w:fill="FFFFFF" w:themeFill="background1"/>
            <w:vAlign w:val="center"/>
          </w:tcPr>
          <w:p w14:paraId="51C7A1F5"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729D1196"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0EB8A2AD"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5C459200"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2,1%</w:t>
            </w:r>
          </w:p>
        </w:tc>
      </w:tr>
      <w:tr w:rsidR="00532A8E" w14:paraId="03DFA5A6" w14:textId="77777777" w:rsidTr="00D23092">
        <w:trPr>
          <w:trHeight w:val="392"/>
        </w:trPr>
        <w:tc>
          <w:tcPr>
            <w:tcW w:w="1474" w:type="dxa"/>
            <w:shd w:val="clear" w:color="auto" w:fill="FFFFFF" w:themeFill="background1"/>
            <w:vAlign w:val="center"/>
          </w:tcPr>
          <w:p w14:paraId="1588947F" w14:textId="77777777" w:rsidR="00532A8E" w:rsidRPr="00C64239" w:rsidRDefault="00532A8E" w:rsidP="001F6887">
            <w:pPr>
              <w:jc w:val="both"/>
              <w:rPr>
                <w:rFonts w:ascii="Arial" w:hAnsi="Arial" w:cs="Arial"/>
                <w:b/>
                <w:bCs/>
                <w:sz w:val="16"/>
                <w:szCs w:val="16"/>
              </w:rPr>
            </w:pPr>
            <w:r w:rsidRPr="00C64239">
              <w:rPr>
                <w:rFonts w:ascii="Arial" w:hAnsi="Arial" w:cs="Arial"/>
                <w:sz w:val="16"/>
              </w:rPr>
              <w:t>Cianosis</w:t>
            </w:r>
          </w:p>
        </w:tc>
        <w:tc>
          <w:tcPr>
            <w:tcW w:w="1475" w:type="dxa"/>
            <w:shd w:val="clear" w:color="auto" w:fill="FFFFFF" w:themeFill="background1"/>
            <w:vAlign w:val="center"/>
          </w:tcPr>
          <w:p w14:paraId="33B5775F"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53B149EF"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536E282B"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4407EB5D"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7EDD1E48"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w:t>
            </w:r>
          </w:p>
        </w:tc>
      </w:tr>
      <w:tr w:rsidR="00532A8E" w14:paraId="2EF750D3" w14:textId="77777777" w:rsidTr="00D23092">
        <w:trPr>
          <w:trHeight w:val="392"/>
        </w:trPr>
        <w:tc>
          <w:tcPr>
            <w:tcW w:w="1474" w:type="dxa"/>
            <w:shd w:val="clear" w:color="auto" w:fill="FFFFFF" w:themeFill="background1"/>
            <w:vAlign w:val="center"/>
          </w:tcPr>
          <w:p w14:paraId="35E27D97" w14:textId="77777777" w:rsidR="00532A8E" w:rsidRPr="00C64239" w:rsidRDefault="00532A8E" w:rsidP="001F6887">
            <w:pPr>
              <w:jc w:val="both"/>
              <w:rPr>
                <w:rFonts w:ascii="Arial" w:hAnsi="Arial" w:cs="Arial"/>
                <w:b/>
                <w:bCs/>
                <w:sz w:val="16"/>
                <w:szCs w:val="16"/>
              </w:rPr>
            </w:pPr>
            <w:r w:rsidRPr="00C64239">
              <w:rPr>
                <w:rFonts w:ascii="Arial" w:hAnsi="Arial" w:cs="Arial"/>
                <w:sz w:val="16"/>
              </w:rPr>
              <w:t>Disfagia</w:t>
            </w:r>
          </w:p>
        </w:tc>
        <w:tc>
          <w:tcPr>
            <w:tcW w:w="1475" w:type="dxa"/>
            <w:shd w:val="clear" w:color="auto" w:fill="FFFFFF" w:themeFill="background1"/>
            <w:vAlign w:val="center"/>
          </w:tcPr>
          <w:p w14:paraId="4CF8CABE"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7F86C066"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6F90000A"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025E6A8F"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7B2AAB37"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w:t>
            </w:r>
          </w:p>
        </w:tc>
      </w:tr>
      <w:tr w:rsidR="00532A8E" w14:paraId="5C590E85" w14:textId="77777777" w:rsidTr="00D23092">
        <w:trPr>
          <w:trHeight w:val="392"/>
        </w:trPr>
        <w:tc>
          <w:tcPr>
            <w:tcW w:w="1474" w:type="dxa"/>
            <w:shd w:val="clear" w:color="auto" w:fill="FFFFFF" w:themeFill="background1"/>
            <w:vAlign w:val="center"/>
          </w:tcPr>
          <w:p w14:paraId="60E47229" w14:textId="77777777" w:rsidR="00532A8E" w:rsidRPr="00C64239" w:rsidRDefault="00532A8E" w:rsidP="001F6887">
            <w:pPr>
              <w:jc w:val="both"/>
              <w:rPr>
                <w:rFonts w:ascii="Arial" w:hAnsi="Arial" w:cs="Arial"/>
                <w:b/>
                <w:bCs/>
                <w:sz w:val="16"/>
                <w:szCs w:val="16"/>
              </w:rPr>
            </w:pPr>
            <w:r w:rsidRPr="00C64239">
              <w:rPr>
                <w:rFonts w:ascii="Arial" w:hAnsi="Arial" w:cs="Arial"/>
                <w:sz w:val="16"/>
              </w:rPr>
              <w:t>Infección asociada a catéter</w:t>
            </w:r>
          </w:p>
        </w:tc>
        <w:tc>
          <w:tcPr>
            <w:tcW w:w="1475" w:type="dxa"/>
            <w:shd w:val="clear" w:color="auto" w:fill="FFFFFF" w:themeFill="background1"/>
            <w:vAlign w:val="center"/>
          </w:tcPr>
          <w:p w14:paraId="36FC81FC"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10137A64"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564AF9A3"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1557BB9B"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61C4F788"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w:t>
            </w:r>
          </w:p>
        </w:tc>
      </w:tr>
      <w:tr w:rsidR="00532A8E" w14:paraId="1790C3AA" w14:textId="77777777" w:rsidTr="00D23092">
        <w:trPr>
          <w:trHeight w:val="392"/>
        </w:trPr>
        <w:tc>
          <w:tcPr>
            <w:tcW w:w="1474" w:type="dxa"/>
            <w:shd w:val="clear" w:color="auto" w:fill="FFFFFF" w:themeFill="background1"/>
            <w:vAlign w:val="center"/>
          </w:tcPr>
          <w:p w14:paraId="5F8EF6A8" w14:textId="77777777" w:rsidR="00532A8E" w:rsidRPr="00C64239" w:rsidRDefault="00532A8E" w:rsidP="001F6887">
            <w:pPr>
              <w:jc w:val="both"/>
              <w:rPr>
                <w:rFonts w:ascii="Arial" w:hAnsi="Arial" w:cs="Arial"/>
                <w:b/>
                <w:bCs/>
                <w:sz w:val="16"/>
                <w:szCs w:val="16"/>
              </w:rPr>
            </w:pPr>
            <w:r w:rsidRPr="00C64239">
              <w:rPr>
                <w:rFonts w:ascii="Arial" w:hAnsi="Arial" w:cs="Arial"/>
                <w:sz w:val="16"/>
              </w:rPr>
              <w:t>Neumonía bacteriana</w:t>
            </w:r>
          </w:p>
        </w:tc>
        <w:tc>
          <w:tcPr>
            <w:tcW w:w="1475" w:type="dxa"/>
            <w:shd w:val="clear" w:color="auto" w:fill="FFFFFF" w:themeFill="background1"/>
            <w:vAlign w:val="center"/>
          </w:tcPr>
          <w:p w14:paraId="0A996BEB"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3ACDC487"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02F944B1"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2FCCDF04"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61947671"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w:t>
            </w:r>
          </w:p>
        </w:tc>
      </w:tr>
      <w:tr w:rsidR="00532A8E" w14:paraId="68180678" w14:textId="77777777" w:rsidTr="00D23092">
        <w:trPr>
          <w:trHeight w:val="392"/>
        </w:trPr>
        <w:tc>
          <w:tcPr>
            <w:tcW w:w="1474" w:type="dxa"/>
            <w:shd w:val="clear" w:color="auto" w:fill="FFFFFF" w:themeFill="background1"/>
            <w:vAlign w:val="center"/>
          </w:tcPr>
          <w:p w14:paraId="27AF18D7" w14:textId="77777777" w:rsidR="00532A8E" w:rsidRPr="00C64239" w:rsidRDefault="00532A8E" w:rsidP="001F6887">
            <w:pPr>
              <w:jc w:val="both"/>
              <w:rPr>
                <w:rFonts w:ascii="Arial" w:hAnsi="Arial" w:cs="Arial"/>
                <w:b/>
                <w:bCs/>
                <w:sz w:val="16"/>
                <w:szCs w:val="16"/>
              </w:rPr>
            </w:pPr>
            <w:r w:rsidRPr="00C64239">
              <w:rPr>
                <w:rFonts w:ascii="Arial" w:hAnsi="Arial" w:cs="Arial"/>
                <w:sz w:val="16"/>
              </w:rPr>
              <w:t>Sepsis</w:t>
            </w:r>
          </w:p>
        </w:tc>
        <w:tc>
          <w:tcPr>
            <w:tcW w:w="1475" w:type="dxa"/>
            <w:shd w:val="clear" w:color="auto" w:fill="FFFFFF" w:themeFill="background1"/>
            <w:vAlign w:val="center"/>
          </w:tcPr>
          <w:p w14:paraId="0358BFE8"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7EC6EBE9"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30555889"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5532423B"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0423AFB3"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w:t>
            </w:r>
          </w:p>
        </w:tc>
      </w:tr>
      <w:tr w:rsidR="00532A8E" w14:paraId="3BEF12FC" w14:textId="77777777" w:rsidTr="00D23092">
        <w:trPr>
          <w:trHeight w:val="392"/>
        </w:trPr>
        <w:tc>
          <w:tcPr>
            <w:tcW w:w="1474" w:type="dxa"/>
            <w:shd w:val="clear" w:color="auto" w:fill="FFFFFF" w:themeFill="background1"/>
            <w:vAlign w:val="center"/>
          </w:tcPr>
          <w:p w14:paraId="7CBD1C61" w14:textId="77777777" w:rsidR="00532A8E" w:rsidRPr="00C64239" w:rsidRDefault="00532A8E" w:rsidP="001F6887">
            <w:pPr>
              <w:jc w:val="both"/>
              <w:rPr>
                <w:rFonts w:ascii="Arial" w:hAnsi="Arial" w:cs="Arial"/>
                <w:b/>
                <w:bCs/>
                <w:sz w:val="16"/>
                <w:szCs w:val="16"/>
              </w:rPr>
            </w:pPr>
            <w:r w:rsidRPr="00C64239">
              <w:rPr>
                <w:rFonts w:ascii="Arial" w:hAnsi="Arial" w:cs="Arial"/>
                <w:sz w:val="16"/>
              </w:rPr>
              <w:t>Aumento de peso</w:t>
            </w:r>
          </w:p>
        </w:tc>
        <w:tc>
          <w:tcPr>
            <w:tcW w:w="1475" w:type="dxa"/>
            <w:shd w:val="clear" w:color="auto" w:fill="FFFFFF" w:themeFill="background1"/>
            <w:vAlign w:val="center"/>
          </w:tcPr>
          <w:p w14:paraId="7DF6BFED"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7E2DEFB0"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4351383C"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1DE73508"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49EA4893"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w:t>
            </w:r>
          </w:p>
        </w:tc>
      </w:tr>
      <w:tr w:rsidR="00532A8E" w14:paraId="283AEBCB" w14:textId="77777777" w:rsidTr="00D23092">
        <w:trPr>
          <w:trHeight w:val="392"/>
        </w:trPr>
        <w:tc>
          <w:tcPr>
            <w:tcW w:w="1474" w:type="dxa"/>
            <w:shd w:val="clear" w:color="auto" w:fill="FFFFFF" w:themeFill="background1"/>
            <w:vAlign w:val="center"/>
          </w:tcPr>
          <w:p w14:paraId="5DB81062" w14:textId="77777777" w:rsidR="00532A8E" w:rsidRDefault="00532A8E" w:rsidP="001F6887">
            <w:pPr>
              <w:jc w:val="both"/>
              <w:rPr>
                <w:rFonts w:ascii="Arial" w:hAnsi="Arial" w:cs="Arial"/>
                <w:b/>
                <w:bCs/>
                <w:sz w:val="16"/>
                <w:szCs w:val="16"/>
              </w:rPr>
            </w:pPr>
            <w:r w:rsidRPr="00C64239">
              <w:rPr>
                <w:rFonts w:ascii="Arial" w:hAnsi="Arial" w:cs="Arial"/>
                <w:sz w:val="16"/>
              </w:rPr>
              <w:t>Hidrocefalia</w:t>
            </w:r>
          </w:p>
        </w:tc>
        <w:tc>
          <w:tcPr>
            <w:tcW w:w="1475" w:type="dxa"/>
            <w:shd w:val="clear" w:color="auto" w:fill="FFFFFF" w:themeFill="background1"/>
            <w:vAlign w:val="center"/>
          </w:tcPr>
          <w:p w14:paraId="79595A56"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73EB942B"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2FA02A70"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2E88C50F"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4FFC9708"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w:t>
            </w:r>
          </w:p>
        </w:tc>
      </w:tr>
      <w:tr w:rsidR="00532A8E" w14:paraId="26B8724B" w14:textId="77777777" w:rsidTr="00D23092">
        <w:trPr>
          <w:trHeight w:val="392"/>
        </w:trPr>
        <w:tc>
          <w:tcPr>
            <w:tcW w:w="1474" w:type="dxa"/>
            <w:shd w:val="clear" w:color="auto" w:fill="FFFFFF" w:themeFill="background1"/>
            <w:vAlign w:val="center"/>
          </w:tcPr>
          <w:p w14:paraId="77749512" w14:textId="77777777" w:rsidR="00532A8E" w:rsidRDefault="00532A8E" w:rsidP="001F6887">
            <w:pPr>
              <w:jc w:val="both"/>
              <w:rPr>
                <w:rFonts w:ascii="Arial" w:hAnsi="Arial" w:cs="Arial"/>
                <w:b/>
                <w:bCs/>
                <w:sz w:val="16"/>
                <w:szCs w:val="16"/>
              </w:rPr>
            </w:pPr>
            <w:r>
              <w:rPr>
                <w:rFonts w:ascii="Arial" w:hAnsi="Arial" w:cs="Arial"/>
                <w:color w:val="000000"/>
                <w:sz w:val="16"/>
                <w:szCs w:val="16"/>
              </w:rPr>
              <w:t>Insuficiencia respiratoria aguda</w:t>
            </w:r>
          </w:p>
        </w:tc>
        <w:tc>
          <w:tcPr>
            <w:tcW w:w="1475" w:type="dxa"/>
            <w:shd w:val="clear" w:color="auto" w:fill="FFFFFF" w:themeFill="background1"/>
            <w:vAlign w:val="center"/>
          </w:tcPr>
          <w:p w14:paraId="4E87DAEF"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4" w:type="dxa"/>
            <w:shd w:val="clear" w:color="auto" w:fill="FFFFFF" w:themeFill="background1"/>
            <w:vAlign w:val="center"/>
          </w:tcPr>
          <w:p w14:paraId="4CE6E55B"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5" w:type="dxa"/>
            <w:shd w:val="clear" w:color="auto" w:fill="FFFFFF" w:themeFill="background1"/>
            <w:vAlign w:val="center"/>
          </w:tcPr>
          <w:p w14:paraId="50F9A86D" w14:textId="77777777" w:rsidR="00532A8E" w:rsidRPr="00532A8E" w:rsidRDefault="00532A8E" w:rsidP="001F6887">
            <w:pPr>
              <w:jc w:val="center"/>
              <w:rPr>
                <w:rFonts w:ascii="Arial" w:hAnsi="Arial" w:cs="Arial"/>
                <w:bCs/>
                <w:sz w:val="16"/>
                <w:szCs w:val="16"/>
              </w:rPr>
            </w:pPr>
            <w:r w:rsidRPr="00532A8E">
              <w:rPr>
                <w:rFonts w:ascii="Arial" w:hAnsi="Arial" w:cs="Arial"/>
                <w:color w:val="000000"/>
                <w:sz w:val="16"/>
                <w:szCs w:val="16"/>
              </w:rPr>
              <w:t>4,5%</w:t>
            </w:r>
          </w:p>
        </w:tc>
        <w:tc>
          <w:tcPr>
            <w:tcW w:w="1474" w:type="dxa"/>
            <w:shd w:val="clear" w:color="auto" w:fill="FFFFFF" w:themeFill="background1"/>
            <w:vAlign w:val="center"/>
          </w:tcPr>
          <w:p w14:paraId="14BF4BAC"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0%</w:t>
            </w:r>
          </w:p>
        </w:tc>
        <w:tc>
          <w:tcPr>
            <w:tcW w:w="1476" w:type="dxa"/>
            <w:shd w:val="clear" w:color="auto" w:fill="FFFFFF" w:themeFill="background1"/>
            <w:vAlign w:val="center"/>
          </w:tcPr>
          <w:p w14:paraId="09C6B272" w14:textId="77777777" w:rsidR="00532A8E" w:rsidRPr="00532A8E" w:rsidRDefault="00532A8E" w:rsidP="001F6887">
            <w:pPr>
              <w:jc w:val="center"/>
              <w:rPr>
                <w:rFonts w:ascii="Arial" w:hAnsi="Arial" w:cs="Arial"/>
                <w:bCs/>
                <w:sz w:val="16"/>
                <w:szCs w:val="16"/>
              </w:rPr>
            </w:pPr>
            <w:r w:rsidRPr="00532A8E">
              <w:rPr>
                <w:rFonts w:ascii="Arial" w:hAnsi="Arial" w:cs="Arial"/>
                <w:bCs/>
                <w:sz w:val="16"/>
                <w:szCs w:val="16"/>
              </w:rPr>
              <w:t>1%</w:t>
            </w:r>
          </w:p>
        </w:tc>
      </w:tr>
    </w:tbl>
    <w:p w14:paraId="016F130E" w14:textId="77777777" w:rsidR="00C64239" w:rsidRDefault="00C64239" w:rsidP="001F6887">
      <w:pPr>
        <w:shd w:val="clear" w:color="auto" w:fill="FFFFFF"/>
        <w:jc w:val="both"/>
        <w:rPr>
          <w:rFonts w:ascii="Arial" w:hAnsi="Arial" w:cs="Arial"/>
          <w:sz w:val="20"/>
          <w:szCs w:val="20"/>
        </w:rPr>
      </w:pPr>
    </w:p>
    <w:p w14:paraId="00F53479" w14:textId="77777777" w:rsidR="00036A6B" w:rsidRDefault="00036A6B" w:rsidP="001F6887">
      <w:pPr>
        <w:shd w:val="clear" w:color="auto" w:fill="FFFFFF"/>
        <w:jc w:val="both"/>
        <w:rPr>
          <w:rFonts w:ascii="Arial" w:hAnsi="Arial" w:cs="Arial"/>
          <w:sz w:val="20"/>
          <w:szCs w:val="20"/>
        </w:rPr>
      </w:pPr>
    </w:p>
    <w:p w14:paraId="4A4769A2" w14:textId="7AFC0546" w:rsidR="00FA0C0C" w:rsidRPr="00303844"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87" w:name="_Toc344399653"/>
      <w:bookmarkStart w:id="88" w:name="_Toc348931384"/>
      <w:r w:rsidRPr="00303844">
        <w:rPr>
          <w:rFonts w:ascii="Arial" w:hAnsi="Arial" w:cs="Arial"/>
          <w:sz w:val="20"/>
          <w:szCs w:val="20"/>
        </w:rPr>
        <w:t>6.2 Ensayos Clínicos comparativos</w:t>
      </w:r>
      <w:bookmarkEnd w:id="87"/>
      <w:bookmarkEnd w:id="88"/>
      <w:r w:rsidRPr="00303844">
        <w:rPr>
          <w:rFonts w:ascii="Arial" w:hAnsi="Arial" w:cs="Arial"/>
          <w:sz w:val="20"/>
          <w:szCs w:val="20"/>
        </w:rPr>
        <w:t xml:space="preserve"> </w:t>
      </w:r>
    </w:p>
    <w:p w14:paraId="29B82F6E" w14:textId="77777777" w:rsidR="00036A6B" w:rsidRDefault="00036A6B" w:rsidP="001F6887">
      <w:pPr>
        <w:shd w:val="clear" w:color="auto" w:fill="FFFFFF"/>
        <w:jc w:val="both"/>
        <w:rPr>
          <w:rFonts w:ascii="Arial" w:hAnsi="Arial" w:cs="Arial"/>
          <w:sz w:val="20"/>
          <w:szCs w:val="20"/>
        </w:rPr>
      </w:pPr>
    </w:p>
    <w:p w14:paraId="30AC488A" w14:textId="34BAE450" w:rsidR="00FA0C0C" w:rsidRPr="00303844" w:rsidRDefault="00FA0C0C" w:rsidP="001F6887">
      <w:pPr>
        <w:shd w:val="clear" w:color="auto" w:fill="FFFFFF"/>
        <w:jc w:val="both"/>
        <w:rPr>
          <w:rFonts w:ascii="Arial" w:hAnsi="Arial" w:cs="Arial"/>
          <w:sz w:val="20"/>
          <w:szCs w:val="20"/>
        </w:rPr>
      </w:pPr>
      <w:r w:rsidRPr="00303844">
        <w:rPr>
          <w:rFonts w:ascii="Arial" w:hAnsi="Arial" w:cs="Arial"/>
          <w:sz w:val="20"/>
          <w:szCs w:val="20"/>
        </w:rPr>
        <w:t xml:space="preserve">No se dispone de resultados de seguridad procedentes de estudios comparativos de </w:t>
      </w:r>
      <w:r w:rsidR="00B40BFA" w:rsidRPr="00303844">
        <w:rPr>
          <w:rFonts w:ascii="Arial" w:hAnsi="Arial" w:cs="Arial"/>
          <w:sz w:val="20"/>
          <w:szCs w:val="20"/>
        </w:rPr>
        <w:t xml:space="preserve">onasemnogén abeparvovec </w:t>
      </w:r>
      <w:r w:rsidRPr="00303844">
        <w:rPr>
          <w:rFonts w:ascii="Arial" w:hAnsi="Arial" w:cs="Arial"/>
          <w:sz w:val="20"/>
          <w:szCs w:val="20"/>
        </w:rPr>
        <w:t>en la indicación evaluada</w:t>
      </w:r>
    </w:p>
    <w:p w14:paraId="70BEA8F2" w14:textId="77777777" w:rsidR="00303844" w:rsidRDefault="00303844" w:rsidP="001F6887">
      <w:pPr>
        <w:rPr>
          <w:rFonts w:ascii="Arial" w:hAnsi="Arial" w:cs="Arial"/>
          <w:sz w:val="20"/>
          <w:szCs w:val="20"/>
          <w:lang w:eastAsia="zh-CN"/>
        </w:rPr>
      </w:pPr>
    </w:p>
    <w:p w14:paraId="069088D0" w14:textId="77777777" w:rsidR="00EB48F4" w:rsidRDefault="00303844" w:rsidP="001F6887">
      <w:pPr>
        <w:jc w:val="both"/>
        <w:rPr>
          <w:rFonts w:ascii="Arial" w:hAnsi="Arial" w:cs="Arial"/>
          <w:sz w:val="20"/>
          <w:szCs w:val="20"/>
          <w:lang w:eastAsia="zh-CN"/>
        </w:rPr>
      </w:pPr>
      <w:r>
        <w:rPr>
          <w:rFonts w:ascii="Arial" w:hAnsi="Arial" w:cs="Arial"/>
          <w:sz w:val="20"/>
          <w:szCs w:val="20"/>
          <w:lang w:eastAsia="zh-CN"/>
        </w:rPr>
        <w:t xml:space="preserve">A modo descriptivo se enumeran los afectos adversos </w:t>
      </w:r>
      <w:r w:rsidR="00EB48F4">
        <w:rPr>
          <w:rFonts w:ascii="Arial" w:hAnsi="Arial" w:cs="Arial"/>
          <w:sz w:val="20"/>
          <w:szCs w:val="20"/>
          <w:lang w:eastAsia="zh-CN"/>
        </w:rPr>
        <w:t xml:space="preserve">más frecuentes que ha presentado </w:t>
      </w:r>
      <w:r w:rsidR="00EB48F4" w:rsidRPr="00EB48F4">
        <w:rPr>
          <w:rFonts w:ascii="Arial" w:hAnsi="Arial" w:cs="Arial"/>
          <w:b/>
          <w:sz w:val="20"/>
          <w:szCs w:val="20"/>
          <w:lang w:eastAsia="zh-CN"/>
        </w:rPr>
        <w:t>nusinersen</w:t>
      </w:r>
      <w:r w:rsidR="00EB48F4">
        <w:rPr>
          <w:rFonts w:ascii="Arial" w:hAnsi="Arial" w:cs="Arial"/>
          <w:sz w:val="20"/>
          <w:szCs w:val="20"/>
          <w:lang w:eastAsia="zh-CN"/>
        </w:rPr>
        <w:t xml:space="preserve"> en los ensayos clínicos realizados:</w:t>
      </w:r>
    </w:p>
    <w:p w14:paraId="3C36C474" w14:textId="11A3333B" w:rsidR="00EB48F4" w:rsidRPr="00EB48F4" w:rsidRDefault="00EB48F4" w:rsidP="001F6887">
      <w:pPr>
        <w:pStyle w:val="Prrafodelista"/>
        <w:numPr>
          <w:ilvl w:val="0"/>
          <w:numId w:val="17"/>
        </w:numPr>
        <w:jc w:val="both"/>
        <w:rPr>
          <w:rFonts w:ascii="Arial" w:hAnsi="Arial" w:cs="Arial"/>
          <w:sz w:val="20"/>
          <w:szCs w:val="20"/>
          <w:lang w:eastAsia="zh-CN"/>
        </w:rPr>
      </w:pPr>
      <w:r w:rsidRPr="00EB48F4">
        <w:rPr>
          <w:rFonts w:ascii="Arial" w:hAnsi="Arial" w:cs="Arial"/>
          <w:sz w:val="20"/>
          <w:szCs w:val="20"/>
          <w:lang w:eastAsia="zh-CN"/>
        </w:rPr>
        <w:t xml:space="preserve">los EA más comunes informados en el estudio CS3A (ENDEAR) en pacientes con </w:t>
      </w:r>
      <w:r w:rsidRPr="00EB48F4">
        <w:rPr>
          <w:rFonts w:ascii="Arial" w:hAnsi="Arial" w:cs="Arial"/>
          <w:b/>
          <w:sz w:val="20"/>
          <w:szCs w:val="20"/>
          <w:lang w:eastAsia="zh-CN"/>
        </w:rPr>
        <w:t>AME tipo 1</w:t>
      </w:r>
      <w:r w:rsidRPr="00EB48F4">
        <w:rPr>
          <w:rFonts w:ascii="Arial" w:hAnsi="Arial" w:cs="Arial"/>
          <w:sz w:val="20"/>
          <w:szCs w:val="20"/>
          <w:lang w:eastAsia="zh-CN"/>
        </w:rPr>
        <w:t xml:space="preserve"> (≥ 20% de los pacientes tratados con nusinersen, n = 20) fueron congestión nasal (35%), aumento de las </w:t>
      </w:r>
      <w:r w:rsidR="00FA72E2">
        <w:rPr>
          <w:rFonts w:ascii="Arial" w:hAnsi="Arial" w:cs="Arial"/>
          <w:sz w:val="20"/>
          <w:szCs w:val="20"/>
          <w:lang w:eastAsia="zh-CN"/>
        </w:rPr>
        <w:t>secreciones en las</w:t>
      </w:r>
      <w:r w:rsidR="00FA72E2" w:rsidRPr="00EB48F4">
        <w:rPr>
          <w:rFonts w:ascii="Arial" w:hAnsi="Arial" w:cs="Arial"/>
          <w:sz w:val="20"/>
          <w:szCs w:val="20"/>
          <w:lang w:eastAsia="zh-CN"/>
        </w:rPr>
        <w:t xml:space="preserve"> </w:t>
      </w:r>
      <w:r w:rsidRPr="00EB48F4">
        <w:rPr>
          <w:rFonts w:ascii="Arial" w:hAnsi="Arial" w:cs="Arial"/>
          <w:sz w:val="20"/>
          <w:szCs w:val="20"/>
          <w:lang w:eastAsia="zh-CN"/>
        </w:rPr>
        <w:t>vías respiratorias superiores (25%), insuficiencia respiratoria crónica (20%), hipoxia (20%), nasofaringitis (30%), otitis</w:t>
      </w:r>
      <w:r>
        <w:rPr>
          <w:rFonts w:ascii="Arial" w:hAnsi="Arial" w:cs="Arial"/>
          <w:sz w:val="20"/>
          <w:szCs w:val="20"/>
          <w:lang w:eastAsia="zh-CN"/>
        </w:rPr>
        <w:t xml:space="preserve"> </w:t>
      </w:r>
      <w:r w:rsidRPr="00EB48F4">
        <w:rPr>
          <w:rFonts w:ascii="Arial" w:hAnsi="Arial" w:cs="Arial"/>
          <w:sz w:val="20"/>
          <w:szCs w:val="20"/>
          <w:lang w:eastAsia="zh-CN"/>
        </w:rPr>
        <w:t xml:space="preserve">medios (30%), </w:t>
      </w:r>
      <w:r w:rsidRPr="00EB48F4">
        <w:rPr>
          <w:rFonts w:ascii="Arial" w:hAnsi="Arial" w:cs="Arial"/>
          <w:sz w:val="20"/>
          <w:szCs w:val="20"/>
          <w:lang w:eastAsia="zh-CN"/>
        </w:rPr>
        <w:lastRenderedPageBreak/>
        <w:t>infección por rinovirus (30%), infección del tracto respiratorio (25%), infección viral (20%),</w:t>
      </w:r>
      <w:r>
        <w:rPr>
          <w:rFonts w:ascii="Arial" w:hAnsi="Arial" w:cs="Arial"/>
          <w:sz w:val="20"/>
          <w:szCs w:val="20"/>
          <w:lang w:eastAsia="zh-CN"/>
        </w:rPr>
        <w:t xml:space="preserve"> </w:t>
      </w:r>
      <w:r w:rsidRPr="00EB48F4">
        <w:rPr>
          <w:rFonts w:ascii="Arial" w:hAnsi="Arial" w:cs="Arial"/>
          <w:sz w:val="20"/>
          <w:szCs w:val="20"/>
          <w:lang w:eastAsia="zh-CN"/>
        </w:rPr>
        <w:t>enfermedad por reflujo gastroesofágico (30%), diarrea (25%), dentición (20%), contractura articular (40%), escoliosis (35%), cifosis (20%), erupción cutánea (25%), dermatitis del pañal (20%) y dolor (20%).</w:t>
      </w:r>
    </w:p>
    <w:p w14:paraId="69CCABA1" w14:textId="77777777" w:rsidR="00EB48F4" w:rsidRDefault="00EB48F4" w:rsidP="001F6887">
      <w:pPr>
        <w:pStyle w:val="Prrafodelista"/>
        <w:numPr>
          <w:ilvl w:val="0"/>
          <w:numId w:val="16"/>
        </w:numPr>
        <w:jc w:val="both"/>
        <w:rPr>
          <w:rFonts w:ascii="Arial" w:hAnsi="Arial" w:cs="Arial"/>
          <w:sz w:val="20"/>
          <w:szCs w:val="20"/>
          <w:lang w:eastAsia="zh-CN"/>
        </w:rPr>
      </w:pPr>
      <w:r w:rsidRPr="00EB48F4">
        <w:rPr>
          <w:rFonts w:ascii="Arial" w:hAnsi="Arial" w:cs="Arial"/>
          <w:sz w:val="20"/>
          <w:szCs w:val="20"/>
          <w:lang w:eastAsia="zh-CN"/>
        </w:rPr>
        <w:t>e</w:t>
      </w:r>
      <w:r w:rsidR="00303844" w:rsidRPr="00EB48F4">
        <w:rPr>
          <w:rFonts w:ascii="Arial" w:hAnsi="Arial" w:cs="Arial"/>
          <w:sz w:val="20"/>
          <w:szCs w:val="20"/>
          <w:lang w:eastAsia="zh-CN"/>
        </w:rPr>
        <w:t xml:space="preserve">n el estudio SM201, el acontecimiento adverso informado en más del 20% de los pacientes </w:t>
      </w:r>
      <w:r w:rsidR="00303844" w:rsidRPr="00EB48F4">
        <w:rPr>
          <w:rFonts w:ascii="Arial" w:hAnsi="Arial" w:cs="Arial"/>
          <w:b/>
          <w:sz w:val="20"/>
          <w:szCs w:val="20"/>
          <w:lang w:eastAsia="zh-CN"/>
        </w:rPr>
        <w:t xml:space="preserve">presintomáticos </w:t>
      </w:r>
      <w:r w:rsidR="00303844" w:rsidRPr="00EB48F4">
        <w:rPr>
          <w:rFonts w:ascii="Arial" w:hAnsi="Arial" w:cs="Arial"/>
          <w:sz w:val="20"/>
          <w:szCs w:val="20"/>
          <w:lang w:eastAsia="zh-CN"/>
        </w:rPr>
        <w:t>tratados con nusinersen (n = 17) fue una infección del tracto respiratorio superior (35%).</w:t>
      </w:r>
    </w:p>
    <w:p w14:paraId="5C67A40F" w14:textId="4C9CF383" w:rsidR="00FA0C0C" w:rsidRDefault="00EB48F4" w:rsidP="001F6887">
      <w:pPr>
        <w:pStyle w:val="Prrafodelista"/>
        <w:numPr>
          <w:ilvl w:val="0"/>
          <w:numId w:val="16"/>
        </w:numPr>
        <w:jc w:val="both"/>
        <w:rPr>
          <w:rFonts w:ascii="Arial" w:hAnsi="Arial" w:cs="Arial"/>
          <w:sz w:val="20"/>
          <w:szCs w:val="20"/>
          <w:lang w:eastAsia="zh-CN"/>
        </w:rPr>
      </w:pPr>
      <w:r w:rsidRPr="00EB48F4">
        <w:rPr>
          <w:rFonts w:ascii="Arial" w:hAnsi="Arial" w:cs="Arial"/>
          <w:sz w:val="20"/>
          <w:szCs w:val="20"/>
          <w:lang w:eastAsia="zh-CN"/>
        </w:rPr>
        <w:t>e</w:t>
      </w:r>
      <w:r w:rsidR="00303844" w:rsidRPr="00EB48F4">
        <w:rPr>
          <w:rFonts w:ascii="Arial" w:hAnsi="Arial" w:cs="Arial"/>
          <w:sz w:val="20"/>
          <w:szCs w:val="20"/>
          <w:lang w:eastAsia="zh-CN"/>
        </w:rPr>
        <w:t xml:space="preserve">n el análisis integrado de 4 estudios abiertos (Estudio CS1, CS2, CS10 y CS12, n = 56) en </w:t>
      </w:r>
      <w:r w:rsidR="00303844" w:rsidRPr="00EB48F4">
        <w:rPr>
          <w:rFonts w:ascii="Arial" w:hAnsi="Arial" w:cs="Arial"/>
          <w:b/>
          <w:sz w:val="20"/>
          <w:szCs w:val="20"/>
          <w:lang w:eastAsia="zh-CN"/>
        </w:rPr>
        <w:t>AME de inicio tardío</w:t>
      </w:r>
      <w:r w:rsidR="00303844" w:rsidRPr="00EB48F4">
        <w:rPr>
          <w:rFonts w:ascii="Arial" w:hAnsi="Arial" w:cs="Arial"/>
          <w:sz w:val="20"/>
          <w:szCs w:val="20"/>
          <w:lang w:eastAsia="zh-CN"/>
        </w:rPr>
        <w:t>, los EA más comunes informados en más del 20% de los pacientes tratados con nusinersen</w:t>
      </w:r>
      <w:r w:rsidRPr="00EB48F4">
        <w:rPr>
          <w:rFonts w:ascii="Arial" w:hAnsi="Arial" w:cs="Arial"/>
          <w:sz w:val="20"/>
          <w:szCs w:val="20"/>
          <w:lang w:eastAsia="zh-CN"/>
        </w:rPr>
        <w:t xml:space="preserve"> </w:t>
      </w:r>
      <w:r w:rsidR="00303844" w:rsidRPr="00EB48F4">
        <w:rPr>
          <w:rFonts w:ascii="Arial" w:hAnsi="Arial" w:cs="Arial"/>
          <w:sz w:val="20"/>
          <w:szCs w:val="20"/>
          <w:lang w:eastAsia="zh-CN"/>
        </w:rPr>
        <w:t>(independientemente de la causalidad) fueron infección del tracto respiratorio superior (48%), nasofaringitis (29%),</w:t>
      </w:r>
      <w:r w:rsidRPr="00EB48F4">
        <w:rPr>
          <w:rFonts w:ascii="Arial" w:hAnsi="Arial" w:cs="Arial"/>
          <w:sz w:val="20"/>
          <w:szCs w:val="20"/>
          <w:lang w:eastAsia="zh-CN"/>
        </w:rPr>
        <w:t xml:space="preserve"> </w:t>
      </w:r>
      <w:r w:rsidR="00303844" w:rsidRPr="00EB48F4">
        <w:rPr>
          <w:rFonts w:ascii="Arial" w:hAnsi="Arial" w:cs="Arial"/>
          <w:sz w:val="20"/>
          <w:szCs w:val="20"/>
          <w:lang w:eastAsia="zh-CN"/>
        </w:rPr>
        <w:t>vómitos (21%), pirexia (29%), síndrome pospunción lumbar (41%), dolor de espalda (41%), escoliosis</w:t>
      </w:r>
      <w:r>
        <w:rPr>
          <w:rFonts w:ascii="Arial" w:hAnsi="Arial" w:cs="Arial"/>
          <w:sz w:val="20"/>
          <w:szCs w:val="20"/>
          <w:lang w:eastAsia="zh-CN"/>
        </w:rPr>
        <w:t xml:space="preserve"> </w:t>
      </w:r>
      <w:r w:rsidR="00303844" w:rsidRPr="00EB48F4">
        <w:rPr>
          <w:rFonts w:ascii="Arial" w:hAnsi="Arial" w:cs="Arial"/>
          <w:sz w:val="20"/>
          <w:szCs w:val="20"/>
          <w:lang w:eastAsia="zh-CN"/>
        </w:rPr>
        <w:t>(27%) y dolor de cabeza (50%)</w:t>
      </w:r>
      <w:r>
        <w:rPr>
          <w:rFonts w:ascii="Arial" w:hAnsi="Arial" w:cs="Arial"/>
          <w:sz w:val="20"/>
          <w:szCs w:val="20"/>
          <w:lang w:eastAsia="zh-CN"/>
        </w:rPr>
        <w:t>.</w:t>
      </w:r>
    </w:p>
    <w:p w14:paraId="57860C91" w14:textId="77777777" w:rsidR="00EB48F4" w:rsidRDefault="00EB48F4" w:rsidP="001F6887">
      <w:pPr>
        <w:pStyle w:val="Prrafodelista"/>
        <w:ind w:left="720"/>
        <w:jc w:val="both"/>
        <w:rPr>
          <w:rFonts w:ascii="Arial" w:hAnsi="Arial" w:cs="Arial"/>
          <w:sz w:val="20"/>
          <w:szCs w:val="20"/>
          <w:lang w:eastAsia="zh-CN"/>
        </w:rPr>
      </w:pPr>
    </w:p>
    <w:p w14:paraId="088BDCA8" w14:textId="77777777" w:rsidR="00EB48F4" w:rsidRPr="00EB48F4" w:rsidRDefault="00EB48F4" w:rsidP="001F6887">
      <w:pPr>
        <w:pStyle w:val="Prrafodelista"/>
        <w:ind w:left="720"/>
        <w:jc w:val="both"/>
        <w:rPr>
          <w:rFonts w:ascii="Arial" w:hAnsi="Arial" w:cs="Arial"/>
          <w:sz w:val="20"/>
          <w:szCs w:val="20"/>
          <w:lang w:eastAsia="zh-CN"/>
        </w:rPr>
      </w:pPr>
    </w:p>
    <w:p w14:paraId="0F0DA9B2" w14:textId="31635826" w:rsidR="00FA0C0C" w:rsidRPr="00EB48F4"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89" w:name="_Toc344399654"/>
      <w:bookmarkStart w:id="90" w:name="_Toc348931385"/>
      <w:r w:rsidRPr="00EB48F4">
        <w:rPr>
          <w:rFonts w:ascii="Arial" w:hAnsi="Arial" w:cs="Arial"/>
          <w:sz w:val="20"/>
          <w:szCs w:val="20"/>
        </w:rPr>
        <w:t>6.3 Fuentes secundarias sobre seguridad</w:t>
      </w:r>
      <w:bookmarkEnd w:id="89"/>
      <w:bookmarkEnd w:id="90"/>
    </w:p>
    <w:p w14:paraId="75E42DE3" w14:textId="77777777" w:rsidR="00036A6B" w:rsidRDefault="00036A6B" w:rsidP="001F6887">
      <w:pPr>
        <w:jc w:val="both"/>
        <w:rPr>
          <w:rFonts w:ascii="Arial" w:hAnsi="Arial" w:cs="Arial"/>
          <w:sz w:val="20"/>
          <w:szCs w:val="20"/>
        </w:rPr>
      </w:pPr>
    </w:p>
    <w:p w14:paraId="1A33C7C4" w14:textId="77777777" w:rsidR="00FA0C0C" w:rsidRDefault="00FA0C0C" w:rsidP="001F6887">
      <w:pPr>
        <w:jc w:val="both"/>
        <w:rPr>
          <w:rFonts w:ascii="Arial" w:hAnsi="Arial" w:cs="Arial"/>
          <w:color w:val="0000FF"/>
          <w:sz w:val="20"/>
          <w:szCs w:val="20"/>
          <w:u w:val="single"/>
        </w:rPr>
      </w:pPr>
      <w:r>
        <w:rPr>
          <w:rFonts w:ascii="Arial" w:hAnsi="Arial" w:cs="Arial"/>
          <w:sz w:val="20"/>
          <w:szCs w:val="20"/>
        </w:rPr>
        <w:t xml:space="preserve">No disponemos de fuentes secundarias sobre seguridad que aporten datos significativamente diferentes de los anteriormente descritos.                   </w:t>
      </w:r>
    </w:p>
    <w:p w14:paraId="4DC14F5B" w14:textId="77777777" w:rsidR="00036A6B" w:rsidRDefault="00036A6B" w:rsidP="001F6887">
      <w:pPr>
        <w:jc w:val="right"/>
        <w:rPr>
          <w:rFonts w:ascii="Arial" w:hAnsi="Arial" w:cs="Arial"/>
          <w:sz w:val="20"/>
          <w:szCs w:val="20"/>
        </w:rPr>
      </w:pPr>
    </w:p>
    <w:p w14:paraId="4F836339" w14:textId="77777777" w:rsidR="00FA0C0C" w:rsidRDefault="00FA0C0C" w:rsidP="001F6887">
      <w:pPr>
        <w:jc w:val="right"/>
        <w:rPr>
          <w:rFonts w:ascii="Arial" w:hAnsi="Arial" w:cs="Arial"/>
          <w:sz w:val="20"/>
          <w:szCs w:val="20"/>
        </w:rPr>
      </w:pPr>
      <w:r>
        <w:rPr>
          <w:rFonts w:ascii="Arial" w:hAnsi="Arial" w:cs="Arial"/>
          <w:sz w:val="20"/>
          <w:szCs w:val="20"/>
        </w:rPr>
        <w:t xml:space="preserve">                  </w:t>
      </w:r>
    </w:p>
    <w:p w14:paraId="2C85ED01" w14:textId="67C18C30" w:rsidR="00FA0C0C"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91" w:name="_Toc348931386"/>
      <w:bookmarkStart w:id="92" w:name="_Toc344399655"/>
      <w:r w:rsidRPr="00EB48F4">
        <w:rPr>
          <w:rFonts w:ascii="Arial" w:hAnsi="Arial" w:cs="Arial"/>
          <w:sz w:val="20"/>
          <w:szCs w:val="20"/>
        </w:rPr>
        <w:t>6.4 Precauciones de empleo en casos especiales</w:t>
      </w:r>
      <w:bookmarkEnd w:id="91"/>
      <w:bookmarkEnd w:id="92"/>
    </w:p>
    <w:p w14:paraId="78610B22" w14:textId="77777777" w:rsidR="00EB171F" w:rsidRDefault="00EB171F" w:rsidP="001F6887">
      <w:pPr>
        <w:pBdr>
          <w:bottom w:val="single" w:sz="4" w:space="0" w:color="auto"/>
        </w:pBdr>
        <w:jc w:val="both"/>
        <w:rPr>
          <w:rFonts w:ascii="Arial" w:hAnsi="Arial" w:cs="Arial"/>
          <w:b/>
          <w:bCs/>
          <w:sz w:val="20"/>
          <w:szCs w:val="20"/>
        </w:rPr>
      </w:pPr>
    </w:p>
    <w:p w14:paraId="28E217EE" w14:textId="77777777" w:rsidR="00FA0C0C" w:rsidRDefault="00FA0C0C" w:rsidP="001F6887">
      <w:pPr>
        <w:pBdr>
          <w:bottom w:val="single" w:sz="4" w:space="0" w:color="auto"/>
        </w:pBdr>
        <w:jc w:val="both"/>
        <w:rPr>
          <w:rFonts w:ascii="Arial" w:hAnsi="Arial" w:cs="Arial"/>
          <w:b/>
          <w:bCs/>
          <w:sz w:val="20"/>
          <w:szCs w:val="20"/>
        </w:rPr>
      </w:pPr>
      <w:r>
        <w:rPr>
          <w:rFonts w:ascii="Arial" w:hAnsi="Arial" w:cs="Arial"/>
          <w:b/>
          <w:bCs/>
          <w:sz w:val="20"/>
          <w:szCs w:val="20"/>
        </w:rPr>
        <w:t>Contraindicaciones:</w:t>
      </w:r>
    </w:p>
    <w:p w14:paraId="012AEA48" w14:textId="77777777" w:rsidR="00EB171F" w:rsidRDefault="00EB171F" w:rsidP="001F6887">
      <w:pPr>
        <w:jc w:val="both"/>
        <w:rPr>
          <w:rFonts w:ascii="Arial" w:hAnsi="Arial" w:cs="Arial"/>
          <w:sz w:val="20"/>
          <w:szCs w:val="20"/>
        </w:rPr>
      </w:pPr>
    </w:p>
    <w:p w14:paraId="5B14B28F" w14:textId="03125AE1" w:rsidR="00FA0C0C" w:rsidRPr="00A95EC1" w:rsidRDefault="00FA0C0C" w:rsidP="001F6887">
      <w:pPr>
        <w:jc w:val="both"/>
        <w:rPr>
          <w:rFonts w:ascii="Arial" w:hAnsi="Arial" w:cs="Arial"/>
          <w:sz w:val="20"/>
          <w:szCs w:val="20"/>
        </w:rPr>
      </w:pPr>
      <w:r>
        <w:rPr>
          <w:rFonts w:ascii="Arial" w:hAnsi="Arial" w:cs="Arial"/>
          <w:sz w:val="20"/>
          <w:szCs w:val="20"/>
        </w:rPr>
        <w:t>Hipersensibilidad al fármaco o a alguno de sus excipientes</w:t>
      </w:r>
    </w:p>
    <w:p w14:paraId="4413062B" w14:textId="77777777" w:rsidR="00FA0C0C" w:rsidRDefault="00FA0C0C" w:rsidP="001F6887">
      <w:pPr>
        <w:ind w:left="1440"/>
        <w:jc w:val="both"/>
        <w:rPr>
          <w:rFonts w:ascii="Arial" w:hAnsi="Arial" w:cs="Arial"/>
          <w:b/>
          <w:bCs/>
          <w:sz w:val="20"/>
          <w:szCs w:val="20"/>
        </w:rPr>
      </w:pPr>
    </w:p>
    <w:p w14:paraId="28E080E1" w14:textId="77777777" w:rsidR="00FA0C0C" w:rsidRDefault="00FA0C0C" w:rsidP="001F6887">
      <w:pPr>
        <w:pBdr>
          <w:bottom w:val="single" w:sz="4" w:space="1" w:color="auto"/>
        </w:pBdr>
        <w:jc w:val="both"/>
        <w:rPr>
          <w:rFonts w:ascii="Arial" w:hAnsi="Arial" w:cs="Arial"/>
          <w:b/>
          <w:bCs/>
          <w:sz w:val="20"/>
          <w:szCs w:val="20"/>
        </w:rPr>
      </w:pPr>
      <w:r>
        <w:rPr>
          <w:rFonts w:ascii="Arial" w:hAnsi="Arial" w:cs="Arial"/>
          <w:b/>
          <w:bCs/>
          <w:sz w:val="20"/>
          <w:szCs w:val="20"/>
        </w:rPr>
        <w:t>Advertencias y precauciones especiales de empleo</w:t>
      </w:r>
    </w:p>
    <w:p w14:paraId="4C1EB006" w14:textId="77777777" w:rsidR="00EB48F4" w:rsidRPr="00EB48F4" w:rsidRDefault="00EB48F4" w:rsidP="001F6887">
      <w:pPr>
        <w:jc w:val="both"/>
        <w:rPr>
          <w:rFonts w:ascii="Arial" w:hAnsi="Arial" w:cs="Arial"/>
          <w:b/>
          <w:sz w:val="20"/>
          <w:szCs w:val="20"/>
        </w:rPr>
      </w:pPr>
    </w:p>
    <w:p w14:paraId="4F9C2E52" w14:textId="77777777" w:rsidR="00EB48F4" w:rsidRDefault="00911CB6" w:rsidP="001F6887">
      <w:pPr>
        <w:pStyle w:val="Prrafodelista"/>
        <w:numPr>
          <w:ilvl w:val="0"/>
          <w:numId w:val="18"/>
        </w:numPr>
        <w:jc w:val="both"/>
        <w:rPr>
          <w:rFonts w:ascii="Arial" w:hAnsi="Arial" w:cs="Arial"/>
          <w:sz w:val="20"/>
          <w:szCs w:val="20"/>
          <w:u w:val="single"/>
        </w:rPr>
      </w:pPr>
      <w:r w:rsidRPr="00EB48F4">
        <w:rPr>
          <w:rFonts w:ascii="Arial" w:hAnsi="Arial" w:cs="Arial"/>
          <w:b/>
          <w:sz w:val="20"/>
          <w:szCs w:val="20"/>
        </w:rPr>
        <w:t>Trazabilidad</w:t>
      </w:r>
      <w:r w:rsidR="00EB48F4" w:rsidRPr="00EB48F4">
        <w:rPr>
          <w:rFonts w:ascii="Arial" w:hAnsi="Arial" w:cs="Arial"/>
          <w:b/>
          <w:sz w:val="20"/>
          <w:szCs w:val="20"/>
        </w:rPr>
        <w:t>.</w:t>
      </w:r>
      <w:r w:rsidR="00EB48F4">
        <w:rPr>
          <w:rFonts w:ascii="Arial" w:hAnsi="Arial" w:cs="Arial"/>
          <w:b/>
          <w:sz w:val="20"/>
          <w:szCs w:val="20"/>
        </w:rPr>
        <w:t xml:space="preserve"> </w:t>
      </w:r>
      <w:r w:rsidRPr="00EB48F4">
        <w:rPr>
          <w:rFonts w:ascii="Arial" w:hAnsi="Arial" w:cs="Arial"/>
          <w:sz w:val="20"/>
          <w:szCs w:val="20"/>
        </w:rPr>
        <w:t>El nombre y el número de lote del medicamento administrado deben estar claramente registrados.</w:t>
      </w:r>
    </w:p>
    <w:p w14:paraId="69DDD7C1" w14:textId="77777777" w:rsidR="00EB171F" w:rsidRDefault="00911CB6" w:rsidP="001F6887">
      <w:pPr>
        <w:pStyle w:val="Prrafodelista"/>
        <w:numPr>
          <w:ilvl w:val="0"/>
          <w:numId w:val="18"/>
        </w:numPr>
        <w:jc w:val="both"/>
        <w:rPr>
          <w:rFonts w:ascii="Arial" w:hAnsi="Arial" w:cs="Arial"/>
          <w:sz w:val="20"/>
          <w:szCs w:val="20"/>
        </w:rPr>
      </w:pPr>
      <w:r w:rsidRPr="00EB48F4">
        <w:rPr>
          <w:rFonts w:ascii="Arial" w:hAnsi="Arial" w:cs="Arial"/>
          <w:b/>
          <w:sz w:val="20"/>
          <w:szCs w:val="20"/>
        </w:rPr>
        <w:t>Inm</w:t>
      </w:r>
      <w:r w:rsidR="00EB48F4" w:rsidRPr="00EB48F4">
        <w:rPr>
          <w:rFonts w:ascii="Arial" w:hAnsi="Arial" w:cs="Arial"/>
          <w:b/>
          <w:sz w:val="20"/>
          <w:szCs w:val="20"/>
        </w:rPr>
        <w:t>unidad preexistente contra AAV9.</w:t>
      </w:r>
      <w:r w:rsidR="00EB171F">
        <w:rPr>
          <w:rFonts w:ascii="Arial" w:hAnsi="Arial" w:cs="Arial"/>
          <w:b/>
          <w:sz w:val="20"/>
          <w:szCs w:val="20"/>
        </w:rPr>
        <w:t xml:space="preserve"> </w:t>
      </w:r>
      <w:r w:rsidRPr="00EB48F4">
        <w:rPr>
          <w:rFonts w:ascii="Arial" w:hAnsi="Arial" w:cs="Arial"/>
          <w:sz w:val="20"/>
          <w:szCs w:val="20"/>
        </w:rPr>
        <w:t xml:space="preserve">Tras una exposición natural puede tener lugar la formación de anticuerpos anti AAV9. Se han llevado a cabo varios estudios sobre la prevalencia de anticuerpos anti AAV9 en la población general, que muestran tasas bajas de exposición previa al AAV9 en la población pediátrica. Se deben realizar pruebas de detección de anticuerpos anti AAV9 a los pacientes antes de la perfusión con onasemnogén abeparvovec. Se puede repetir la prueba si se informan títulos de anticuerpos anti AAV9 por encima de 1:50. </w:t>
      </w:r>
    </w:p>
    <w:p w14:paraId="575992BD" w14:textId="77777777" w:rsidR="00EB171F" w:rsidRDefault="00911CB6" w:rsidP="001F6887">
      <w:pPr>
        <w:pStyle w:val="Prrafodelista"/>
        <w:numPr>
          <w:ilvl w:val="0"/>
          <w:numId w:val="18"/>
        </w:numPr>
        <w:jc w:val="both"/>
        <w:rPr>
          <w:rFonts w:ascii="Arial" w:hAnsi="Arial" w:cs="Arial"/>
          <w:sz w:val="20"/>
          <w:szCs w:val="20"/>
        </w:rPr>
      </w:pPr>
      <w:r w:rsidRPr="00EB171F">
        <w:rPr>
          <w:rFonts w:ascii="Arial" w:hAnsi="Arial" w:cs="Arial"/>
          <w:b/>
          <w:sz w:val="20"/>
          <w:szCs w:val="20"/>
        </w:rPr>
        <w:t>AME avanzada</w:t>
      </w:r>
      <w:r w:rsidR="00EB171F" w:rsidRPr="00EB171F">
        <w:rPr>
          <w:rFonts w:ascii="Arial" w:hAnsi="Arial" w:cs="Arial"/>
          <w:sz w:val="20"/>
          <w:szCs w:val="20"/>
        </w:rPr>
        <w:t xml:space="preserve">. </w:t>
      </w:r>
      <w:r w:rsidRPr="00EB171F">
        <w:rPr>
          <w:rFonts w:ascii="Arial" w:hAnsi="Arial" w:cs="Arial"/>
          <w:sz w:val="20"/>
          <w:szCs w:val="20"/>
        </w:rPr>
        <w:t>Como la AME provoca un daño progresivo y no reversible a las motoneuronas, el beneficio de onasemnogén abeparvovec en pacientes sintomáticos depende del grado de carga de la enfermedad al momento del tratamiento, donde el tratamiento más temprano da lugar a un beneficio potencial mayor. Si bien los pacientes con AME sintomática avanzada no alcanzarán el mismo desarrollo motor global que sus pares sanos no afectados, pueden beneficiarse clínicamente de la terapia de reemplazo génico dependiendo del avance de la enfermedad al momento del tratamiento.</w:t>
      </w:r>
      <w:r w:rsidR="00EB171F" w:rsidRPr="00EB171F">
        <w:rPr>
          <w:rFonts w:ascii="Arial" w:hAnsi="Arial" w:cs="Arial"/>
          <w:sz w:val="20"/>
          <w:szCs w:val="20"/>
        </w:rPr>
        <w:t xml:space="preserve"> </w:t>
      </w:r>
      <w:r w:rsidRPr="00EB171F">
        <w:rPr>
          <w:rFonts w:ascii="Arial" w:hAnsi="Arial" w:cs="Arial"/>
          <w:sz w:val="20"/>
          <w:szCs w:val="20"/>
        </w:rPr>
        <w:t xml:space="preserve">El médico debe considerar que el beneficio se reduce gravemente en los pacientes con debilidad muscular profunda e insuficiencia respiratoria, los pacientes con ventilación permanente y los pacientes que no pueden tragar. No se ha establecido el perfil beneficio/riesgo del onasemnogén abeparvovec en pacientes con AME avanzada que son mantenidos con vida mediante ventilación asistida permanente y sin posibilidad de desarrollo. </w:t>
      </w:r>
    </w:p>
    <w:p w14:paraId="15D24532" w14:textId="413AD995" w:rsidR="00911CB6" w:rsidRPr="00EB171F" w:rsidRDefault="00EB171F" w:rsidP="001F6887">
      <w:pPr>
        <w:pStyle w:val="Prrafodelista"/>
        <w:numPr>
          <w:ilvl w:val="0"/>
          <w:numId w:val="18"/>
        </w:numPr>
        <w:jc w:val="both"/>
        <w:rPr>
          <w:rFonts w:ascii="Arial" w:hAnsi="Arial" w:cs="Arial"/>
          <w:sz w:val="20"/>
          <w:szCs w:val="20"/>
        </w:rPr>
      </w:pPr>
      <w:r w:rsidRPr="00EB171F">
        <w:rPr>
          <w:rFonts w:ascii="Arial" w:hAnsi="Arial" w:cs="Arial"/>
          <w:b/>
          <w:sz w:val="20"/>
          <w:szCs w:val="20"/>
        </w:rPr>
        <w:t xml:space="preserve">Régimen inmunomodulador. </w:t>
      </w:r>
      <w:r w:rsidR="00911CB6" w:rsidRPr="00EB171F">
        <w:rPr>
          <w:rFonts w:ascii="Arial" w:hAnsi="Arial" w:cs="Arial"/>
          <w:sz w:val="20"/>
          <w:szCs w:val="20"/>
        </w:rPr>
        <w:t xml:space="preserve">No debe iniciarse el tratamiento inmunomodulador en forma concurrente con infecciones activas, ya fueren agudas (como infecciones respiratorias agudas o hepatitis aguda) o crónicas no controladas (como hepatitis B activa crónica). El régimen inmunomodulador también podría impactar la respuesta inmunitaria a las infecciones (respiratorias) concurrentes, y potencialmente dar lugar a cursos clínicos más severos de las infecciones concurrentes. Se recomienda un cuidado adicional con respecto a la oportunidad de la administración de onasemnogén abeparvovec en presencia de pródromos de una infección (viral) o en fase de resolución. Se recomienda aumentar la </w:t>
      </w:r>
      <w:r w:rsidR="00911CB6" w:rsidRPr="00EB171F">
        <w:rPr>
          <w:rFonts w:ascii="Arial" w:hAnsi="Arial" w:cs="Arial"/>
          <w:sz w:val="20"/>
          <w:szCs w:val="20"/>
        </w:rPr>
        <w:lastRenderedPageBreak/>
        <w:t>vigilancia para el diagnóstico y el manejo activo de infecciones respiratorias (virales). Se recomienda profilaxis y actualización de la vacunación estacional para prevenir infecciones por virus sincitial respiratorio (V</w:t>
      </w:r>
      <w:r w:rsidR="00FF39A5" w:rsidRPr="00EB171F">
        <w:rPr>
          <w:rFonts w:ascii="Arial" w:hAnsi="Arial" w:cs="Arial"/>
          <w:sz w:val="20"/>
          <w:szCs w:val="20"/>
        </w:rPr>
        <w:t>RS</w:t>
      </w:r>
      <w:r w:rsidR="00911CB6" w:rsidRPr="00EB171F">
        <w:rPr>
          <w:rFonts w:ascii="Arial" w:hAnsi="Arial" w:cs="Arial"/>
          <w:sz w:val="20"/>
          <w:szCs w:val="20"/>
        </w:rPr>
        <w:t>).</w:t>
      </w:r>
      <w:r w:rsidR="001809FE" w:rsidRPr="00EB171F">
        <w:rPr>
          <w:rFonts w:ascii="Arial" w:hAnsi="Arial" w:cs="Arial"/>
          <w:sz w:val="20"/>
          <w:szCs w:val="20"/>
        </w:rPr>
        <w:t xml:space="preserve"> </w:t>
      </w:r>
      <w:r w:rsidR="00911CB6" w:rsidRPr="00EB171F">
        <w:rPr>
          <w:rFonts w:ascii="Arial" w:hAnsi="Arial" w:cs="Arial"/>
          <w:sz w:val="20"/>
          <w:szCs w:val="20"/>
        </w:rPr>
        <w:t>Siempre que sea posible, se deberá ajustar el calendario de vacunación del paciente para acomodar la administración concomitante de corticosteroides antes y después de la perfusión con onasemnogén abeparvovec</w:t>
      </w:r>
      <w:r w:rsidR="001809FE" w:rsidRPr="00EB171F">
        <w:rPr>
          <w:rFonts w:ascii="Arial" w:hAnsi="Arial" w:cs="Arial"/>
          <w:sz w:val="20"/>
          <w:szCs w:val="20"/>
        </w:rPr>
        <w:t>.</w:t>
      </w:r>
    </w:p>
    <w:p w14:paraId="2C9C63B3" w14:textId="77777777" w:rsidR="001809FE" w:rsidRPr="00911CB6" w:rsidRDefault="001809FE" w:rsidP="001F6887">
      <w:pPr>
        <w:jc w:val="both"/>
        <w:rPr>
          <w:rFonts w:ascii="Arial" w:hAnsi="Arial" w:cs="Arial"/>
          <w:sz w:val="20"/>
          <w:szCs w:val="20"/>
        </w:rPr>
      </w:pPr>
    </w:p>
    <w:p w14:paraId="05829C71" w14:textId="600BACD1" w:rsidR="00FA0C0C" w:rsidRDefault="00B64AAC" w:rsidP="001F6887">
      <w:pPr>
        <w:pBdr>
          <w:bottom w:val="single" w:sz="4" w:space="1" w:color="auto"/>
        </w:pBdr>
        <w:jc w:val="both"/>
        <w:rPr>
          <w:rFonts w:ascii="Arial" w:hAnsi="Arial" w:cs="Arial"/>
          <w:b/>
          <w:bCs/>
          <w:sz w:val="20"/>
          <w:szCs w:val="20"/>
        </w:rPr>
      </w:pPr>
      <w:r>
        <w:rPr>
          <w:rFonts w:ascii="Arial" w:hAnsi="Arial" w:cs="Arial"/>
          <w:b/>
          <w:bCs/>
          <w:sz w:val="20"/>
          <w:szCs w:val="20"/>
        </w:rPr>
        <w:t>Interacciones.</w:t>
      </w:r>
    </w:p>
    <w:p w14:paraId="09BA096A" w14:textId="77777777" w:rsidR="00EB171F" w:rsidRDefault="00EB171F" w:rsidP="001F6887">
      <w:pPr>
        <w:jc w:val="both"/>
        <w:rPr>
          <w:rFonts w:ascii="Arial" w:hAnsi="Arial" w:cs="Arial"/>
          <w:sz w:val="20"/>
          <w:szCs w:val="20"/>
        </w:rPr>
      </w:pPr>
    </w:p>
    <w:p w14:paraId="7EB851BF" w14:textId="3C1F3B49" w:rsidR="00FA0C0C" w:rsidRDefault="00FA0C0C" w:rsidP="001F6887">
      <w:pPr>
        <w:jc w:val="both"/>
        <w:rPr>
          <w:rFonts w:ascii="Arial" w:hAnsi="Arial" w:cs="Arial"/>
          <w:sz w:val="20"/>
          <w:szCs w:val="20"/>
        </w:rPr>
      </w:pPr>
      <w:r>
        <w:rPr>
          <w:rFonts w:ascii="Arial" w:hAnsi="Arial" w:cs="Arial"/>
          <w:sz w:val="20"/>
          <w:szCs w:val="20"/>
        </w:rPr>
        <w:t>No se han realizado estudios sobre interacciones con otros fármacos</w:t>
      </w:r>
      <w:r w:rsidR="001809FE">
        <w:rPr>
          <w:rFonts w:ascii="Arial" w:hAnsi="Arial" w:cs="Arial"/>
          <w:sz w:val="20"/>
          <w:szCs w:val="20"/>
        </w:rPr>
        <w:t>.</w:t>
      </w:r>
    </w:p>
    <w:p w14:paraId="749D6A64" w14:textId="77777777" w:rsidR="00B64AAC" w:rsidRDefault="00B64AAC" w:rsidP="001F6887">
      <w:pPr>
        <w:jc w:val="both"/>
        <w:rPr>
          <w:rFonts w:ascii="Arial" w:hAnsi="Arial" w:cs="Arial"/>
          <w:sz w:val="20"/>
          <w:szCs w:val="20"/>
        </w:rPr>
      </w:pPr>
    </w:p>
    <w:p w14:paraId="22AB7BE9" w14:textId="77777777" w:rsidR="000731A7" w:rsidRDefault="000731A7" w:rsidP="00D17AB4">
      <w:pPr>
        <w:jc w:val="both"/>
        <w:rPr>
          <w:rFonts w:ascii="Arial" w:hAnsi="Arial" w:cs="Arial"/>
          <w:sz w:val="20"/>
          <w:szCs w:val="20"/>
        </w:rPr>
      </w:pPr>
    </w:p>
    <w:tbl>
      <w:tblPr>
        <w:tblW w:w="900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01"/>
      </w:tblGrid>
      <w:tr w:rsidR="00FA0C0C" w14:paraId="5D0B4055" w14:textId="77777777" w:rsidTr="00CF6657">
        <w:tc>
          <w:tcPr>
            <w:tcW w:w="9001" w:type="dxa"/>
            <w:shd w:val="clear" w:color="auto" w:fill="B3B3B3"/>
          </w:tcPr>
          <w:p w14:paraId="040F610F" w14:textId="3B01A543" w:rsidR="00FA0C0C" w:rsidRDefault="00FA0C0C" w:rsidP="001F6887">
            <w:pPr>
              <w:pStyle w:val="Ttulo1"/>
              <w:shd w:val="clear" w:color="auto" w:fill="A6A6A6"/>
              <w:rPr>
                <w:rFonts w:ascii="Arial" w:hAnsi="Arial" w:cs="Arial"/>
                <w:kern w:val="0"/>
                <w:sz w:val="20"/>
                <w:szCs w:val="20"/>
              </w:rPr>
            </w:pPr>
            <w:bookmarkStart w:id="93" w:name="_Toc344399656"/>
            <w:bookmarkStart w:id="94" w:name="_Toc348931387"/>
            <w:r>
              <w:rPr>
                <w:rFonts w:ascii="Arial" w:hAnsi="Arial" w:cs="Arial"/>
                <w:kern w:val="0"/>
                <w:sz w:val="20"/>
                <w:szCs w:val="20"/>
              </w:rPr>
              <w:t>7. AREA ECONÓMICA</w:t>
            </w:r>
            <w:bookmarkEnd w:id="93"/>
            <w:bookmarkEnd w:id="94"/>
          </w:p>
        </w:tc>
      </w:tr>
    </w:tbl>
    <w:p w14:paraId="13AFEC73" w14:textId="77777777" w:rsidR="00FA0C0C" w:rsidRDefault="00FA0C0C" w:rsidP="001F6887">
      <w:pPr>
        <w:jc w:val="both"/>
        <w:rPr>
          <w:rFonts w:ascii="Arial" w:hAnsi="Arial" w:cs="Arial"/>
          <w:b/>
          <w:bCs/>
          <w:sz w:val="20"/>
          <w:szCs w:val="20"/>
          <w:shd w:val="clear" w:color="auto" w:fill="C0C0C0"/>
        </w:rPr>
      </w:pPr>
    </w:p>
    <w:p w14:paraId="5F0EBD02" w14:textId="492DD3FB" w:rsidR="00FA0C0C" w:rsidRPr="00CF3CA8" w:rsidRDefault="00FA0C0C"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95" w:name="_Toc348931388"/>
      <w:bookmarkStart w:id="96" w:name="_Toc344399657"/>
      <w:r w:rsidRPr="00CF3CA8">
        <w:rPr>
          <w:rFonts w:ascii="Arial" w:hAnsi="Arial" w:cs="Arial"/>
          <w:sz w:val="20"/>
          <w:szCs w:val="20"/>
        </w:rPr>
        <w:t>7.1 Costes. Coste incremental</w:t>
      </w:r>
      <w:bookmarkEnd w:id="95"/>
      <w:bookmarkEnd w:id="96"/>
    </w:p>
    <w:tbl>
      <w:tblPr>
        <w:tblpPr w:leftFromText="141" w:rightFromText="141" w:vertAnchor="text" w:horzAnchor="margin" w:tblpY="230"/>
        <w:tblW w:w="9380" w:type="dxa"/>
        <w:tblLayout w:type="fixed"/>
        <w:tblCellMar>
          <w:left w:w="70" w:type="dxa"/>
          <w:right w:w="70" w:type="dxa"/>
        </w:tblCellMar>
        <w:tblLook w:val="00A0" w:firstRow="1" w:lastRow="0" w:firstColumn="1" w:lastColumn="0" w:noHBand="0" w:noVBand="0"/>
      </w:tblPr>
      <w:tblGrid>
        <w:gridCol w:w="2156"/>
        <w:gridCol w:w="3646"/>
        <w:gridCol w:w="3578"/>
      </w:tblGrid>
      <w:tr w:rsidR="00FA0C0C" w14:paraId="6E7707FE" w14:textId="77777777" w:rsidTr="00884E96">
        <w:trPr>
          <w:trHeight w:val="450"/>
        </w:trPr>
        <w:tc>
          <w:tcPr>
            <w:tcW w:w="9380" w:type="dxa"/>
            <w:gridSpan w:val="3"/>
            <w:tcBorders>
              <w:top w:val="single" w:sz="8" w:space="0" w:color="auto"/>
              <w:left w:val="single" w:sz="8" w:space="0" w:color="auto"/>
              <w:bottom w:val="single" w:sz="4" w:space="0" w:color="auto"/>
              <w:right w:val="single" w:sz="8" w:space="0" w:color="000000"/>
            </w:tcBorders>
            <w:shd w:val="clear" w:color="auto" w:fill="CCFFCC"/>
            <w:vAlign w:val="center"/>
          </w:tcPr>
          <w:p w14:paraId="5375EFA2" w14:textId="77777777" w:rsidR="00FA0C0C" w:rsidRPr="00CF3CA8" w:rsidRDefault="00FA0C0C" w:rsidP="001F6887">
            <w:pPr>
              <w:jc w:val="both"/>
              <w:rPr>
                <w:rFonts w:ascii="Arial" w:hAnsi="Arial" w:cs="Arial"/>
                <w:b/>
                <w:sz w:val="20"/>
                <w:szCs w:val="20"/>
              </w:rPr>
            </w:pPr>
            <w:r w:rsidRPr="00CF3CA8">
              <w:rPr>
                <w:rFonts w:ascii="Arial" w:hAnsi="Arial" w:cs="Arial"/>
                <w:b/>
                <w:sz w:val="20"/>
                <w:szCs w:val="20"/>
              </w:rPr>
              <w:t xml:space="preserve">Tabla 7.1.1 Costes de la terapia con el medicamento y de las diferentes alternativas         </w:t>
            </w:r>
          </w:p>
        </w:tc>
      </w:tr>
      <w:tr w:rsidR="00FC536F" w14:paraId="374CAFB8" w14:textId="77777777" w:rsidTr="00884E96">
        <w:trPr>
          <w:trHeight w:val="516"/>
        </w:trPr>
        <w:tc>
          <w:tcPr>
            <w:tcW w:w="215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77A9BEC" w14:textId="49E0B550" w:rsidR="00FC536F" w:rsidRDefault="00FC536F" w:rsidP="001F6887">
            <w:pPr>
              <w:jc w:val="center"/>
              <w:rPr>
                <w:rFonts w:ascii="Arial" w:hAnsi="Arial" w:cs="Arial"/>
                <w:color w:val="FFFFFF"/>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CCFFCC"/>
            <w:vAlign w:val="center"/>
          </w:tcPr>
          <w:p w14:paraId="65BCA84A" w14:textId="339D5525" w:rsidR="00F443CA" w:rsidRPr="00884E96" w:rsidRDefault="00FC536F" w:rsidP="00F443CA">
            <w:pPr>
              <w:jc w:val="center"/>
              <w:rPr>
                <w:rFonts w:ascii="Arial" w:hAnsi="Arial" w:cs="Arial"/>
                <w:sz w:val="18"/>
                <w:szCs w:val="18"/>
              </w:rPr>
            </w:pPr>
            <w:r w:rsidRPr="00884E96">
              <w:rPr>
                <w:rFonts w:ascii="Arial" w:hAnsi="Arial" w:cs="Arial"/>
                <w:sz w:val="18"/>
                <w:szCs w:val="18"/>
              </w:rPr>
              <w:t>Onasemnogén abeparvovec</w:t>
            </w:r>
          </w:p>
        </w:tc>
        <w:tc>
          <w:tcPr>
            <w:tcW w:w="3578" w:type="dxa"/>
            <w:tcBorders>
              <w:top w:val="single" w:sz="4" w:space="0" w:color="auto"/>
              <w:left w:val="single" w:sz="4" w:space="0" w:color="auto"/>
              <w:bottom w:val="single" w:sz="4" w:space="0" w:color="auto"/>
              <w:right w:val="single" w:sz="4" w:space="0" w:color="auto"/>
            </w:tcBorders>
            <w:shd w:val="clear" w:color="auto" w:fill="CCFFCC"/>
            <w:vAlign w:val="center"/>
          </w:tcPr>
          <w:p w14:paraId="04A7E018" w14:textId="6A93B978" w:rsidR="00FC536F" w:rsidRPr="00884E96" w:rsidRDefault="00FC536F" w:rsidP="001F6887">
            <w:pPr>
              <w:jc w:val="center"/>
              <w:rPr>
                <w:rFonts w:ascii="Arial" w:hAnsi="Arial" w:cs="Arial"/>
                <w:sz w:val="18"/>
                <w:szCs w:val="18"/>
              </w:rPr>
            </w:pPr>
            <w:r w:rsidRPr="00884E96">
              <w:rPr>
                <w:rFonts w:ascii="Arial" w:hAnsi="Arial" w:cs="Arial"/>
                <w:sz w:val="18"/>
                <w:szCs w:val="18"/>
              </w:rPr>
              <w:t>Nusinersen</w:t>
            </w:r>
          </w:p>
        </w:tc>
      </w:tr>
      <w:tr w:rsidR="00FC536F" w14:paraId="648E5FE5" w14:textId="77777777" w:rsidTr="00884E96">
        <w:trPr>
          <w:trHeight w:val="536"/>
        </w:trPr>
        <w:tc>
          <w:tcPr>
            <w:tcW w:w="2156"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3FDE5C3" w14:textId="77777777" w:rsidR="00FC536F" w:rsidRDefault="00FC536F" w:rsidP="001F6887">
            <w:pPr>
              <w:jc w:val="center"/>
              <w:rPr>
                <w:rFonts w:ascii="Arial" w:hAnsi="Arial" w:cs="Arial"/>
                <w:color w:val="FFFFFF"/>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CCFFCC"/>
            <w:vAlign w:val="center"/>
          </w:tcPr>
          <w:p w14:paraId="0E641AFF" w14:textId="5AC62D93" w:rsidR="00FC536F" w:rsidRPr="00884E96" w:rsidRDefault="00FC536F" w:rsidP="001F6887">
            <w:pPr>
              <w:jc w:val="center"/>
              <w:rPr>
                <w:rFonts w:ascii="Arial" w:hAnsi="Arial" w:cs="Arial"/>
                <w:sz w:val="18"/>
                <w:szCs w:val="18"/>
              </w:rPr>
            </w:pPr>
            <w:r w:rsidRPr="00884E96">
              <w:rPr>
                <w:rFonts w:ascii="Arial" w:hAnsi="Arial" w:cs="Arial"/>
                <w:sz w:val="18"/>
                <w:szCs w:val="18"/>
              </w:rPr>
              <w:t>Zolgensma</w:t>
            </w:r>
            <w:r w:rsidRPr="00884E96">
              <w:rPr>
                <w:rFonts w:ascii="Arial" w:hAnsi="Arial" w:cs="Arial"/>
                <w:sz w:val="18"/>
                <w:szCs w:val="18"/>
                <w:vertAlign w:val="superscript"/>
              </w:rPr>
              <w:t>®</w:t>
            </w:r>
            <w:r w:rsidRPr="00884E96">
              <w:rPr>
                <w:rFonts w:ascii="Arial" w:hAnsi="Arial" w:cs="Arial"/>
                <w:sz w:val="18"/>
                <w:szCs w:val="18"/>
              </w:rPr>
              <w:t xml:space="preserve"> 2 x 10</w:t>
            </w:r>
            <w:r w:rsidRPr="001E66A0">
              <w:rPr>
                <w:rFonts w:ascii="Arial" w:hAnsi="Arial" w:cs="Arial"/>
                <w:sz w:val="18"/>
                <w:szCs w:val="18"/>
                <w:vertAlign w:val="superscript"/>
              </w:rPr>
              <w:t>13</w:t>
            </w:r>
            <w:r w:rsidRPr="00884E96">
              <w:rPr>
                <w:rFonts w:ascii="Arial" w:hAnsi="Arial" w:cs="Arial"/>
                <w:sz w:val="18"/>
                <w:szCs w:val="18"/>
              </w:rPr>
              <w:t xml:space="preserve"> genomas vectoriales/ml solución para perfusión</w:t>
            </w:r>
          </w:p>
        </w:tc>
        <w:tc>
          <w:tcPr>
            <w:tcW w:w="3578" w:type="dxa"/>
            <w:tcBorders>
              <w:top w:val="single" w:sz="4" w:space="0" w:color="auto"/>
              <w:left w:val="single" w:sz="4" w:space="0" w:color="auto"/>
              <w:bottom w:val="single" w:sz="4" w:space="0" w:color="auto"/>
              <w:right w:val="single" w:sz="4" w:space="0" w:color="auto"/>
            </w:tcBorders>
            <w:shd w:val="clear" w:color="auto" w:fill="CCFFCC"/>
            <w:vAlign w:val="center"/>
          </w:tcPr>
          <w:p w14:paraId="25FC8BDD" w14:textId="296B999C" w:rsidR="00FC536F" w:rsidRPr="00884E96" w:rsidRDefault="00FC536F" w:rsidP="001F6887">
            <w:pPr>
              <w:jc w:val="center"/>
              <w:rPr>
                <w:rFonts w:ascii="Arial" w:hAnsi="Arial" w:cs="Arial"/>
                <w:sz w:val="18"/>
                <w:szCs w:val="18"/>
              </w:rPr>
            </w:pPr>
            <w:r w:rsidRPr="00884E96">
              <w:rPr>
                <w:rFonts w:ascii="Arial" w:hAnsi="Arial" w:cs="Arial"/>
                <w:sz w:val="18"/>
                <w:szCs w:val="18"/>
              </w:rPr>
              <w:t>Spinraza</w:t>
            </w:r>
            <w:r w:rsidRPr="00884E96">
              <w:rPr>
                <w:rFonts w:ascii="Arial" w:hAnsi="Arial" w:cs="Arial"/>
                <w:sz w:val="18"/>
                <w:szCs w:val="18"/>
                <w:vertAlign w:val="superscript"/>
              </w:rPr>
              <w:t>®</w:t>
            </w:r>
            <w:r w:rsidRPr="00884E96">
              <w:rPr>
                <w:rFonts w:ascii="Arial" w:hAnsi="Arial" w:cs="Arial"/>
                <w:sz w:val="18"/>
                <w:szCs w:val="18"/>
              </w:rPr>
              <w:t xml:space="preserve"> 12 mg solución inyectable</w:t>
            </w:r>
          </w:p>
        </w:tc>
      </w:tr>
      <w:tr w:rsidR="00FC536F" w14:paraId="00AC7861" w14:textId="77777777" w:rsidTr="00F443CA">
        <w:trPr>
          <w:trHeight w:val="432"/>
        </w:trPr>
        <w:tc>
          <w:tcPr>
            <w:tcW w:w="2156" w:type="dxa"/>
            <w:tcBorders>
              <w:top w:val="single" w:sz="4" w:space="0" w:color="auto"/>
              <w:left w:val="single" w:sz="4" w:space="0" w:color="auto"/>
              <w:bottom w:val="single" w:sz="4" w:space="0" w:color="auto"/>
              <w:right w:val="single" w:sz="4" w:space="0" w:color="auto"/>
            </w:tcBorders>
            <w:shd w:val="clear" w:color="000000" w:fill="D9D9D9"/>
            <w:vAlign w:val="center"/>
          </w:tcPr>
          <w:p w14:paraId="4501C063" w14:textId="77777777" w:rsidR="00FC536F" w:rsidRDefault="00FC536F" w:rsidP="001F6887">
            <w:pPr>
              <w:jc w:val="center"/>
              <w:rPr>
                <w:rFonts w:ascii="Arial" w:hAnsi="Arial" w:cs="Arial"/>
                <w:sz w:val="16"/>
                <w:szCs w:val="16"/>
              </w:rPr>
            </w:pPr>
            <w:r>
              <w:rPr>
                <w:rFonts w:ascii="Arial" w:hAnsi="Arial" w:cs="Arial"/>
                <w:sz w:val="16"/>
                <w:szCs w:val="16"/>
              </w:rPr>
              <w:t>Precio unitario (PVL+IVA) *</w:t>
            </w:r>
          </w:p>
        </w:tc>
        <w:tc>
          <w:tcPr>
            <w:tcW w:w="3646" w:type="dxa"/>
            <w:tcBorders>
              <w:top w:val="single" w:sz="4" w:space="0" w:color="auto"/>
              <w:left w:val="nil"/>
              <w:bottom w:val="single" w:sz="4" w:space="0" w:color="auto"/>
              <w:right w:val="single" w:sz="4" w:space="0" w:color="auto"/>
            </w:tcBorders>
            <w:shd w:val="clear" w:color="000000" w:fill="D9D9D9"/>
            <w:vAlign w:val="center"/>
          </w:tcPr>
          <w:p w14:paraId="6F3E7AE4" w14:textId="08913538" w:rsidR="00FC536F" w:rsidRDefault="005A0E49" w:rsidP="001F6887">
            <w:pPr>
              <w:jc w:val="center"/>
              <w:rPr>
                <w:rFonts w:ascii="Arial" w:hAnsi="Arial" w:cs="Arial"/>
                <w:sz w:val="16"/>
                <w:szCs w:val="16"/>
              </w:rPr>
            </w:pPr>
            <w:r>
              <w:rPr>
                <w:rFonts w:ascii="Arial" w:hAnsi="Arial" w:cs="Arial"/>
                <w:sz w:val="16"/>
                <w:szCs w:val="16"/>
              </w:rPr>
              <w:t>1.785.000</w:t>
            </w:r>
            <w:r w:rsidR="00FC536F">
              <w:rPr>
                <w:rFonts w:ascii="Arial" w:hAnsi="Arial" w:cs="Arial"/>
                <w:sz w:val="16"/>
                <w:szCs w:val="16"/>
              </w:rPr>
              <w:t xml:space="preserve"> €</w:t>
            </w:r>
          </w:p>
        </w:tc>
        <w:tc>
          <w:tcPr>
            <w:tcW w:w="3578" w:type="dxa"/>
            <w:tcBorders>
              <w:top w:val="single" w:sz="4" w:space="0" w:color="auto"/>
              <w:left w:val="nil"/>
              <w:bottom w:val="single" w:sz="4" w:space="0" w:color="auto"/>
              <w:right w:val="single" w:sz="4" w:space="0" w:color="auto"/>
            </w:tcBorders>
            <w:shd w:val="clear" w:color="000000" w:fill="D9D9D9"/>
            <w:vAlign w:val="center"/>
          </w:tcPr>
          <w:p w14:paraId="77CCA395" w14:textId="1C8D9A09" w:rsidR="00FC536F" w:rsidRDefault="001E66A0" w:rsidP="001F6887">
            <w:pPr>
              <w:jc w:val="center"/>
              <w:rPr>
                <w:rFonts w:ascii="Arial" w:hAnsi="Arial" w:cs="Arial"/>
                <w:sz w:val="16"/>
                <w:szCs w:val="16"/>
              </w:rPr>
            </w:pPr>
            <w:r>
              <w:rPr>
                <w:rFonts w:ascii="Arial" w:hAnsi="Arial" w:cs="Arial"/>
                <w:sz w:val="16"/>
                <w:szCs w:val="16"/>
              </w:rPr>
              <w:t>72.800</w:t>
            </w:r>
            <w:r w:rsidR="00FC536F">
              <w:rPr>
                <w:rFonts w:ascii="Arial" w:hAnsi="Arial" w:cs="Arial"/>
                <w:sz w:val="16"/>
                <w:szCs w:val="16"/>
              </w:rPr>
              <w:t xml:space="preserve"> €</w:t>
            </w:r>
          </w:p>
        </w:tc>
      </w:tr>
      <w:tr w:rsidR="005A0E49" w14:paraId="11538EE6" w14:textId="77777777" w:rsidTr="00B0483A">
        <w:trPr>
          <w:trHeight w:val="877"/>
        </w:trPr>
        <w:tc>
          <w:tcPr>
            <w:tcW w:w="2156" w:type="dxa"/>
            <w:tcBorders>
              <w:top w:val="single" w:sz="4" w:space="0" w:color="auto"/>
              <w:left w:val="single" w:sz="4" w:space="0" w:color="auto"/>
              <w:bottom w:val="single" w:sz="4" w:space="0" w:color="auto"/>
              <w:right w:val="single" w:sz="4" w:space="0" w:color="auto"/>
            </w:tcBorders>
            <w:vAlign w:val="center"/>
          </w:tcPr>
          <w:p w14:paraId="7392CE6B" w14:textId="77777777" w:rsidR="005A0E49" w:rsidRDefault="005A0E49" w:rsidP="001F6887">
            <w:pPr>
              <w:jc w:val="center"/>
              <w:rPr>
                <w:rFonts w:ascii="Arial" w:hAnsi="Arial" w:cs="Arial"/>
                <w:sz w:val="16"/>
                <w:szCs w:val="16"/>
              </w:rPr>
            </w:pPr>
            <w:r>
              <w:rPr>
                <w:rFonts w:ascii="Arial" w:hAnsi="Arial" w:cs="Arial"/>
                <w:sz w:val="16"/>
                <w:szCs w:val="16"/>
              </w:rPr>
              <w:t>Posología</w:t>
            </w:r>
          </w:p>
        </w:tc>
        <w:tc>
          <w:tcPr>
            <w:tcW w:w="3646" w:type="dxa"/>
            <w:tcBorders>
              <w:top w:val="single" w:sz="4" w:space="0" w:color="auto"/>
              <w:left w:val="nil"/>
              <w:bottom w:val="single" w:sz="4" w:space="0" w:color="auto"/>
              <w:right w:val="single" w:sz="4" w:space="0" w:color="auto"/>
            </w:tcBorders>
            <w:vAlign w:val="center"/>
          </w:tcPr>
          <w:p w14:paraId="6205CD04" w14:textId="47335DF7" w:rsidR="005A0E49" w:rsidRDefault="005A0E49" w:rsidP="001F6887">
            <w:pPr>
              <w:jc w:val="center"/>
              <w:rPr>
                <w:rFonts w:ascii="Arial" w:hAnsi="Arial" w:cs="Arial"/>
                <w:sz w:val="16"/>
                <w:szCs w:val="16"/>
              </w:rPr>
            </w:pPr>
            <w:r>
              <w:rPr>
                <w:rFonts w:ascii="Arial" w:hAnsi="Arial" w:cs="Arial"/>
                <w:sz w:val="16"/>
                <w:szCs w:val="16"/>
              </w:rPr>
              <w:t xml:space="preserve">Dosis única de </w:t>
            </w:r>
            <w:r w:rsidRPr="00CB574C">
              <w:rPr>
                <w:rFonts w:ascii="Arial" w:hAnsi="Arial" w:cs="Arial"/>
                <w:sz w:val="16"/>
                <w:szCs w:val="16"/>
              </w:rPr>
              <w:t>1,1 x 10</w:t>
            </w:r>
            <w:r w:rsidRPr="0068502A">
              <w:rPr>
                <w:rFonts w:ascii="Arial" w:hAnsi="Arial" w:cs="Arial"/>
                <w:sz w:val="16"/>
                <w:szCs w:val="16"/>
                <w:vertAlign w:val="superscript"/>
              </w:rPr>
              <w:t>14</w:t>
            </w:r>
            <w:r w:rsidRPr="00CB574C">
              <w:rPr>
                <w:rFonts w:ascii="Arial" w:hAnsi="Arial" w:cs="Arial"/>
                <w:sz w:val="16"/>
                <w:szCs w:val="16"/>
              </w:rPr>
              <w:t xml:space="preserve"> vg/kg de onasemnogén abeparvovec.</w:t>
            </w:r>
          </w:p>
        </w:tc>
        <w:tc>
          <w:tcPr>
            <w:tcW w:w="3578" w:type="dxa"/>
            <w:tcBorders>
              <w:top w:val="single" w:sz="4" w:space="0" w:color="auto"/>
              <w:left w:val="nil"/>
              <w:bottom w:val="single" w:sz="4" w:space="0" w:color="auto"/>
              <w:right w:val="single" w:sz="4" w:space="0" w:color="auto"/>
            </w:tcBorders>
            <w:vAlign w:val="center"/>
          </w:tcPr>
          <w:p w14:paraId="2FAA86A3" w14:textId="1E7B97B0" w:rsidR="005A0E49" w:rsidRDefault="005A0E49" w:rsidP="001F6887">
            <w:pPr>
              <w:jc w:val="center"/>
              <w:rPr>
                <w:rFonts w:ascii="Arial" w:hAnsi="Arial" w:cs="Arial"/>
                <w:sz w:val="16"/>
                <w:szCs w:val="16"/>
              </w:rPr>
            </w:pPr>
            <w:r>
              <w:rPr>
                <w:rFonts w:ascii="Arial" w:hAnsi="Arial" w:cs="Arial"/>
                <w:sz w:val="16"/>
                <w:szCs w:val="16"/>
              </w:rPr>
              <w:t xml:space="preserve">Dosis de carga: 12 mg </w:t>
            </w:r>
            <w:r w:rsidRPr="00CB574C">
              <w:rPr>
                <w:rFonts w:ascii="Arial" w:hAnsi="Arial" w:cs="Arial"/>
                <w:sz w:val="16"/>
                <w:szCs w:val="16"/>
              </w:rPr>
              <w:t>días 0, 14, 28 y 63.</w:t>
            </w:r>
          </w:p>
          <w:p w14:paraId="295A8957" w14:textId="0FF3AC9D" w:rsidR="005A0E49" w:rsidRDefault="005A0E49" w:rsidP="001F6887">
            <w:pPr>
              <w:jc w:val="center"/>
              <w:rPr>
                <w:rFonts w:ascii="Arial" w:hAnsi="Arial" w:cs="Arial"/>
                <w:sz w:val="16"/>
                <w:szCs w:val="16"/>
              </w:rPr>
            </w:pPr>
            <w:r>
              <w:rPr>
                <w:rFonts w:ascii="Arial" w:hAnsi="Arial" w:cs="Arial"/>
                <w:sz w:val="16"/>
                <w:szCs w:val="16"/>
              </w:rPr>
              <w:t>Dosis de mantenimiento: 12 mg cada</w:t>
            </w:r>
            <w:r w:rsidRPr="00CB574C">
              <w:rPr>
                <w:rFonts w:ascii="Arial" w:hAnsi="Arial" w:cs="Arial"/>
                <w:sz w:val="16"/>
                <w:szCs w:val="16"/>
              </w:rPr>
              <w:t xml:space="preserve"> 4 meses</w:t>
            </w:r>
          </w:p>
        </w:tc>
      </w:tr>
      <w:tr w:rsidR="00FC536F" w14:paraId="2B220880" w14:textId="77777777" w:rsidTr="00317461">
        <w:trPr>
          <w:trHeight w:val="255"/>
        </w:trPr>
        <w:tc>
          <w:tcPr>
            <w:tcW w:w="2156" w:type="dxa"/>
            <w:tcBorders>
              <w:top w:val="single" w:sz="4" w:space="0" w:color="auto"/>
              <w:left w:val="single" w:sz="4" w:space="0" w:color="auto"/>
              <w:bottom w:val="single" w:sz="4" w:space="0" w:color="auto"/>
              <w:right w:val="single" w:sz="4" w:space="0" w:color="auto"/>
            </w:tcBorders>
            <w:vAlign w:val="center"/>
          </w:tcPr>
          <w:p w14:paraId="3E7126B5" w14:textId="48A80EA9" w:rsidR="00FC536F" w:rsidRDefault="00FC536F" w:rsidP="001F6887">
            <w:pPr>
              <w:jc w:val="center"/>
              <w:rPr>
                <w:rFonts w:ascii="Arial" w:hAnsi="Arial" w:cs="Arial"/>
                <w:sz w:val="16"/>
                <w:szCs w:val="16"/>
              </w:rPr>
            </w:pPr>
            <w:r>
              <w:rPr>
                <w:rFonts w:ascii="Arial" w:hAnsi="Arial" w:cs="Arial"/>
                <w:sz w:val="16"/>
                <w:szCs w:val="16"/>
              </w:rPr>
              <w:t>Coste</w:t>
            </w:r>
            <w:r w:rsidR="007B5ECB">
              <w:rPr>
                <w:rFonts w:ascii="Arial" w:hAnsi="Arial" w:cs="Arial"/>
                <w:sz w:val="16"/>
                <w:szCs w:val="16"/>
              </w:rPr>
              <w:t xml:space="preserve"> Año de carga</w:t>
            </w:r>
            <w:r w:rsidR="00D33921">
              <w:rPr>
                <w:rFonts w:ascii="Arial" w:hAnsi="Arial" w:cs="Arial"/>
                <w:sz w:val="16"/>
                <w:szCs w:val="16"/>
              </w:rPr>
              <w:t>**</w:t>
            </w:r>
          </w:p>
        </w:tc>
        <w:tc>
          <w:tcPr>
            <w:tcW w:w="3646" w:type="dxa"/>
            <w:tcBorders>
              <w:top w:val="single" w:sz="4" w:space="0" w:color="auto"/>
              <w:left w:val="nil"/>
              <w:bottom w:val="single" w:sz="4" w:space="0" w:color="auto"/>
              <w:right w:val="single" w:sz="4" w:space="0" w:color="auto"/>
            </w:tcBorders>
            <w:vAlign w:val="center"/>
          </w:tcPr>
          <w:p w14:paraId="15E6D5FB" w14:textId="6FEC39B8" w:rsidR="00FC536F" w:rsidRDefault="00D33921" w:rsidP="001F6887">
            <w:pPr>
              <w:jc w:val="center"/>
              <w:rPr>
                <w:rFonts w:ascii="Arial" w:hAnsi="Arial" w:cs="Arial"/>
                <w:sz w:val="16"/>
                <w:szCs w:val="16"/>
              </w:rPr>
            </w:pPr>
            <w:r>
              <w:rPr>
                <w:rFonts w:ascii="Arial" w:hAnsi="Arial" w:cs="Arial"/>
                <w:sz w:val="16"/>
                <w:szCs w:val="16"/>
              </w:rPr>
              <w:t>1.785.000 €</w:t>
            </w:r>
          </w:p>
        </w:tc>
        <w:tc>
          <w:tcPr>
            <w:tcW w:w="3578" w:type="dxa"/>
            <w:tcBorders>
              <w:top w:val="single" w:sz="4" w:space="0" w:color="auto"/>
              <w:left w:val="nil"/>
              <w:bottom w:val="single" w:sz="4" w:space="0" w:color="auto"/>
              <w:right w:val="single" w:sz="4" w:space="0" w:color="auto"/>
            </w:tcBorders>
            <w:vAlign w:val="center"/>
          </w:tcPr>
          <w:p w14:paraId="0099E63B" w14:textId="626FC599" w:rsidR="00FC536F" w:rsidRDefault="001E66A0" w:rsidP="001F6887">
            <w:pPr>
              <w:jc w:val="center"/>
              <w:rPr>
                <w:rFonts w:ascii="Arial" w:hAnsi="Arial" w:cs="Arial"/>
                <w:sz w:val="16"/>
                <w:szCs w:val="16"/>
              </w:rPr>
            </w:pPr>
            <w:r>
              <w:rPr>
                <w:rFonts w:ascii="Arial" w:hAnsi="Arial" w:cs="Arial"/>
                <w:sz w:val="16"/>
                <w:szCs w:val="16"/>
              </w:rPr>
              <w:t>436.800</w:t>
            </w:r>
            <w:r w:rsidR="007B5ECB">
              <w:rPr>
                <w:rFonts w:ascii="Arial" w:hAnsi="Arial" w:cs="Arial"/>
                <w:sz w:val="16"/>
                <w:szCs w:val="16"/>
              </w:rPr>
              <w:t xml:space="preserve"> €</w:t>
            </w:r>
            <w:r w:rsidR="00780CBC">
              <w:rPr>
                <w:rFonts w:ascii="Arial" w:hAnsi="Arial" w:cs="Arial"/>
                <w:sz w:val="16"/>
                <w:szCs w:val="16"/>
              </w:rPr>
              <w:t xml:space="preserve"> (6 dosis)</w:t>
            </w:r>
          </w:p>
        </w:tc>
      </w:tr>
      <w:tr w:rsidR="00FC536F" w14:paraId="0139C676" w14:textId="77777777" w:rsidTr="00317461">
        <w:trPr>
          <w:trHeight w:val="255"/>
        </w:trPr>
        <w:tc>
          <w:tcPr>
            <w:tcW w:w="2156" w:type="dxa"/>
            <w:tcBorders>
              <w:top w:val="single" w:sz="4" w:space="0" w:color="auto"/>
              <w:left w:val="single" w:sz="4" w:space="0" w:color="auto"/>
              <w:bottom w:val="single" w:sz="4" w:space="0" w:color="auto"/>
              <w:right w:val="single" w:sz="4" w:space="0" w:color="auto"/>
            </w:tcBorders>
            <w:vAlign w:val="center"/>
          </w:tcPr>
          <w:p w14:paraId="53ACF0A4" w14:textId="081D071E" w:rsidR="00FC536F" w:rsidRDefault="00FC536F" w:rsidP="001F6887">
            <w:pPr>
              <w:jc w:val="center"/>
              <w:rPr>
                <w:rFonts w:ascii="Arial" w:hAnsi="Arial" w:cs="Arial"/>
                <w:sz w:val="16"/>
                <w:szCs w:val="16"/>
              </w:rPr>
            </w:pPr>
            <w:r>
              <w:rPr>
                <w:rFonts w:ascii="Arial" w:hAnsi="Arial" w:cs="Arial"/>
                <w:sz w:val="16"/>
                <w:szCs w:val="16"/>
              </w:rPr>
              <w:t xml:space="preserve">Coste </w:t>
            </w:r>
            <w:r w:rsidR="007B5ECB">
              <w:rPr>
                <w:rFonts w:ascii="Arial" w:hAnsi="Arial" w:cs="Arial"/>
                <w:sz w:val="16"/>
                <w:szCs w:val="16"/>
              </w:rPr>
              <w:t>años de mantenimiento</w:t>
            </w:r>
          </w:p>
        </w:tc>
        <w:tc>
          <w:tcPr>
            <w:tcW w:w="3646" w:type="dxa"/>
            <w:tcBorders>
              <w:top w:val="single" w:sz="4" w:space="0" w:color="auto"/>
              <w:left w:val="nil"/>
              <w:bottom w:val="single" w:sz="4" w:space="0" w:color="auto"/>
              <w:right w:val="single" w:sz="4" w:space="0" w:color="auto"/>
            </w:tcBorders>
            <w:vAlign w:val="center"/>
          </w:tcPr>
          <w:p w14:paraId="2C989643" w14:textId="3CE9AF69" w:rsidR="00FC536F" w:rsidRDefault="00295C28" w:rsidP="001F6887">
            <w:pPr>
              <w:jc w:val="center"/>
              <w:rPr>
                <w:rFonts w:ascii="Arial" w:hAnsi="Arial" w:cs="Arial"/>
                <w:sz w:val="16"/>
                <w:szCs w:val="16"/>
              </w:rPr>
            </w:pPr>
            <w:r>
              <w:rPr>
                <w:rFonts w:ascii="Arial" w:hAnsi="Arial" w:cs="Arial"/>
                <w:sz w:val="16"/>
                <w:szCs w:val="16"/>
              </w:rPr>
              <w:t>Dosis única</w:t>
            </w:r>
          </w:p>
        </w:tc>
        <w:tc>
          <w:tcPr>
            <w:tcW w:w="3578" w:type="dxa"/>
            <w:tcBorders>
              <w:top w:val="single" w:sz="4" w:space="0" w:color="auto"/>
              <w:left w:val="nil"/>
              <w:bottom w:val="single" w:sz="4" w:space="0" w:color="auto"/>
              <w:right w:val="single" w:sz="4" w:space="0" w:color="auto"/>
            </w:tcBorders>
            <w:vAlign w:val="center"/>
          </w:tcPr>
          <w:p w14:paraId="6C6F3464" w14:textId="12A79894" w:rsidR="00FC536F" w:rsidRDefault="001E66A0" w:rsidP="001F6887">
            <w:pPr>
              <w:jc w:val="center"/>
              <w:rPr>
                <w:rFonts w:ascii="Arial" w:hAnsi="Arial" w:cs="Arial"/>
                <w:sz w:val="16"/>
                <w:szCs w:val="16"/>
              </w:rPr>
            </w:pPr>
            <w:r>
              <w:rPr>
                <w:rFonts w:ascii="Arial" w:hAnsi="Arial" w:cs="Arial"/>
                <w:sz w:val="16"/>
                <w:szCs w:val="16"/>
              </w:rPr>
              <w:t>218.400</w:t>
            </w:r>
            <w:r w:rsidR="00FC536F">
              <w:rPr>
                <w:rFonts w:ascii="Arial" w:hAnsi="Arial" w:cs="Arial"/>
                <w:sz w:val="16"/>
                <w:szCs w:val="16"/>
              </w:rPr>
              <w:t xml:space="preserve"> €</w:t>
            </w:r>
            <w:r w:rsidR="00780CBC">
              <w:rPr>
                <w:rFonts w:ascii="Arial" w:hAnsi="Arial" w:cs="Arial"/>
                <w:sz w:val="16"/>
                <w:szCs w:val="16"/>
              </w:rPr>
              <w:t xml:space="preserve"> (3 dosis/año)</w:t>
            </w:r>
          </w:p>
        </w:tc>
      </w:tr>
      <w:tr w:rsidR="00FC536F" w14:paraId="601C84FD" w14:textId="77777777" w:rsidTr="00317461">
        <w:trPr>
          <w:trHeight w:val="255"/>
        </w:trPr>
        <w:tc>
          <w:tcPr>
            <w:tcW w:w="2156" w:type="dxa"/>
            <w:tcBorders>
              <w:top w:val="single" w:sz="4" w:space="0" w:color="auto"/>
              <w:left w:val="single" w:sz="4" w:space="0" w:color="auto"/>
              <w:bottom w:val="single" w:sz="4" w:space="0" w:color="auto"/>
              <w:right w:val="single" w:sz="4" w:space="0" w:color="auto"/>
            </w:tcBorders>
            <w:vAlign w:val="center"/>
          </w:tcPr>
          <w:p w14:paraId="207F4029" w14:textId="4E7A8352" w:rsidR="00FC536F" w:rsidRDefault="00FC536F" w:rsidP="001F6887">
            <w:pPr>
              <w:jc w:val="center"/>
              <w:rPr>
                <w:rFonts w:ascii="Arial" w:hAnsi="Arial" w:cs="Arial"/>
                <w:sz w:val="16"/>
                <w:szCs w:val="16"/>
              </w:rPr>
            </w:pPr>
            <w:r>
              <w:rPr>
                <w:rFonts w:ascii="Arial" w:hAnsi="Arial" w:cs="Arial"/>
                <w:sz w:val="16"/>
                <w:szCs w:val="16"/>
              </w:rPr>
              <w:t xml:space="preserve">Nº de </w:t>
            </w:r>
            <w:r w:rsidR="001E0753">
              <w:rPr>
                <w:rFonts w:ascii="Arial" w:hAnsi="Arial" w:cs="Arial"/>
                <w:sz w:val="16"/>
                <w:szCs w:val="16"/>
              </w:rPr>
              <w:t>dosis administrada</w:t>
            </w:r>
            <w:r>
              <w:rPr>
                <w:rFonts w:ascii="Arial" w:hAnsi="Arial" w:cs="Arial"/>
                <w:sz w:val="16"/>
                <w:szCs w:val="16"/>
              </w:rPr>
              <w:t>s</w:t>
            </w:r>
          </w:p>
        </w:tc>
        <w:tc>
          <w:tcPr>
            <w:tcW w:w="3646" w:type="dxa"/>
            <w:tcBorders>
              <w:top w:val="single" w:sz="4" w:space="0" w:color="auto"/>
              <w:left w:val="nil"/>
              <w:bottom w:val="single" w:sz="4" w:space="0" w:color="auto"/>
              <w:right w:val="single" w:sz="4" w:space="0" w:color="auto"/>
            </w:tcBorders>
            <w:vAlign w:val="center"/>
          </w:tcPr>
          <w:p w14:paraId="4CCD2D93" w14:textId="71E36D6C" w:rsidR="00FC536F" w:rsidRDefault="00295C28" w:rsidP="001F6887">
            <w:pPr>
              <w:jc w:val="center"/>
              <w:rPr>
                <w:rFonts w:ascii="Arial" w:hAnsi="Arial" w:cs="Arial"/>
                <w:sz w:val="16"/>
                <w:szCs w:val="16"/>
              </w:rPr>
            </w:pPr>
            <w:r>
              <w:rPr>
                <w:rFonts w:ascii="Arial" w:hAnsi="Arial" w:cs="Arial"/>
                <w:sz w:val="16"/>
                <w:szCs w:val="16"/>
              </w:rPr>
              <w:t>Dosis única</w:t>
            </w:r>
          </w:p>
        </w:tc>
        <w:tc>
          <w:tcPr>
            <w:tcW w:w="3578" w:type="dxa"/>
            <w:tcBorders>
              <w:top w:val="single" w:sz="4" w:space="0" w:color="auto"/>
              <w:left w:val="nil"/>
              <w:bottom w:val="single" w:sz="4" w:space="0" w:color="auto"/>
              <w:right w:val="single" w:sz="4" w:space="0" w:color="auto"/>
            </w:tcBorders>
            <w:vAlign w:val="center"/>
          </w:tcPr>
          <w:p w14:paraId="014C1DB6" w14:textId="26EB7F41" w:rsidR="00FC536F" w:rsidRDefault="0067181B" w:rsidP="001F6887">
            <w:pPr>
              <w:jc w:val="center"/>
              <w:rPr>
                <w:rFonts w:ascii="Arial" w:hAnsi="Arial" w:cs="Arial"/>
                <w:sz w:val="16"/>
                <w:szCs w:val="16"/>
              </w:rPr>
            </w:pPr>
            <w:r>
              <w:rPr>
                <w:rFonts w:ascii="Arial" w:hAnsi="Arial" w:cs="Arial"/>
                <w:sz w:val="16"/>
                <w:szCs w:val="16"/>
              </w:rPr>
              <w:t>27</w:t>
            </w:r>
          </w:p>
        </w:tc>
      </w:tr>
      <w:tr w:rsidR="00FC536F" w14:paraId="285CC7C1" w14:textId="77777777" w:rsidTr="00F443CA">
        <w:trPr>
          <w:trHeight w:val="605"/>
        </w:trPr>
        <w:tc>
          <w:tcPr>
            <w:tcW w:w="2156" w:type="dxa"/>
            <w:tcBorders>
              <w:top w:val="single" w:sz="4" w:space="0" w:color="auto"/>
              <w:left w:val="single" w:sz="4" w:space="0" w:color="auto"/>
              <w:bottom w:val="single" w:sz="4" w:space="0" w:color="auto"/>
              <w:right w:val="single" w:sz="4" w:space="0" w:color="auto"/>
            </w:tcBorders>
            <w:shd w:val="clear" w:color="000000" w:fill="D9D9D9"/>
            <w:vAlign w:val="center"/>
          </w:tcPr>
          <w:p w14:paraId="4126CEC1" w14:textId="597A7C0C" w:rsidR="00FC536F" w:rsidRDefault="00FC536F" w:rsidP="0067181B">
            <w:pPr>
              <w:jc w:val="center"/>
              <w:rPr>
                <w:rFonts w:ascii="Arial" w:hAnsi="Arial" w:cs="Arial"/>
                <w:sz w:val="16"/>
                <w:szCs w:val="16"/>
              </w:rPr>
            </w:pPr>
            <w:r>
              <w:rPr>
                <w:rFonts w:ascii="Arial" w:hAnsi="Arial" w:cs="Arial"/>
                <w:sz w:val="16"/>
                <w:szCs w:val="16"/>
              </w:rPr>
              <w:t xml:space="preserve">Coste tratamiento </w:t>
            </w:r>
            <w:r w:rsidR="0067181B">
              <w:rPr>
                <w:rFonts w:ascii="Arial" w:hAnsi="Arial" w:cs="Arial"/>
                <w:sz w:val="16"/>
                <w:szCs w:val="16"/>
              </w:rPr>
              <w:t>8</w:t>
            </w:r>
            <w:r w:rsidR="00D33921">
              <w:rPr>
                <w:rFonts w:ascii="Arial" w:hAnsi="Arial" w:cs="Arial"/>
                <w:sz w:val="16"/>
                <w:szCs w:val="16"/>
              </w:rPr>
              <w:t xml:space="preserve"> años</w:t>
            </w:r>
          </w:p>
        </w:tc>
        <w:tc>
          <w:tcPr>
            <w:tcW w:w="3646" w:type="dxa"/>
            <w:tcBorders>
              <w:top w:val="single" w:sz="4" w:space="0" w:color="auto"/>
              <w:left w:val="nil"/>
              <w:bottom w:val="single" w:sz="4" w:space="0" w:color="auto"/>
              <w:right w:val="single" w:sz="4" w:space="0" w:color="auto"/>
            </w:tcBorders>
            <w:shd w:val="clear" w:color="000000" w:fill="D9D9D9"/>
            <w:vAlign w:val="center"/>
          </w:tcPr>
          <w:p w14:paraId="08D69630" w14:textId="272FF782" w:rsidR="00FC536F" w:rsidRDefault="00D33921" w:rsidP="001F6887">
            <w:pPr>
              <w:jc w:val="center"/>
              <w:rPr>
                <w:rFonts w:ascii="Arial" w:hAnsi="Arial" w:cs="Arial"/>
                <w:sz w:val="16"/>
                <w:szCs w:val="16"/>
              </w:rPr>
            </w:pPr>
            <w:r>
              <w:rPr>
                <w:rFonts w:ascii="Arial" w:hAnsi="Arial" w:cs="Arial"/>
                <w:sz w:val="16"/>
                <w:szCs w:val="16"/>
              </w:rPr>
              <w:t>1.785.000</w:t>
            </w:r>
            <w:r w:rsidR="00FC536F">
              <w:rPr>
                <w:rFonts w:ascii="Arial" w:hAnsi="Arial" w:cs="Arial"/>
                <w:sz w:val="16"/>
                <w:szCs w:val="16"/>
              </w:rPr>
              <w:t xml:space="preserve"> €</w:t>
            </w:r>
          </w:p>
        </w:tc>
        <w:tc>
          <w:tcPr>
            <w:tcW w:w="3578" w:type="dxa"/>
            <w:tcBorders>
              <w:top w:val="single" w:sz="4" w:space="0" w:color="auto"/>
              <w:left w:val="nil"/>
              <w:bottom w:val="single" w:sz="4" w:space="0" w:color="auto"/>
              <w:right w:val="single" w:sz="4" w:space="0" w:color="auto"/>
            </w:tcBorders>
            <w:shd w:val="clear" w:color="000000" w:fill="D9D9D9"/>
            <w:vAlign w:val="center"/>
          </w:tcPr>
          <w:p w14:paraId="2B5649DF" w14:textId="6DB9A866" w:rsidR="00FC536F" w:rsidRDefault="001E66A0" w:rsidP="0067181B">
            <w:pPr>
              <w:jc w:val="center"/>
              <w:rPr>
                <w:rFonts w:ascii="Arial" w:hAnsi="Arial" w:cs="Arial"/>
                <w:sz w:val="16"/>
                <w:szCs w:val="16"/>
              </w:rPr>
            </w:pPr>
            <w:r>
              <w:rPr>
                <w:rFonts w:ascii="Arial" w:hAnsi="Arial" w:cs="Arial"/>
                <w:bCs/>
                <w:sz w:val="16"/>
                <w:szCs w:val="16"/>
              </w:rPr>
              <w:t>1.965.600</w:t>
            </w:r>
            <w:r w:rsidR="0067181B" w:rsidRPr="0067181B">
              <w:rPr>
                <w:rFonts w:ascii="Arial" w:hAnsi="Arial" w:cs="Arial"/>
                <w:sz w:val="16"/>
                <w:szCs w:val="16"/>
              </w:rPr>
              <w:t xml:space="preserve"> €</w:t>
            </w:r>
          </w:p>
        </w:tc>
      </w:tr>
      <w:tr w:rsidR="00FC536F" w14:paraId="29090487" w14:textId="77777777" w:rsidTr="00317461">
        <w:trPr>
          <w:trHeight w:val="538"/>
        </w:trPr>
        <w:tc>
          <w:tcPr>
            <w:tcW w:w="2156" w:type="dxa"/>
            <w:tcBorders>
              <w:top w:val="single" w:sz="4" w:space="0" w:color="auto"/>
              <w:left w:val="single" w:sz="4" w:space="0" w:color="auto"/>
              <w:bottom w:val="single" w:sz="4" w:space="0" w:color="auto"/>
              <w:right w:val="single" w:sz="4" w:space="0" w:color="auto"/>
            </w:tcBorders>
            <w:shd w:val="clear" w:color="000000" w:fill="D9D9D9"/>
            <w:vAlign w:val="center"/>
          </w:tcPr>
          <w:p w14:paraId="58455EEF" w14:textId="02BFE33C" w:rsidR="00FC536F" w:rsidRDefault="00FC536F" w:rsidP="001F6887">
            <w:pPr>
              <w:jc w:val="center"/>
              <w:rPr>
                <w:rFonts w:ascii="Arial" w:hAnsi="Arial" w:cs="Arial"/>
                <w:sz w:val="16"/>
                <w:szCs w:val="16"/>
              </w:rPr>
            </w:pPr>
            <w:r>
              <w:rPr>
                <w:rFonts w:ascii="Arial" w:hAnsi="Arial" w:cs="Arial"/>
                <w:sz w:val="16"/>
                <w:szCs w:val="16"/>
              </w:rPr>
              <w:t>Coste incremental (diferencial) respecto a la terapia de referencia</w:t>
            </w:r>
            <w:r w:rsidR="00D33921">
              <w:rPr>
                <w:rFonts w:ascii="Arial" w:hAnsi="Arial" w:cs="Arial"/>
                <w:sz w:val="16"/>
                <w:szCs w:val="16"/>
              </w:rPr>
              <w:t>***</w:t>
            </w:r>
          </w:p>
        </w:tc>
        <w:tc>
          <w:tcPr>
            <w:tcW w:w="3646" w:type="dxa"/>
            <w:tcBorders>
              <w:top w:val="single" w:sz="4" w:space="0" w:color="auto"/>
              <w:left w:val="nil"/>
              <w:bottom w:val="single" w:sz="4" w:space="0" w:color="auto"/>
              <w:right w:val="single" w:sz="4" w:space="0" w:color="auto"/>
            </w:tcBorders>
            <w:shd w:val="clear" w:color="000000" w:fill="D9D9D9"/>
            <w:vAlign w:val="center"/>
          </w:tcPr>
          <w:p w14:paraId="7857E484" w14:textId="4A752727" w:rsidR="00FC536F" w:rsidRDefault="00E556A2" w:rsidP="001F6887">
            <w:pPr>
              <w:jc w:val="center"/>
              <w:rPr>
                <w:rFonts w:ascii="Arial" w:hAnsi="Arial" w:cs="Arial"/>
                <w:sz w:val="16"/>
                <w:szCs w:val="16"/>
              </w:rPr>
            </w:pPr>
            <w:r w:rsidRPr="00B07291">
              <w:rPr>
                <w:rFonts w:ascii="Arial" w:hAnsi="Arial" w:cs="Arial"/>
                <w:b/>
                <w:bCs/>
                <w:color w:val="000000" w:themeColor="text1"/>
                <w:sz w:val="16"/>
                <w:szCs w:val="16"/>
              </w:rPr>
              <w:t>-</w:t>
            </w:r>
            <w:r w:rsidR="001E66A0" w:rsidRPr="00B07291">
              <w:rPr>
                <w:rFonts w:ascii="Arial" w:hAnsi="Arial" w:cs="Arial"/>
                <w:b/>
                <w:bCs/>
                <w:color w:val="000000" w:themeColor="text1"/>
                <w:sz w:val="16"/>
                <w:szCs w:val="16"/>
              </w:rPr>
              <w:t>180.600</w:t>
            </w:r>
            <w:r w:rsidR="00FC536F" w:rsidRPr="00B07291">
              <w:rPr>
                <w:rFonts w:ascii="Arial" w:hAnsi="Arial" w:cs="Arial"/>
                <w:b/>
                <w:bCs/>
                <w:color w:val="000000" w:themeColor="text1"/>
                <w:sz w:val="16"/>
                <w:szCs w:val="16"/>
              </w:rPr>
              <w:t xml:space="preserve"> €</w:t>
            </w:r>
          </w:p>
        </w:tc>
        <w:tc>
          <w:tcPr>
            <w:tcW w:w="3578" w:type="dxa"/>
            <w:tcBorders>
              <w:top w:val="single" w:sz="4" w:space="0" w:color="auto"/>
              <w:left w:val="nil"/>
              <w:bottom w:val="single" w:sz="4" w:space="0" w:color="auto"/>
              <w:right w:val="single" w:sz="4" w:space="0" w:color="auto"/>
            </w:tcBorders>
            <w:shd w:val="clear" w:color="000000" w:fill="D9D9D9"/>
            <w:vAlign w:val="center"/>
          </w:tcPr>
          <w:p w14:paraId="4F8E8173" w14:textId="5AFFC612" w:rsidR="00FC536F" w:rsidRDefault="004017A2" w:rsidP="001F6887">
            <w:pPr>
              <w:jc w:val="center"/>
              <w:rPr>
                <w:rFonts w:ascii="Arial" w:hAnsi="Arial" w:cs="Arial"/>
                <w:sz w:val="16"/>
                <w:szCs w:val="16"/>
              </w:rPr>
            </w:pPr>
            <w:r>
              <w:rPr>
                <w:rFonts w:ascii="Arial" w:hAnsi="Arial" w:cs="Arial"/>
                <w:sz w:val="16"/>
                <w:szCs w:val="16"/>
              </w:rPr>
              <w:t>-------</w:t>
            </w:r>
          </w:p>
        </w:tc>
      </w:tr>
      <w:tr w:rsidR="00FA0C0C" w14:paraId="36988CCC" w14:textId="77777777" w:rsidTr="00CF6657">
        <w:trPr>
          <w:trHeight w:val="420"/>
        </w:trPr>
        <w:tc>
          <w:tcPr>
            <w:tcW w:w="9380" w:type="dxa"/>
            <w:gridSpan w:val="3"/>
            <w:tcBorders>
              <w:top w:val="single" w:sz="4" w:space="0" w:color="auto"/>
              <w:left w:val="single" w:sz="4" w:space="0" w:color="auto"/>
              <w:bottom w:val="nil"/>
              <w:right w:val="single" w:sz="4" w:space="0" w:color="auto"/>
            </w:tcBorders>
            <w:shd w:val="clear" w:color="000000" w:fill="D9D9D9"/>
            <w:vAlign w:val="center"/>
          </w:tcPr>
          <w:p w14:paraId="59FF6A29" w14:textId="352E77AD" w:rsidR="00FA0C0C" w:rsidRDefault="00FA0C0C" w:rsidP="001F6887">
            <w:pPr>
              <w:jc w:val="both"/>
              <w:rPr>
                <w:rFonts w:ascii="Arial" w:hAnsi="Arial" w:cs="Arial"/>
                <w:sz w:val="16"/>
                <w:szCs w:val="16"/>
              </w:rPr>
            </w:pPr>
            <w:r>
              <w:rPr>
                <w:rFonts w:ascii="Arial" w:hAnsi="Arial" w:cs="Arial"/>
                <w:sz w:val="16"/>
                <w:szCs w:val="16"/>
              </w:rPr>
              <w:t xml:space="preserve">*Precios de </w:t>
            </w:r>
            <w:r w:rsidR="005A0E49">
              <w:rPr>
                <w:rFonts w:ascii="Arial" w:hAnsi="Arial" w:cs="Arial"/>
                <w:sz w:val="16"/>
                <w:szCs w:val="16"/>
              </w:rPr>
              <w:t>Zolgensma</w:t>
            </w:r>
            <w:r w:rsidR="005A0E49" w:rsidRPr="005A0E49">
              <w:rPr>
                <w:rFonts w:ascii="Arial" w:hAnsi="Arial" w:cs="Arial"/>
                <w:sz w:val="16"/>
                <w:szCs w:val="16"/>
                <w:vertAlign w:val="superscript"/>
              </w:rPr>
              <w:t>®</w:t>
            </w:r>
            <w:r w:rsidR="005A0E49">
              <w:rPr>
                <w:rFonts w:ascii="Arial" w:hAnsi="Arial" w:cs="Arial"/>
                <w:sz w:val="16"/>
                <w:szCs w:val="16"/>
              </w:rPr>
              <w:t xml:space="preserve"> en E.E.U.U ($2.100.000. Conversión de $ a € (08/09/2020): 1$ = 0,85</w:t>
            </w:r>
            <w:r w:rsidR="00CF3CA8">
              <w:rPr>
                <w:rFonts w:ascii="Arial" w:hAnsi="Arial" w:cs="Arial"/>
                <w:sz w:val="16"/>
                <w:szCs w:val="16"/>
              </w:rPr>
              <w:t xml:space="preserve"> </w:t>
            </w:r>
            <w:r w:rsidR="005A0E49">
              <w:rPr>
                <w:rFonts w:ascii="Arial" w:hAnsi="Arial" w:cs="Arial"/>
                <w:sz w:val="16"/>
                <w:szCs w:val="16"/>
              </w:rPr>
              <w:t>€) y precio notificado PVL</w:t>
            </w:r>
            <w:r w:rsidR="001E66A0">
              <w:rPr>
                <w:rFonts w:ascii="Arial" w:hAnsi="Arial" w:cs="Arial"/>
                <w:sz w:val="16"/>
                <w:szCs w:val="16"/>
              </w:rPr>
              <w:t>-RD</w:t>
            </w:r>
            <w:r w:rsidR="005A0E49">
              <w:rPr>
                <w:rFonts w:ascii="Arial" w:hAnsi="Arial" w:cs="Arial"/>
                <w:sz w:val="16"/>
                <w:szCs w:val="16"/>
              </w:rPr>
              <w:t>+IVA de Spinraza</w:t>
            </w:r>
            <w:r w:rsidR="005A0E49" w:rsidRPr="005A0E49">
              <w:rPr>
                <w:rFonts w:ascii="Arial" w:hAnsi="Arial" w:cs="Arial"/>
                <w:sz w:val="16"/>
                <w:szCs w:val="16"/>
                <w:vertAlign w:val="superscript"/>
              </w:rPr>
              <w:t>®</w:t>
            </w:r>
            <w:r w:rsidR="005A0E49">
              <w:rPr>
                <w:rFonts w:ascii="Arial" w:hAnsi="Arial" w:cs="Arial"/>
                <w:sz w:val="16"/>
                <w:szCs w:val="16"/>
              </w:rPr>
              <w:t>. Zolgensma</w:t>
            </w:r>
            <w:r w:rsidR="005A0E49" w:rsidRPr="005A0E49">
              <w:rPr>
                <w:rFonts w:ascii="Arial" w:hAnsi="Arial" w:cs="Arial"/>
                <w:sz w:val="16"/>
                <w:szCs w:val="16"/>
                <w:vertAlign w:val="superscript"/>
              </w:rPr>
              <w:t>®</w:t>
            </w:r>
            <w:r w:rsidR="005A0E49">
              <w:rPr>
                <w:rFonts w:ascii="Arial" w:hAnsi="Arial" w:cs="Arial"/>
                <w:sz w:val="16"/>
                <w:szCs w:val="16"/>
              </w:rPr>
              <w:t xml:space="preserve"> no tiene precio en España ni en la</w:t>
            </w:r>
            <w:r>
              <w:rPr>
                <w:rFonts w:ascii="Arial" w:hAnsi="Arial" w:cs="Arial"/>
                <w:sz w:val="16"/>
                <w:szCs w:val="16"/>
              </w:rPr>
              <w:t xml:space="preserve"> aplicación de gestión de medicamentos en situaciones especiales de Ministerio de Sanidad a fecha </w:t>
            </w:r>
            <w:r w:rsidR="005A0E49">
              <w:rPr>
                <w:rFonts w:ascii="Arial" w:hAnsi="Arial" w:cs="Arial"/>
                <w:sz w:val="16"/>
                <w:szCs w:val="16"/>
              </w:rPr>
              <w:t>08/09/2020</w:t>
            </w:r>
            <w:r>
              <w:rPr>
                <w:rFonts w:ascii="Arial" w:hAnsi="Arial" w:cs="Arial"/>
                <w:sz w:val="16"/>
                <w:szCs w:val="16"/>
              </w:rPr>
              <w:t xml:space="preserve"> </w:t>
            </w:r>
          </w:p>
        </w:tc>
      </w:tr>
      <w:tr w:rsidR="00FA0C0C" w14:paraId="5D2904E1" w14:textId="77777777" w:rsidTr="00CF6657">
        <w:trPr>
          <w:trHeight w:val="255"/>
        </w:trPr>
        <w:tc>
          <w:tcPr>
            <w:tcW w:w="9380" w:type="dxa"/>
            <w:gridSpan w:val="3"/>
            <w:tcBorders>
              <w:top w:val="nil"/>
              <w:left w:val="single" w:sz="4" w:space="0" w:color="auto"/>
              <w:bottom w:val="nil"/>
              <w:right w:val="single" w:sz="4" w:space="0" w:color="auto"/>
            </w:tcBorders>
            <w:shd w:val="clear" w:color="000000" w:fill="D9D9D9"/>
            <w:vAlign w:val="center"/>
          </w:tcPr>
          <w:p w14:paraId="155E4926" w14:textId="0563FBFC" w:rsidR="00FA0C0C" w:rsidRDefault="00FA0C0C" w:rsidP="001F6887">
            <w:pPr>
              <w:jc w:val="both"/>
              <w:rPr>
                <w:rFonts w:ascii="Arial" w:hAnsi="Arial" w:cs="Arial"/>
                <w:sz w:val="16"/>
                <w:szCs w:val="16"/>
              </w:rPr>
            </w:pPr>
            <w:r>
              <w:rPr>
                <w:rFonts w:ascii="Arial" w:hAnsi="Arial" w:cs="Arial"/>
                <w:sz w:val="16"/>
                <w:szCs w:val="16"/>
              </w:rPr>
              <w:t>**</w:t>
            </w:r>
            <w:r w:rsidR="00D33921">
              <w:rPr>
                <w:rFonts w:ascii="Arial" w:hAnsi="Arial" w:cs="Arial"/>
                <w:sz w:val="16"/>
                <w:szCs w:val="16"/>
              </w:rPr>
              <w:t>Se considera coste por paciente independiente del peso (se considera que el laboratorio proporciona el número de viales necesarios en función del peso</w:t>
            </w:r>
            <w:r w:rsidR="00FF39A5">
              <w:rPr>
                <w:rFonts w:ascii="Arial" w:hAnsi="Arial" w:cs="Arial"/>
                <w:sz w:val="16"/>
                <w:szCs w:val="16"/>
              </w:rPr>
              <w:t xml:space="preserve"> en el caso de Zolgensma</w:t>
            </w:r>
            <w:r w:rsidR="00FF39A5" w:rsidRPr="00FF39A5">
              <w:rPr>
                <w:rFonts w:ascii="Arial" w:hAnsi="Arial" w:cs="Arial"/>
                <w:sz w:val="16"/>
                <w:szCs w:val="16"/>
                <w:vertAlign w:val="superscript"/>
              </w:rPr>
              <w:t>®</w:t>
            </w:r>
            <w:r w:rsidR="00D33921">
              <w:rPr>
                <w:rFonts w:ascii="Arial" w:hAnsi="Arial" w:cs="Arial"/>
                <w:sz w:val="16"/>
                <w:szCs w:val="16"/>
              </w:rPr>
              <w:t>)</w:t>
            </w:r>
          </w:p>
        </w:tc>
      </w:tr>
      <w:tr w:rsidR="00FA0C0C" w14:paraId="4F487E97" w14:textId="77777777" w:rsidTr="00CF6657">
        <w:trPr>
          <w:trHeight w:val="291"/>
        </w:trPr>
        <w:tc>
          <w:tcPr>
            <w:tcW w:w="9380" w:type="dxa"/>
            <w:gridSpan w:val="3"/>
            <w:tcBorders>
              <w:top w:val="nil"/>
              <w:left w:val="single" w:sz="4" w:space="0" w:color="auto"/>
              <w:bottom w:val="single" w:sz="4" w:space="0" w:color="auto"/>
              <w:right w:val="single" w:sz="4" w:space="0" w:color="auto"/>
            </w:tcBorders>
            <w:shd w:val="clear" w:color="000000" w:fill="D9D9D9"/>
            <w:vAlign w:val="center"/>
          </w:tcPr>
          <w:p w14:paraId="09AD0FEC" w14:textId="7A631A15" w:rsidR="00FA0C0C" w:rsidRDefault="00FA0C0C" w:rsidP="00D921B2">
            <w:pPr>
              <w:rPr>
                <w:rFonts w:ascii="Arial" w:hAnsi="Arial" w:cs="Arial"/>
                <w:sz w:val="16"/>
                <w:szCs w:val="16"/>
              </w:rPr>
            </w:pPr>
            <w:r>
              <w:rPr>
                <w:rFonts w:ascii="Arial" w:hAnsi="Arial" w:cs="Arial"/>
                <w:sz w:val="16"/>
                <w:szCs w:val="16"/>
              </w:rPr>
              <w:t>***</w:t>
            </w:r>
            <w:r w:rsidR="00D33921">
              <w:rPr>
                <w:rFonts w:ascii="Arial" w:hAnsi="Arial" w:cs="Arial"/>
                <w:sz w:val="16"/>
                <w:szCs w:val="16"/>
              </w:rPr>
              <w:t xml:space="preserve">Horizonte temporal de </w:t>
            </w:r>
            <w:r w:rsidR="00EF7681">
              <w:rPr>
                <w:rFonts w:ascii="Arial" w:hAnsi="Arial" w:cs="Arial"/>
                <w:sz w:val="16"/>
                <w:szCs w:val="16"/>
              </w:rPr>
              <w:t>8</w:t>
            </w:r>
            <w:r w:rsidR="00D33921">
              <w:rPr>
                <w:rFonts w:ascii="Arial" w:hAnsi="Arial" w:cs="Arial"/>
                <w:sz w:val="16"/>
                <w:szCs w:val="16"/>
              </w:rPr>
              <w:t xml:space="preserve"> años</w:t>
            </w:r>
            <w:r w:rsidR="00D050D2">
              <w:rPr>
                <w:rFonts w:ascii="Arial" w:hAnsi="Arial" w:cs="Arial"/>
                <w:sz w:val="16"/>
                <w:szCs w:val="16"/>
              </w:rPr>
              <w:t xml:space="preserve"> (expectativa de vida para pacientes tratados con </w:t>
            </w:r>
            <w:r w:rsidR="00D921B2">
              <w:rPr>
                <w:rFonts w:ascii="Arial" w:hAnsi="Arial" w:cs="Arial"/>
                <w:sz w:val="16"/>
                <w:szCs w:val="16"/>
              </w:rPr>
              <w:t>nusinersen</w:t>
            </w:r>
            <w:r w:rsidR="00D050D2">
              <w:rPr>
                <w:rFonts w:ascii="Arial" w:hAnsi="Arial" w:cs="Arial"/>
                <w:sz w:val="16"/>
                <w:szCs w:val="16"/>
              </w:rPr>
              <w:t xml:space="preserve"> según estudio ICER en AME tipo 1)</w:t>
            </w:r>
          </w:p>
        </w:tc>
      </w:tr>
    </w:tbl>
    <w:p w14:paraId="485AE01C" w14:textId="77777777" w:rsidR="00FA0C0C" w:rsidRDefault="00FA0C0C" w:rsidP="001F6887">
      <w:pPr>
        <w:jc w:val="both"/>
        <w:rPr>
          <w:rFonts w:ascii="Arial" w:hAnsi="Arial" w:cs="Arial"/>
          <w:b/>
          <w:bCs/>
          <w:sz w:val="20"/>
          <w:szCs w:val="20"/>
          <w:shd w:val="clear" w:color="auto" w:fill="C0C0C0"/>
        </w:rPr>
      </w:pPr>
    </w:p>
    <w:p w14:paraId="1E829D46" w14:textId="77777777" w:rsidR="00036A6B" w:rsidRDefault="00036A6B" w:rsidP="00036A6B"/>
    <w:p w14:paraId="641FC1D2" w14:textId="77777777" w:rsidR="00EF57AE" w:rsidRDefault="00F443CA" w:rsidP="00F443CA">
      <w:pPr>
        <w:jc w:val="both"/>
        <w:rPr>
          <w:rFonts w:ascii="Arial" w:hAnsi="Arial" w:cs="Arial"/>
          <w:sz w:val="20"/>
          <w:szCs w:val="20"/>
        </w:rPr>
      </w:pPr>
      <w:r>
        <w:rPr>
          <w:rFonts w:ascii="Arial" w:hAnsi="Arial" w:cs="Arial"/>
          <w:sz w:val="20"/>
          <w:szCs w:val="20"/>
        </w:rPr>
        <w:t>El coste del tratamiento con o</w:t>
      </w:r>
      <w:r w:rsidRPr="00F443CA">
        <w:rPr>
          <w:rFonts w:ascii="Arial" w:hAnsi="Arial" w:cs="Arial"/>
          <w:sz w:val="20"/>
          <w:szCs w:val="20"/>
        </w:rPr>
        <w:t xml:space="preserve">nasemnogén abeparvovec </w:t>
      </w:r>
      <w:r>
        <w:rPr>
          <w:rFonts w:ascii="Arial" w:hAnsi="Arial" w:cs="Arial"/>
          <w:sz w:val="20"/>
          <w:szCs w:val="20"/>
        </w:rPr>
        <w:t>en EEUU al cambio es de 1.785.000 €. Si lo comparamos c</w:t>
      </w:r>
      <w:r w:rsidR="00D921B2">
        <w:rPr>
          <w:rFonts w:ascii="Arial" w:hAnsi="Arial" w:cs="Arial"/>
          <w:sz w:val="20"/>
          <w:szCs w:val="20"/>
        </w:rPr>
        <w:t xml:space="preserve">on el </w:t>
      </w:r>
      <w:r w:rsidR="00E556A2">
        <w:rPr>
          <w:rFonts w:ascii="Arial" w:hAnsi="Arial" w:cs="Arial"/>
          <w:sz w:val="20"/>
          <w:szCs w:val="20"/>
        </w:rPr>
        <w:t>precio</w:t>
      </w:r>
      <w:r w:rsidR="00D921B2">
        <w:rPr>
          <w:rFonts w:ascii="Arial" w:hAnsi="Arial" w:cs="Arial"/>
          <w:sz w:val="20"/>
          <w:szCs w:val="20"/>
        </w:rPr>
        <w:t xml:space="preserve"> </w:t>
      </w:r>
      <w:r w:rsidR="00E556A2">
        <w:rPr>
          <w:rFonts w:ascii="Arial" w:hAnsi="Arial" w:cs="Arial"/>
          <w:sz w:val="20"/>
          <w:szCs w:val="20"/>
        </w:rPr>
        <w:t xml:space="preserve">notificado </w:t>
      </w:r>
      <w:r w:rsidR="00D921B2">
        <w:rPr>
          <w:rFonts w:ascii="Arial" w:hAnsi="Arial" w:cs="Arial"/>
          <w:sz w:val="20"/>
          <w:szCs w:val="20"/>
        </w:rPr>
        <w:t xml:space="preserve">de nusinersen </w:t>
      </w:r>
      <w:r>
        <w:rPr>
          <w:rFonts w:ascii="Arial" w:hAnsi="Arial" w:cs="Arial"/>
          <w:sz w:val="20"/>
          <w:szCs w:val="20"/>
        </w:rPr>
        <w:t>durante 8 años</w:t>
      </w:r>
      <w:r w:rsidR="00D921B2">
        <w:rPr>
          <w:rFonts w:ascii="Arial" w:hAnsi="Arial" w:cs="Arial"/>
          <w:sz w:val="20"/>
          <w:szCs w:val="20"/>
        </w:rPr>
        <w:t xml:space="preserve"> (duración de tra</w:t>
      </w:r>
      <w:r w:rsidR="00601B10">
        <w:rPr>
          <w:rFonts w:ascii="Arial" w:hAnsi="Arial" w:cs="Arial"/>
          <w:sz w:val="20"/>
          <w:szCs w:val="20"/>
        </w:rPr>
        <w:t>t</w:t>
      </w:r>
      <w:r w:rsidR="00D921B2">
        <w:rPr>
          <w:rFonts w:ascii="Arial" w:hAnsi="Arial" w:cs="Arial"/>
          <w:sz w:val="20"/>
          <w:szCs w:val="20"/>
        </w:rPr>
        <w:t>amiento</w:t>
      </w:r>
      <w:r w:rsidR="00601B10">
        <w:rPr>
          <w:rFonts w:ascii="Arial" w:hAnsi="Arial" w:cs="Arial"/>
          <w:sz w:val="20"/>
          <w:szCs w:val="20"/>
        </w:rPr>
        <w:t xml:space="preserve"> aproximada para pacientes con </w:t>
      </w:r>
      <w:r w:rsidR="00601B10" w:rsidRPr="00601B10">
        <w:rPr>
          <w:rFonts w:ascii="Arial" w:hAnsi="Arial" w:cs="Arial"/>
          <w:b/>
          <w:sz w:val="20"/>
          <w:szCs w:val="20"/>
        </w:rPr>
        <w:t>AME tipo 1</w:t>
      </w:r>
      <w:r w:rsidR="00601B10">
        <w:rPr>
          <w:rFonts w:ascii="Arial" w:hAnsi="Arial" w:cs="Arial"/>
          <w:sz w:val="20"/>
          <w:szCs w:val="20"/>
        </w:rPr>
        <w:t>)</w:t>
      </w:r>
      <w:r>
        <w:rPr>
          <w:rFonts w:ascii="Arial" w:hAnsi="Arial" w:cs="Arial"/>
          <w:sz w:val="20"/>
          <w:szCs w:val="20"/>
        </w:rPr>
        <w:t xml:space="preserve">, el coste </w:t>
      </w:r>
      <w:r w:rsidR="00E556A2">
        <w:rPr>
          <w:rFonts w:ascii="Arial" w:hAnsi="Arial" w:cs="Arial"/>
          <w:sz w:val="20"/>
          <w:szCs w:val="20"/>
        </w:rPr>
        <w:t>de o</w:t>
      </w:r>
      <w:r w:rsidR="00E556A2" w:rsidRPr="00F443CA">
        <w:rPr>
          <w:rFonts w:ascii="Arial" w:hAnsi="Arial" w:cs="Arial"/>
          <w:sz w:val="20"/>
          <w:szCs w:val="20"/>
        </w:rPr>
        <w:t xml:space="preserve">nasemnogén abeparvovec </w:t>
      </w:r>
      <w:r w:rsidR="00E556A2">
        <w:rPr>
          <w:rFonts w:ascii="Arial" w:hAnsi="Arial" w:cs="Arial"/>
          <w:sz w:val="20"/>
          <w:szCs w:val="20"/>
        </w:rPr>
        <w:t xml:space="preserve">sería </w:t>
      </w:r>
      <w:r w:rsidR="001E66A0">
        <w:rPr>
          <w:rFonts w:ascii="Arial" w:hAnsi="Arial" w:cs="Arial"/>
          <w:sz w:val="20"/>
          <w:szCs w:val="20"/>
        </w:rPr>
        <w:t>180.6</w:t>
      </w:r>
      <w:r>
        <w:rPr>
          <w:rFonts w:ascii="Arial" w:hAnsi="Arial" w:cs="Arial"/>
          <w:sz w:val="20"/>
          <w:szCs w:val="20"/>
        </w:rPr>
        <w:t>00 €</w:t>
      </w:r>
      <w:r w:rsidR="00E556A2">
        <w:rPr>
          <w:rFonts w:ascii="Arial" w:hAnsi="Arial" w:cs="Arial"/>
          <w:sz w:val="20"/>
          <w:szCs w:val="20"/>
        </w:rPr>
        <w:t xml:space="preserve"> menor</w:t>
      </w:r>
      <w:r>
        <w:rPr>
          <w:rFonts w:ascii="Arial" w:hAnsi="Arial" w:cs="Arial"/>
          <w:sz w:val="20"/>
          <w:szCs w:val="20"/>
        </w:rPr>
        <w:t xml:space="preserve">. </w:t>
      </w:r>
    </w:p>
    <w:p w14:paraId="1C754EA5" w14:textId="77777777" w:rsidR="00EF57AE" w:rsidRDefault="00EF57AE" w:rsidP="00F443CA">
      <w:pPr>
        <w:jc w:val="both"/>
        <w:rPr>
          <w:rFonts w:ascii="Arial" w:hAnsi="Arial" w:cs="Arial"/>
          <w:sz w:val="20"/>
          <w:szCs w:val="20"/>
        </w:rPr>
      </w:pPr>
    </w:p>
    <w:p w14:paraId="130DCF22" w14:textId="550BF0AD" w:rsidR="00E556A2" w:rsidRPr="00EF57AE" w:rsidRDefault="00E556A2" w:rsidP="00F443CA">
      <w:pPr>
        <w:jc w:val="both"/>
        <w:rPr>
          <w:rFonts w:ascii="Arial" w:hAnsi="Arial" w:cs="Arial"/>
          <w:sz w:val="20"/>
          <w:szCs w:val="20"/>
        </w:rPr>
      </w:pPr>
      <w:r>
        <w:rPr>
          <w:rFonts w:ascii="Arial" w:hAnsi="Arial" w:cs="Arial"/>
          <w:sz w:val="20"/>
          <w:szCs w:val="20"/>
        </w:rPr>
        <w:t>Si realizamos análisis de sensibilidad aplicando un descuento de aproximadamente un 15% (coste por vial de nusinersen</w:t>
      </w:r>
      <w:r w:rsidR="00BB2579">
        <w:rPr>
          <w:rFonts w:ascii="Arial" w:hAnsi="Arial" w:cs="Arial"/>
          <w:sz w:val="20"/>
          <w:szCs w:val="20"/>
        </w:rPr>
        <w:t xml:space="preserve"> </w:t>
      </w:r>
      <w:r>
        <w:rPr>
          <w:rFonts w:ascii="Arial" w:hAnsi="Arial" w:cs="Arial"/>
          <w:sz w:val="20"/>
          <w:szCs w:val="20"/>
        </w:rPr>
        <w:t>=</w:t>
      </w:r>
      <w:r w:rsidR="00BB2579">
        <w:rPr>
          <w:rFonts w:ascii="Arial" w:hAnsi="Arial" w:cs="Arial"/>
          <w:sz w:val="20"/>
          <w:szCs w:val="20"/>
        </w:rPr>
        <w:t xml:space="preserve"> </w:t>
      </w:r>
      <w:r w:rsidRPr="00B07291">
        <w:rPr>
          <w:rFonts w:ascii="Arial" w:hAnsi="Arial" w:cs="Arial"/>
          <w:b/>
          <w:sz w:val="20"/>
          <w:szCs w:val="20"/>
        </w:rPr>
        <w:t>61.900 €</w:t>
      </w:r>
      <w:r>
        <w:rPr>
          <w:rFonts w:ascii="Arial" w:hAnsi="Arial" w:cs="Arial"/>
          <w:sz w:val="20"/>
          <w:szCs w:val="20"/>
        </w:rPr>
        <w:t xml:space="preserve">), el coste incremental </w:t>
      </w:r>
      <w:r w:rsidR="00B07291">
        <w:rPr>
          <w:rFonts w:ascii="Arial" w:hAnsi="Arial" w:cs="Arial"/>
          <w:sz w:val="20"/>
          <w:szCs w:val="20"/>
        </w:rPr>
        <w:t xml:space="preserve">sería en este caso de </w:t>
      </w:r>
      <w:r w:rsidR="00B07291" w:rsidRPr="00B07291">
        <w:rPr>
          <w:rFonts w:ascii="Arial" w:hAnsi="Arial" w:cs="Arial"/>
          <w:b/>
          <w:sz w:val="20"/>
          <w:szCs w:val="20"/>
        </w:rPr>
        <w:t>113.700 €</w:t>
      </w:r>
      <w:r w:rsidR="00EF57AE">
        <w:rPr>
          <w:rFonts w:ascii="Arial" w:hAnsi="Arial" w:cs="Arial"/>
          <w:b/>
          <w:sz w:val="20"/>
          <w:szCs w:val="20"/>
        </w:rPr>
        <w:t xml:space="preserve"> </w:t>
      </w:r>
      <w:r w:rsidR="00EF57AE">
        <w:rPr>
          <w:rFonts w:ascii="Arial" w:hAnsi="Arial" w:cs="Arial"/>
          <w:sz w:val="20"/>
          <w:szCs w:val="20"/>
        </w:rPr>
        <w:t>(ver tabla 7.1.2)</w:t>
      </w:r>
      <w:r w:rsidR="00A35C6F">
        <w:rPr>
          <w:rFonts w:ascii="Arial" w:hAnsi="Arial" w:cs="Arial"/>
          <w:sz w:val="20"/>
          <w:szCs w:val="20"/>
        </w:rPr>
        <w:t>.</w:t>
      </w:r>
    </w:p>
    <w:tbl>
      <w:tblPr>
        <w:tblpPr w:leftFromText="141" w:rightFromText="141" w:vertAnchor="text" w:horzAnchor="margin" w:tblpY="230"/>
        <w:tblW w:w="9380" w:type="dxa"/>
        <w:tblLayout w:type="fixed"/>
        <w:tblCellMar>
          <w:left w:w="70" w:type="dxa"/>
          <w:right w:w="70" w:type="dxa"/>
        </w:tblCellMar>
        <w:tblLook w:val="00A0" w:firstRow="1" w:lastRow="0" w:firstColumn="1" w:lastColumn="0" w:noHBand="0" w:noVBand="0"/>
      </w:tblPr>
      <w:tblGrid>
        <w:gridCol w:w="2156"/>
        <w:gridCol w:w="3646"/>
        <w:gridCol w:w="3578"/>
      </w:tblGrid>
      <w:tr w:rsidR="00EF57AE" w14:paraId="2C769BD1" w14:textId="77777777" w:rsidTr="00A35C6F">
        <w:trPr>
          <w:trHeight w:val="450"/>
        </w:trPr>
        <w:tc>
          <w:tcPr>
            <w:tcW w:w="9380" w:type="dxa"/>
            <w:gridSpan w:val="3"/>
            <w:tcBorders>
              <w:top w:val="single" w:sz="8" w:space="0" w:color="auto"/>
              <w:left w:val="single" w:sz="8" w:space="0" w:color="auto"/>
              <w:bottom w:val="single" w:sz="4" w:space="0" w:color="auto"/>
              <w:right w:val="single" w:sz="8" w:space="0" w:color="000000"/>
            </w:tcBorders>
            <w:shd w:val="clear" w:color="auto" w:fill="CCFFCC"/>
            <w:vAlign w:val="center"/>
          </w:tcPr>
          <w:p w14:paraId="2CED3B88" w14:textId="77777777" w:rsidR="00EF57AE" w:rsidRDefault="00EF57AE" w:rsidP="00EF57AE">
            <w:pPr>
              <w:jc w:val="both"/>
              <w:rPr>
                <w:rFonts w:ascii="Arial" w:hAnsi="Arial" w:cs="Arial"/>
                <w:b/>
                <w:sz w:val="20"/>
                <w:szCs w:val="20"/>
              </w:rPr>
            </w:pPr>
            <w:r w:rsidRPr="00CF3CA8">
              <w:rPr>
                <w:rFonts w:ascii="Arial" w:hAnsi="Arial" w:cs="Arial"/>
                <w:b/>
                <w:sz w:val="20"/>
                <w:szCs w:val="20"/>
              </w:rPr>
              <w:t>Tabla 7.1.</w:t>
            </w:r>
            <w:r>
              <w:rPr>
                <w:rFonts w:ascii="Arial" w:hAnsi="Arial" w:cs="Arial"/>
                <w:b/>
                <w:sz w:val="20"/>
                <w:szCs w:val="20"/>
              </w:rPr>
              <w:t>2</w:t>
            </w:r>
            <w:r w:rsidRPr="00CF3CA8">
              <w:rPr>
                <w:rFonts w:ascii="Arial" w:hAnsi="Arial" w:cs="Arial"/>
                <w:b/>
                <w:sz w:val="20"/>
                <w:szCs w:val="20"/>
              </w:rPr>
              <w:t xml:space="preserve"> Costes de la terapia con el medicamento y de las diferentes alternativas</w:t>
            </w:r>
            <w:r>
              <w:rPr>
                <w:rFonts w:ascii="Arial" w:hAnsi="Arial" w:cs="Arial"/>
                <w:b/>
                <w:sz w:val="20"/>
                <w:szCs w:val="20"/>
              </w:rPr>
              <w:t xml:space="preserve">. </w:t>
            </w:r>
          </w:p>
          <w:p w14:paraId="5B56D001" w14:textId="575BA530" w:rsidR="00EF57AE" w:rsidRPr="00CF3CA8" w:rsidRDefault="00EF57AE" w:rsidP="00EF57AE">
            <w:pPr>
              <w:jc w:val="both"/>
              <w:rPr>
                <w:rFonts w:ascii="Arial" w:hAnsi="Arial" w:cs="Arial"/>
                <w:b/>
                <w:sz w:val="20"/>
                <w:szCs w:val="20"/>
              </w:rPr>
            </w:pPr>
            <w:r>
              <w:rPr>
                <w:rFonts w:ascii="Arial" w:hAnsi="Arial" w:cs="Arial"/>
                <w:b/>
                <w:sz w:val="20"/>
                <w:szCs w:val="20"/>
              </w:rPr>
              <w:t>Análisis de sensibilidad con un precio menor para nusineren.</w:t>
            </w:r>
          </w:p>
        </w:tc>
      </w:tr>
      <w:tr w:rsidR="00EF57AE" w14:paraId="25075B59" w14:textId="77777777" w:rsidTr="00A35C6F">
        <w:trPr>
          <w:trHeight w:val="516"/>
        </w:trPr>
        <w:tc>
          <w:tcPr>
            <w:tcW w:w="215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5D447884" w14:textId="77777777" w:rsidR="00EF57AE" w:rsidRDefault="00EF57AE" w:rsidP="00A35C6F">
            <w:pPr>
              <w:jc w:val="center"/>
              <w:rPr>
                <w:rFonts w:ascii="Arial" w:hAnsi="Arial" w:cs="Arial"/>
                <w:color w:val="FFFFFF"/>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CCFFCC"/>
            <w:vAlign w:val="center"/>
          </w:tcPr>
          <w:p w14:paraId="26D046C2" w14:textId="77777777" w:rsidR="00EF57AE" w:rsidRPr="00884E96" w:rsidRDefault="00EF57AE" w:rsidP="00A35C6F">
            <w:pPr>
              <w:jc w:val="center"/>
              <w:rPr>
                <w:rFonts w:ascii="Arial" w:hAnsi="Arial" w:cs="Arial"/>
                <w:sz w:val="18"/>
                <w:szCs w:val="18"/>
              </w:rPr>
            </w:pPr>
            <w:r w:rsidRPr="00884E96">
              <w:rPr>
                <w:rFonts w:ascii="Arial" w:hAnsi="Arial" w:cs="Arial"/>
                <w:sz w:val="18"/>
                <w:szCs w:val="18"/>
              </w:rPr>
              <w:t>Onasemnogén abeparvovec</w:t>
            </w:r>
          </w:p>
        </w:tc>
        <w:tc>
          <w:tcPr>
            <w:tcW w:w="3578" w:type="dxa"/>
            <w:tcBorders>
              <w:top w:val="single" w:sz="4" w:space="0" w:color="auto"/>
              <w:left w:val="single" w:sz="4" w:space="0" w:color="auto"/>
              <w:bottom w:val="single" w:sz="4" w:space="0" w:color="auto"/>
              <w:right w:val="single" w:sz="4" w:space="0" w:color="auto"/>
            </w:tcBorders>
            <w:shd w:val="clear" w:color="auto" w:fill="CCFFCC"/>
            <w:vAlign w:val="center"/>
          </w:tcPr>
          <w:p w14:paraId="1F373C0C" w14:textId="77777777" w:rsidR="00EF57AE" w:rsidRPr="00884E96" w:rsidRDefault="00EF57AE" w:rsidP="00A35C6F">
            <w:pPr>
              <w:jc w:val="center"/>
              <w:rPr>
                <w:rFonts w:ascii="Arial" w:hAnsi="Arial" w:cs="Arial"/>
                <w:sz w:val="18"/>
                <w:szCs w:val="18"/>
              </w:rPr>
            </w:pPr>
            <w:r w:rsidRPr="00884E96">
              <w:rPr>
                <w:rFonts w:ascii="Arial" w:hAnsi="Arial" w:cs="Arial"/>
                <w:sz w:val="18"/>
                <w:szCs w:val="18"/>
              </w:rPr>
              <w:t>Nusinersen</w:t>
            </w:r>
          </w:p>
        </w:tc>
      </w:tr>
      <w:tr w:rsidR="00EF57AE" w14:paraId="1C9A77CB" w14:textId="77777777" w:rsidTr="00A35C6F">
        <w:trPr>
          <w:trHeight w:val="536"/>
        </w:trPr>
        <w:tc>
          <w:tcPr>
            <w:tcW w:w="2156"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64827A5" w14:textId="77777777" w:rsidR="00EF57AE" w:rsidRDefault="00EF57AE" w:rsidP="00A35C6F">
            <w:pPr>
              <w:jc w:val="center"/>
              <w:rPr>
                <w:rFonts w:ascii="Arial" w:hAnsi="Arial" w:cs="Arial"/>
                <w:color w:val="FFFFFF"/>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CCFFCC"/>
            <w:vAlign w:val="center"/>
          </w:tcPr>
          <w:p w14:paraId="3925B544" w14:textId="77777777" w:rsidR="00EF57AE" w:rsidRPr="00884E96" w:rsidRDefault="00EF57AE" w:rsidP="00A35C6F">
            <w:pPr>
              <w:jc w:val="center"/>
              <w:rPr>
                <w:rFonts w:ascii="Arial" w:hAnsi="Arial" w:cs="Arial"/>
                <w:sz w:val="18"/>
                <w:szCs w:val="18"/>
              </w:rPr>
            </w:pPr>
            <w:r w:rsidRPr="00884E96">
              <w:rPr>
                <w:rFonts w:ascii="Arial" w:hAnsi="Arial" w:cs="Arial"/>
                <w:sz w:val="18"/>
                <w:szCs w:val="18"/>
              </w:rPr>
              <w:t>Zolgensma</w:t>
            </w:r>
            <w:r w:rsidRPr="00884E96">
              <w:rPr>
                <w:rFonts w:ascii="Arial" w:hAnsi="Arial" w:cs="Arial"/>
                <w:sz w:val="18"/>
                <w:szCs w:val="18"/>
                <w:vertAlign w:val="superscript"/>
              </w:rPr>
              <w:t>®</w:t>
            </w:r>
            <w:r w:rsidRPr="00884E96">
              <w:rPr>
                <w:rFonts w:ascii="Arial" w:hAnsi="Arial" w:cs="Arial"/>
                <w:sz w:val="18"/>
                <w:szCs w:val="18"/>
              </w:rPr>
              <w:t xml:space="preserve"> 2 x 10</w:t>
            </w:r>
            <w:r w:rsidRPr="001E66A0">
              <w:rPr>
                <w:rFonts w:ascii="Arial" w:hAnsi="Arial" w:cs="Arial"/>
                <w:sz w:val="18"/>
                <w:szCs w:val="18"/>
                <w:vertAlign w:val="superscript"/>
              </w:rPr>
              <w:t>13</w:t>
            </w:r>
            <w:r w:rsidRPr="00884E96">
              <w:rPr>
                <w:rFonts w:ascii="Arial" w:hAnsi="Arial" w:cs="Arial"/>
                <w:sz w:val="18"/>
                <w:szCs w:val="18"/>
              </w:rPr>
              <w:t xml:space="preserve"> genomas vectoriales/ml solución para perfusión</w:t>
            </w:r>
          </w:p>
        </w:tc>
        <w:tc>
          <w:tcPr>
            <w:tcW w:w="3578" w:type="dxa"/>
            <w:tcBorders>
              <w:top w:val="single" w:sz="4" w:space="0" w:color="auto"/>
              <w:left w:val="single" w:sz="4" w:space="0" w:color="auto"/>
              <w:bottom w:val="single" w:sz="4" w:space="0" w:color="auto"/>
              <w:right w:val="single" w:sz="4" w:space="0" w:color="auto"/>
            </w:tcBorders>
            <w:shd w:val="clear" w:color="auto" w:fill="CCFFCC"/>
            <w:vAlign w:val="center"/>
          </w:tcPr>
          <w:p w14:paraId="76A7C0C0" w14:textId="77777777" w:rsidR="00EF57AE" w:rsidRPr="00884E96" w:rsidRDefault="00EF57AE" w:rsidP="00A35C6F">
            <w:pPr>
              <w:jc w:val="center"/>
              <w:rPr>
                <w:rFonts w:ascii="Arial" w:hAnsi="Arial" w:cs="Arial"/>
                <w:sz w:val="18"/>
                <w:szCs w:val="18"/>
              </w:rPr>
            </w:pPr>
            <w:r w:rsidRPr="00884E96">
              <w:rPr>
                <w:rFonts w:ascii="Arial" w:hAnsi="Arial" w:cs="Arial"/>
                <w:sz w:val="18"/>
                <w:szCs w:val="18"/>
              </w:rPr>
              <w:t>Spinraza</w:t>
            </w:r>
            <w:r w:rsidRPr="00884E96">
              <w:rPr>
                <w:rFonts w:ascii="Arial" w:hAnsi="Arial" w:cs="Arial"/>
                <w:sz w:val="18"/>
                <w:szCs w:val="18"/>
                <w:vertAlign w:val="superscript"/>
              </w:rPr>
              <w:t>®</w:t>
            </w:r>
            <w:r w:rsidRPr="00884E96">
              <w:rPr>
                <w:rFonts w:ascii="Arial" w:hAnsi="Arial" w:cs="Arial"/>
                <w:sz w:val="18"/>
                <w:szCs w:val="18"/>
              </w:rPr>
              <w:t xml:space="preserve"> 12 mg solución inyectable</w:t>
            </w:r>
          </w:p>
        </w:tc>
      </w:tr>
      <w:tr w:rsidR="00EF57AE" w14:paraId="60C0364E" w14:textId="77777777" w:rsidTr="00A35C6F">
        <w:trPr>
          <w:trHeight w:val="432"/>
        </w:trPr>
        <w:tc>
          <w:tcPr>
            <w:tcW w:w="2156" w:type="dxa"/>
            <w:tcBorders>
              <w:top w:val="single" w:sz="4" w:space="0" w:color="auto"/>
              <w:left w:val="single" w:sz="4" w:space="0" w:color="auto"/>
              <w:bottom w:val="single" w:sz="4" w:space="0" w:color="auto"/>
              <w:right w:val="single" w:sz="4" w:space="0" w:color="auto"/>
            </w:tcBorders>
            <w:shd w:val="clear" w:color="000000" w:fill="D9D9D9"/>
            <w:vAlign w:val="center"/>
          </w:tcPr>
          <w:p w14:paraId="6CF26BE7" w14:textId="77777777" w:rsidR="00EF57AE" w:rsidRDefault="00EF57AE" w:rsidP="00A35C6F">
            <w:pPr>
              <w:jc w:val="center"/>
              <w:rPr>
                <w:rFonts w:ascii="Arial" w:hAnsi="Arial" w:cs="Arial"/>
                <w:sz w:val="16"/>
                <w:szCs w:val="16"/>
              </w:rPr>
            </w:pPr>
            <w:r>
              <w:rPr>
                <w:rFonts w:ascii="Arial" w:hAnsi="Arial" w:cs="Arial"/>
                <w:sz w:val="16"/>
                <w:szCs w:val="16"/>
              </w:rPr>
              <w:lastRenderedPageBreak/>
              <w:t>Precio unitario (PVL+IVA) *</w:t>
            </w:r>
          </w:p>
        </w:tc>
        <w:tc>
          <w:tcPr>
            <w:tcW w:w="3646" w:type="dxa"/>
            <w:tcBorders>
              <w:top w:val="single" w:sz="4" w:space="0" w:color="auto"/>
              <w:left w:val="nil"/>
              <w:bottom w:val="single" w:sz="4" w:space="0" w:color="auto"/>
              <w:right w:val="single" w:sz="4" w:space="0" w:color="auto"/>
            </w:tcBorders>
            <w:shd w:val="clear" w:color="000000" w:fill="D9D9D9"/>
            <w:vAlign w:val="center"/>
          </w:tcPr>
          <w:p w14:paraId="2B226FDC" w14:textId="77777777" w:rsidR="00EF57AE" w:rsidRDefault="00EF57AE" w:rsidP="00A35C6F">
            <w:pPr>
              <w:jc w:val="center"/>
              <w:rPr>
                <w:rFonts w:ascii="Arial" w:hAnsi="Arial" w:cs="Arial"/>
                <w:sz w:val="16"/>
                <w:szCs w:val="16"/>
              </w:rPr>
            </w:pPr>
            <w:r>
              <w:rPr>
                <w:rFonts w:ascii="Arial" w:hAnsi="Arial" w:cs="Arial"/>
                <w:sz w:val="16"/>
                <w:szCs w:val="16"/>
              </w:rPr>
              <w:t>1.785.000 €</w:t>
            </w:r>
          </w:p>
        </w:tc>
        <w:tc>
          <w:tcPr>
            <w:tcW w:w="3578" w:type="dxa"/>
            <w:tcBorders>
              <w:top w:val="single" w:sz="4" w:space="0" w:color="auto"/>
              <w:left w:val="nil"/>
              <w:bottom w:val="single" w:sz="4" w:space="0" w:color="auto"/>
              <w:right w:val="single" w:sz="4" w:space="0" w:color="auto"/>
            </w:tcBorders>
            <w:shd w:val="clear" w:color="000000" w:fill="D9D9D9"/>
            <w:vAlign w:val="center"/>
          </w:tcPr>
          <w:p w14:paraId="632A16F9" w14:textId="466FC425" w:rsidR="00EF57AE" w:rsidRDefault="00EF57AE" w:rsidP="00A35C6F">
            <w:pPr>
              <w:jc w:val="center"/>
              <w:rPr>
                <w:rFonts w:ascii="Arial" w:hAnsi="Arial" w:cs="Arial"/>
                <w:sz w:val="16"/>
                <w:szCs w:val="16"/>
              </w:rPr>
            </w:pPr>
            <w:r>
              <w:rPr>
                <w:rFonts w:ascii="Arial" w:hAnsi="Arial" w:cs="Arial"/>
                <w:sz w:val="16"/>
                <w:szCs w:val="16"/>
              </w:rPr>
              <w:t>61.900 €</w:t>
            </w:r>
          </w:p>
        </w:tc>
      </w:tr>
      <w:tr w:rsidR="00EF57AE" w14:paraId="1F33F2DF" w14:textId="77777777" w:rsidTr="00A35C6F">
        <w:trPr>
          <w:trHeight w:val="877"/>
        </w:trPr>
        <w:tc>
          <w:tcPr>
            <w:tcW w:w="2156" w:type="dxa"/>
            <w:tcBorders>
              <w:top w:val="single" w:sz="4" w:space="0" w:color="auto"/>
              <w:left w:val="single" w:sz="4" w:space="0" w:color="auto"/>
              <w:bottom w:val="single" w:sz="4" w:space="0" w:color="auto"/>
              <w:right w:val="single" w:sz="4" w:space="0" w:color="auto"/>
            </w:tcBorders>
            <w:vAlign w:val="center"/>
          </w:tcPr>
          <w:p w14:paraId="48F04519" w14:textId="77777777" w:rsidR="00EF57AE" w:rsidRDefault="00EF57AE" w:rsidP="00A35C6F">
            <w:pPr>
              <w:jc w:val="center"/>
              <w:rPr>
                <w:rFonts w:ascii="Arial" w:hAnsi="Arial" w:cs="Arial"/>
                <w:sz w:val="16"/>
                <w:szCs w:val="16"/>
              </w:rPr>
            </w:pPr>
            <w:r>
              <w:rPr>
                <w:rFonts w:ascii="Arial" w:hAnsi="Arial" w:cs="Arial"/>
                <w:sz w:val="16"/>
                <w:szCs w:val="16"/>
              </w:rPr>
              <w:t>Posología</w:t>
            </w:r>
          </w:p>
        </w:tc>
        <w:tc>
          <w:tcPr>
            <w:tcW w:w="3646" w:type="dxa"/>
            <w:tcBorders>
              <w:top w:val="single" w:sz="4" w:space="0" w:color="auto"/>
              <w:left w:val="nil"/>
              <w:bottom w:val="single" w:sz="4" w:space="0" w:color="auto"/>
              <w:right w:val="single" w:sz="4" w:space="0" w:color="auto"/>
            </w:tcBorders>
            <w:vAlign w:val="center"/>
          </w:tcPr>
          <w:p w14:paraId="4497A61A" w14:textId="77777777" w:rsidR="00EF57AE" w:rsidRDefault="00EF57AE" w:rsidP="00A35C6F">
            <w:pPr>
              <w:jc w:val="center"/>
              <w:rPr>
                <w:rFonts w:ascii="Arial" w:hAnsi="Arial" w:cs="Arial"/>
                <w:sz w:val="16"/>
                <w:szCs w:val="16"/>
              </w:rPr>
            </w:pPr>
            <w:r>
              <w:rPr>
                <w:rFonts w:ascii="Arial" w:hAnsi="Arial" w:cs="Arial"/>
                <w:sz w:val="16"/>
                <w:szCs w:val="16"/>
              </w:rPr>
              <w:t xml:space="preserve">Dosis única de </w:t>
            </w:r>
            <w:r w:rsidRPr="00CB574C">
              <w:rPr>
                <w:rFonts w:ascii="Arial" w:hAnsi="Arial" w:cs="Arial"/>
                <w:sz w:val="16"/>
                <w:szCs w:val="16"/>
              </w:rPr>
              <w:t>1,1 x 10</w:t>
            </w:r>
            <w:r w:rsidRPr="0068502A">
              <w:rPr>
                <w:rFonts w:ascii="Arial" w:hAnsi="Arial" w:cs="Arial"/>
                <w:sz w:val="16"/>
                <w:szCs w:val="16"/>
                <w:vertAlign w:val="superscript"/>
              </w:rPr>
              <w:t>14</w:t>
            </w:r>
            <w:r w:rsidRPr="00CB574C">
              <w:rPr>
                <w:rFonts w:ascii="Arial" w:hAnsi="Arial" w:cs="Arial"/>
                <w:sz w:val="16"/>
                <w:szCs w:val="16"/>
              </w:rPr>
              <w:t xml:space="preserve"> vg/kg de onasemnogén abeparvovec.</w:t>
            </w:r>
          </w:p>
        </w:tc>
        <w:tc>
          <w:tcPr>
            <w:tcW w:w="3578" w:type="dxa"/>
            <w:tcBorders>
              <w:top w:val="single" w:sz="4" w:space="0" w:color="auto"/>
              <w:left w:val="nil"/>
              <w:bottom w:val="single" w:sz="4" w:space="0" w:color="auto"/>
              <w:right w:val="single" w:sz="4" w:space="0" w:color="auto"/>
            </w:tcBorders>
            <w:vAlign w:val="center"/>
          </w:tcPr>
          <w:p w14:paraId="08CBFB01" w14:textId="77777777" w:rsidR="00EF57AE" w:rsidRDefault="00EF57AE" w:rsidP="00A35C6F">
            <w:pPr>
              <w:jc w:val="center"/>
              <w:rPr>
                <w:rFonts w:ascii="Arial" w:hAnsi="Arial" w:cs="Arial"/>
                <w:sz w:val="16"/>
                <w:szCs w:val="16"/>
              </w:rPr>
            </w:pPr>
            <w:r>
              <w:rPr>
                <w:rFonts w:ascii="Arial" w:hAnsi="Arial" w:cs="Arial"/>
                <w:sz w:val="16"/>
                <w:szCs w:val="16"/>
              </w:rPr>
              <w:t xml:space="preserve">Dosis de carga: 12 mg </w:t>
            </w:r>
            <w:r w:rsidRPr="00CB574C">
              <w:rPr>
                <w:rFonts w:ascii="Arial" w:hAnsi="Arial" w:cs="Arial"/>
                <w:sz w:val="16"/>
                <w:szCs w:val="16"/>
              </w:rPr>
              <w:t>días 0, 14, 28 y 63.</w:t>
            </w:r>
          </w:p>
          <w:p w14:paraId="14691AC0" w14:textId="77777777" w:rsidR="00EF57AE" w:rsidRDefault="00EF57AE" w:rsidP="00A35C6F">
            <w:pPr>
              <w:jc w:val="center"/>
              <w:rPr>
                <w:rFonts w:ascii="Arial" w:hAnsi="Arial" w:cs="Arial"/>
                <w:sz w:val="16"/>
                <w:szCs w:val="16"/>
              </w:rPr>
            </w:pPr>
            <w:r>
              <w:rPr>
                <w:rFonts w:ascii="Arial" w:hAnsi="Arial" w:cs="Arial"/>
                <w:sz w:val="16"/>
                <w:szCs w:val="16"/>
              </w:rPr>
              <w:t>Dosis de mantenimiento: 12 mg cada</w:t>
            </w:r>
            <w:r w:rsidRPr="00CB574C">
              <w:rPr>
                <w:rFonts w:ascii="Arial" w:hAnsi="Arial" w:cs="Arial"/>
                <w:sz w:val="16"/>
                <w:szCs w:val="16"/>
              </w:rPr>
              <w:t xml:space="preserve"> 4 meses</w:t>
            </w:r>
          </w:p>
        </w:tc>
      </w:tr>
      <w:tr w:rsidR="00EF57AE" w14:paraId="15B17EB1" w14:textId="77777777" w:rsidTr="00A35C6F">
        <w:trPr>
          <w:trHeight w:val="255"/>
        </w:trPr>
        <w:tc>
          <w:tcPr>
            <w:tcW w:w="2156" w:type="dxa"/>
            <w:tcBorders>
              <w:top w:val="single" w:sz="4" w:space="0" w:color="auto"/>
              <w:left w:val="single" w:sz="4" w:space="0" w:color="auto"/>
              <w:bottom w:val="single" w:sz="4" w:space="0" w:color="auto"/>
              <w:right w:val="single" w:sz="4" w:space="0" w:color="auto"/>
            </w:tcBorders>
            <w:vAlign w:val="center"/>
          </w:tcPr>
          <w:p w14:paraId="26F9148E" w14:textId="77777777" w:rsidR="00EF57AE" w:rsidRDefault="00EF57AE" w:rsidP="00A35C6F">
            <w:pPr>
              <w:jc w:val="center"/>
              <w:rPr>
                <w:rFonts w:ascii="Arial" w:hAnsi="Arial" w:cs="Arial"/>
                <w:sz w:val="16"/>
                <w:szCs w:val="16"/>
              </w:rPr>
            </w:pPr>
            <w:r>
              <w:rPr>
                <w:rFonts w:ascii="Arial" w:hAnsi="Arial" w:cs="Arial"/>
                <w:sz w:val="16"/>
                <w:szCs w:val="16"/>
              </w:rPr>
              <w:t>Coste Año de carga**</w:t>
            </w:r>
          </w:p>
        </w:tc>
        <w:tc>
          <w:tcPr>
            <w:tcW w:w="3646" w:type="dxa"/>
            <w:tcBorders>
              <w:top w:val="single" w:sz="4" w:space="0" w:color="auto"/>
              <w:left w:val="nil"/>
              <w:bottom w:val="single" w:sz="4" w:space="0" w:color="auto"/>
              <w:right w:val="single" w:sz="4" w:space="0" w:color="auto"/>
            </w:tcBorders>
            <w:vAlign w:val="center"/>
          </w:tcPr>
          <w:p w14:paraId="3C964043" w14:textId="77777777" w:rsidR="00EF57AE" w:rsidRDefault="00EF57AE" w:rsidP="00A35C6F">
            <w:pPr>
              <w:jc w:val="center"/>
              <w:rPr>
                <w:rFonts w:ascii="Arial" w:hAnsi="Arial" w:cs="Arial"/>
                <w:sz w:val="16"/>
                <w:szCs w:val="16"/>
              </w:rPr>
            </w:pPr>
            <w:r>
              <w:rPr>
                <w:rFonts w:ascii="Arial" w:hAnsi="Arial" w:cs="Arial"/>
                <w:sz w:val="16"/>
                <w:szCs w:val="16"/>
              </w:rPr>
              <w:t>1.785.000 €</w:t>
            </w:r>
          </w:p>
        </w:tc>
        <w:tc>
          <w:tcPr>
            <w:tcW w:w="3578" w:type="dxa"/>
            <w:tcBorders>
              <w:top w:val="single" w:sz="4" w:space="0" w:color="auto"/>
              <w:left w:val="nil"/>
              <w:bottom w:val="single" w:sz="4" w:space="0" w:color="auto"/>
              <w:right w:val="single" w:sz="4" w:space="0" w:color="auto"/>
            </w:tcBorders>
            <w:vAlign w:val="center"/>
          </w:tcPr>
          <w:p w14:paraId="6B2C186A" w14:textId="37FFDEED" w:rsidR="00EF57AE" w:rsidRDefault="00EF57AE" w:rsidP="00A35C6F">
            <w:pPr>
              <w:jc w:val="center"/>
              <w:rPr>
                <w:rFonts w:ascii="Arial" w:hAnsi="Arial" w:cs="Arial"/>
                <w:sz w:val="16"/>
                <w:szCs w:val="16"/>
              </w:rPr>
            </w:pPr>
            <w:r>
              <w:rPr>
                <w:rFonts w:ascii="Arial" w:hAnsi="Arial" w:cs="Arial"/>
                <w:sz w:val="16"/>
                <w:szCs w:val="16"/>
              </w:rPr>
              <w:t>371.400 € (6 dosis)</w:t>
            </w:r>
          </w:p>
        </w:tc>
      </w:tr>
      <w:tr w:rsidR="00EF57AE" w14:paraId="61A4837B" w14:textId="77777777" w:rsidTr="00A35C6F">
        <w:trPr>
          <w:trHeight w:val="255"/>
        </w:trPr>
        <w:tc>
          <w:tcPr>
            <w:tcW w:w="2156" w:type="dxa"/>
            <w:tcBorders>
              <w:top w:val="single" w:sz="4" w:space="0" w:color="auto"/>
              <w:left w:val="single" w:sz="4" w:space="0" w:color="auto"/>
              <w:bottom w:val="single" w:sz="4" w:space="0" w:color="auto"/>
              <w:right w:val="single" w:sz="4" w:space="0" w:color="auto"/>
            </w:tcBorders>
            <w:vAlign w:val="center"/>
          </w:tcPr>
          <w:p w14:paraId="5555FA3B" w14:textId="77777777" w:rsidR="00EF57AE" w:rsidRDefault="00EF57AE" w:rsidP="00A35C6F">
            <w:pPr>
              <w:jc w:val="center"/>
              <w:rPr>
                <w:rFonts w:ascii="Arial" w:hAnsi="Arial" w:cs="Arial"/>
                <w:sz w:val="16"/>
                <w:szCs w:val="16"/>
              </w:rPr>
            </w:pPr>
            <w:r>
              <w:rPr>
                <w:rFonts w:ascii="Arial" w:hAnsi="Arial" w:cs="Arial"/>
                <w:sz w:val="16"/>
                <w:szCs w:val="16"/>
              </w:rPr>
              <w:t>Coste años de mantenimiento</w:t>
            </w:r>
          </w:p>
        </w:tc>
        <w:tc>
          <w:tcPr>
            <w:tcW w:w="3646" w:type="dxa"/>
            <w:tcBorders>
              <w:top w:val="single" w:sz="4" w:space="0" w:color="auto"/>
              <w:left w:val="nil"/>
              <w:bottom w:val="single" w:sz="4" w:space="0" w:color="auto"/>
              <w:right w:val="single" w:sz="4" w:space="0" w:color="auto"/>
            </w:tcBorders>
            <w:vAlign w:val="center"/>
          </w:tcPr>
          <w:p w14:paraId="5E6D9089" w14:textId="77777777" w:rsidR="00EF57AE" w:rsidRDefault="00EF57AE" w:rsidP="00A35C6F">
            <w:pPr>
              <w:jc w:val="center"/>
              <w:rPr>
                <w:rFonts w:ascii="Arial" w:hAnsi="Arial" w:cs="Arial"/>
                <w:sz w:val="16"/>
                <w:szCs w:val="16"/>
              </w:rPr>
            </w:pPr>
            <w:r>
              <w:rPr>
                <w:rFonts w:ascii="Arial" w:hAnsi="Arial" w:cs="Arial"/>
                <w:sz w:val="16"/>
                <w:szCs w:val="16"/>
              </w:rPr>
              <w:t>Dosis única</w:t>
            </w:r>
          </w:p>
        </w:tc>
        <w:tc>
          <w:tcPr>
            <w:tcW w:w="3578" w:type="dxa"/>
            <w:tcBorders>
              <w:top w:val="single" w:sz="4" w:space="0" w:color="auto"/>
              <w:left w:val="nil"/>
              <w:bottom w:val="single" w:sz="4" w:space="0" w:color="auto"/>
              <w:right w:val="single" w:sz="4" w:space="0" w:color="auto"/>
            </w:tcBorders>
            <w:vAlign w:val="center"/>
          </w:tcPr>
          <w:p w14:paraId="2C4EAF36" w14:textId="289E53E8" w:rsidR="00EF57AE" w:rsidRDefault="00EF57AE" w:rsidP="00A35C6F">
            <w:pPr>
              <w:jc w:val="center"/>
              <w:rPr>
                <w:rFonts w:ascii="Arial" w:hAnsi="Arial" w:cs="Arial"/>
                <w:sz w:val="16"/>
                <w:szCs w:val="16"/>
              </w:rPr>
            </w:pPr>
            <w:r>
              <w:rPr>
                <w:rFonts w:ascii="Arial" w:hAnsi="Arial" w:cs="Arial"/>
                <w:sz w:val="16"/>
                <w:szCs w:val="16"/>
              </w:rPr>
              <w:t>185.700 € (3 dosis/año)</w:t>
            </w:r>
          </w:p>
        </w:tc>
      </w:tr>
      <w:tr w:rsidR="00EF57AE" w14:paraId="73E4957E" w14:textId="77777777" w:rsidTr="00A35C6F">
        <w:trPr>
          <w:trHeight w:val="255"/>
        </w:trPr>
        <w:tc>
          <w:tcPr>
            <w:tcW w:w="2156" w:type="dxa"/>
            <w:tcBorders>
              <w:top w:val="single" w:sz="4" w:space="0" w:color="auto"/>
              <w:left w:val="single" w:sz="4" w:space="0" w:color="auto"/>
              <w:bottom w:val="single" w:sz="4" w:space="0" w:color="auto"/>
              <w:right w:val="single" w:sz="4" w:space="0" w:color="auto"/>
            </w:tcBorders>
            <w:vAlign w:val="center"/>
          </w:tcPr>
          <w:p w14:paraId="7F54EFDA" w14:textId="77777777" w:rsidR="00EF57AE" w:rsidRDefault="00EF57AE" w:rsidP="00A35C6F">
            <w:pPr>
              <w:jc w:val="center"/>
              <w:rPr>
                <w:rFonts w:ascii="Arial" w:hAnsi="Arial" w:cs="Arial"/>
                <w:sz w:val="16"/>
                <w:szCs w:val="16"/>
              </w:rPr>
            </w:pPr>
            <w:r>
              <w:rPr>
                <w:rFonts w:ascii="Arial" w:hAnsi="Arial" w:cs="Arial"/>
                <w:sz w:val="16"/>
                <w:szCs w:val="16"/>
              </w:rPr>
              <w:t>Nº de dosis administradas</w:t>
            </w:r>
          </w:p>
        </w:tc>
        <w:tc>
          <w:tcPr>
            <w:tcW w:w="3646" w:type="dxa"/>
            <w:tcBorders>
              <w:top w:val="single" w:sz="4" w:space="0" w:color="auto"/>
              <w:left w:val="nil"/>
              <w:bottom w:val="single" w:sz="4" w:space="0" w:color="auto"/>
              <w:right w:val="single" w:sz="4" w:space="0" w:color="auto"/>
            </w:tcBorders>
            <w:vAlign w:val="center"/>
          </w:tcPr>
          <w:p w14:paraId="78828D28" w14:textId="77777777" w:rsidR="00EF57AE" w:rsidRDefault="00EF57AE" w:rsidP="00A35C6F">
            <w:pPr>
              <w:jc w:val="center"/>
              <w:rPr>
                <w:rFonts w:ascii="Arial" w:hAnsi="Arial" w:cs="Arial"/>
                <w:sz w:val="16"/>
                <w:szCs w:val="16"/>
              </w:rPr>
            </w:pPr>
            <w:r>
              <w:rPr>
                <w:rFonts w:ascii="Arial" w:hAnsi="Arial" w:cs="Arial"/>
                <w:sz w:val="16"/>
                <w:szCs w:val="16"/>
              </w:rPr>
              <w:t>Dosis única</w:t>
            </w:r>
          </w:p>
        </w:tc>
        <w:tc>
          <w:tcPr>
            <w:tcW w:w="3578" w:type="dxa"/>
            <w:tcBorders>
              <w:top w:val="single" w:sz="4" w:space="0" w:color="auto"/>
              <w:left w:val="nil"/>
              <w:bottom w:val="single" w:sz="4" w:space="0" w:color="auto"/>
              <w:right w:val="single" w:sz="4" w:space="0" w:color="auto"/>
            </w:tcBorders>
            <w:vAlign w:val="center"/>
          </w:tcPr>
          <w:p w14:paraId="436E2740" w14:textId="77777777" w:rsidR="00EF57AE" w:rsidRDefault="00EF57AE" w:rsidP="00A35C6F">
            <w:pPr>
              <w:jc w:val="center"/>
              <w:rPr>
                <w:rFonts w:ascii="Arial" w:hAnsi="Arial" w:cs="Arial"/>
                <w:sz w:val="16"/>
                <w:szCs w:val="16"/>
              </w:rPr>
            </w:pPr>
            <w:r>
              <w:rPr>
                <w:rFonts w:ascii="Arial" w:hAnsi="Arial" w:cs="Arial"/>
                <w:sz w:val="16"/>
                <w:szCs w:val="16"/>
              </w:rPr>
              <w:t>27</w:t>
            </w:r>
          </w:p>
        </w:tc>
      </w:tr>
      <w:tr w:rsidR="00EF57AE" w14:paraId="0467C9CA" w14:textId="77777777" w:rsidTr="00A35C6F">
        <w:trPr>
          <w:trHeight w:val="605"/>
        </w:trPr>
        <w:tc>
          <w:tcPr>
            <w:tcW w:w="2156" w:type="dxa"/>
            <w:tcBorders>
              <w:top w:val="single" w:sz="4" w:space="0" w:color="auto"/>
              <w:left w:val="single" w:sz="4" w:space="0" w:color="auto"/>
              <w:bottom w:val="single" w:sz="4" w:space="0" w:color="auto"/>
              <w:right w:val="single" w:sz="4" w:space="0" w:color="auto"/>
            </w:tcBorders>
            <w:shd w:val="clear" w:color="000000" w:fill="D9D9D9"/>
            <w:vAlign w:val="center"/>
          </w:tcPr>
          <w:p w14:paraId="2347FB69" w14:textId="77777777" w:rsidR="00EF57AE" w:rsidRDefault="00EF57AE" w:rsidP="00A35C6F">
            <w:pPr>
              <w:jc w:val="center"/>
              <w:rPr>
                <w:rFonts w:ascii="Arial" w:hAnsi="Arial" w:cs="Arial"/>
                <w:sz w:val="16"/>
                <w:szCs w:val="16"/>
              </w:rPr>
            </w:pPr>
            <w:r>
              <w:rPr>
                <w:rFonts w:ascii="Arial" w:hAnsi="Arial" w:cs="Arial"/>
                <w:sz w:val="16"/>
                <w:szCs w:val="16"/>
              </w:rPr>
              <w:t>Coste tratamiento 8 años</w:t>
            </w:r>
          </w:p>
        </w:tc>
        <w:tc>
          <w:tcPr>
            <w:tcW w:w="3646" w:type="dxa"/>
            <w:tcBorders>
              <w:top w:val="single" w:sz="4" w:space="0" w:color="auto"/>
              <w:left w:val="nil"/>
              <w:bottom w:val="single" w:sz="4" w:space="0" w:color="auto"/>
              <w:right w:val="single" w:sz="4" w:space="0" w:color="auto"/>
            </w:tcBorders>
            <w:shd w:val="clear" w:color="000000" w:fill="D9D9D9"/>
            <w:vAlign w:val="center"/>
          </w:tcPr>
          <w:p w14:paraId="1B84AFB5" w14:textId="77777777" w:rsidR="00EF57AE" w:rsidRDefault="00EF57AE" w:rsidP="00A35C6F">
            <w:pPr>
              <w:jc w:val="center"/>
              <w:rPr>
                <w:rFonts w:ascii="Arial" w:hAnsi="Arial" w:cs="Arial"/>
                <w:sz w:val="16"/>
                <w:szCs w:val="16"/>
              </w:rPr>
            </w:pPr>
            <w:r>
              <w:rPr>
                <w:rFonts w:ascii="Arial" w:hAnsi="Arial" w:cs="Arial"/>
                <w:sz w:val="16"/>
                <w:szCs w:val="16"/>
              </w:rPr>
              <w:t>1.785.000 €</w:t>
            </w:r>
          </w:p>
        </w:tc>
        <w:tc>
          <w:tcPr>
            <w:tcW w:w="3578" w:type="dxa"/>
            <w:tcBorders>
              <w:top w:val="single" w:sz="4" w:space="0" w:color="auto"/>
              <w:left w:val="nil"/>
              <w:bottom w:val="single" w:sz="4" w:space="0" w:color="auto"/>
              <w:right w:val="single" w:sz="4" w:space="0" w:color="auto"/>
            </w:tcBorders>
            <w:shd w:val="clear" w:color="000000" w:fill="D9D9D9"/>
            <w:vAlign w:val="center"/>
          </w:tcPr>
          <w:p w14:paraId="4C556DF2" w14:textId="3F571FBB" w:rsidR="00EF57AE" w:rsidRDefault="00EF57AE" w:rsidP="00A35C6F">
            <w:pPr>
              <w:jc w:val="center"/>
              <w:rPr>
                <w:rFonts w:ascii="Arial" w:hAnsi="Arial" w:cs="Arial"/>
                <w:sz w:val="16"/>
                <w:szCs w:val="16"/>
              </w:rPr>
            </w:pPr>
            <w:r>
              <w:rPr>
                <w:rFonts w:ascii="Arial" w:hAnsi="Arial" w:cs="Arial"/>
                <w:bCs/>
                <w:sz w:val="16"/>
                <w:szCs w:val="16"/>
              </w:rPr>
              <w:t>1.671.300</w:t>
            </w:r>
            <w:r w:rsidRPr="0067181B">
              <w:rPr>
                <w:rFonts w:ascii="Arial" w:hAnsi="Arial" w:cs="Arial"/>
                <w:sz w:val="16"/>
                <w:szCs w:val="16"/>
              </w:rPr>
              <w:t xml:space="preserve"> €</w:t>
            </w:r>
          </w:p>
        </w:tc>
      </w:tr>
      <w:tr w:rsidR="00EF57AE" w14:paraId="57BDD8FD" w14:textId="77777777" w:rsidTr="00A35C6F">
        <w:trPr>
          <w:trHeight w:val="538"/>
        </w:trPr>
        <w:tc>
          <w:tcPr>
            <w:tcW w:w="2156" w:type="dxa"/>
            <w:tcBorders>
              <w:top w:val="single" w:sz="4" w:space="0" w:color="auto"/>
              <w:left w:val="single" w:sz="4" w:space="0" w:color="auto"/>
              <w:bottom w:val="single" w:sz="4" w:space="0" w:color="auto"/>
              <w:right w:val="single" w:sz="4" w:space="0" w:color="auto"/>
            </w:tcBorders>
            <w:shd w:val="clear" w:color="000000" w:fill="D9D9D9"/>
            <w:vAlign w:val="center"/>
          </w:tcPr>
          <w:p w14:paraId="1CB4FAF0" w14:textId="77777777" w:rsidR="00EF57AE" w:rsidRDefault="00EF57AE" w:rsidP="00A35C6F">
            <w:pPr>
              <w:jc w:val="center"/>
              <w:rPr>
                <w:rFonts w:ascii="Arial" w:hAnsi="Arial" w:cs="Arial"/>
                <w:sz w:val="16"/>
                <w:szCs w:val="16"/>
              </w:rPr>
            </w:pPr>
            <w:r>
              <w:rPr>
                <w:rFonts w:ascii="Arial" w:hAnsi="Arial" w:cs="Arial"/>
                <w:sz w:val="16"/>
                <w:szCs w:val="16"/>
              </w:rPr>
              <w:t>Coste incremental (diferencial) respecto a la terapia de referencia***</w:t>
            </w:r>
          </w:p>
        </w:tc>
        <w:tc>
          <w:tcPr>
            <w:tcW w:w="3646" w:type="dxa"/>
            <w:tcBorders>
              <w:top w:val="single" w:sz="4" w:space="0" w:color="auto"/>
              <w:left w:val="nil"/>
              <w:bottom w:val="single" w:sz="4" w:space="0" w:color="auto"/>
              <w:right w:val="single" w:sz="4" w:space="0" w:color="auto"/>
            </w:tcBorders>
            <w:shd w:val="clear" w:color="000000" w:fill="D9D9D9"/>
            <w:vAlign w:val="center"/>
          </w:tcPr>
          <w:p w14:paraId="660B97A3" w14:textId="36FDA7E6" w:rsidR="00EF57AE" w:rsidRDefault="00EF57AE" w:rsidP="00A35C6F">
            <w:pPr>
              <w:jc w:val="center"/>
              <w:rPr>
                <w:rFonts w:ascii="Arial" w:hAnsi="Arial" w:cs="Arial"/>
                <w:sz w:val="16"/>
                <w:szCs w:val="16"/>
              </w:rPr>
            </w:pPr>
            <w:r>
              <w:rPr>
                <w:rFonts w:ascii="Arial" w:hAnsi="Arial" w:cs="Arial"/>
                <w:b/>
                <w:bCs/>
                <w:color w:val="000000" w:themeColor="text1"/>
                <w:sz w:val="16"/>
                <w:szCs w:val="16"/>
              </w:rPr>
              <w:t>+113.700</w:t>
            </w:r>
            <w:r w:rsidRPr="00B07291">
              <w:rPr>
                <w:rFonts w:ascii="Arial" w:hAnsi="Arial" w:cs="Arial"/>
                <w:b/>
                <w:bCs/>
                <w:color w:val="000000" w:themeColor="text1"/>
                <w:sz w:val="16"/>
                <w:szCs w:val="16"/>
              </w:rPr>
              <w:t xml:space="preserve"> €</w:t>
            </w:r>
          </w:p>
        </w:tc>
        <w:tc>
          <w:tcPr>
            <w:tcW w:w="3578" w:type="dxa"/>
            <w:tcBorders>
              <w:top w:val="single" w:sz="4" w:space="0" w:color="auto"/>
              <w:left w:val="nil"/>
              <w:bottom w:val="single" w:sz="4" w:space="0" w:color="auto"/>
              <w:right w:val="single" w:sz="4" w:space="0" w:color="auto"/>
            </w:tcBorders>
            <w:shd w:val="clear" w:color="000000" w:fill="D9D9D9"/>
            <w:vAlign w:val="center"/>
          </w:tcPr>
          <w:p w14:paraId="65C528DF" w14:textId="77777777" w:rsidR="00EF57AE" w:rsidRDefault="00EF57AE" w:rsidP="00A35C6F">
            <w:pPr>
              <w:jc w:val="center"/>
              <w:rPr>
                <w:rFonts w:ascii="Arial" w:hAnsi="Arial" w:cs="Arial"/>
                <w:sz w:val="16"/>
                <w:szCs w:val="16"/>
              </w:rPr>
            </w:pPr>
            <w:r>
              <w:rPr>
                <w:rFonts w:ascii="Arial" w:hAnsi="Arial" w:cs="Arial"/>
                <w:sz w:val="16"/>
                <w:szCs w:val="16"/>
              </w:rPr>
              <w:t>-------</w:t>
            </w:r>
          </w:p>
        </w:tc>
      </w:tr>
      <w:tr w:rsidR="00EF57AE" w14:paraId="3B4C5853" w14:textId="77777777" w:rsidTr="00A35C6F">
        <w:trPr>
          <w:trHeight w:val="420"/>
        </w:trPr>
        <w:tc>
          <w:tcPr>
            <w:tcW w:w="9380" w:type="dxa"/>
            <w:gridSpan w:val="3"/>
            <w:tcBorders>
              <w:top w:val="single" w:sz="4" w:space="0" w:color="auto"/>
              <w:left w:val="single" w:sz="4" w:space="0" w:color="auto"/>
              <w:bottom w:val="nil"/>
              <w:right w:val="single" w:sz="4" w:space="0" w:color="auto"/>
            </w:tcBorders>
            <w:shd w:val="clear" w:color="000000" w:fill="D9D9D9"/>
            <w:vAlign w:val="center"/>
          </w:tcPr>
          <w:p w14:paraId="293A43EB" w14:textId="77940555" w:rsidR="00EF57AE" w:rsidRDefault="00EF57AE" w:rsidP="00EF57AE">
            <w:pPr>
              <w:jc w:val="both"/>
              <w:rPr>
                <w:rFonts w:ascii="Arial" w:hAnsi="Arial" w:cs="Arial"/>
                <w:sz w:val="16"/>
                <w:szCs w:val="16"/>
              </w:rPr>
            </w:pPr>
            <w:r>
              <w:rPr>
                <w:rFonts w:ascii="Arial" w:hAnsi="Arial" w:cs="Arial"/>
                <w:sz w:val="16"/>
                <w:szCs w:val="16"/>
              </w:rPr>
              <w:t>*Precios de Zolgensma</w:t>
            </w:r>
            <w:r w:rsidRPr="005A0E49">
              <w:rPr>
                <w:rFonts w:ascii="Arial" w:hAnsi="Arial" w:cs="Arial"/>
                <w:sz w:val="16"/>
                <w:szCs w:val="16"/>
                <w:vertAlign w:val="superscript"/>
              </w:rPr>
              <w:t>®</w:t>
            </w:r>
            <w:r>
              <w:rPr>
                <w:rFonts w:ascii="Arial" w:hAnsi="Arial" w:cs="Arial"/>
                <w:sz w:val="16"/>
                <w:szCs w:val="16"/>
              </w:rPr>
              <w:t xml:space="preserve"> en E.E.U.U ($2.100.000. Conversión de $ a € (08/09/2020): 1$ = 0,85 €) y precio de Spinraza</w:t>
            </w:r>
            <w:r w:rsidRPr="005A0E49">
              <w:rPr>
                <w:rFonts w:ascii="Arial" w:hAnsi="Arial" w:cs="Arial"/>
                <w:sz w:val="16"/>
                <w:szCs w:val="16"/>
                <w:vertAlign w:val="superscript"/>
              </w:rPr>
              <w:t>®</w:t>
            </w:r>
            <w:r>
              <w:rPr>
                <w:rFonts w:ascii="Arial" w:hAnsi="Arial" w:cs="Arial"/>
                <w:sz w:val="16"/>
                <w:szCs w:val="16"/>
                <w:vertAlign w:val="superscript"/>
              </w:rPr>
              <w:t xml:space="preserve"> </w:t>
            </w:r>
            <w:r>
              <w:rPr>
                <w:rFonts w:ascii="Arial" w:hAnsi="Arial" w:cs="Arial"/>
                <w:sz w:val="16"/>
                <w:szCs w:val="16"/>
              </w:rPr>
              <w:t>con descuento de aproximadamente el 15%. Zolgensma</w:t>
            </w:r>
            <w:r w:rsidRPr="005A0E49">
              <w:rPr>
                <w:rFonts w:ascii="Arial" w:hAnsi="Arial" w:cs="Arial"/>
                <w:sz w:val="16"/>
                <w:szCs w:val="16"/>
                <w:vertAlign w:val="superscript"/>
              </w:rPr>
              <w:t>®</w:t>
            </w:r>
            <w:r>
              <w:rPr>
                <w:rFonts w:ascii="Arial" w:hAnsi="Arial" w:cs="Arial"/>
                <w:sz w:val="16"/>
                <w:szCs w:val="16"/>
              </w:rPr>
              <w:t xml:space="preserve"> no tiene precio en España ni en la aplicación de gestión de medicamentos en situaciones especiales de Ministerio de Sanidad a fecha 08/09/2020 </w:t>
            </w:r>
          </w:p>
        </w:tc>
      </w:tr>
      <w:tr w:rsidR="00EF57AE" w14:paraId="49BC8C74" w14:textId="77777777" w:rsidTr="00A35C6F">
        <w:trPr>
          <w:trHeight w:val="255"/>
        </w:trPr>
        <w:tc>
          <w:tcPr>
            <w:tcW w:w="9380" w:type="dxa"/>
            <w:gridSpan w:val="3"/>
            <w:tcBorders>
              <w:top w:val="nil"/>
              <w:left w:val="single" w:sz="4" w:space="0" w:color="auto"/>
              <w:bottom w:val="nil"/>
              <w:right w:val="single" w:sz="4" w:space="0" w:color="auto"/>
            </w:tcBorders>
            <w:shd w:val="clear" w:color="000000" w:fill="D9D9D9"/>
            <w:vAlign w:val="center"/>
          </w:tcPr>
          <w:p w14:paraId="7AE54CB4" w14:textId="77777777" w:rsidR="00EF57AE" w:rsidRDefault="00EF57AE" w:rsidP="00A35C6F">
            <w:pPr>
              <w:jc w:val="both"/>
              <w:rPr>
                <w:rFonts w:ascii="Arial" w:hAnsi="Arial" w:cs="Arial"/>
                <w:sz w:val="16"/>
                <w:szCs w:val="16"/>
              </w:rPr>
            </w:pPr>
            <w:r>
              <w:rPr>
                <w:rFonts w:ascii="Arial" w:hAnsi="Arial" w:cs="Arial"/>
                <w:sz w:val="16"/>
                <w:szCs w:val="16"/>
              </w:rPr>
              <w:t>**Se considera coste por paciente independiente del peso (se considera que el laboratorio proporciona el número de viales necesarios en función del peso en el caso de Zolgensma</w:t>
            </w:r>
            <w:r w:rsidRPr="00FF39A5">
              <w:rPr>
                <w:rFonts w:ascii="Arial" w:hAnsi="Arial" w:cs="Arial"/>
                <w:sz w:val="16"/>
                <w:szCs w:val="16"/>
                <w:vertAlign w:val="superscript"/>
              </w:rPr>
              <w:t>®</w:t>
            </w:r>
            <w:r>
              <w:rPr>
                <w:rFonts w:ascii="Arial" w:hAnsi="Arial" w:cs="Arial"/>
                <w:sz w:val="16"/>
                <w:szCs w:val="16"/>
              </w:rPr>
              <w:t>)</w:t>
            </w:r>
          </w:p>
        </w:tc>
      </w:tr>
      <w:tr w:rsidR="00EF57AE" w14:paraId="7C33A26D" w14:textId="77777777" w:rsidTr="00A35C6F">
        <w:trPr>
          <w:trHeight w:val="291"/>
        </w:trPr>
        <w:tc>
          <w:tcPr>
            <w:tcW w:w="9380" w:type="dxa"/>
            <w:gridSpan w:val="3"/>
            <w:tcBorders>
              <w:top w:val="nil"/>
              <w:left w:val="single" w:sz="4" w:space="0" w:color="auto"/>
              <w:bottom w:val="single" w:sz="4" w:space="0" w:color="auto"/>
              <w:right w:val="single" w:sz="4" w:space="0" w:color="auto"/>
            </w:tcBorders>
            <w:shd w:val="clear" w:color="000000" w:fill="D9D9D9"/>
            <w:vAlign w:val="center"/>
          </w:tcPr>
          <w:p w14:paraId="616509BE" w14:textId="77777777" w:rsidR="00EF57AE" w:rsidRDefault="00EF57AE" w:rsidP="00A35C6F">
            <w:pPr>
              <w:rPr>
                <w:rFonts w:ascii="Arial" w:hAnsi="Arial" w:cs="Arial"/>
                <w:sz w:val="16"/>
                <w:szCs w:val="16"/>
              </w:rPr>
            </w:pPr>
            <w:r>
              <w:rPr>
                <w:rFonts w:ascii="Arial" w:hAnsi="Arial" w:cs="Arial"/>
                <w:sz w:val="16"/>
                <w:szCs w:val="16"/>
              </w:rPr>
              <w:t>***Horizonte temporal de 8 años (expectativa de vida para pacientes tratados con nusinersen según estudio ICER en AME tipo 1)</w:t>
            </w:r>
          </w:p>
        </w:tc>
      </w:tr>
    </w:tbl>
    <w:p w14:paraId="30F0B457" w14:textId="77777777" w:rsidR="00E556A2" w:rsidRDefault="00E556A2" w:rsidP="00F443CA">
      <w:pPr>
        <w:jc w:val="both"/>
        <w:rPr>
          <w:rFonts w:ascii="Arial" w:hAnsi="Arial" w:cs="Arial"/>
          <w:sz w:val="20"/>
          <w:szCs w:val="20"/>
        </w:rPr>
      </w:pPr>
    </w:p>
    <w:p w14:paraId="049D986D" w14:textId="77777777" w:rsidR="00EF57AE" w:rsidRDefault="00EF57AE" w:rsidP="00F443CA">
      <w:pPr>
        <w:jc w:val="both"/>
        <w:rPr>
          <w:rFonts w:ascii="Arial" w:hAnsi="Arial" w:cs="Arial"/>
          <w:sz w:val="20"/>
          <w:szCs w:val="20"/>
        </w:rPr>
      </w:pPr>
    </w:p>
    <w:p w14:paraId="6BE76836" w14:textId="13D01635" w:rsidR="00F443CA" w:rsidRDefault="00F443CA" w:rsidP="00F443CA">
      <w:pPr>
        <w:jc w:val="both"/>
        <w:rPr>
          <w:rFonts w:ascii="Arial" w:hAnsi="Arial" w:cs="Arial"/>
          <w:sz w:val="20"/>
          <w:szCs w:val="20"/>
        </w:rPr>
      </w:pPr>
      <w:r>
        <w:rPr>
          <w:rFonts w:ascii="Arial" w:hAnsi="Arial" w:cs="Arial"/>
          <w:sz w:val="20"/>
          <w:szCs w:val="20"/>
        </w:rPr>
        <w:t>Actualmente nusinersen tiene un acuerdo de techo de gasto con el SNS, por lo que su coste real es algo inferior, y varía cada año en función del consumo. Por lo tanto, es difícil calcular el coste incremental real, ya que variará en función del coste y duración del tratamiento del comparador nusinersen.</w:t>
      </w:r>
    </w:p>
    <w:p w14:paraId="53889091" w14:textId="77777777" w:rsidR="00F443CA" w:rsidRPr="00F443CA" w:rsidRDefault="00F443CA" w:rsidP="00F443CA">
      <w:pPr>
        <w:jc w:val="both"/>
        <w:rPr>
          <w:rFonts w:ascii="Arial" w:hAnsi="Arial" w:cs="Arial"/>
          <w:sz w:val="20"/>
          <w:szCs w:val="20"/>
        </w:rPr>
      </w:pPr>
    </w:p>
    <w:p w14:paraId="6DFBE056" w14:textId="0E43A0B6" w:rsidR="00D17AB4" w:rsidRDefault="00D921B2" w:rsidP="00D921B2">
      <w:pPr>
        <w:jc w:val="both"/>
        <w:rPr>
          <w:rFonts w:ascii="Arial" w:hAnsi="Arial" w:cs="Arial"/>
          <w:sz w:val="20"/>
          <w:szCs w:val="20"/>
        </w:rPr>
      </w:pPr>
      <w:r>
        <w:rPr>
          <w:rFonts w:ascii="Arial" w:hAnsi="Arial" w:cs="Arial"/>
          <w:sz w:val="20"/>
          <w:szCs w:val="20"/>
        </w:rPr>
        <w:t xml:space="preserve">Si analizamos el coste incremental respecto a nusinersen en </w:t>
      </w:r>
      <w:r w:rsidRPr="00D921B2">
        <w:rPr>
          <w:rFonts w:ascii="Arial" w:hAnsi="Arial" w:cs="Arial"/>
          <w:b/>
          <w:sz w:val="20"/>
          <w:szCs w:val="20"/>
        </w:rPr>
        <w:t>pacientes presintomáticos</w:t>
      </w:r>
      <w:r>
        <w:rPr>
          <w:rFonts w:ascii="Arial" w:hAnsi="Arial" w:cs="Arial"/>
          <w:sz w:val="20"/>
          <w:szCs w:val="20"/>
        </w:rPr>
        <w:t>, habría que emplear un</w:t>
      </w:r>
      <w:r w:rsidRPr="00D921B2">
        <w:rPr>
          <w:rFonts w:ascii="Arial" w:hAnsi="Arial" w:cs="Arial"/>
          <w:sz w:val="20"/>
          <w:szCs w:val="20"/>
        </w:rPr>
        <w:t xml:space="preserve"> horizonte </w:t>
      </w:r>
      <w:r>
        <w:rPr>
          <w:rFonts w:ascii="Arial" w:hAnsi="Arial" w:cs="Arial"/>
          <w:sz w:val="20"/>
          <w:szCs w:val="20"/>
        </w:rPr>
        <w:t>temporal mayor. En el informe ICER se barajan cifras de 26,58 años de supervivencia para estos pacientes tratados con nusinersen. Utilizando un horizonte temporal de 26 años, suponiendo que ningún paciente recibiera ambos fármacos, el coste incremental sería de - 5.718.300 €, es decir, se emplearían 5,7 millones de € menos por paciente en este periodo de tiempo.</w:t>
      </w:r>
      <w:r w:rsidR="00B07291">
        <w:rPr>
          <w:rFonts w:ascii="Arial" w:hAnsi="Arial" w:cs="Arial"/>
          <w:sz w:val="20"/>
          <w:szCs w:val="20"/>
        </w:rPr>
        <w:t xml:space="preserve"> Si </w:t>
      </w:r>
      <w:r w:rsidR="00EF57AE">
        <w:rPr>
          <w:rFonts w:ascii="Arial" w:hAnsi="Arial" w:cs="Arial"/>
          <w:sz w:val="20"/>
          <w:szCs w:val="20"/>
        </w:rPr>
        <w:t>aplicáramos</w:t>
      </w:r>
      <w:r w:rsidR="00B07291">
        <w:rPr>
          <w:rFonts w:ascii="Arial" w:hAnsi="Arial" w:cs="Arial"/>
          <w:sz w:val="20"/>
          <w:szCs w:val="20"/>
        </w:rPr>
        <w:t xml:space="preserve"> el de</w:t>
      </w:r>
      <w:r w:rsidR="00EF57AE">
        <w:rPr>
          <w:rFonts w:ascii="Arial" w:hAnsi="Arial" w:cs="Arial"/>
          <w:sz w:val="20"/>
          <w:szCs w:val="20"/>
        </w:rPr>
        <w:t>s</w:t>
      </w:r>
      <w:r w:rsidR="00B07291">
        <w:rPr>
          <w:rFonts w:ascii="Arial" w:hAnsi="Arial" w:cs="Arial"/>
          <w:sz w:val="20"/>
          <w:szCs w:val="20"/>
        </w:rPr>
        <w:t>cuento del 15% al coste de nusinersen el ahorro calculado sería algo menos (5.013.900 €).</w:t>
      </w:r>
    </w:p>
    <w:p w14:paraId="36FFB9E5" w14:textId="77777777" w:rsidR="00D921B2" w:rsidRDefault="00D921B2" w:rsidP="00D921B2">
      <w:pPr>
        <w:jc w:val="both"/>
        <w:rPr>
          <w:rFonts w:ascii="Arial" w:hAnsi="Arial" w:cs="Arial"/>
          <w:sz w:val="20"/>
          <w:szCs w:val="20"/>
        </w:rPr>
      </w:pPr>
    </w:p>
    <w:p w14:paraId="0F037C25" w14:textId="77777777" w:rsidR="00D921B2" w:rsidRPr="00D921B2" w:rsidRDefault="00D921B2" w:rsidP="00036A6B">
      <w:pPr>
        <w:rPr>
          <w:rFonts w:ascii="Arial" w:hAnsi="Arial" w:cs="Arial"/>
          <w:sz w:val="20"/>
          <w:szCs w:val="20"/>
        </w:rPr>
      </w:pPr>
    </w:p>
    <w:p w14:paraId="12B2136F" w14:textId="77777777" w:rsidR="00036A6B" w:rsidRDefault="00036A6B" w:rsidP="00036A6B">
      <w:pPr>
        <w:pStyle w:val="Ttulo2"/>
        <w:pBdr>
          <w:top w:val="single" w:sz="4" w:space="1" w:color="auto"/>
          <w:left w:val="single" w:sz="4" w:space="4" w:color="auto"/>
          <w:bottom w:val="single" w:sz="4" w:space="1" w:color="auto"/>
          <w:right w:val="single" w:sz="4" w:space="0" w:color="auto"/>
        </w:pBdr>
        <w:shd w:val="clear" w:color="auto" w:fill="D9D9D9"/>
        <w:rPr>
          <w:rFonts w:ascii="Arial" w:hAnsi="Arial" w:cs="Arial"/>
          <w:sz w:val="20"/>
          <w:szCs w:val="20"/>
        </w:rPr>
      </w:pPr>
      <w:bookmarkStart w:id="97" w:name="_Toc348931454"/>
      <w:r w:rsidRPr="00CF3CA8">
        <w:rPr>
          <w:rFonts w:ascii="Arial" w:hAnsi="Arial" w:cs="Arial"/>
          <w:sz w:val="20"/>
          <w:szCs w:val="20"/>
        </w:rPr>
        <w:t xml:space="preserve">7.2 </w:t>
      </w:r>
      <w:bookmarkEnd w:id="97"/>
      <w:r w:rsidRPr="00CF3CA8">
        <w:rPr>
          <w:rFonts w:ascii="Arial" w:hAnsi="Arial" w:cs="Arial"/>
          <w:sz w:val="20"/>
          <w:szCs w:val="20"/>
        </w:rPr>
        <w:t xml:space="preserve">Evaluaciones económicas publicadas  </w:t>
      </w:r>
    </w:p>
    <w:p w14:paraId="6A51BE05" w14:textId="77777777" w:rsidR="00036A6B" w:rsidRPr="00036A6B" w:rsidRDefault="00036A6B" w:rsidP="00036A6B"/>
    <w:p w14:paraId="01BFFE3C" w14:textId="3F8AA37D" w:rsidR="00FA0C0C" w:rsidRDefault="00FA0C0C" w:rsidP="001F6887">
      <w:pPr>
        <w:pBdr>
          <w:top w:val="single" w:sz="4" w:space="1" w:color="auto"/>
          <w:left w:val="single" w:sz="4" w:space="4" w:color="auto"/>
          <w:bottom w:val="single" w:sz="4" w:space="1" w:color="auto"/>
          <w:right w:val="single" w:sz="4" w:space="4" w:color="auto"/>
          <w:between w:val="single" w:sz="4" w:space="1" w:color="auto"/>
        </w:pBdr>
        <w:shd w:val="clear" w:color="auto" w:fill="D9D9D9"/>
        <w:rPr>
          <w:rFonts w:ascii="Arial" w:hAnsi="Arial" w:cs="Arial"/>
          <w:sz w:val="20"/>
          <w:szCs w:val="20"/>
        </w:rPr>
      </w:pPr>
      <w:r>
        <w:rPr>
          <w:rFonts w:ascii="Arial" w:hAnsi="Arial" w:cs="Arial"/>
          <w:b/>
          <w:bCs/>
          <w:sz w:val="20"/>
          <w:szCs w:val="20"/>
        </w:rPr>
        <w:t>7.2.a Búsqueda de evaluaciones económicas publicadas</w:t>
      </w:r>
    </w:p>
    <w:p w14:paraId="12B9F5FE" w14:textId="77777777" w:rsidR="00D13C45" w:rsidRDefault="00D13C45" w:rsidP="001F6887">
      <w:pPr>
        <w:autoSpaceDE w:val="0"/>
        <w:autoSpaceDN w:val="0"/>
        <w:adjustRightInd w:val="0"/>
        <w:jc w:val="both"/>
        <w:rPr>
          <w:rFonts w:ascii="Arial" w:hAnsi="Arial" w:cs="Arial"/>
          <w:sz w:val="20"/>
          <w:szCs w:val="20"/>
        </w:rPr>
      </w:pPr>
    </w:p>
    <w:p w14:paraId="3D890309" w14:textId="2EDCE8DE" w:rsidR="00FA0C0C" w:rsidRDefault="00FA0C0C" w:rsidP="001F6887">
      <w:pPr>
        <w:autoSpaceDE w:val="0"/>
        <w:autoSpaceDN w:val="0"/>
        <w:adjustRightInd w:val="0"/>
        <w:jc w:val="both"/>
        <w:rPr>
          <w:rFonts w:ascii="Arial" w:hAnsi="Arial" w:cs="Arial"/>
          <w:sz w:val="20"/>
          <w:szCs w:val="20"/>
          <w:lang w:val="en-US"/>
        </w:rPr>
      </w:pPr>
      <w:r>
        <w:rPr>
          <w:rFonts w:ascii="Arial" w:hAnsi="Arial" w:cs="Arial"/>
          <w:sz w:val="20"/>
          <w:szCs w:val="20"/>
        </w:rPr>
        <w:t xml:space="preserve">Con fecha </w:t>
      </w:r>
      <w:r w:rsidR="00161C5D">
        <w:rPr>
          <w:rFonts w:ascii="Arial" w:hAnsi="Arial" w:cs="Arial"/>
          <w:sz w:val="20"/>
          <w:szCs w:val="20"/>
        </w:rPr>
        <w:t>09/09/2020</w:t>
      </w:r>
      <w:r>
        <w:rPr>
          <w:rFonts w:ascii="Arial" w:hAnsi="Arial" w:cs="Arial"/>
          <w:sz w:val="20"/>
          <w:szCs w:val="20"/>
        </w:rPr>
        <w:t xml:space="preserve"> se realizó una búsqueda bibliográfica en MEDLINE</w:t>
      </w:r>
      <w:r w:rsidR="00161C5D">
        <w:rPr>
          <w:rFonts w:ascii="Arial" w:hAnsi="Arial" w:cs="Arial"/>
          <w:sz w:val="20"/>
          <w:szCs w:val="20"/>
        </w:rPr>
        <w:t xml:space="preserve"> </w:t>
      </w:r>
      <w:r>
        <w:rPr>
          <w:rFonts w:ascii="Arial" w:hAnsi="Arial" w:cs="Arial"/>
          <w:sz w:val="20"/>
          <w:szCs w:val="20"/>
        </w:rPr>
        <w:t xml:space="preserve">y el </w:t>
      </w:r>
      <w:r>
        <w:rPr>
          <w:rFonts w:ascii="Arial" w:hAnsi="Arial" w:cs="Arial"/>
          <w:i/>
          <w:iCs/>
          <w:sz w:val="20"/>
          <w:szCs w:val="20"/>
        </w:rPr>
        <w:t>Cost-Effectiveness Analysis Registry</w:t>
      </w:r>
      <w:r>
        <w:rPr>
          <w:rFonts w:ascii="Arial" w:hAnsi="Arial" w:cs="Arial"/>
          <w:sz w:val="20"/>
          <w:szCs w:val="20"/>
        </w:rPr>
        <w:t xml:space="preserve">, utilizando la siguiente estrategia de búsqueda. </w:t>
      </w:r>
      <w:r>
        <w:rPr>
          <w:rFonts w:ascii="Arial" w:hAnsi="Arial" w:cs="Arial"/>
          <w:sz w:val="20"/>
          <w:szCs w:val="20"/>
          <w:lang w:val="en-US"/>
        </w:rPr>
        <w:t xml:space="preserve">Se aplicaron los siguientes filtros para localizar evaluaciones económicas: </w:t>
      </w:r>
      <w:r>
        <w:rPr>
          <w:rFonts w:ascii="Arial" w:hAnsi="Arial" w:cs="Arial"/>
          <w:i/>
          <w:iCs/>
          <w:sz w:val="20"/>
          <w:szCs w:val="20"/>
          <w:lang w:val="en-US"/>
        </w:rPr>
        <w:t>"</w:t>
      </w:r>
      <w:r w:rsidR="00482C21">
        <w:rPr>
          <w:rFonts w:ascii="Arial" w:hAnsi="Arial" w:cs="Arial"/>
          <w:i/>
          <w:iCs/>
          <w:sz w:val="20"/>
          <w:szCs w:val="20"/>
          <w:lang w:val="en-US"/>
        </w:rPr>
        <w:t>onasemnogene</w:t>
      </w:r>
      <w:r w:rsidR="00161C5D">
        <w:rPr>
          <w:rFonts w:ascii="Arial" w:hAnsi="Arial" w:cs="Arial"/>
          <w:i/>
          <w:iCs/>
          <w:sz w:val="20"/>
          <w:szCs w:val="20"/>
          <w:lang w:val="en-US"/>
        </w:rPr>
        <w:t xml:space="preserve"> abeparvovec</w:t>
      </w:r>
      <w:r>
        <w:rPr>
          <w:rFonts w:ascii="Arial" w:hAnsi="Arial" w:cs="Arial"/>
          <w:i/>
          <w:iCs/>
          <w:sz w:val="20"/>
          <w:szCs w:val="20"/>
          <w:lang w:val="en-US"/>
        </w:rPr>
        <w:t>" AND ("economic evaluation"[All Fields] OR "economic analysis"[All Fields] OR "cost effectiveness"[All Fields] OR "cost utility"[All Fields])</w:t>
      </w:r>
      <w:r w:rsidR="00D13C45">
        <w:rPr>
          <w:rFonts w:ascii="Arial" w:hAnsi="Arial" w:cs="Arial"/>
          <w:i/>
          <w:iCs/>
          <w:sz w:val="20"/>
          <w:szCs w:val="20"/>
          <w:lang w:val="en-US"/>
        </w:rPr>
        <w:t>.</w:t>
      </w:r>
    </w:p>
    <w:p w14:paraId="0D2D43C9" w14:textId="77777777" w:rsidR="00D13C45" w:rsidRPr="00AB00EA" w:rsidRDefault="00D13C45" w:rsidP="001F6887">
      <w:pPr>
        <w:autoSpaceDE w:val="0"/>
        <w:autoSpaceDN w:val="0"/>
        <w:adjustRightInd w:val="0"/>
        <w:jc w:val="both"/>
        <w:rPr>
          <w:rFonts w:ascii="Arial" w:hAnsi="Arial" w:cs="Arial"/>
          <w:sz w:val="20"/>
          <w:szCs w:val="20"/>
          <w:lang w:val="en-GB"/>
        </w:rPr>
      </w:pPr>
    </w:p>
    <w:p w14:paraId="5BCC582C" w14:textId="4C70ADB4" w:rsidR="00F443CA" w:rsidRDefault="00FA0C0C" w:rsidP="001F6887">
      <w:pPr>
        <w:autoSpaceDE w:val="0"/>
        <w:autoSpaceDN w:val="0"/>
        <w:adjustRightInd w:val="0"/>
        <w:jc w:val="both"/>
        <w:rPr>
          <w:rFonts w:ascii="Arial" w:hAnsi="Arial" w:cs="Arial"/>
          <w:sz w:val="20"/>
          <w:szCs w:val="20"/>
        </w:rPr>
      </w:pPr>
      <w:r>
        <w:rPr>
          <w:rFonts w:ascii="Arial" w:hAnsi="Arial" w:cs="Arial"/>
          <w:sz w:val="20"/>
          <w:szCs w:val="20"/>
        </w:rPr>
        <w:t>Se localiz</w:t>
      </w:r>
      <w:r w:rsidR="00161C5D">
        <w:rPr>
          <w:rFonts w:ascii="Arial" w:hAnsi="Arial" w:cs="Arial"/>
          <w:sz w:val="20"/>
          <w:szCs w:val="20"/>
        </w:rPr>
        <w:t xml:space="preserve">ó </w:t>
      </w:r>
      <w:r w:rsidR="00B0483A">
        <w:rPr>
          <w:rFonts w:ascii="Arial" w:hAnsi="Arial" w:cs="Arial"/>
          <w:sz w:val="20"/>
          <w:szCs w:val="20"/>
        </w:rPr>
        <w:t>un</w:t>
      </w:r>
      <w:r>
        <w:rPr>
          <w:rFonts w:ascii="Arial" w:hAnsi="Arial" w:cs="Arial"/>
          <w:sz w:val="20"/>
          <w:szCs w:val="20"/>
        </w:rPr>
        <w:t xml:space="preserve"> estudio farmacoeconómico de coste-efectividad publicado</w:t>
      </w:r>
      <w:r w:rsidR="00161C5D">
        <w:rPr>
          <w:rFonts w:ascii="Arial" w:hAnsi="Arial" w:cs="Arial"/>
          <w:sz w:val="20"/>
          <w:szCs w:val="20"/>
        </w:rPr>
        <w:t xml:space="preserve"> en el que se realiza una comparación entre </w:t>
      </w:r>
      <w:r w:rsidR="00482C21">
        <w:rPr>
          <w:rFonts w:ascii="Arial" w:hAnsi="Arial" w:cs="Arial"/>
          <w:sz w:val="20"/>
          <w:szCs w:val="20"/>
        </w:rPr>
        <w:t>onasemnogén</w:t>
      </w:r>
      <w:r w:rsidR="00161C5D" w:rsidRPr="00161C5D">
        <w:rPr>
          <w:rFonts w:ascii="Arial" w:hAnsi="Arial" w:cs="Arial"/>
          <w:sz w:val="20"/>
          <w:szCs w:val="20"/>
        </w:rPr>
        <w:t xml:space="preserve"> abeparvovec</w:t>
      </w:r>
      <w:r w:rsidR="00161C5D">
        <w:rPr>
          <w:rFonts w:ascii="Arial" w:hAnsi="Arial" w:cs="Arial"/>
          <w:sz w:val="20"/>
          <w:szCs w:val="20"/>
        </w:rPr>
        <w:t xml:space="preserve"> y nusinersen</w:t>
      </w:r>
      <w:bookmarkStart w:id="98" w:name="_Ref52799961"/>
      <w:r w:rsidR="00D13C45">
        <w:rPr>
          <w:rStyle w:val="Refdenotaalfinal"/>
          <w:rFonts w:ascii="Arial" w:hAnsi="Arial" w:cs="Arial"/>
          <w:sz w:val="20"/>
          <w:szCs w:val="20"/>
        </w:rPr>
        <w:endnoteReference w:id="28"/>
      </w:r>
      <w:bookmarkEnd w:id="98"/>
      <w:r w:rsidR="00D13C45">
        <w:rPr>
          <w:rFonts w:ascii="Arial" w:hAnsi="Arial" w:cs="Arial"/>
          <w:sz w:val="20"/>
          <w:szCs w:val="20"/>
        </w:rPr>
        <w:t>.</w:t>
      </w:r>
      <w:r w:rsidR="00B0483A">
        <w:rPr>
          <w:rFonts w:ascii="Arial" w:hAnsi="Arial" w:cs="Arial"/>
          <w:sz w:val="20"/>
          <w:szCs w:val="20"/>
        </w:rPr>
        <w:t xml:space="preserve"> </w:t>
      </w:r>
    </w:p>
    <w:p w14:paraId="700C0B8D" w14:textId="77777777" w:rsidR="00F443CA" w:rsidRDefault="00F443CA" w:rsidP="001F6887">
      <w:pPr>
        <w:autoSpaceDE w:val="0"/>
        <w:autoSpaceDN w:val="0"/>
        <w:adjustRightInd w:val="0"/>
        <w:jc w:val="both"/>
        <w:rPr>
          <w:rFonts w:ascii="Arial" w:hAnsi="Arial" w:cs="Arial"/>
          <w:sz w:val="20"/>
          <w:szCs w:val="20"/>
        </w:rPr>
      </w:pPr>
    </w:p>
    <w:p w14:paraId="415668AC" w14:textId="06300EBA" w:rsidR="00FA0C0C" w:rsidRDefault="00FA0C0C" w:rsidP="001F6887">
      <w:pPr>
        <w:autoSpaceDE w:val="0"/>
        <w:autoSpaceDN w:val="0"/>
        <w:adjustRightInd w:val="0"/>
        <w:jc w:val="both"/>
        <w:rPr>
          <w:rFonts w:ascii="Arial" w:hAnsi="Arial" w:cs="Arial"/>
          <w:sz w:val="20"/>
          <w:szCs w:val="20"/>
        </w:rPr>
      </w:pPr>
      <w:r>
        <w:rPr>
          <w:rFonts w:ascii="Arial" w:hAnsi="Arial" w:cs="Arial"/>
          <w:sz w:val="20"/>
          <w:szCs w:val="20"/>
        </w:rPr>
        <w:t xml:space="preserve">Adicionalmente, se incluyen los datos de la evaluación económica del </w:t>
      </w:r>
      <w:r w:rsidR="00161C5D">
        <w:rPr>
          <w:rFonts w:ascii="Arial" w:hAnsi="Arial" w:cs="Arial"/>
          <w:sz w:val="20"/>
          <w:szCs w:val="20"/>
        </w:rPr>
        <w:t>ICER</w:t>
      </w:r>
      <w:r>
        <w:rPr>
          <w:rFonts w:ascii="Arial" w:hAnsi="Arial" w:cs="Arial"/>
          <w:sz w:val="20"/>
          <w:szCs w:val="20"/>
        </w:rPr>
        <w:t>, publicada con fecha del 2</w:t>
      </w:r>
      <w:r w:rsidR="00161C5D">
        <w:rPr>
          <w:rFonts w:ascii="Arial" w:hAnsi="Arial" w:cs="Arial"/>
          <w:sz w:val="20"/>
          <w:szCs w:val="20"/>
        </w:rPr>
        <w:t>4 de mayo de 2019</w:t>
      </w:r>
      <w:r w:rsidR="00D13C45" w:rsidRPr="00D13C45">
        <w:rPr>
          <w:rFonts w:ascii="Arial" w:hAnsi="Arial" w:cs="Arial"/>
          <w:sz w:val="20"/>
          <w:szCs w:val="20"/>
          <w:vertAlign w:val="superscript"/>
        </w:rPr>
        <w:fldChar w:fldCharType="begin"/>
      </w:r>
      <w:r w:rsidR="00D13C45" w:rsidRPr="00D13C45">
        <w:rPr>
          <w:rFonts w:ascii="Arial" w:hAnsi="Arial" w:cs="Arial"/>
          <w:sz w:val="20"/>
          <w:szCs w:val="20"/>
          <w:vertAlign w:val="superscript"/>
        </w:rPr>
        <w:instrText xml:space="preserve"> NOTEREF _Ref52799698 \h </w:instrText>
      </w:r>
      <w:r w:rsidR="00D13C45">
        <w:rPr>
          <w:rFonts w:ascii="Arial" w:hAnsi="Arial" w:cs="Arial"/>
          <w:sz w:val="20"/>
          <w:szCs w:val="20"/>
          <w:vertAlign w:val="superscript"/>
        </w:rPr>
        <w:instrText xml:space="preserve"> \* MERGEFORMAT </w:instrText>
      </w:r>
      <w:r w:rsidR="00D13C45" w:rsidRPr="00D13C45">
        <w:rPr>
          <w:rFonts w:ascii="Arial" w:hAnsi="Arial" w:cs="Arial"/>
          <w:sz w:val="20"/>
          <w:szCs w:val="20"/>
          <w:vertAlign w:val="superscript"/>
        </w:rPr>
      </w:r>
      <w:r w:rsidR="00D13C45" w:rsidRPr="00D13C45">
        <w:rPr>
          <w:rFonts w:ascii="Arial" w:hAnsi="Arial" w:cs="Arial"/>
          <w:sz w:val="20"/>
          <w:szCs w:val="20"/>
          <w:vertAlign w:val="superscript"/>
        </w:rPr>
        <w:fldChar w:fldCharType="separate"/>
      </w:r>
      <w:r w:rsidR="00E277F2">
        <w:rPr>
          <w:rFonts w:ascii="Arial" w:hAnsi="Arial" w:cs="Arial"/>
          <w:sz w:val="20"/>
          <w:szCs w:val="20"/>
          <w:vertAlign w:val="superscript"/>
        </w:rPr>
        <w:t>26</w:t>
      </w:r>
      <w:r w:rsidR="00D13C45" w:rsidRPr="00D13C45">
        <w:rPr>
          <w:rFonts w:ascii="Arial" w:hAnsi="Arial" w:cs="Arial"/>
          <w:sz w:val="20"/>
          <w:szCs w:val="20"/>
          <w:vertAlign w:val="superscript"/>
        </w:rPr>
        <w:fldChar w:fldCharType="end"/>
      </w:r>
      <w:r w:rsidR="00D13C45">
        <w:rPr>
          <w:rFonts w:ascii="Arial" w:hAnsi="Arial" w:cs="Arial"/>
          <w:sz w:val="20"/>
          <w:szCs w:val="20"/>
        </w:rPr>
        <w:t>.</w:t>
      </w:r>
    </w:p>
    <w:p w14:paraId="4CB3FA3D" w14:textId="77777777" w:rsidR="00D13C45" w:rsidRDefault="00D13C45" w:rsidP="001F6887">
      <w:pPr>
        <w:autoSpaceDE w:val="0"/>
        <w:autoSpaceDN w:val="0"/>
        <w:adjustRightInd w:val="0"/>
        <w:jc w:val="both"/>
        <w:rPr>
          <w:rFonts w:ascii="Arial" w:hAnsi="Arial" w:cs="Arial"/>
          <w:sz w:val="20"/>
          <w:szCs w:val="20"/>
        </w:rPr>
      </w:pPr>
    </w:p>
    <w:p w14:paraId="01DCB9FB" w14:textId="77777777" w:rsidR="00AB00EA" w:rsidRPr="00D13C45" w:rsidRDefault="00AB00EA" w:rsidP="001F6887">
      <w:pPr>
        <w:autoSpaceDE w:val="0"/>
        <w:autoSpaceDN w:val="0"/>
        <w:adjustRightInd w:val="0"/>
        <w:jc w:val="both"/>
        <w:rPr>
          <w:rFonts w:ascii="Arial" w:hAnsi="Arial" w:cs="Arial"/>
          <w:sz w:val="20"/>
          <w:szCs w:val="20"/>
        </w:rPr>
      </w:pPr>
    </w:p>
    <w:p w14:paraId="2AFA681A" w14:textId="7286FC51" w:rsidR="00FA0C0C" w:rsidRDefault="00FA0C0C" w:rsidP="001F6887">
      <w:pPr>
        <w:pBdr>
          <w:top w:val="single" w:sz="4" w:space="1" w:color="auto"/>
          <w:left w:val="single" w:sz="4" w:space="4" w:color="auto"/>
          <w:bottom w:val="single" w:sz="4" w:space="0" w:color="auto"/>
          <w:right w:val="single" w:sz="4" w:space="4" w:color="auto"/>
          <w:between w:val="single" w:sz="4" w:space="1" w:color="auto"/>
        </w:pBdr>
        <w:shd w:val="clear" w:color="auto" w:fill="D9D9D9"/>
        <w:rPr>
          <w:rFonts w:ascii="Arial" w:hAnsi="Arial" w:cs="Arial"/>
          <w:sz w:val="20"/>
          <w:szCs w:val="20"/>
        </w:rPr>
      </w:pPr>
      <w:r>
        <w:rPr>
          <w:rFonts w:ascii="Arial" w:hAnsi="Arial" w:cs="Arial"/>
          <w:b/>
          <w:bCs/>
          <w:sz w:val="20"/>
          <w:szCs w:val="20"/>
        </w:rPr>
        <w:t>7.2.b Extracción de datos de las evaluaciones económicas publicadas</w:t>
      </w:r>
    </w:p>
    <w:p w14:paraId="29C2D68D" w14:textId="77777777" w:rsidR="00FA0C0C" w:rsidRDefault="00FA0C0C" w:rsidP="001F6887">
      <w:pPr>
        <w:jc w:val="both"/>
        <w:rPr>
          <w:rFonts w:ascii="Arial" w:hAnsi="Arial" w:cs="Arial"/>
          <w:color w:val="000000"/>
          <w:sz w:val="20"/>
          <w:szCs w:val="20"/>
        </w:rPr>
      </w:pPr>
    </w:p>
    <w:p w14:paraId="64DFA901" w14:textId="0E8799D6" w:rsidR="00A35C6C" w:rsidRPr="00A35C6C" w:rsidRDefault="00A35C6C" w:rsidP="001F6887">
      <w:pPr>
        <w:pBdr>
          <w:bottom w:val="single" w:sz="4" w:space="1" w:color="auto"/>
        </w:pBdr>
        <w:jc w:val="both"/>
        <w:rPr>
          <w:rFonts w:ascii="Arial" w:hAnsi="Arial" w:cs="Arial"/>
          <w:b/>
          <w:color w:val="000000"/>
          <w:sz w:val="20"/>
          <w:szCs w:val="20"/>
        </w:rPr>
      </w:pPr>
      <w:r w:rsidRPr="00A35C6C">
        <w:rPr>
          <w:rFonts w:ascii="Arial" w:hAnsi="Arial" w:cs="Arial"/>
          <w:b/>
          <w:color w:val="000000"/>
          <w:sz w:val="20"/>
          <w:szCs w:val="20"/>
        </w:rPr>
        <w:t>Malone et al.</w:t>
      </w:r>
    </w:p>
    <w:p w14:paraId="631A99B5" w14:textId="77777777" w:rsidR="00A35C6C" w:rsidRDefault="00A35C6C" w:rsidP="001F6887">
      <w:pPr>
        <w:jc w:val="both"/>
        <w:rPr>
          <w:rFonts w:ascii="Arial" w:hAnsi="Arial" w:cs="Arial"/>
          <w:color w:val="000000"/>
          <w:sz w:val="20"/>
          <w:szCs w:val="20"/>
        </w:rPr>
      </w:pPr>
    </w:p>
    <w:tbl>
      <w:tblPr>
        <w:tblW w:w="8799" w:type="dxa"/>
        <w:tblInd w:w="-68" w:type="dxa"/>
        <w:tblLayout w:type="fixed"/>
        <w:tblCellMar>
          <w:left w:w="70" w:type="dxa"/>
          <w:right w:w="70" w:type="dxa"/>
        </w:tblCellMar>
        <w:tblLook w:val="00A0" w:firstRow="1" w:lastRow="0" w:firstColumn="1" w:lastColumn="0" w:noHBand="0" w:noVBand="0"/>
      </w:tblPr>
      <w:tblGrid>
        <w:gridCol w:w="2117"/>
        <w:gridCol w:w="1275"/>
        <w:gridCol w:w="1340"/>
        <w:gridCol w:w="1340"/>
        <w:gridCol w:w="1340"/>
        <w:gridCol w:w="1387"/>
      </w:tblGrid>
      <w:tr w:rsidR="00D13C45" w14:paraId="721311C0" w14:textId="77777777" w:rsidTr="00AB00EA">
        <w:trPr>
          <w:trHeight w:val="255"/>
        </w:trPr>
        <w:tc>
          <w:tcPr>
            <w:tcW w:w="8799" w:type="dxa"/>
            <w:gridSpan w:val="6"/>
            <w:tcBorders>
              <w:top w:val="single" w:sz="8" w:space="0" w:color="auto"/>
              <w:left w:val="single" w:sz="8" w:space="0" w:color="auto"/>
              <w:bottom w:val="single" w:sz="4" w:space="0" w:color="auto"/>
              <w:right w:val="single" w:sz="8" w:space="0" w:color="000000"/>
            </w:tcBorders>
            <w:shd w:val="clear" w:color="auto" w:fill="CCFFCC"/>
            <w:vAlign w:val="center"/>
          </w:tcPr>
          <w:p w14:paraId="3DAEB2ED" w14:textId="77777777" w:rsidR="00D13C45" w:rsidRDefault="00D13C45" w:rsidP="001F6887">
            <w:pPr>
              <w:jc w:val="both"/>
              <w:rPr>
                <w:rFonts w:ascii="Arial" w:hAnsi="Arial" w:cs="Arial"/>
                <w:b/>
                <w:bCs/>
                <w:sz w:val="20"/>
                <w:szCs w:val="20"/>
              </w:rPr>
            </w:pPr>
            <w:r>
              <w:rPr>
                <w:rFonts w:ascii="Arial" w:hAnsi="Arial" w:cs="Arial"/>
                <w:b/>
                <w:bCs/>
                <w:sz w:val="20"/>
                <w:szCs w:val="20"/>
              </w:rPr>
              <w:t xml:space="preserve">Tabla 7.2.b.1 Tabla de extracción de datos de una evaluación económica publicada        </w:t>
            </w:r>
          </w:p>
        </w:tc>
      </w:tr>
      <w:tr w:rsidR="00D13C45" w:rsidRPr="00BB372A" w14:paraId="7DBA280F" w14:textId="77777777" w:rsidTr="00A35C6C">
        <w:trPr>
          <w:trHeight w:val="499"/>
        </w:trPr>
        <w:tc>
          <w:tcPr>
            <w:tcW w:w="8799" w:type="dxa"/>
            <w:gridSpan w:val="6"/>
            <w:tcBorders>
              <w:top w:val="single" w:sz="4" w:space="0" w:color="auto"/>
              <w:left w:val="single" w:sz="8" w:space="0" w:color="auto"/>
              <w:bottom w:val="single" w:sz="4" w:space="0" w:color="auto"/>
              <w:right w:val="single" w:sz="8" w:space="0" w:color="000000"/>
            </w:tcBorders>
            <w:shd w:val="clear" w:color="000000" w:fill="D9D9D9"/>
            <w:vAlign w:val="center"/>
          </w:tcPr>
          <w:p w14:paraId="609CE2EA" w14:textId="2BB68696" w:rsidR="00D13C45" w:rsidRPr="009B4055" w:rsidRDefault="00D13C45" w:rsidP="001F6887">
            <w:pPr>
              <w:rPr>
                <w:rFonts w:ascii="Arial" w:hAnsi="Arial" w:cs="Arial"/>
                <w:b/>
                <w:bCs/>
                <w:sz w:val="16"/>
                <w:szCs w:val="16"/>
                <w:vertAlign w:val="superscript"/>
                <w:lang w:val="en-US"/>
              </w:rPr>
            </w:pPr>
            <w:r w:rsidRPr="009B4055">
              <w:rPr>
                <w:rFonts w:ascii="Arial" w:hAnsi="Arial" w:cs="Arial"/>
                <w:b/>
                <w:bCs/>
                <w:sz w:val="16"/>
                <w:szCs w:val="16"/>
              </w:rPr>
              <w:lastRenderedPageBreak/>
              <w:t xml:space="preserve">Referencia: </w:t>
            </w:r>
            <w:r w:rsidRPr="009B4055">
              <w:rPr>
                <w:rFonts w:ascii="Arial" w:hAnsi="Arial" w:cs="Arial"/>
                <w:sz w:val="16"/>
                <w:szCs w:val="16"/>
              </w:rPr>
              <w:t xml:space="preserve">Malone DC, Dean R, Arjunji R, et al. </w:t>
            </w:r>
            <w:r w:rsidRPr="009B4055">
              <w:rPr>
                <w:rFonts w:ascii="Arial" w:hAnsi="Arial" w:cs="Arial"/>
                <w:sz w:val="16"/>
                <w:szCs w:val="16"/>
                <w:lang w:val="en-US"/>
              </w:rPr>
              <w:t xml:space="preserve">Cost-effectiveness analysis of using </w:t>
            </w:r>
            <w:r w:rsidR="00482C21">
              <w:rPr>
                <w:rFonts w:ascii="Arial" w:hAnsi="Arial" w:cs="Arial"/>
                <w:sz w:val="16"/>
                <w:szCs w:val="16"/>
                <w:lang w:val="en-US"/>
              </w:rPr>
              <w:t>onasemnogén</w:t>
            </w:r>
            <w:r w:rsidRPr="009B4055">
              <w:rPr>
                <w:rFonts w:ascii="Arial" w:hAnsi="Arial" w:cs="Arial"/>
                <w:sz w:val="16"/>
                <w:szCs w:val="16"/>
                <w:lang w:val="en-US"/>
              </w:rPr>
              <w:t xml:space="preserve"> abeparvocec (AVXS-101) in spinal muscular atrophy type 1 patients. J Mark Access Health Policy. 2019;7(1):1601484</w:t>
            </w:r>
            <w:r w:rsidRPr="00D13C45">
              <w:rPr>
                <w:rFonts w:ascii="Arial" w:hAnsi="Arial" w:cs="Arial"/>
                <w:sz w:val="16"/>
                <w:szCs w:val="16"/>
                <w:vertAlign w:val="superscript"/>
                <w:lang w:val="en-US"/>
              </w:rPr>
              <w:t>.</w:t>
            </w:r>
            <w:r w:rsidRPr="00D13C45">
              <w:rPr>
                <w:rFonts w:ascii="Arial" w:hAnsi="Arial" w:cs="Arial"/>
                <w:sz w:val="16"/>
                <w:szCs w:val="16"/>
                <w:vertAlign w:val="superscript"/>
                <w:lang w:val="en-US"/>
              </w:rPr>
              <w:fldChar w:fldCharType="begin"/>
            </w:r>
            <w:r w:rsidRPr="00D13C45">
              <w:rPr>
                <w:rFonts w:ascii="Arial" w:hAnsi="Arial" w:cs="Arial"/>
                <w:sz w:val="16"/>
                <w:szCs w:val="16"/>
                <w:vertAlign w:val="superscript"/>
                <w:lang w:val="en-US"/>
              </w:rPr>
              <w:instrText xml:space="preserve"> NOTEREF _Ref52799961 \h </w:instrText>
            </w:r>
            <w:r>
              <w:rPr>
                <w:rFonts w:ascii="Arial" w:hAnsi="Arial" w:cs="Arial"/>
                <w:sz w:val="16"/>
                <w:szCs w:val="16"/>
                <w:vertAlign w:val="superscript"/>
                <w:lang w:val="en-US"/>
              </w:rPr>
              <w:instrText xml:space="preserve"> \* MERGEFORMAT </w:instrText>
            </w:r>
            <w:r w:rsidRPr="00D13C45">
              <w:rPr>
                <w:rFonts w:ascii="Arial" w:hAnsi="Arial" w:cs="Arial"/>
                <w:sz w:val="16"/>
                <w:szCs w:val="16"/>
                <w:vertAlign w:val="superscript"/>
                <w:lang w:val="en-US"/>
              </w:rPr>
            </w:r>
            <w:r w:rsidRPr="00D13C45">
              <w:rPr>
                <w:rFonts w:ascii="Arial" w:hAnsi="Arial" w:cs="Arial"/>
                <w:sz w:val="16"/>
                <w:szCs w:val="16"/>
                <w:vertAlign w:val="superscript"/>
                <w:lang w:val="en-US"/>
              </w:rPr>
              <w:fldChar w:fldCharType="separate"/>
            </w:r>
            <w:r w:rsidR="00E277F2">
              <w:rPr>
                <w:rFonts w:ascii="Arial" w:hAnsi="Arial" w:cs="Arial"/>
                <w:sz w:val="16"/>
                <w:szCs w:val="16"/>
                <w:vertAlign w:val="superscript"/>
                <w:lang w:val="en-US"/>
              </w:rPr>
              <w:t>28</w:t>
            </w:r>
            <w:r w:rsidRPr="00D13C45">
              <w:rPr>
                <w:rFonts w:ascii="Arial" w:hAnsi="Arial" w:cs="Arial"/>
                <w:sz w:val="16"/>
                <w:szCs w:val="16"/>
                <w:vertAlign w:val="superscript"/>
                <w:lang w:val="en-US"/>
              </w:rPr>
              <w:fldChar w:fldCharType="end"/>
            </w:r>
          </w:p>
        </w:tc>
      </w:tr>
      <w:tr w:rsidR="00D13C45" w14:paraId="32A3F8DE" w14:textId="77777777" w:rsidTr="001F6887">
        <w:trPr>
          <w:trHeight w:val="255"/>
        </w:trPr>
        <w:tc>
          <w:tcPr>
            <w:tcW w:w="8799" w:type="dxa"/>
            <w:gridSpan w:val="6"/>
            <w:tcBorders>
              <w:top w:val="single" w:sz="4" w:space="0" w:color="auto"/>
              <w:left w:val="single" w:sz="8" w:space="0" w:color="auto"/>
              <w:bottom w:val="nil"/>
              <w:right w:val="single" w:sz="8" w:space="0" w:color="000000"/>
            </w:tcBorders>
            <w:vAlign w:val="center"/>
          </w:tcPr>
          <w:p w14:paraId="699FCDB8" w14:textId="77777777" w:rsidR="00D13C45" w:rsidRDefault="00D13C45" w:rsidP="001F6887">
            <w:pPr>
              <w:rPr>
                <w:rFonts w:ascii="Arial" w:hAnsi="Arial" w:cs="Arial"/>
                <w:b/>
                <w:bCs/>
                <w:sz w:val="16"/>
                <w:szCs w:val="16"/>
              </w:rPr>
            </w:pPr>
            <w:r>
              <w:rPr>
                <w:rFonts w:ascii="Arial" w:hAnsi="Arial" w:cs="Arial"/>
                <w:b/>
                <w:bCs/>
                <w:sz w:val="16"/>
                <w:szCs w:val="16"/>
              </w:rPr>
              <w:t xml:space="preserve">Tipo de estudio: </w:t>
            </w:r>
            <w:r>
              <w:rPr>
                <w:rFonts w:ascii="Arial" w:hAnsi="Arial" w:cs="Arial"/>
                <w:sz w:val="16"/>
                <w:szCs w:val="16"/>
              </w:rPr>
              <w:t>Coste-utilidad</w:t>
            </w:r>
          </w:p>
        </w:tc>
      </w:tr>
      <w:tr w:rsidR="00D13C45" w14:paraId="2810FA4A" w14:textId="77777777" w:rsidTr="00D13C45">
        <w:trPr>
          <w:trHeight w:val="248"/>
        </w:trPr>
        <w:tc>
          <w:tcPr>
            <w:tcW w:w="8799" w:type="dxa"/>
            <w:gridSpan w:val="6"/>
            <w:tcBorders>
              <w:top w:val="nil"/>
              <w:left w:val="single" w:sz="8" w:space="0" w:color="auto"/>
              <w:bottom w:val="nil"/>
              <w:right w:val="single" w:sz="8" w:space="0" w:color="000000"/>
            </w:tcBorders>
            <w:vAlign w:val="center"/>
          </w:tcPr>
          <w:p w14:paraId="578F1B23" w14:textId="77A8C243" w:rsidR="00D13C45" w:rsidRDefault="00D13C45" w:rsidP="001F6887">
            <w:pPr>
              <w:jc w:val="both"/>
              <w:rPr>
                <w:rFonts w:ascii="Arial" w:hAnsi="Arial" w:cs="Arial"/>
                <w:b/>
                <w:bCs/>
                <w:sz w:val="16"/>
                <w:szCs w:val="16"/>
              </w:rPr>
            </w:pPr>
            <w:r>
              <w:rPr>
                <w:rFonts w:ascii="Arial" w:hAnsi="Arial" w:cs="Arial"/>
                <w:b/>
                <w:bCs/>
                <w:sz w:val="16"/>
                <w:szCs w:val="16"/>
              </w:rPr>
              <w:t>Fuente de datos:</w:t>
            </w:r>
            <w:r>
              <w:rPr>
                <w:rFonts w:ascii="Arial" w:hAnsi="Arial" w:cs="Arial"/>
                <w:sz w:val="16"/>
                <w:szCs w:val="16"/>
              </w:rPr>
              <w:t xml:space="preserve"> </w:t>
            </w:r>
            <w:r w:rsidR="00482C21">
              <w:rPr>
                <w:rFonts w:ascii="Arial" w:hAnsi="Arial" w:cs="Arial"/>
                <w:sz w:val="16"/>
                <w:szCs w:val="16"/>
              </w:rPr>
              <w:t>onasemnogén</w:t>
            </w:r>
            <w:r w:rsidRPr="00AC5D80">
              <w:rPr>
                <w:rFonts w:ascii="Arial" w:hAnsi="Arial" w:cs="Arial"/>
                <w:sz w:val="16"/>
                <w:szCs w:val="16"/>
              </w:rPr>
              <w:t xml:space="preserve"> abeparvocec</w:t>
            </w:r>
            <w:r>
              <w:rPr>
                <w:rFonts w:ascii="Arial" w:hAnsi="Arial" w:cs="Arial"/>
                <w:sz w:val="16"/>
                <w:szCs w:val="16"/>
              </w:rPr>
              <w:t xml:space="preserve">: ensayo START (CL-101). Comparador: nusinersen con ensayo ENDEAR </w:t>
            </w:r>
          </w:p>
        </w:tc>
      </w:tr>
      <w:tr w:rsidR="00D13C45" w14:paraId="7FC39A07" w14:textId="77777777" w:rsidTr="001F6887">
        <w:trPr>
          <w:trHeight w:val="255"/>
        </w:trPr>
        <w:tc>
          <w:tcPr>
            <w:tcW w:w="8799" w:type="dxa"/>
            <w:gridSpan w:val="6"/>
            <w:tcBorders>
              <w:top w:val="nil"/>
              <w:left w:val="single" w:sz="8" w:space="0" w:color="auto"/>
              <w:bottom w:val="nil"/>
              <w:right w:val="single" w:sz="8" w:space="0" w:color="000000"/>
            </w:tcBorders>
            <w:vAlign w:val="center"/>
          </w:tcPr>
          <w:p w14:paraId="2E5EA3ED" w14:textId="77777777" w:rsidR="00D13C45" w:rsidRDefault="00D13C45" w:rsidP="001F6887">
            <w:pPr>
              <w:rPr>
                <w:rFonts w:ascii="Arial" w:hAnsi="Arial" w:cs="Arial"/>
                <w:b/>
                <w:bCs/>
                <w:sz w:val="16"/>
                <w:szCs w:val="16"/>
              </w:rPr>
            </w:pPr>
            <w:r>
              <w:rPr>
                <w:rFonts w:ascii="Arial" w:hAnsi="Arial" w:cs="Arial"/>
                <w:b/>
                <w:bCs/>
                <w:sz w:val="16"/>
                <w:szCs w:val="16"/>
              </w:rPr>
              <w:t xml:space="preserve">Modelización: </w:t>
            </w:r>
            <w:r>
              <w:rPr>
                <w:rFonts w:ascii="Arial" w:hAnsi="Arial" w:cs="Arial"/>
                <w:sz w:val="16"/>
                <w:szCs w:val="16"/>
              </w:rPr>
              <w:t>modelo de Markov.</w:t>
            </w:r>
          </w:p>
        </w:tc>
      </w:tr>
      <w:tr w:rsidR="00D13C45" w14:paraId="251DCE07" w14:textId="77777777" w:rsidTr="001F6887">
        <w:trPr>
          <w:trHeight w:val="255"/>
        </w:trPr>
        <w:tc>
          <w:tcPr>
            <w:tcW w:w="8799" w:type="dxa"/>
            <w:gridSpan w:val="6"/>
            <w:tcBorders>
              <w:top w:val="nil"/>
              <w:left w:val="single" w:sz="8" w:space="0" w:color="auto"/>
              <w:bottom w:val="nil"/>
              <w:right w:val="single" w:sz="8" w:space="0" w:color="000000"/>
            </w:tcBorders>
            <w:vAlign w:val="center"/>
          </w:tcPr>
          <w:p w14:paraId="0DF90412" w14:textId="77777777" w:rsidR="00D13C45" w:rsidRDefault="00D13C45" w:rsidP="001F6887">
            <w:pPr>
              <w:rPr>
                <w:rFonts w:ascii="Arial" w:hAnsi="Arial" w:cs="Arial"/>
                <w:b/>
                <w:bCs/>
                <w:sz w:val="16"/>
                <w:szCs w:val="16"/>
              </w:rPr>
            </w:pPr>
            <w:r>
              <w:rPr>
                <w:rFonts w:ascii="Arial" w:hAnsi="Arial" w:cs="Arial"/>
                <w:b/>
                <w:bCs/>
                <w:sz w:val="16"/>
                <w:szCs w:val="16"/>
              </w:rPr>
              <w:t xml:space="preserve">Perspectiva: </w:t>
            </w:r>
            <w:r>
              <w:rPr>
                <w:rFonts w:ascii="Arial" w:hAnsi="Arial" w:cs="Arial"/>
                <w:sz w:val="16"/>
                <w:szCs w:val="16"/>
              </w:rPr>
              <w:t>Pagador aseguradora comercial EEUU</w:t>
            </w:r>
          </w:p>
        </w:tc>
      </w:tr>
      <w:tr w:rsidR="00D13C45" w14:paraId="55337F82" w14:textId="77777777" w:rsidTr="00D13C45">
        <w:trPr>
          <w:trHeight w:val="330"/>
        </w:trPr>
        <w:tc>
          <w:tcPr>
            <w:tcW w:w="8799" w:type="dxa"/>
            <w:gridSpan w:val="6"/>
            <w:tcBorders>
              <w:top w:val="nil"/>
              <w:left w:val="single" w:sz="8" w:space="0" w:color="auto"/>
              <w:bottom w:val="nil"/>
              <w:right w:val="single" w:sz="8" w:space="0" w:color="000000"/>
            </w:tcBorders>
            <w:vAlign w:val="center"/>
          </w:tcPr>
          <w:p w14:paraId="0375B1D2" w14:textId="77777777" w:rsidR="00D13C45" w:rsidRDefault="00D13C45" w:rsidP="001F6887">
            <w:pPr>
              <w:rPr>
                <w:rFonts w:ascii="Arial" w:hAnsi="Arial" w:cs="Arial"/>
                <w:b/>
                <w:bCs/>
                <w:sz w:val="16"/>
                <w:szCs w:val="16"/>
              </w:rPr>
            </w:pPr>
            <w:r>
              <w:rPr>
                <w:rFonts w:ascii="Arial" w:hAnsi="Arial" w:cs="Arial"/>
                <w:b/>
                <w:bCs/>
                <w:sz w:val="16"/>
                <w:szCs w:val="16"/>
              </w:rPr>
              <w:t xml:space="preserve">Población del escenario base: </w:t>
            </w:r>
            <w:r>
              <w:rPr>
                <w:rFonts w:ascii="Arial" w:hAnsi="Arial" w:cs="Arial"/>
                <w:sz w:val="16"/>
                <w:szCs w:val="16"/>
              </w:rPr>
              <w:t>Pacientes con AME sintomática tipo 1</w:t>
            </w:r>
          </w:p>
        </w:tc>
      </w:tr>
      <w:tr w:rsidR="00D13C45" w14:paraId="6E644CEC" w14:textId="77777777" w:rsidTr="001F6887">
        <w:trPr>
          <w:trHeight w:val="255"/>
        </w:trPr>
        <w:tc>
          <w:tcPr>
            <w:tcW w:w="8799" w:type="dxa"/>
            <w:gridSpan w:val="6"/>
            <w:tcBorders>
              <w:top w:val="nil"/>
              <w:left w:val="single" w:sz="8" w:space="0" w:color="auto"/>
              <w:bottom w:val="nil"/>
              <w:right w:val="single" w:sz="8" w:space="0" w:color="000000"/>
            </w:tcBorders>
            <w:vAlign w:val="center"/>
          </w:tcPr>
          <w:p w14:paraId="33AF7D3D" w14:textId="77777777" w:rsidR="00D13C45" w:rsidRDefault="00D13C45" w:rsidP="001F6887">
            <w:pPr>
              <w:rPr>
                <w:rFonts w:ascii="Arial" w:hAnsi="Arial" w:cs="Arial"/>
                <w:b/>
                <w:bCs/>
                <w:sz w:val="16"/>
                <w:szCs w:val="16"/>
              </w:rPr>
            </w:pPr>
            <w:r>
              <w:rPr>
                <w:rFonts w:ascii="Arial" w:hAnsi="Arial" w:cs="Arial"/>
                <w:b/>
                <w:bCs/>
                <w:sz w:val="16"/>
                <w:szCs w:val="16"/>
              </w:rPr>
              <w:t xml:space="preserve">Variables principales de resultado: </w:t>
            </w:r>
            <w:r>
              <w:rPr>
                <w:rFonts w:ascii="Arial" w:hAnsi="Arial" w:cs="Arial"/>
                <w:sz w:val="16"/>
                <w:szCs w:val="16"/>
              </w:rPr>
              <w:t>AVAC y AV</w:t>
            </w:r>
          </w:p>
        </w:tc>
      </w:tr>
      <w:tr w:rsidR="00D13C45" w14:paraId="13FC7A13" w14:textId="77777777" w:rsidTr="001F6887">
        <w:trPr>
          <w:trHeight w:val="255"/>
        </w:trPr>
        <w:tc>
          <w:tcPr>
            <w:tcW w:w="8799" w:type="dxa"/>
            <w:gridSpan w:val="6"/>
            <w:tcBorders>
              <w:top w:val="nil"/>
              <w:left w:val="single" w:sz="8" w:space="0" w:color="auto"/>
              <w:bottom w:val="nil"/>
              <w:right w:val="single" w:sz="8" w:space="0" w:color="000000"/>
            </w:tcBorders>
            <w:vAlign w:val="center"/>
          </w:tcPr>
          <w:p w14:paraId="18E7E9AE" w14:textId="77777777" w:rsidR="00D13C45" w:rsidRDefault="00D13C45" w:rsidP="001F6887">
            <w:pPr>
              <w:rPr>
                <w:rFonts w:ascii="Arial" w:hAnsi="Arial" w:cs="Arial"/>
                <w:b/>
                <w:bCs/>
                <w:sz w:val="16"/>
                <w:szCs w:val="16"/>
              </w:rPr>
            </w:pPr>
            <w:r>
              <w:rPr>
                <w:rFonts w:ascii="Arial" w:hAnsi="Arial" w:cs="Arial"/>
                <w:b/>
                <w:bCs/>
                <w:sz w:val="16"/>
                <w:szCs w:val="16"/>
              </w:rPr>
              <w:t>Horizonte temporal:</w:t>
            </w:r>
            <w:r>
              <w:rPr>
                <w:rFonts w:ascii="Arial" w:hAnsi="Arial" w:cs="Arial"/>
                <w:sz w:val="16"/>
                <w:szCs w:val="16"/>
              </w:rPr>
              <w:t xml:space="preserve"> Vitalicio</w:t>
            </w:r>
          </w:p>
        </w:tc>
      </w:tr>
      <w:tr w:rsidR="00D13C45" w14:paraId="5FA57511" w14:textId="77777777" w:rsidTr="001F6887">
        <w:trPr>
          <w:trHeight w:val="495"/>
        </w:trPr>
        <w:tc>
          <w:tcPr>
            <w:tcW w:w="8799" w:type="dxa"/>
            <w:gridSpan w:val="6"/>
            <w:tcBorders>
              <w:top w:val="nil"/>
              <w:left w:val="single" w:sz="8" w:space="0" w:color="auto"/>
              <w:bottom w:val="nil"/>
              <w:right w:val="single" w:sz="8" w:space="0" w:color="000000"/>
            </w:tcBorders>
            <w:vAlign w:val="center"/>
          </w:tcPr>
          <w:p w14:paraId="57E3F7C7" w14:textId="77777777" w:rsidR="00D13C45" w:rsidRDefault="00D13C45" w:rsidP="001F6887">
            <w:pPr>
              <w:rPr>
                <w:rFonts w:ascii="Arial" w:hAnsi="Arial" w:cs="Arial"/>
                <w:b/>
                <w:bCs/>
                <w:sz w:val="16"/>
                <w:szCs w:val="16"/>
              </w:rPr>
            </w:pPr>
            <w:r>
              <w:rPr>
                <w:rFonts w:ascii="Arial" w:hAnsi="Arial" w:cs="Arial"/>
                <w:b/>
                <w:bCs/>
                <w:sz w:val="16"/>
                <w:szCs w:val="16"/>
              </w:rPr>
              <w:t>Costes incluidos en el estudio:</w:t>
            </w:r>
            <w:r>
              <w:rPr>
                <w:rFonts w:ascii="Arial" w:hAnsi="Arial" w:cs="Arial"/>
                <w:sz w:val="16"/>
                <w:szCs w:val="16"/>
              </w:rPr>
              <w:t xml:space="preserve"> Costes de adquisición y preparación del fármaco, premedicación, costes de monitorización de efectos adversos y costes de hospitalización, servicios ambulatorios y urgencias</w:t>
            </w:r>
          </w:p>
        </w:tc>
      </w:tr>
      <w:tr w:rsidR="00D13C45" w14:paraId="475D903B" w14:textId="77777777" w:rsidTr="001F6887">
        <w:trPr>
          <w:trHeight w:val="255"/>
        </w:trPr>
        <w:tc>
          <w:tcPr>
            <w:tcW w:w="8799" w:type="dxa"/>
            <w:gridSpan w:val="6"/>
            <w:tcBorders>
              <w:top w:val="nil"/>
              <w:left w:val="single" w:sz="8" w:space="0" w:color="auto"/>
              <w:bottom w:val="nil"/>
              <w:right w:val="single" w:sz="8" w:space="0" w:color="000000"/>
            </w:tcBorders>
            <w:vAlign w:val="center"/>
          </w:tcPr>
          <w:p w14:paraId="6988FCF7" w14:textId="77777777" w:rsidR="00D13C45" w:rsidRDefault="00D13C45" w:rsidP="001F6887">
            <w:pPr>
              <w:rPr>
                <w:rFonts w:ascii="Arial" w:hAnsi="Arial" w:cs="Arial"/>
                <w:b/>
                <w:bCs/>
                <w:sz w:val="16"/>
                <w:szCs w:val="16"/>
              </w:rPr>
            </w:pPr>
            <w:r>
              <w:rPr>
                <w:rFonts w:ascii="Arial" w:hAnsi="Arial" w:cs="Arial"/>
                <w:b/>
                <w:bCs/>
                <w:sz w:val="16"/>
                <w:szCs w:val="16"/>
              </w:rPr>
              <w:t xml:space="preserve">Fuente de costes unitarios: </w:t>
            </w:r>
            <w:r>
              <w:rPr>
                <w:rFonts w:ascii="Arial" w:hAnsi="Arial" w:cs="Arial"/>
                <w:sz w:val="16"/>
                <w:szCs w:val="16"/>
              </w:rPr>
              <w:t>Bases de datos de costes sanitarios</w:t>
            </w:r>
          </w:p>
        </w:tc>
      </w:tr>
      <w:tr w:rsidR="00D13C45" w14:paraId="38F8AA17" w14:textId="77777777" w:rsidTr="001F6887">
        <w:trPr>
          <w:trHeight w:val="255"/>
        </w:trPr>
        <w:tc>
          <w:tcPr>
            <w:tcW w:w="8799" w:type="dxa"/>
            <w:gridSpan w:val="6"/>
            <w:tcBorders>
              <w:top w:val="nil"/>
              <w:left w:val="single" w:sz="8" w:space="0" w:color="auto"/>
              <w:bottom w:val="nil"/>
              <w:right w:val="single" w:sz="8" w:space="0" w:color="000000"/>
            </w:tcBorders>
            <w:vAlign w:val="center"/>
          </w:tcPr>
          <w:p w14:paraId="6B7314FA" w14:textId="77777777" w:rsidR="00D13C45" w:rsidRDefault="00D13C45" w:rsidP="001F6887">
            <w:pPr>
              <w:rPr>
                <w:rFonts w:ascii="Arial" w:hAnsi="Arial" w:cs="Arial"/>
                <w:b/>
                <w:bCs/>
                <w:sz w:val="16"/>
                <w:szCs w:val="16"/>
              </w:rPr>
            </w:pPr>
            <w:r>
              <w:rPr>
                <w:rFonts w:ascii="Arial" w:hAnsi="Arial" w:cs="Arial"/>
                <w:b/>
                <w:bCs/>
                <w:sz w:val="16"/>
                <w:szCs w:val="16"/>
              </w:rPr>
              <w:t xml:space="preserve">Tasa de descuento aplicada en costes y en resultados de salud: </w:t>
            </w:r>
            <w:r>
              <w:rPr>
                <w:rFonts w:ascii="Arial" w:hAnsi="Arial" w:cs="Arial"/>
                <w:sz w:val="16"/>
                <w:szCs w:val="16"/>
              </w:rPr>
              <w:t>3%</w:t>
            </w:r>
          </w:p>
        </w:tc>
      </w:tr>
      <w:tr w:rsidR="00D13C45" w14:paraId="0086372B" w14:textId="77777777" w:rsidTr="001F6887">
        <w:trPr>
          <w:trHeight w:val="255"/>
        </w:trPr>
        <w:tc>
          <w:tcPr>
            <w:tcW w:w="8799" w:type="dxa"/>
            <w:gridSpan w:val="6"/>
            <w:tcBorders>
              <w:top w:val="nil"/>
              <w:left w:val="single" w:sz="8" w:space="0" w:color="auto"/>
              <w:bottom w:val="nil"/>
              <w:right w:val="single" w:sz="8" w:space="0" w:color="000000"/>
            </w:tcBorders>
            <w:vAlign w:val="center"/>
          </w:tcPr>
          <w:p w14:paraId="36A20428" w14:textId="77777777" w:rsidR="00D13C45" w:rsidRDefault="00D13C45" w:rsidP="001F6887">
            <w:pPr>
              <w:rPr>
                <w:rFonts w:ascii="Arial" w:hAnsi="Arial" w:cs="Arial"/>
                <w:b/>
                <w:bCs/>
                <w:sz w:val="16"/>
                <w:szCs w:val="16"/>
              </w:rPr>
            </w:pPr>
            <w:r>
              <w:rPr>
                <w:rFonts w:ascii="Arial" w:hAnsi="Arial" w:cs="Arial"/>
                <w:b/>
                <w:bCs/>
                <w:sz w:val="16"/>
                <w:szCs w:val="16"/>
              </w:rPr>
              <w:t>Valores de utilidad considerados:</w:t>
            </w:r>
            <w:r>
              <w:rPr>
                <w:rFonts w:ascii="Arial" w:hAnsi="Arial" w:cs="Arial"/>
                <w:sz w:val="16"/>
                <w:szCs w:val="16"/>
              </w:rPr>
              <w:t xml:space="preserve"> AVAC</w:t>
            </w:r>
          </w:p>
        </w:tc>
      </w:tr>
      <w:tr w:rsidR="00D13C45" w14:paraId="53B29768" w14:textId="77777777" w:rsidTr="001F6887">
        <w:trPr>
          <w:trHeight w:val="255"/>
        </w:trPr>
        <w:tc>
          <w:tcPr>
            <w:tcW w:w="8799" w:type="dxa"/>
            <w:gridSpan w:val="6"/>
            <w:tcBorders>
              <w:top w:val="nil"/>
              <w:left w:val="single" w:sz="8" w:space="0" w:color="auto"/>
              <w:bottom w:val="nil"/>
              <w:right w:val="single" w:sz="8" w:space="0" w:color="000000"/>
            </w:tcBorders>
            <w:vAlign w:val="center"/>
          </w:tcPr>
          <w:p w14:paraId="37FF2EC9" w14:textId="77777777" w:rsidR="00D13C45" w:rsidRDefault="00D13C45" w:rsidP="001F6887">
            <w:pPr>
              <w:rPr>
                <w:rFonts w:ascii="Arial" w:hAnsi="Arial" w:cs="Arial"/>
                <w:b/>
                <w:bCs/>
                <w:sz w:val="16"/>
                <w:szCs w:val="16"/>
              </w:rPr>
            </w:pPr>
            <w:r>
              <w:rPr>
                <w:rFonts w:ascii="Arial" w:hAnsi="Arial" w:cs="Arial"/>
                <w:b/>
                <w:bCs/>
                <w:sz w:val="16"/>
                <w:szCs w:val="16"/>
              </w:rPr>
              <w:t>Análisis de sensibilidad:</w:t>
            </w:r>
            <w:r>
              <w:rPr>
                <w:rFonts w:ascii="Arial" w:hAnsi="Arial" w:cs="Arial"/>
                <w:sz w:val="16"/>
                <w:szCs w:val="16"/>
              </w:rPr>
              <w:t xml:space="preserve"> Análisis probabilístico</w:t>
            </w:r>
          </w:p>
        </w:tc>
      </w:tr>
      <w:tr w:rsidR="00D13C45" w14:paraId="67FC980B" w14:textId="77777777" w:rsidTr="000B616F">
        <w:trPr>
          <w:trHeight w:val="270"/>
        </w:trPr>
        <w:tc>
          <w:tcPr>
            <w:tcW w:w="8799" w:type="dxa"/>
            <w:gridSpan w:val="6"/>
            <w:tcBorders>
              <w:top w:val="nil"/>
              <w:left w:val="single" w:sz="8" w:space="0" w:color="auto"/>
              <w:bottom w:val="single" w:sz="4" w:space="0" w:color="000000"/>
              <w:right w:val="single" w:sz="8" w:space="0" w:color="000000"/>
            </w:tcBorders>
            <w:vAlign w:val="center"/>
          </w:tcPr>
          <w:p w14:paraId="0567538A" w14:textId="77777777" w:rsidR="00D13C45" w:rsidRDefault="00D13C45" w:rsidP="001F6887">
            <w:pPr>
              <w:rPr>
                <w:rFonts w:ascii="Arial" w:hAnsi="Arial" w:cs="Arial"/>
                <w:b/>
                <w:bCs/>
                <w:sz w:val="16"/>
                <w:szCs w:val="16"/>
              </w:rPr>
            </w:pPr>
            <w:r>
              <w:rPr>
                <w:rFonts w:ascii="Arial" w:hAnsi="Arial" w:cs="Arial"/>
                <w:b/>
                <w:bCs/>
                <w:sz w:val="16"/>
                <w:szCs w:val="16"/>
              </w:rPr>
              <w:t>Conflicto de interés:</w:t>
            </w:r>
            <w:r>
              <w:rPr>
                <w:rFonts w:ascii="Arial" w:hAnsi="Arial" w:cs="Arial"/>
                <w:sz w:val="16"/>
                <w:szCs w:val="16"/>
              </w:rPr>
              <w:t xml:space="preserve"> Varios de los autores son empleados de Avexis y el estudio fue financiado por Avexis</w:t>
            </w:r>
          </w:p>
        </w:tc>
      </w:tr>
      <w:tr w:rsidR="00D13C45" w14:paraId="4ECAD427" w14:textId="77777777" w:rsidTr="000B616F">
        <w:trPr>
          <w:trHeight w:val="450"/>
        </w:trPr>
        <w:tc>
          <w:tcPr>
            <w:tcW w:w="211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061BFB3" w14:textId="77777777" w:rsidR="00D13C45" w:rsidRDefault="00D13C45" w:rsidP="001F6887">
            <w:pPr>
              <w:jc w:val="center"/>
              <w:rPr>
                <w:rFonts w:ascii="Arial" w:hAnsi="Arial" w:cs="Arial"/>
                <w:b/>
                <w:bCs/>
                <w:sz w:val="16"/>
                <w:szCs w:val="16"/>
              </w:rPr>
            </w:pPr>
            <w:r>
              <w:rPr>
                <w:rFonts w:ascii="Arial" w:hAnsi="Arial" w:cs="Arial"/>
                <w:b/>
                <w:bCs/>
                <w:sz w:val="16"/>
                <w:szCs w:val="16"/>
              </w:rPr>
              <w:t>COSTES</w:t>
            </w:r>
          </w:p>
        </w:tc>
        <w:tc>
          <w:tcPr>
            <w:tcW w:w="1275"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210430D6" w14:textId="77777777" w:rsidR="00D13C45" w:rsidRDefault="00D13C45" w:rsidP="001F6887">
            <w:pPr>
              <w:jc w:val="center"/>
              <w:rPr>
                <w:rFonts w:ascii="Arial" w:hAnsi="Arial" w:cs="Arial"/>
                <w:b/>
                <w:bCs/>
                <w:sz w:val="16"/>
                <w:szCs w:val="16"/>
              </w:rPr>
            </w:pPr>
            <w:r>
              <w:rPr>
                <w:rFonts w:ascii="Arial" w:hAnsi="Arial" w:cs="Arial"/>
                <w:b/>
                <w:bCs/>
                <w:sz w:val="16"/>
                <w:szCs w:val="16"/>
              </w:rPr>
              <w:t>Nusinersen</w:t>
            </w:r>
          </w:p>
          <w:p w14:paraId="38D2506B" w14:textId="77777777" w:rsidR="00D13C45" w:rsidRDefault="00D13C45" w:rsidP="001F6887">
            <w:pPr>
              <w:jc w:val="center"/>
              <w:rPr>
                <w:rFonts w:ascii="Arial" w:hAnsi="Arial" w:cs="Arial"/>
                <w:b/>
                <w:bCs/>
                <w:sz w:val="16"/>
                <w:szCs w:val="16"/>
              </w:rPr>
            </w:pPr>
            <w:r>
              <w:rPr>
                <w:rFonts w:ascii="Arial" w:hAnsi="Arial" w:cs="Arial"/>
                <w:b/>
                <w:bCs/>
                <w:sz w:val="16"/>
                <w:szCs w:val="16"/>
              </w:rPr>
              <w:t>(Comparador)</w:t>
            </w:r>
          </w:p>
        </w:tc>
        <w:tc>
          <w:tcPr>
            <w:tcW w:w="5407" w:type="dxa"/>
            <w:gridSpan w:val="4"/>
            <w:tcBorders>
              <w:top w:val="single" w:sz="4" w:space="0" w:color="000000"/>
              <w:left w:val="single" w:sz="4" w:space="0" w:color="000000"/>
              <w:bottom w:val="single" w:sz="4" w:space="0" w:color="000000"/>
              <w:right w:val="single" w:sz="4" w:space="0" w:color="000000"/>
            </w:tcBorders>
            <w:shd w:val="clear" w:color="000000" w:fill="D9D9D9"/>
            <w:vAlign w:val="center"/>
          </w:tcPr>
          <w:p w14:paraId="7763E811" w14:textId="253E0B1D" w:rsidR="00D13C45" w:rsidRDefault="00482C21" w:rsidP="00D87D77">
            <w:pPr>
              <w:jc w:val="center"/>
              <w:rPr>
                <w:rFonts w:ascii="Arial" w:hAnsi="Arial" w:cs="Arial"/>
                <w:b/>
                <w:bCs/>
                <w:sz w:val="16"/>
                <w:szCs w:val="16"/>
              </w:rPr>
            </w:pPr>
            <w:r>
              <w:rPr>
                <w:rFonts w:ascii="Arial" w:hAnsi="Arial" w:cs="Arial"/>
                <w:b/>
                <w:bCs/>
                <w:sz w:val="16"/>
                <w:szCs w:val="16"/>
              </w:rPr>
              <w:t>Onasemnogén</w:t>
            </w:r>
            <w:r w:rsidR="00D13C45">
              <w:rPr>
                <w:rFonts w:ascii="Arial" w:hAnsi="Arial" w:cs="Arial"/>
                <w:b/>
                <w:bCs/>
                <w:sz w:val="16"/>
                <w:szCs w:val="16"/>
              </w:rPr>
              <w:t xml:space="preserve"> abeparvovec</w:t>
            </w:r>
          </w:p>
        </w:tc>
      </w:tr>
      <w:tr w:rsidR="00D13C45" w14:paraId="2883CADE" w14:textId="77777777" w:rsidTr="000B616F">
        <w:trPr>
          <w:trHeight w:val="450"/>
        </w:trPr>
        <w:tc>
          <w:tcPr>
            <w:tcW w:w="2117" w:type="dxa"/>
            <w:tcBorders>
              <w:top w:val="single" w:sz="4" w:space="0" w:color="000000"/>
              <w:left w:val="single" w:sz="4" w:space="0" w:color="000000"/>
              <w:bottom w:val="single" w:sz="4" w:space="0" w:color="000000"/>
              <w:right w:val="single" w:sz="4" w:space="0" w:color="000000"/>
            </w:tcBorders>
            <w:vAlign w:val="center"/>
          </w:tcPr>
          <w:p w14:paraId="5639BF4C" w14:textId="77777777" w:rsidR="00D13C45" w:rsidRDefault="00D13C45" w:rsidP="001F6887">
            <w:pPr>
              <w:jc w:val="center"/>
              <w:rPr>
                <w:rFonts w:ascii="Arial" w:hAnsi="Arial" w:cs="Arial"/>
                <w:b/>
                <w:bCs/>
                <w:sz w:val="16"/>
                <w:szCs w:val="16"/>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06CAC5E" w14:textId="77777777" w:rsidR="00D13C45" w:rsidRDefault="00D13C45" w:rsidP="001F6887">
            <w:pPr>
              <w:jc w:val="center"/>
              <w:rPr>
                <w:rFonts w:ascii="Arial" w:hAnsi="Arial" w:cs="Arial"/>
                <w:b/>
                <w:bCs/>
                <w:sz w:val="16"/>
                <w:szCs w:val="16"/>
              </w:rPr>
            </w:pPr>
          </w:p>
        </w:tc>
        <w:tc>
          <w:tcPr>
            <w:tcW w:w="134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41D38E2" w14:textId="77777777" w:rsidR="00D13C45" w:rsidRDefault="00D13C45" w:rsidP="001F6887">
            <w:pPr>
              <w:jc w:val="center"/>
              <w:rPr>
                <w:rFonts w:ascii="Arial" w:hAnsi="Arial" w:cs="Arial"/>
                <w:b/>
                <w:bCs/>
                <w:sz w:val="16"/>
                <w:szCs w:val="16"/>
              </w:rPr>
            </w:pPr>
            <w:r>
              <w:rPr>
                <w:rFonts w:ascii="Arial" w:hAnsi="Arial" w:cs="Arial"/>
                <w:b/>
                <w:bCs/>
                <w:sz w:val="16"/>
                <w:szCs w:val="16"/>
              </w:rPr>
              <w:t>$2,5 M</w:t>
            </w:r>
          </w:p>
        </w:tc>
        <w:tc>
          <w:tcPr>
            <w:tcW w:w="134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01C32C8" w14:textId="77777777" w:rsidR="00D13C45" w:rsidRDefault="00D13C45" w:rsidP="001F6887">
            <w:pPr>
              <w:jc w:val="center"/>
              <w:rPr>
                <w:rFonts w:ascii="Arial" w:hAnsi="Arial" w:cs="Arial"/>
                <w:b/>
                <w:bCs/>
                <w:sz w:val="16"/>
                <w:szCs w:val="16"/>
              </w:rPr>
            </w:pPr>
            <w:r>
              <w:rPr>
                <w:rFonts w:ascii="Arial" w:hAnsi="Arial" w:cs="Arial"/>
                <w:b/>
                <w:bCs/>
                <w:sz w:val="16"/>
                <w:szCs w:val="16"/>
              </w:rPr>
              <w:t>$3 M</w:t>
            </w:r>
          </w:p>
        </w:tc>
        <w:tc>
          <w:tcPr>
            <w:tcW w:w="134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4D5118C" w14:textId="77777777" w:rsidR="00D13C45" w:rsidRDefault="00D13C45" w:rsidP="001F6887">
            <w:pPr>
              <w:jc w:val="center"/>
              <w:rPr>
                <w:rFonts w:ascii="Arial" w:hAnsi="Arial" w:cs="Arial"/>
                <w:b/>
                <w:bCs/>
                <w:sz w:val="16"/>
                <w:szCs w:val="16"/>
              </w:rPr>
            </w:pPr>
            <w:r>
              <w:rPr>
                <w:rFonts w:ascii="Arial" w:hAnsi="Arial" w:cs="Arial"/>
                <w:b/>
                <w:bCs/>
                <w:sz w:val="16"/>
                <w:szCs w:val="16"/>
              </w:rPr>
              <w:t>$4 M</w:t>
            </w:r>
          </w:p>
        </w:tc>
        <w:tc>
          <w:tcPr>
            <w:tcW w:w="138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D0F2177" w14:textId="77777777" w:rsidR="00D13C45" w:rsidRDefault="00D13C45" w:rsidP="001F6887">
            <w:pPr>
              <w:jc w:val="center"/>
              <w:rPr>
                <w:rFonts w:ascii="Arial" w:hAnsi="Arial" w:cs="Arial"/>
                <w:b/>
                <w:bCs/>
                <w:sz w:val="16"/>
                <w:szCs w:val="16"/>
              </w:rPr>
            </w:pPr>
            <w:r>
              <w:rPr>
                <w:rFonts w:ascii="Arial" w:hAnsi="Arial" w:cs="Arial"/>
                <w:b/>
                <w:bCs/>
                <w:sz w:val="16"/>
                <w:szCs w:val="16"/>
              </w:rPr>
              <w:t>$5 M</w:t>
            </w:r>
          </w:p>
        </w:tc>
      </w:tr>
      <w:tr w:rsidR="00D13C45" w14:paraId="188E4C10" w14:textId="77777777" w:rsidTr="000B616F">
        <w:trPr>
          <w:trHeight w:val="505"/>
        </w:trPr>
        <w:tc>
          <w:tcPr>
            <w:tcW w:w="2117" w:type="dxa"/>
            <w:tcBorders>
              <w:top w:val="single" w:sz="4" w:space="0" w:color="000000"/>
              <w:left w:val="single" w:sz="4" w:space="0" w:color="000000"/>
              <w:bottom w:val="single" w:sz="4" w:space="0" w:color="000000"/>
              <w:right w:val="single" w:sz="4" w:space="0" w:color="000000"/>
            </w:tcBorders>
            <w:vAlign w:val="center"/>
          </w:tcPr>
          <w:p w14:paraId="630A6B0E" w14:textId="77777777" w:rsidR="00D13C45" w:rsidRDefault="00D13C45" w:rsidP="001F6887">
            <w:pPr>
              <w:jc w:val="center"/>
              <w:rPr>
                <w:rFonts w:ascii="Arial" w:hAnsi="Arial" w:cs="Arial"/>
                <w:sz w:val="16"/>
                <w:szCs w:val="16"/>
              </w:rPr>
            </w:pPr>
            <w:r>
              <w:rPr>
                <w:rFonts w:ascii="Arial" w:hAnsi="Arial" w:cs="Arial"/>
                <w:sz w:val="16"/>
                <w:szCs w:val="16"/>
              </w:rPr>
              <w:t>Coste total del paciente</w:t>
            </w:r>
          </w:p>
        </w:tc>
        <w:tc>
          <w:tcPr>
            <w:tcW w:w="1275" w:type="dxa"/>
            <w:tcBorders>
              <w:top w:val="single" w:sz="4" w:space="0" w:color="000000"/>
              <w:left w:val="single" w:sz="4" w:space="0" w:color="000000"/>
              <w:bottom w:val="single" w:sz="4" w:space="0" w:color="000000"/>
              <w:right w:val="single" w:sz="4" w:space="0" w:color="000000"/>
            </w:tcBorders>
            <w:vAlign w:val="center"/>
          </w:tcPr>
          <w:p w14:paraId="21B9F212" w14:textId="77777777" w:rsidR="00D13C45" w:rsidRDefault="00D13C45" w:rsidP="001F6887">
            <w:pPr>
              <w:jc w:val="center"/>
              <w:rPr>
                <w:rFonts w:ascii="Arial" w:hAnsi="Arial" w:cs="Arial"/>
                <w:sz w:val="16"/>
                <w:szCs w:val="16"/>
              </w:rPr>
            </w:pPr>
            <w:r>
              <w:rPr>
                <w:rFonts w:ascii="Arial" w:hAnsi="Arial" w:cs="Arial"/>
                <w:sz w:val="16"/>
                <w:szCs w:val="16"/>
              </w:rPr>
              <w:t>$ 6.316.711</w:t>
            </w:r>
          </w:p>
        </w:tc>
        <w:tc>
          <w:tcPr>
            <w:tcW w:w="1340" w:type="dxa"/>
            <w:tcBorders>
              <w:top w:val="single" w:sz="4" w:space="0" w:color="000000"/>
              <w:left w:val="single" w:sz="4" w:space="0" w:color="000000"/>
              <w:bottom w:val="single" w:sz="4" w:space="0" w:color="000000"/>
              <w:right w:val="single" w:sz="4" w:space="0" w:color="000000"/>
            </w:tcBorders>
            <w:vAlign w:val="center"/>
          </w:tcPr>
          <w:p w14:paraId="75886B49" w14:textId="77777777" w:rsidR="00D13C45" w:rsidRDefault="00D13C45" w:rsidP="001F6887">
            <w:pPr>
              <w:jc w:val="center"/>
              <w:rPr>
                <w:rFonts w:ascii="Arial" w:hAnsi="Arial" w:cs="Arial"/>
                <w:sz w:val="16"/>
                <w:szCs w:val="16"/>
              </w:rPr>
            </w:pPr>
            <w:r>
              <w:rPr>
                <w:rFonts w:ascii="Arial" w:hAnsi="Arial" w:cs="Arial"/>
                <w:sz w:val="16"/>
                <w:szCs w:val="16"/>
              </w:rPr>
              <w:t>$ 4.214.379</w:t>
            </w:r>
          </w:p>
        </w:tc>
        <w:tc>
          <w:tcPr>
            <w:tcW w:w="1340" w:type="dxa"/>
            <w:tcBorders>
              <w:top w:val="single" w:sz="4" w:space="0" w:color="000000"/>
              <w:left w:val="single" w:sz="4" w:space="0" w:color="000000"/>
              <w:bottom w:val="single" w:sz="4" w:space="0" w:color="000000"/>
              <w:right w:val="single" w:sz="4" w:space="0" w:color="000000"/>
            </w:tcBorders>
            <w:vAlign w:val="center"/>
          </w:tcPr>
          <w:p w14:paraId="0D88CC0E" w14:textId="77777777" w:rsidR="00D13C45" w:rsidRDefault="00D13C45" w:rsidP="001F6887">
            <w:pPr>
              <w:jc w:val="center"/>
              <w:rPr>
                <w:rFonts w:ascii="Arial" w:hAnsi="Arial" w:cs="Arial"/>
                <w:sz w:val="16"/>
                <w:szCs w:val="16"/>
              </w:rPr>
            </w:pPr>
            <w:r>
              <w:rPr>
                <w:rFonts w:ascii="Arial" w:hAnsi="Arial" w:cs="Arial"/>
                <w:sz w:val="16"/>
                <w:szCs w:val="16"/>
              </w:rPr>
              <w:t>$ 4.699.816</w:t>
            </w:r>
          </w:p>
        </w:tc>
        <w:tc>
          <w:tcPr>
            <w:tcW w:w="1340" w:type="dxa"/>
            <w:tcBorders>
              <w:top w:val="single" w:sz="4" w:space="0" w:color="000000"/>
              <w:left w:val="single" w:sz="4" w:space="0" w:color="000000"/>
              <w:bottom w:val="single" w:sz="4" w:space="0" w:color="000000"/>
              <w:right w:val="single" w:sz="4" w:space="0" w:color="000000"/>
            </w:tcBorders>
            <w:vAlign w:val="center"/>
          </w:tcPr>
          <w:p w14:paraId="5408E45D" w14:textId="77777777" w:rsidR="00D13C45" w:rsidRDefault="00D13C45" w:rsidP="001F6887">
            <w:pPr>
              <w:jc w:val="center"/>
              <w:rPr>
                <w:rFonts w:ascii="Arial" w:hAnsi="Arial" w:cs="Arial"/>
                <w:sz w:val="16"/>
                <w:szCs w:val="16"/>
              </w:rPr>
            </w:pPr>
            <w:r>
              <w:rPr>
                <w:rFonts w:ascii="Arial" w:hAnsi="Arial" w:cs="Arial"/>
                <w:sz w:val="16"/>
                <w:szCs w:val="16"/>
              </w:rPr>
              <w:t>$ 5.670.690</w:t>
            </w:r>
          </w:p>
        </w:tc>
        <w:tc>
          <w:tcPr>
            <w:tcW w:w="1387" w:type="dxa"/>
            <w:tcBorders>
              <w:top w:val="single" w:sz="4" w:space="0" w:color="000000"/>
              <w:left w:val="single" w:sz="4" w:space="0" w:color="000000"/>
              <w:bottom w:val="single" w:sz="4" w:space="0" w:color="000000"/>
              <w:right w:val="single" w:sz="4" w:space="0" w:color="000000"/>
            </w:tcBorders>
            <w:vAlign w:val="center"/>
          </w:tcPr>
          <w:p w14:paraId="742DB539" w14:textId="77777777" w:rsidR="00D13C45" w:rsidRDefault="00D13C45" w:rsidP="001F6887">
            <w:pPr>
              <w:jc w:val="center"/>
              <w:rPr>
                <w:rFonts w:ascii="Arial" w:hAnsi="Arial" w:cs="Arial"/>
                <w:sz w:val="16"/>
                <w:szCs w:val="16"/>
              </w:rPr>
            </w:pPr>
            <w:r>
              <w:rPr>
                <w:rFonts w:ascii="Arial" w:hAnsi="Arial" w:cs="Arial"/>
                <w:sz w:val="16"/>
                <w:szCs w:val="16"/>
              </w:rPr>
              <w:t>$ 6.641.564</w:t>
            </w:r>
          </w:p>
        </w:tc>
      </w:tr>
      <w:tr w:rsidR="00D13C45" w14:paraId="71A2B50A" w14:textId="77777777" w:rsidTr="000B616F">
        <w:trPr>
          <w:trHeight w:val="557"/>
        </w:trPr>
        <w:tc>
          <w:tcPr>
            <w:tcW w:w="211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2608BB22" w14:textId="77777777" w:rsidR="00D13C45" w:rsidRDefault="00D13C45" w:rsidP="001F6887">
            <w:pPr>
              <w:jc w:val="center"/>
              <w:rPr>
                <w:rFonts w:ascii="Arial" w:hAnsi="Arial" w:cs="Arial"/>
                <w:b/>
                <w:bCs/>
                <w:sz w:val="16"/>
                <w:szCs w:val="16"/>
              </w:rPr>
            </w:pPr>
            <w:r>
              <w:rPr>
                <w:rFonts w:ascii="Arial" w:hAnsi="Arial" w:cs="Arial"/>
                <w:b/>
                <w:bCs/>
                <w:sz w:val="16"/>
                <w:szCs w:val="16"/>
              </w:rPr>
              <w:t>EFECTOS</w:t>
            </w:r>
          </w:p>
        </w:tc>
        <w:tc>
          <w:tcPr>
            <w:tcW w:w="1275"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37FFDF78" w14:textId="77777777" w:rsidR="00D13C45" w:rsidRDefault="00D13C45" w:rsidP="001F6887">
            <w:pPr>
              <w:jc w:val="center"/>
              <w:rPr>
                <w:rFonts w:ascii="Arial" w:hAnsi="Arial" w:cs="Arial"/>
                <w:b/>
                <w:bCs/>
                <w:sz w:val="16"/>
                <w:szCs w:val="16"/>
              </w:rPr>
            </w:pPr>
            <w:r>
              <w:rPr>
                <w:rFonts w:ascii="Arial" w:hAnsi="Arial" w:cs="Arial"/>
                <w:b/>
                <w:bCs/>
                <w:sz w:val="16"/>
                <w:szCs w:val="16"/>
              </w:rPr>
              <w:t>Nusinersen</w:t>
            </w:r>
          </w:p>
          <w:p w14:paraId="6E2CC972" w14:textId="77777777" w:rsidR="00D13C45" w:rsidRDefault="00D13C45" w:rsidP="001F6887">
            <w:pPr>
              <w:jc w:val="center"/>
              <w:rPr>
                <w:rFonts w:ascii="Arial" w:hAnsi="Arial" w:cs="Arial"/>
                <w:b/>
                <w:bCs/>
                <w:sz w:val="16"/>
                <w:szCs w:val="16"/>
              </w:rPr>
            </w:pPr>
            <w:r>
              <w:rPr>
                <w:rFonts w:ascii="Arial" w:hAnsi="Arial" w:cs="Arial"/>
                <w:b/>
                <w:bCs/>
                <w:sz w:val="16"/>
                <w:szCs w:val="16"/>
              </w:rPr>
              <w:t>(Comparador)</w:t>
            </w:r>
          </w:p>
        </w:tc>
        <w:tc>
          <w:tcPr>
            <w:tcW w:w="5407" w:type="dxa"/>
            <w:gridSpan w:val="4"/>
            <w:tcBorders>
              <w:top w:val="single" w:sz="4" w:space="0" w:color="000000"/>
              <w:left w:val="single" w:sz="4" w:space="0" w:color="000000"/>
              <w:bottom w:val="single" w:sz="4" w:space="0" w:color="000000"/>
              <w:right w:val="single" w:sz="4" w:space="0" w:color="000000"/>
            </w:tcBorders>
            <w:shd w:val="clear" w:color="000000" w:fill="D9D9D9"/>
            <w:vAlign w:val="center"/>
          </w:tcPr>
          <w:p w14:paraId="473905DC" w14:textId="39355FC1" w:rsidR="00D13C45" w:rsidRDefault="00482C21" w:rsidP="00D87D77">
            <w:pPr>
              <w:jc w:val="center"/>
              <w:rPr>
                <w:rFonts w:ascii="Arial" w:hAnsi="Arial" w:cs="Arial"/>
                <w:b/>
                <w:bCs/>
                <w:sz w:val="16"/>
                <w:szCs w:val="16"/>
              </w:rPr>
            </w:pPr>
            <w:r>
              <w:rPr>
                <w:rFonts w:ascii="Arial" w:hAnsi="Arial" w:cs="Arial"/>
                <w:b/>
                <w:bCs/>
                <w:sz w:val="16"/>
                <w:szCs w:val="16"/>
              </w:rPr>
              <w:t>Onasemnogén</w:t>
            </w:r>
            <w:r w:rsidR="00D13C45">
              <w:rPr>
                <w:rFonts w:ascii="Arial" w:hAnsi="Arial" w:cs="Arial"/>
                <w:b/>
                <w:bCs/>
                <w:sz w:val="16"/>
                <w:szCs w:val="16"/>
              </w:rPr>
              <w:t xml:space="preserve"> abeparvovec</w:t>
            </w:r>
          </w:p>
        </w:tc>
      </w:tr>
      <w:tr w:rsidR="00D13C45" w14:paraId="128016BF" w14:textId="77777777" w:rsidTr="000B616F">
        <w:trPr>
          <w:trHeight w:val="255"/>
        </w:trPr>
        <w:tc>
          <w:tcPr>
            <w:tcW w:w="2117" w:type="dxa"/>
            <w:tcBorders>
              <w:top w:val="single" w:sz="4" w:space="0" w:color="000000"/>
              <w:left w:val="single" w:sz="4" w:space="0" w:color="000000"/>
              <w:bottom w:val="single" w:sz="4" w:space="0" w:color="000000"/>
              <w:right w:val="single" w:sz="4" w:space="0" w:color="000000"/>
            </w:tcBorders>
            <w:vAlign w:val="center"/>
          </w:tcPr>
          <w:p w14:paraId="0D68DEC8" w14:textId="77777777" w:rsidR="00D13C45" w:rsidRDefault="00D13C45" w:rsidP="001F6887">
            <w:pPr>
              <w:jc w:val="center"/>
              <w:rPr>
                <w:rFonts w:ascii="Arial" w:hAnsi="Arial" w:cs="Arial"/>
                <w:sz w:val="16"/>
                <w:szCs w:val="16"/>
              </w:rPr>
            </w:pPr>
            <w:r>
              <w:rPr>
                <w:rFonts w:ascii="Arial" w:hAnsi="Arial" w:cs="Arial"/>
                <w:sz w:val="16"/>
                <w:szCs w:val="16"/>
              </w:rPr>
              <w:t>AV</w:t>
            </w:r>
          </w:p>
        </w:tc>
        <w:tc>
          <w:tcPr>
            <w:tcW w:w="1275" w:type="dxa"/>
            <w:tcBorders>
              <w:top w:val="single" w:sz="4" w:space="0" w:color="000000"/>
              <w:left w:val="single" w:sz="4" w:space="0" w:color="000000"/>
              <w:bottom w:val="single" w:sz="4" w:space="0" w:color="000000"/>
              <w:right w:val="single" w:sz="4" w:space="0" w:color="000000"/>
            </w:tcBorders>
            <w:vAlign w:val="center"/>
          </w:tcPr>
          <w:p w14:paraId="0B37598E" w14:textId="77777777" w:rsidR="00D13C45" w:rsidRDefault="00D13C45" w:rsidP="001F6887">
            <w:pPr>
              <w:jc w:val="center"/>
              <w:rPr>
                <w:rFonts w:ascii="Arial" w:hAnsi="Arial" w:cs="Arial"/>
                <w:sz w:val="16"/>
                <w:szCs w:val="16"/>
              </w:rPr>
            </w:pPr>
            <w:r>
              <w:rPr>
                <w:rFonts w:ascii="Arial" w:hAnsi="Arial" w:cs="Arial"/>
                <w:sz w:val="16"/>
                <w:szCs w:val="16"/>
              </w:rPr>
              <w:t>7,11 años</w:t>
            </w:r>
          </w:p>
        </w:tc>
        <w:tc>
          <w:tcPr>
            <w:tcW w:w="5407" w:type="dxa"/>
            <w:gridSpan w:val="4"/>
            <w:tcBorders>
              <w:top w:val="single" w:sz="4" w:space="0" w:color="000000"/>
              <w:left w:val="single" w:sz="4" w:space="0" w:color="000000"/>
              <w:bottom w:val="single" w:sz="4" w:space="0" w:color="000000"/>
              <w:right w:val="single" w:sz="4" w:space="0" w:color="000000"/>
            </w:tcBorders>
            <w:vAlign w:val="center"/>
          </w:tcPr>
          <w:p w14:paraId="65734738" w14:textId="77777777" w:rsidR="00D13C45" w:rsidRDefault="00D13C45" w:rsidP="001F6887">
            <w:pPr>
              <w:jc w:val="center"/>
              <w:rPr>
                <w:rFonts w:ascii="Arial" w:hAnsi="Arial" w:cs="Arial"/>
                <w:sz w:val="16"/>
                <w:szCs w:val="16"/>
              </w:rPr>
            </w:pPr>
            <w:r>
              <w:rPr>
                <w:rFonts w:ascii="Arial" w:hAnsi="Arial" w:cs="Arial"/>
                <w:sz w:val="16"/>
                <w:szCs w:val="16"/>
              </w:rPr>
              <w:t>19,81 años</w:t>
            </w:r>
          </w:p>
        </w:tc>
      </w:tr>
      <w:tr w:rsidR="00D13C45" w14:paraId="13A5FCDC" w14:textId="77777777" w:rsidTr="000B616F">
        <w:trPr>
          <w:trHeight w:val="255"/>
        </w:trPr>
        <w:tc>
          <w:tcPr>
            <w:tcW w:w="2117" w:type="dxa"/>
            <w:tcBorders>
              <w:top w:val="single" w:sz="4" w:space="0" w:color="000000"/>
              <w:left w:val="single" w:sz="4" w:space="0" w:color="000000"/>
              <w:bottom w:val="single" w:sz="4" w:space="0" w:color="000000"/>
              <w:right w:val="single" w:sz="4" w:space="0" w:color="000000"/>
            </w:tcBorders>
            <w:vAlign w:val="center"/>
          </w:tcPr>
          <w:p w14:paraId="56F56A56" w14:textId="77777777" w:rsidR="00D13C45" w:rsidRDefault="00D13C45" w:rsidP="001F6887">
            <w:pPr>
              <w:jc w:val="center"/>
              <w:rPr>
                <w:rFonts w:ascii="Arial" w:hAnsi="Arial" w:cs="Arial"/>
                <w:sz w:val="16"/>
                <w:szCs w:val="16"/>
              </w:rPr>
            </w:pPr>
            <w:r>
              <w:rPr>
                <w:rFonts w:ascii="Arial" w:hAnsi="Arial" w:cs="Arial"/>
                <w:sz w:val="16"/>
                <w:szCs w:val="16"/>
              </w:rPr>
              <w:t>AVAC</w:t>
            </w:r>
          </w:p>
        </w:tc>
        <w:tc>
          <w:tcPr>
            <w:tcW w:w="1275" w:type="dxa"/>
            <w:tcBorders>
              <w:top w:val="single" w:sz="4" w:space="0" w:color="000000"/>
              <w:left w:val="single" w:sz="4" w:space="0" w:color="000000"/>
              <w:bottom w:val="single" w:sz="4" w:space="0" w:color="000000"/>
              <w:right w:val="single" w:sz="4" w:space="0" w:color="000000"/>
            </w:tcBorders>
            <w:vAlign w:val="center"/>
          </w:tcPr>
          <w:p w14:paraId="1FFD53FD" w14:textId="77777777" w:rsidR="00D13C45" w:rsidRDefault="00D13C45" w:rsidP="001F6887">
            <w:pPr>
              <w:jc w:val="center"/>
              <w:rPr>
                <w:rFonts w:ascii="Arial" w:hAnsi="Arial" w:cs="Arial"/>
                <w:sz w:val="16"/>
                <w:szCs w:val="16"/>
              </w:rPr>
            </w:pPr>
            <w:r>
              <w:rPr>
                <w:rFonts w:ascii="Arial" w:hAnsi="Arial" w:cs="Arial"/>
                <w:sz w:val="16"/>
                <w:szCs w:val="16"/>
              </w:rPr>
              <w:t>5,29 AVAC</w:t>
            </w:r>
          </w:p>
        </w:tc>
        <w:tc>
          <w:tcPr>
            <w:tcW w:w="5407" w:type="dxa"/>
            <w:gridSpan w:val="4"/>
            <w:tcBorders>
              <w:top w:val="single" w:sz="4" w:space="0" w:color="000000"/>
              <w:left w:val="single" w:sz="4" w:space="0" w:color="000000"/>
              <w:bottom w:val="single" w:sz="4" w:space="0" w:color="000000"/>
              <w:right w:val="single" w:sz="4" w:space="0" w:color="000000"/>
            </w:tcBorders>
            <w:vAlign w:val="center"/>
          </w:tcPr>
          <w:p w14:paraId="548BD638" w14:textId="77777777" w:rsidR="00D13C45" w:rsidRDefault="00D13C45" w:rsidP="001F6887">
            <w:pPr>
              <w:jc w:val="center"/>
              <w:rPr>
                <w:rFonts w:ascii="Arial" w:hAnsi="Arial" w:cs="Arial"/>
                <w:sz w:val="16"/>
                <w:szCs w:val="16"/>
              </w:rPr>
            </w:pPr>
            <w:r>
              <w:rPr>
                <w:rFonts w:ascii="Arial" w:hAnsi="Arial" w:cs="Arial"/>
                <w:sz w:val="16"/>
                <w:szCs w:val="16"/>
              </w:rPr>
              <w:t>15,65 AVAC</w:t>
            </w:r>
          </w:p>
        </w:tc>
      </w:tr>
      <w:tr w:rsidR="00D13C45" w14:paraId="716D7291" w14:textId="77777777" w:rsidTr="000B616F">
        <w:trPr>
          <w:trHeight w:val="465"/>
        </w:trPr>
        <w:tc>
          <w:tcPr>
            <w:tcW w:w="211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1E24795" w14:textId="77777777" w:rsidR="00D13C45" w:rsidRDefault="00D13C45" w:rsidP="001F6887">
            <w:pPr>
              <w:jc w:val="center"/>
              <w:rPr>
                <w:rFonts w:ascii="Arial" w:hAnsi="Arial" w:cs="Arial"/>
                <w:b/>
                <w:bCs/>
                <w:sz w:val="16"/>
                <w:szCs w:val="16"/>
              </w:rPr>
            </w:pPr>
            <w:r>
              <w:rPr>
                <w:rFonts w:ascii="Arial" w:hAnsi="Arial" w:cs="Arial"/>
                <w:b/>
                <w:bCs/>
                <w:sz w:val="16"/>
                <w:szCs w:val="16"/>
              </w:rPr>
              <w:t>RATIO DE COSTE EFECTIVIDAD INCREMENTAL</w:t>
            </w:r>
          </w:p>
        </w:tc>
        <w:tc>
          <w:tcPr>
            <w:tcW w:w="1275"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0E0F9CB" w14:textId="02CB7D29" w:rsidR="00D13C45" w:rsidRDefault="00D13C45" w:rsidP="001F6887">
            <w:pPr>
              <w:jc w:val="center"/>
              <w:rPr>
                <w:rFonts w:ascii="Arial" w:hAnsi="Arial" w:cs="Arial"/>
                <w:b/>
                <w:bCs/>
                <w:sz w:val="16"/>
                <w:szCs w:val="16"/>
              </w:rPr>
            </w:pPr>
          </w:p>
        </w:tc>
        <w:tc>
          <w:tcPr>
            <w:tcW w:w="134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1DBB259" w14:textId="77777777" w:rsidR="00D13C45" w:rsidRDefault="00D13C45" w:rsidP="001F6887">
            <w:pPr>
              <w:jc w:val="center"/>
              <w:rPr>
                <w:rFonts w:ascii="Arial" w:hAnsi="Arial" w:cs="Arial"/>
                <w:sz w:val="16"/>
                <w:szCs w:val="16"/>
              </w:rPr>
            </w:pPr>
            <w:r>
              <w:rPr>
                <w:rFonts w:ascii="Arial" w:hAnsi="Arial" w:cs="Arial"/>
                <w:sz w:val="16"/>
                <w:szCs w:val="16"/>
              </w:rPr>
              <w:t>Dominante</w:t>
            </w:r>
          </w:p>
        </w:tc>
        <w:tc>
          <w:tcPr>
            <w:tcW w:w="134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3455AC64" w14:textId="77777777" w:rsidR="00D13C45" w:rsidRDefault="00D13C45" w:rsidP="001F6887">
            <w:pPr>
              <w:jc w:val="center"/>
              <w:rPr>
                <w:rFonts w:ascii="Arial" w:hAnsi="Arial" w:cs="Arial"/>
                <w:sz w:val="16"/>
                <w:szCs w:val="16"/>
              </w:rPr>
            </w:pPr>
            <w:r>
              <w:rPr>
                <w:rFonts w:ascii="Arial" w:hAnsi="Arial" w:cs="Arial"/>
                <w:sz w:val="16"/>
                <w:szCs w:val="16"/>
              </w:rPr>
              <w:t>Dominante</w:t>
            </w:r>
          </w:p>
        </w:tc>
        <w:tc>
          <w:tcPr>
            <w:tcW w:w="134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5C34AAC" w14:textId="77777777" w:rsidR="00D13C45" w:rsidRDefault="00D13C45" w:rsidP="001F6887">
            <w:pPr>
              <w:jc w:val="center"/>
              <w:rPr>
                <w:rFonts w:ascii="Arial" w:hAnsi="Arial" w:cs="Arial"/>
                <w:sz w:val="16"/>
                <w:szCs w:val="16"/>
              </w:rPr>
            </w:pPr>
            <w:r>
              <w:rPr>
                <w:rFonts w:ascii="Arial" w:hAnsi="Arial" w:cs="Arial"/>
                <w:sz w:val="16"/>
                <w:szCs w:val="16"/>
              </w:rPr>
              <w:t>Dominante</w:t>
            </w:r>
          </w:p>
        </w:tc>
        <w:tc>
          <w:tcPr>
            <w:tcW w:w="138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0149A3A" w14:textId="77777777" w:rsidR="00D13C45" w:rsidRDefault="00D13C45" w:rsidP="001F6887">
            <w:pPr>
              <w:jc w:val="center"/>
              <w:rPr>
                <w:rFonts w:ascii="Arial" w:hAnsi="Arial" w:cs="Arial"/>
                <w:sz w:val="16"/>
                <w:szCs w:val="16"/>
              </w:rPr>
            </w:pPr>
            <w:r>
              <w:rPr>
                <w:rFonts w:ascii="Arial" w:hAnsi="Arial" w:cs="Arial"/>
                <w:sz w:val="16"/>
                <w:szCs w:val="16"/>
              </w:rPr>
              <w:t>$31.379/AVAC</w:t>
            </w:r>
          </w:p>
        </w:tc>
      </w:tr>
    </w:tbl>
    <w:p w14:paraId="03255B7F" w14:textId="77777777" w:rsidR="00A35C6C" w:rsidRDefault="00A35C6C" w:rsidP="001F6887">
      <w:pPr>
        <w:jc w:val="both"/>
        <w:rPr>
          <w:rFonts w:ascii="Arial" w:hAnsi="Arial" w:cs="Arial"/>
          <w:color w:val="000000"/>
          <w:sz w:val="20"/>
          <w:szCs w:val="20"/>
        </w:rPr>
      </w:pPr>
    </w:p>
    <w:p w14:paraId="32ADB923" w14:textId="408DA09B" w:rsidR="00FA0C0C" w:rsidRDefault="00317461" w:rsidP="001F6887">
      <w:pPr>
        <w:jc w:val="both"/>
        <w:rPr>
          <w:rFonts w:ascii="Arial" w:hAnsi="Arial" w:cs="Arial"/>
          <w:color w:val="000000"/>
          <w:sz w:val="20"/>
          <w:szCs w:val="20"/>
        </w:rPr>
      </w:pPr>
      <w:r>
        <w:rPr>
          <w:rFonts w:ascii="Arial" w:hAnsi="Arial" w:cs="Arial"/>
          <w:color w:val="000000"/>
          <w:sz w:val="20"/>
          <w:szCs w:val="20"/>
        </w:rPr>
        <w:t>L</w:t>
      </w:r>
      <w:r w:rsidR="00FA0C0C">
        <w:rPr>
          <w:rFonts w:ascii="Arial" w:hAnsi="Arial" w:cs="Arial"/>
          <w:color w:val="000000"/>
          <w:sz w:val="20"/>
          <w:szCs w:val="20"/>
        </w:rPr>
        <w:t>a fuente de las que se extrae</w:t>
      </w:r>
      <w:r w:rsidR="004C289A">
        <w:rPr>
          <w:rFonts w:ascii="Arial" w:hAnsi="Arial" w:cs="Arial"/>
          <w:color w:val="000000"/>
          <w:sz w:val="20"/>
          <w:szCs w:val="20"/>
        </w:rPr>
        <w:t>n</w:t>
      </w:r>
      <w:r w:rsidR="00FA0C0C">
        <w:rPr>
          <w:rFonts w:ascii="Arial" w:hAnsi="Arial" w:cs="Arial"/>
          <w:color w:val="000000"/>
          <w:sz w:val="20"/>
          <w:szCs w:val="20"/>
        </w:rPr>
        <w:t xml:space="preserve"> los datos de eficacia </w:t>
      </w:r>
      <w:r>
        <w:rPr>
          <w:rFonts w:ascii="Arial" w:hAnsi="Arial" w:cs="Arial"/>
          <w:color w:val="000000"/>
          <w:sz w:val="20"/>
          <w:szCs w:val="20"/>
        </w:rPr>
        <w:t xml:space="preserve">de </w:t>
      </w:r>
      <w:r w:rsidR="00482C21">
        <w:rPr>
          <w:rFonts w:ascii="Arial" w:hAnsi="Arial" w:cs="Arial"/>
          <w:color w:val="000000"/>
          <w:sz w:val="20"/>
          <w:szCs w:val="20"/>
        </w:rPr>
        <w:t>onasemnogén</w:t>
      </w:r>
      <w:r w:rsidR="00463AEF" w:rsidRPr="00463AEF">
        <w:rPr>
          <w:rFonts w:ascii="Arial" w:hAnsi="Arial" w:cs="Arial"/>
          <w:color w:val="000000"/>
          <w:sz w:val="20"/>
          <w:szCs w:val="20"/>
        </w:rPr>
        <w:t xml:space="preserve"> abeparvocec</w:t>
      </w:r>
      <w:r>
        <w:rPr>
          <w:rFonts w:ascii="Arial" w:hAnsi="Arial" w:cs="Arial"/>
          <w:color w:val="000000"/>
          <w:sz w:val="20"/>
          <w:szCs w:val="20"/>
        </w:rPr>
        <w:t xml:space="preserve"> es un ensayo</w:t>
      </w:r>
      <w:r w:rsidR="005A4CB5">
        <w:rPr>
          <w:rFonts w:ascii="Arial" w:hAnsi="Arial" w:cs="Arial"/>
          <w:color w:val="000000"/>
          <w:sz w:val="20"/>
          <w:szCs w:val="20"/>
        </w:rPr>
        <w:t xml:space="preserve"> clínico</w:t>
      </w:r>
      <w:r w:rsidR="00FA0C0C">
        <w:rPr>
          <w:rFonts w:ascii="Arial" w:hAnsi="Arial" w:cs="Arial"/>
          <w:color w:val="000000"/>
          <w:sz w:val="20"/>
          <w:szCs w:val="20"/>
        </w:rPr>
        <w:t xml:space="preserve"> no c</w:t>
      </w:r>
      <w:r w:rsidR="005A4CB5">
        <w:rPr>
          <w:rFonts w:ascii="Arial" w:hAnsi="Arial" w:cs="Arial"/>
          <w:color w:val="000000"/>
          <w:sz w:val="20"/>
          <w:szCs w:val="20"/>
        </w:rPr>
        <w:t>omparativo</w:t>
      </w:r>
      <w:r w:rsidR="00FA0C0C">
        <w:rPr>
          <w:rFonts w:ascii="Arial" w:hAnsi="Arial" w:cs="Arial"/>
          <w:color w:val="000000"/>
          <w:sz w:val="20"/>
          <w:szCs w:val="20"/>
        </w:rPr>
        <w:t>, por lo que tiene el problema de la dificultad para comparar dat</w:t>
      </w:r>
      <w:r w:rsidR="00233C79">
        <w:rPr>
          <w:rFonts w:ascii="Arial" w:hAnsi="Arial" w:cs="Arial"/>
          <w:color w:val="000000"/>
          <w:sz w:val="20"/>
          <w:szCs w:val="20"/>
        </w:rPr>
        <w:t>os procedentes de ensayos no controlado</w:t>
      </w:r>
      <w:r w:rsidR="00FA0C0C">
        <w:rPr>
          <w:rFonts w:ascii="Arial" w:hAnsi="Arial" w:cs="Arial"/>
          <w:color w:val="000000"/>
          <w:sz w:val="20"/>
          <w:szCs w:val="20"/>
        </w:rPr>
        <w:t xml:space="preserve">. </w:t>
      </w:r>
      <w:r w:rsidR="005673CF">
        <w:rPr>
          <w:rFonts w:ascii="Arial" w:hAnsi="Arial" w:cs="Arial"/>
          <w:color w:val="000000"/>
          <w:sz w:val="20"/>
          <w:szCs w:val="20"/>
        </w:rPr>
        <w:t>Sí que</w:t>
      </w:r>
      <w:r w:rsidR="00FA0C0C">
        <w:rPr>
          <w:rFonts w:ascii="Arial" w:hAnsi="Arial" w:cs="Arial"/>
          <w:color w:val="000000"/>
          <w:sz w:val="20"/>
          <w:szCs w:val="20"/>
        </w:rPr>
        <w:t xml:space="preserve"> se especifica que la selección de los estudios se realiz</w:t>
      </w:r>
      <w:r w:rsidR="005673CF">
        <w:rPr>
          <w:rFonts w:ascii="Arial" w:hAnsi="Arial" w:cs="Arial"/>
          <w:color w:val="000000"/>
          <w:sz w:val="20"/>
          <w:szCs w:val="20"/>
        </w:rPr>
        <w:t>ó</w:t>
      </w:r>
      <w:r w:rsidR="00FA0C0C">
        <w:rPr>
          <w:rFonts w:ascii="Arial" w:hAnsi="Arial" w:cs="Arial"/>
          <w:color w:val="000000"/>
          <w:sz w:val="20"/>
          <w:szCs w:val="20"/>
        </w:rPr>
        <w:t xml:space="preserve"> en base a la similitud entre las poblaciones incluidas en los mismos</w:t>
      </w:r>
      <w:r w:rsidR="005673CF">
        <w:rPr>
          <w:rFonts w:ascii="Arial" w:hAnsi="Arial" w:cs="Arial"/>
          <w:color w:val="000000"/>
          <w:sz w:val="20"/>
          <w:szCs w:val="20"/>
        </w:rPr>
        <w:t xml:space="preserve"> para minimizar</w:t>
      </w:r>
      <w:r w:rsidR="00FA0C0C">
        <w:rPr>
          <w:rFonts w:ascii="Arial" w:hAnsi="Arial" w:cs="Arial"/>
          <w:color w:val="000000"/>
          <w:sz w:val="20"/>
          <w:szCs w:val="20"/>
        </w:rPr>
        <w:t xml:space="preserve"> la incertidumbre a la hora de establecer comparaciones.</w:t>
      </w:r>
      <w:r w:rsidR="004C289A">
        <w:rPr>
          <w:rFonts w:ascii="Arial" w:hAnsi="Arial" w:cs="Arial"/>
          <w:color w:val="000000"/>
          <w:sz w:val="20"/>
          <w:szCs w:val="20"/>
        </w:rPr>
        <w:t xml:space="preserve"> Actualmente ya se dispone de otro ensayo en este tipo de pacientes </w:t>
      </w:r>
      <w:r w:rsidR="004C289A" w:rsidRPr="00036A6B">
        <w:rPr>
          <w:rFonts w:ascii="Arial" w:hAnsi="Arial" w:cs="Arial"/>
          <w:sz w:val="20"/>
          <w:szCs w:val="20"/>
        </w:rPr>
        <w:t>con</w:t>
      </w:r>
      <w:r w:rsidR="004D406D" w:rsidRPr="00036A6B">
        <w:rPr>
          <w:rFonts w:ascii="Arial" w:hAnsi="Arial" w:cs="Arial"/>
          <w:sz w:val="20"/>
          <w:szCs w:val="20"/>
        </w:rPr>
        <w:t xml:space="preserve"> un</w:t>
      </w:r>
      <w:r w:rsidR="004C289A" w:rsidRPr="00036A6B">
        <w:rPr>
          <w:rFonts w:ascii="Arial" w:hAnsi="Arial" w:cs="Arial"/>
          <w:sz w:val="20"/>
          <w:szCs w:val="20"/>
        </w:rPr>
        <w:t>a</w:t>
      </w:r>
      <w:r w:rsidR="004D406D" w:rsidRPr="00036A6B">
        <w:rPr>
          <w:rFonts w:ascii="Arial" w:hAnsi="Arial" w:cs="Arial"/>
          <w:sz w:val="20"/>
          <w:szCs w:val="20"/>
        </w:rPr>
        <w:t xml:space="preserve"> </w:t>
      </w:r>
      <w:r w:rsidR="004C289A">
        <w:rPr>
          <w:rFonts w:ascii="Arial" w:hAnsi="Arial" w:cs="Arial"/>
          <w:color w:val="000000"/>
          <w:sz w:val="20"/>
          <w:szCs w:val="20"/>
        </w:rPr>
        <w:t>población mayor, aunque también se trata de un estudio no comparativo y con escaso seguimiento hasta ahora (STR1VE-US)</w:t>
      </w:r>
    </w:p>
    <w:p w14:paraId="53ABF1CA" w14:textId="77777777" w:rsidR="00A35C6C" w:rsidRDefault="00A35C6C" w:rsidP="001F6887">
      <w:pPr>
        <w:jc w:val="both"/>
        <w:rPr>
          <w:rFonts w:ascii="Arial" w:hAnsi="Arial" w:cs="Arial"/>
          <w:color w:val="000000"/>
          <w:sz w:val="20"/>
          <w:szCs w:val="20"/>
        </w:rPr>
      </w:pPr>
    </w:p>
    <w:p w14:paraId="5F576D47" w14:textId="5DAF80F1" w:rsidR="005673CF" w:rsidRDefault="004C289A" w:rsidP="001F6887">
      <w:pPr>
        <w:jc w:val="both"/>
        <w:rPr>
          <w:rFonts w:ascii="Arial" w:hAnsi="Arial" w:cs="Arial"/>
          <w:color w:val="000000"/>
          <w:sz w:val="20"/>
          <w:szCs w:val="20"/>
        </w:rPr>
      </w:pPr>
      <w:r>
        <w:rPr>
          <w:rFonts w:ascii="Arial" w:hAnsi="Arial" w:cs="Arial"/>
          <w:sz w:val="20"/>
          <w:szCs w:val="20"/>
        </w:rPr>
        <w:t xml:space="preserve">En </w:t>
      </w:r>
      <w:r w:rsidR="0068502A">
        <w:rPr>
          <w:rFonts w:ascii="Arial" w:hAnsi="Arial" w:cs="Arial"/>
          <w:sz w:val="20"/>
          <w:szCs w:val="20"/>
        </w:rPr>
        <w:t>este estudio de coste-utilidad</w:t>
      </w:r>
      <w:r w:rsidR="005F53B9">
        <w:rPr>
          <w:rFonts w:ascii="Arial" w:hAnsi="Arial" w:cs="Arial"/>
          <w:sz w:val="20"/>
          <w:szCs w:val="20"/>
        </w:rPr>
        <w:t xml:space="preserve"> se utiliza un modelo</w:t>
      </w:r>
      <w:r w:rsidR="00FD5F5B">
        <w:rPr>
          <w:rFonts w:ascii="Arial" w:hAnsi="Arial" w:cs="Arial"/>
          <w:sz w:val="20"/>
          <w:szCs w:val="20"/>
        </w:rPr>
        <w:t xml:space="preserve"> Markov</w:t>
      </w:r>
      <w:r w:rsidR="005F53B9">
        <w:rPr>
          <w:rFonts w:ascii="Arial" w:hAnsi="Arial" w:cs="Arial"/>
          <w:sz w:val="20"/>
          <w:szCs w:val="20"/>
        </w:rPr>
        <w:t xml:space="preserve"> </w:t>
      </w:r>
      <w:r w:rsidR="009A264F">
        <w:rPr>
          <w:rFonts w:ascii="Arial" w:hAnsi="Arial" w:cs="Arial"/>
          <w:sz w:val="20"/>
          <w:szCs w:val="20"/>
        </w:rPr>
        <w:t xml:space="preserve">que simula la experiencia de niños con AME tipo 1 y 2 copias de SMN2, diagnosticados antes de los 6 meses y tratados con </w:t>
      </w:r>
      <w:r w:rsidR="00482C21">
        <w:rPr>
          <w:rFonts w:ascii="Arial" w:hAnsi="Arial" w:cs="Arial"/>
          <w:sz w:val="20"/>
          <w:szCs w:val="20"/>
        </w:rPr>
        <w:t>onasemnogén</w:t>
      </w:r>
      <w:r w:rsidR="00463AEF" w:rsidRPr="00463AEF">
        <w:rPr>
          <w:rFonts w:ascii="Arial" w:hAnsi="Arial" w:cs="Arial"/>
          <w:sz w:val="20"/>
          <w:szCs w:val="20"/>
        </w:rPr>
        <w:t xml:space="preserve"> abeparvocec </w:t>
      </w:r>
      <w:r w:rsidR="009A264F" w:rsidRPr="00317461">
        <w:rPr>
          <w:rFonts w:ascii="Arial" w:hAnsi="Arial" w:cs="Arial"/>
          <w:color w:val="000000"/>
          <w:sz w:val="20"/>
          <w:szCs w:val="20"/>
          <w:vertAlign w:val="superscript"/>
        </w:rPr>
        <w:t>®</w:t>
      </w:r>
      <w:r w:rsidR="009A264F">
        <w:rPr>
          <w:rFonts w:ascii="Arial" w:hAnsi="Arial" w:cs="Arial"/>
          <w:color w:val="000000"/>
          <w:sz w:val="20"/>
          <w:szCs w:val="20"/>
          <w:vertAlign w:val="superscript"/>
        </w:rPr>
        <w:t xml:space="preserve"> </w:t>
      </w:r>
      <w:r w:rsidR="009A264F">
        <w:rPr>
          <w:rFonts w:ascii="Arial" w:hAnsi="Arial" w:cs="Arial"/>
          <w:color w:val="000000"/>
          <w:sz w:val="20"/>
          <w:szCs w:val="20"/>
        </w:rPr>
        <w:t xml:space="preserve">o </w:t>
      </w:r>
      <w:r w:rsidR="0067181B">
        <w:rPr>
          <w:rFonts w:ascii="Arial" w:hAnsi="Arial" w:cs="Arial"/>
          <w:color w:val="000000"/>
          <w:sz w:val="20"/>
          <w:szCs w:val="20"/>
        </w:rPr>
        <w:t>nusinersen</w:t>
      </w:r>
      <w:r w:rsidR="009A264F">
        <w:rPr>
          <w:rFonts w:ascii="Arial" w:hAnsi="Arial" w:cs="Arial"/>
          <w:color w:val="000000"/>
          <w:sz w:val="20"/>
          <w:szCs w:val="20"/>
        </w:rPr>
        <w:t xml:space="preserve"> junto al tratamiento de soporte habitual. El modelo utiliza un horizonte temporal </w:t>
      </w:r>
      <w:r w:rsidR="00295619">
        <w:rPr>
          <w:rFonts w:ascii="Arial" w:hAnsi="Arial" w:cs="Arial"/>
          <w:color w:val="000000"/>
          <w:sz w:val="20"/>
          <w:szCs w:val="20"/>
        </w:rPr>
        <w:t>vitalicio</w:t>
      </w:r>
      <w:r w:rsidR="009A264F">
        <w:rPr>
          <w:rFonts w:ascii="Arial" w:hAnsi="Arial" w:cs="Arial"/>
          <w:color w:val="000000"/>
          <w:sz w:val="20"/>
          <w:szCs w:val="20"/>
        </w:rPr>
        <w:t xml:space="preserve"> para capturar todos los eventos y costes asociados. El m</w:t>
      </w:r>
      <w:r w:rsidR="00295619">
        <w:rPr>
          <w:rFonts w:ascii="Arial" w:hAnsi="Arial" w:cs="Arial"/>
          <w:color w:val="000000"/>
          <w:sz w:val="20"/>
          <w:szCs w:val="20"/>
        </w:rPr>
        <w:t>arco del modelo se contextualizó</w:t>
      </w:r>
      <w:r w:rsidR="009A264F">
        <w:rPr>
          <w:rFonts w:ascii="Arial" w:hAnsi="Arial" w:cs="Arial"/>
          <w:color w:val="000000"/>
          <w:sz w:val="20"/>
          <w:szCs w:val="20"/>
        </w:rPr>
        <w:t xml:space="preserve"> con grupos de expertos, ensayos clínicos de </w:t>
      </w:r>
      <w:r w:rsidR="0067181B">
        <w:rPr>
          <w:rFonts w:ascii="Arial" w:hAnsi="Arial" w:cs="Arial"/>
          <w:color w:val="000000"/>
          <w:sz w:val="20"/>
          <w:szCs w:val="20"/>
        </w:rPr>
        <w:t>nusinersen</w:t>
      </w:r>
      <w:r w:rsidR="009A264F">
        <w:rPr>
          <w:rFonts w:ascii="Arial" w:hAnsi="Arial" w:cs="Arial"/>
          <w:color w:val="000000"/>
          <w:sz w:val="20"/>
          <w:szCs w:val="20"/>
        </w:rPr>
        <w:t xml:space="preserve"> y otros modelos para trastornos genéticos raros similares. En el modelo se diseñaron </w:t>
      </w:r>
      <w:r w:rsidR="005673CF">
        <w:rPr>
          <w:rFonts w:ascii="Arial" w:hAnsi="Arial" w:cs="Arial"/>
          <w:color w:val="000000"/>
          <w:sz w:val="20"/>
          <w:szCs w:val="20"/>
        </w:rPr>
        <w:t xml:space="preserve">6 estados: A (desarrollo de vida normal), B (hito motor de caminar), C (hito motor de sentarse), D (vivir sin ventilación </w:t>
      </w:r>
      <w:r w:rsidR="00B200AE">
        <w:rPr>
          <w:rFonts w:ascii="Arial" w:hAnsi="Arial" w:cs="Arial"/>
          <w:color w:val="000000"/>
          <w:sz w:val="20"/>
          <w:szCs w:val="20"/>
        </w:rPr>
        <w:t>permanente,</w:t>
      </w:r>
      <w:r w:rsidR="005673CF">
        <w:rPr>
          <w:rFonts w:ascii="Arial" w:hAnsi="Arial" w:cs="Arial"/>
          <w:color w:val="000000"/>
          <w:sz w:val="20"/>
          <w:szCs w:val="20"/>
        </w:rPr>
        <w:t xml:space="preserve"> pero sin sentarse), E (ventilación asistida permanente) y muerte.</w:t>
      </w:r>
      <w:r w:rsidR="009A264F">
        <w:rPr>
          <w:rFonts w:ascii="Arial" w:hAnsi="Arial" w:cs="Arial"/>
          <w:color w:val="000000"/>
          <w:sz w:val="20"/>
          <w:szCs w:val="20"/>
          <w:vertAlign w:val="superscript"/>
        </w:rPr>
        <w:t xml:space="preserve"> </w:t>
      </w:r>
      <w:r w:rsidR="005673CF">
        <w:rPr>
          <w:rFonts w:ascii="Arial" w:hAnsi="Arial" w:cs="Arial"/>
          <w:color w:val="000000"/>
          <w:sz w:val="20"/>
          <w:szCs w:val="20"/>
          <w:vertAlign w:val="superscript"/>
        </w:rPr>
        <w:t xml:space="preserve"> </w:t>
      </w:r>
      <w:r w:rsidR="005673CF">
        <w:rPr>
          <w:rFonts w:ascii="Arial" w:hAnsi="Arial" w:cs="Arial"/>
          <w:color w:val="000000"/>
          <w:sz w:val="20"/>
          <w:szCs w:val="20"/>
        </w:rPr>
        <w:t xml:space="preserve">El modelo tiene una duración de ciclos de 6 meses, durante los primeros 3 años, y, a partir de ahí, de 12 meses para todos los ciclos. </w:t>
      </w:r>
    </w:p>
    <w:p w14:paraId="10D60F99" w14:textId="2607D76A" w:rsidR="00B200AE" w:rsidRPr="005673CF" w:rsidRDefault="00B200AE" w:rsidP="0067181B">
      <w:pPr>
        <w:jc w:val="center"/>
        <w:rPr>
          <w:rFonts w:ascii="Arial" w:hAnsi="Arial" w:cs="Arial"/>
          <w:color w:val="000000"/>
          <w:sz w:val="20"/>
          <w:szCs w:val="20"/>
        </w:rPr>
      </w:pPr>
      <w:r>
        <w:rPr>
          <w:noProof/>
        </w:rPr>
        <w:lastRenderedPageBreak/>
        <w:drawing>
          <wp:inline distT="0" distB="0" distL="0" distR="0" wp14:anchorId="15DFD4E1" wp14:editId="0A1AC3AE">
            <wp:extent cx="4871923" cy="2277180"/>
            <wp:effectExtent l="0" t="0" r="508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39" t="37830" r="37159" b="36910"/>
                    <a:stretch/>
                  </pic:blipFill>
                  <pic:spPr bwMode="auto">
                    <a:xfrm>
                      <a:off x="0" y="0"/>
                      <a:ext cx="4892538" cy="2286815"/>
                    </a:xfrm>
                    <a:prstGeom prst="rect">
                      <a:avLst/>
                    </a:prstGeom>
                    <a:ln>
                      <a:noFill/>
                    </a:ln>
                    <a:extLst>
                      <a:ext uri="{53640926-AAD7-44D8-BBD7-CCE9431645EC}">
                        <a14:shadowObscured xmlns:a14="http://schemas.microsoft.com/office/drawing/2010/main"/>
                      </a:ext>
                    </a:extLst>
                  </pic:spPr>
                </pic:pic>
              </a:graphicData>
            </a:graphic>
          </wp:inline>
        </w:drawing>
      </w:r>
    </w:p>
    <w:p w14:paraId="0ED46835" w14:textId="77777777" w:rsidR="004C289A" w:rsidRDefault="004C289A" w:rsidP="001F6887">
      <w:pPr>
        <w:jc w:val="center"/>
        <w:rPr>
          <w:rFonts w:ascii="Arial" w:hAnsi="Arial" w:cs="Arial"/>
          <w:b/>
          <w:color w:val="000000"/>
          <w:sz w:val="20"/>
          <w:szCs w:val="20"/>
        </w:rPr>
      </w:pPr>
    </w:p>
    <w:p w14:paraId="0667BD9C" w14:textId="1A6D5BD3" w:rsidR="00A35C6C" w:rsidRPr="004C289A" w:rsidRDefault="004C289A" w:rsidP="001F6887">
      <w:pPr>
        <w:jc w:val="center"/>
        <w:rPr>
          <w:rFonts w:ascii="Arial" w:hAnsi="Arial" w:cs="Arial"/>
          <w:b/>
          <w:color w:val="000000"/>
          <w:sz w:val="20"/>
          <w:szCs w:val="20"/>
        </w:rPr>
      </w:pPr>
      <w:r>
        <w:rPr>
          <w:rFonts w:ascii="Arial" w:hAnsi="Arial" w:cs="Arial"/>
          <w:b/>
          <w:color w:val="000000"/>
          <w:sz w:val="20"/>
          <w:szCs w:val="20"/>
        </w:rPr>
        <w:t>Figura 2. Estados de salud para AME tipo 1. Malo</w:t>
      </w:r>
      <w:r w:rsidR="00463AEF">
        <w:rPr>
          <w:rFonts w:ascii="Arial" w:hAnsi="Arial" w:cs="Arial"/>
          <w:b/>
          <w:color w:val="000000"/>
          <w:sz w:val="20"/>
          <w:szCs w:val="20"/>
        </w:rPr>
        <w:t>n</w:t>
      </w:r>
      <w:r>
        <w:rPr>
          <w:rFonts w:ascii="Arial" w:hAnsi="Arial" w:cs="Arial"/>
          <w:b/>
          <w:color w:val="000000"/>
          <w:sz w:val="20"/>
          <w:szCs w:val="20"/>
        </w:rPr>
        <w:t>e et al.</w:t>
      </w:r>
      <w:r w:rsidRPr="004C289A">
        <w:rPr>
          <w:rFonts w:ascii="Arial" w:hAnsi="Arial" w:cs="Arial"/>
          <w:b/>
          <w:color w:val="000000"/>
          <w:sz w:val="20"/>
          <w:szCs w:val="20"/>
          <w:vertAlign w:val="superscript"/>
        </w:rPr>
        <w:fldChar w:fldCharType="begin"/>
      </w:r>
      <w:r w:rsidRPr="004C289A">
        <w:rPr>
          <w:rFonts w:ascii="Arial" w:hAnsi="Arial" w:cs="Arial"/>
          <w:b/>
          <w:color w:val="000000"/>
          <w:sz w:val="20"/>
          <w:szCs w:val="20"/>
          <w:vertAlign w:val="superscript"/>
        </w:rPr>
        <w:instrText xml:space="preserve"> NOTEREF _Ref52799961 \h </w:instrText>
      </w:r>
      <w:r>
        <w:rPr>
          <w:rFonts w:ascii="Arial" w:hAnsi="Arial" w:cs="Arial"/>
          <w:b/>
          <w:color w:val="000000"/>
          <w:sz w:val="20"/>
          <w:szCs w:val="20"/>
          <w:vertAlign w:val="superscript"/>
        </w:rPr>
        <w:instrText xml:space="preserve"> \* MERGEFORMAT </w:instrText>
      </w:r>
      <w:r w:rsidRPr="004C289A">
        <w:rPr>
          <w:rFonts w:ascii="Arial" w:hAnsi="Arial" w:cs="Arial"/>
          <w:b/>
          <w:color w:val="000000"/>
          <w:sz w:val="20"/>
          <w:szCs w:val="20"/>
          <w:vertAlign w:val="superscript"/>
        </w:rPr>
      </w:r>
      <w:r w:rsidRPr="004C289A">
        <w:rPr>
          <w:rFonts w:ascii="Arial" w:hAnsi="Arial" w:cs="Arial"/>
          <w:b/>
          <w:color w:val="000000"/>
          <w:sz w:val="20"/>
          <w:szCs w:val="20"/>
          <w:vertAlign w:val="superscript"/>
        </w:rPr>
        <w:fldChar w:fldCharType="separate"/>
      </w:r>
      <w:r w:rsidR="00E277F2">
        <w:rPr>
          <w:rFonts w:ascii="Arial" w:hAnsi="Arial" w:cs="Arial"/>
          <w:b/>
          <w:color w:val="000000"/>
          <w:sz w:val="20"/>
          <w:szCs w:val="20"/>
          <w:vertAlign w:val="superscript"/>
        </w:rPr>
        <w:t>28</w:t>
      </w:r>
      <w:r w:rsidRPr="004C289A">
        <w:rPr>
          <w:rFonts w:ascii="Arial" w:hAnsi="Arial" w:cs="Arial"/>
          <w:b/>
          <w:color w:val="000000"/>
          <w:sz w:val="20"/>
          <w:szCs w:val="20"/>
          <w:vertAlign w:val="superscript"/>
        </w:rPr>
        <w:fldChar w:fldCharType="end"/>
      </w:r>
    </w:p>
    <w:p w14:paraId="64354A76" w14:textId="77777777" w:rsidR="004C289A" w:rsidRDefault="004C289A" w:rsidP="001F6887">
      <w:pPr>
        <w:jc w:val="both"/>
        <w:rPr>
          <w:rFonts w:ascii="Arial" w:hAnsi="Arial" w:cs="Arial"/>
          <w:color w:val="000000"/>
          <w:sz w:val="20"/>
          <w:szCs w:val="20"/>
        </w:rPr>
      </w:pPr>
    </w:p>
    <w:p w14:paraId="2AACEC30" w14:textId="4AE64382" w:rsidR="00295619" w:rsidRDefault="00295619" w:rsidP="001F6887">
      <w:pPr>
        <w:jc w:val="both"/>
        <w:rPr>
          <w:rFonts w:ascii="Arial" w:hAnsi="Arial" w:cs="Arial"/>
          <w:color w:val="000000"/>
          <w:sz w:val="20"/>
          <w:szCs w:val="20"/>
        </w:rPr>
      </w:pPr>
      <w:r>
        <w:rPr>
          <w:rFonts w:ascii="Arial" w:hAnsi="Arial" w:cs="Arial"/>
          <w:color w:val="000000"/>
          <w:sz w:val="20"/>
          <w:szCs w:val="20"/>
        </w:rPr>
        <w:t>Durante el desarrollo del modelo se asumen varias premisas:</w:t>
      </w:r>
    </w:p>
    <w:p w14:paraId="618270FB" w14:textId="77777777" w:rsidR="004C289A" w:rsidRDefault="004C289A" w:rsidP="001F6887">
      <w:pPr>
        <w:jc w:val="both"/>
        <w:rPr>
          <w:rFonts w:ascii="Arial" w:hAnsi="Arial" w:cs="Arial"/>
          <w:color w:val="000000"/>
          <w:sz w:val="20"/>
          <w:szCs w:val="20"/>
        </w:rPr>
      </w:pPr>
    </w:p>
    <w:p w14:paraId="7EB8A5EB" w14:textId="704A698B" w:rsidR="00295619" w:rsidRDefault="00223CD5" w:rsidP="00463AEF">
      <w:pPr>
        <w:pStyle w:val="Prrafodelista"/>
        <w:numPr>
          <w:ilvl w:val="0"/>
          <w:numId w:val="4"/>
        </w:numPr>
        <w:jc w:val="both"/>
        <w:rPr>
          <w:rFonts w:ascii="Arial" w:hAnsi="Arial" w:cs="Arial"/>
          <w:color w:val="000000"/>
          <w:sz w:val="20"/>
          <w:szCs w:val="20"/>
        </w:rPr>
      </w:pPr>
      <w:r w:rsidRPr="00223CD5">
        <w:rPr>
          <w:rFonts w:ascii="Arial" w:hAnsi="Arial" w:cs="Arial"/>
          <w:color w:val="000000"/>
          <w:sz w:val="20"/>
          <w:szCs w:val="20"/>
          <w:u w:val="single"/>
        </w:rPr>
        <w:t>Duración del efecto</w:t>
      </w:r>
      <w:r>
        <w:rPr>
          <w:rFonts w:ascii="Arial" w:hAnsi="Arial" w:cs="Arial"/>
          <w:color w:val="000000"/>
          <w:sz w:val="20"/>
          <w:szCs w:val="20"/>
        </w:rPr>
        <w:t xml:space="preserve">: Se considera que la duración de la dosis única de </w:t>
      </w:r>
      <w:r w:rsidR="00482C21">
        <w:rPr>
          <w:rFonts w:ascii="Arial" w:hAnsi="Arial" w:cs="Arial"/>
          <w:color w:val="000000"/>
          <w:sz w:val="20"/>
          <w:szCs w:val="20"/>
        </w:rPr>
        <w:t>onasemnogén</w:t>
      </w:r>
      <w:r w:rsidR="00463AEF" w:rsidRPr="00463AEF">
        <w:rPr>
          <w:rFonts w:ascii="Arial" w:hAnsi="Arial" w:cs="Arial"/>
          <w:color w:val="000000"/>
          <w:sz w:val="20"/>
          <w:szCs w:val="20"/>
        </w:rPr>
        <w:t xml:space="preserve"> abeparvocec</w:t>
      </w:r>
      <w:r>
        <w:rPr>
          <w:rFonts w:ascii="Arial" w:hAnsi="Arial" w:cs="Arial"/>
          <w:color w:val="000000"/>
          <w:sz w:val="20"/>
          <w:szCs w:val="20"/>
        </w:rPr>
        <w:t xml:space="preserve"> será para toda la vida mientras que para lograr el mismo efecto con </w:t>
      </w:r>
      <w:r w:rsidR="0067181B">
        <w:rPr>
          <w:rFonts w:ascii="Arial" w:hAnsi="Arial" w:cs="Arial"/>
          <w:color w:val="000000"/>
          <w:sz w:val="20"/>
          <w:szCs w:val="20"/>
        </w:rPr>
        <w:t xml:space="preserve">nusinersen </w:t>
      </w:r>
      <w:r>
        <w:rPr>
          <w:rFonts w:ascii="Arial" w:hAnsi="Arial" w:cs="Arial"/>
          <w:color w:val="000000"/>
          <w:sz w:val="20"/>
          <w:szCs w:val="20"/>
        </w:rPr>
        <w:t>será necesario recibir el tratamiento de forma continua</w:t>
      </w:r>
      <w:r w:rsidR="00FF39A5">
        <w:rPr>
          <w:rFonts w:ascii="Arial" w:hAnsi="Arial" w:cs="Arial"/>
          <w:color w:val="000000"/>
          <w:sz w:val="20"/>
          <w:szCs w:val="20"/>
        </w:rPr>
        <w:t>.</w:t>
      </w:r>
    </w:p>
    <w:p w14:paraId="60D4C88D" w14:textId="77777777" w:rsidR="004C289A" w:rsidRDefault="004C289A" w:rsidP="001F6887">
      <w:pPr>
        <w:pStyle w:val="Prrafodelista"/>
        <w:ind w:left="720"/>
        <w:jc w:val="both"/>
        <w:rPr>
          <w:rFonts w:ascii="Arial" w:hAnsi="Arial" w:cs="Arial"/>
          <w:color w:val="000000"/>
          <w:sz w:val="20"/>
          <w:szCs w:val="20"/>
        </w:rPr>
      </w:pPr>
    </w:p>
    <w:p w14:paraId="5DBF91A5" w14:textId="1781FEF4" w:rsidR="00E04F91" w:rsidRDefault="00E04F91" w:rsidP="001F6887">
      <w:pPr>
        <w:pStyle w:val="Prrafodelista"/>
        <w:numPr>
          <w:ilvl w:val="0"/>
          <w:numId w:val="4"/>
        </w:numPr>
        <w:jc w:val="both"/>
        <w:rPr>
          <w:rFonts w:ascii="Arial" w:hAnsi="Arial" w:cs="Arial"/>
          <w:color w:val="000000"/>
          <w:sz w:val="20"/>
          <w:szCs w:val="20"/>
        </w:rPr>
      </w:pPr>
      <w:r>
        <w:rPr>
          <w:rFonts w:ascii="Arial" w:hAnsi="Arial" w:cs="Arial"/>
          <w:color w:val="000000"/>
          <w:sz w:val="20"/>
          <w:szCs w:val="20"/>
          <w:u w:val="single"/>
        </w:rPr>
        <w:t>Supervivencia</w:t>
      </w:r>
      <w:r w:rsidRPr="00E04F91">
        <w:rPr>
          <w:rFonts w:ascii="Arial" w:hAnsi="Arial" w:cs="Arial"/>
          <w:color w:val="000000"/>
          <w:sz w:val="20"/>
          <w:szCs w:val="20"/>
        </w:rPr>
        <w:t>:</w:t>
      </w:r>
      <w:r>
        <w:rPr>
          <w:rFonts w:ascii="Arial" w:hAnsi="Arial" w:cs="Arial"/>
          <w:color w:val="000000"/>
          <w:sz w:val="20"/>
          <w:szCs w:val="20"/>
        </w:rPr>
        <w:t xml:space="preserve"> </w:t>
      </w:r>
      <w:r w:rsidR="00FD7D56">
        <w:rPr>
          <w:rFonts w:ascii="Arial" w:hAnsi="Arial" w:cs="Arial"/>
          <w:color w:val="000000"/>
          <w:sz w:val="20"/>
          <w:szCs w:val="20"/>
        </w:rPr>
        <w:t xml:space="preserve">El tratamiento genera hitos motores que se supone prolongarán la supervivencia más allá del tiempo </w:t>
      </w:r>
      <w:r w:rsidR="000E61FF">
        <w:rPr>
          <w:rFonts w:ascii="Arial" w:hAnsi="Arial" w:cs="Arial"/>
          <w:color w:val="000000"/>
          <w:sz w:val="20"/>
          <w:szCs w:val="20"/>
        </w:rPr>
        <w:t>de seguimiento de los estudios y se les asocia curvas de supervivencia superiores. Así, paciente con AME tipo I que logran el hito de sentarse pasarían a tener una supervivencia similar a los pacientes con AME tipo II y los pacientes que logran el hito de caminar se les asume una supervivencia similar a los pacientes con AME tipo III.</w:t>
      </w:r>
    </w:p>
    <w:p w14:paraId="5E1EB3B2" w14:textId="77777777" w:rsidR="004C289A" w:rsidRPr="004C289A" w:rsidRDefault="004C289A" w:rsidP="001F6887">
      <w:pPr>
        <w:jc w:val="both"/>
        <w:rPr>
          <w:rFonts w:ascii="Arial" w:hAnsi="Arial" w:cs="Arial"/>
          <w:color w:val="000000"/>
          <w:sz w:val="20"/>
          <w:szCs w:val="20"/>
        </w:rPr>
      </w:pPr>
    </w:p>
    <w:p w14:paraId="711E84A5" w14:textId="04D20DB2" w:rsidR="00AA7CFC" w:rsidRDefault="00AA7CFC" w:rsidP="001F6887">
      <w:pPr>
        <w:pStyle w:val="Prrafodelista"/>
        <w:numPr>
          <w:ilvl w:val="0"/>
          <w:numId w:val="4"/>
        </w:numPr>
        <w:jc w:val="both"/>
        <w:rPr>
          <w:rFonts w:ascii="Arial" w:hAnsi="Arial" w:cs="Arial"/>
          <w:color w:val="000000"/>
          <w:sz w:val="20"/>
          <w:szCs w:val="20"/>
        </w:rPr>
      </w:pPr>
      <w:r w:rsidRPr="00AA7CFC">
        <w:rPr>
          <w:rFonts w:ascii="Arial" w:hAnsi="Arial" w:cs="Arial"/>
          <w:color w:val="000000"/>
          <w:sz w:val="20"/>
          <w:szCs w:val="20"/>
          <w:u w:val="single"/>
        </w:rPr>
        <w:t>CHOP-INTEND score</w:t>
      </w:r>
      <w:r w:rsidRPr="00AA7CFC">
        <w:rPr>
          <w:rFonts w:ascii="Arial" w:hAnsi="Arial" w:cs="Arial"/>
          <w:color w:val="000000"/>
          <w:sz w:val="20"/>
          <w:szCs w:val="20"/>
        </w:rPr>
        <w:t>: Se considera que todo</w:t>
      </w:r>
      <w:r>
        <w:rPr>
          <w:rFonts w:ascii="Arial" w:hAnsi="Arial" w:cs="Arial"/>
          <w:color w:val="000000"/>
          <w:sz w:val="20"/>
          <w:szCs w:val="20"/>
        </w:rPr>
        <w:t xml:space="preserve"> el desarrollo de hitos motores se puede predecir con esta escala de puntuaciones. Los niños sintomáticos que son tratados con alguno de estos fármacos no experimentarán el deterioro natural de la enfermedad e irán alcanzando hitos motores en una proyección logarítmica basada en el ritmo al que se alcanzaban durante el tiempo de estudio de los ensayos. </w:t>
      </w:r>
    </w:p>
    <w:p w14:paraId="54E1BA60" w14:textId="77777777" w:rsidR="00A35C6C" w:rsidRDefault="00A35C6C" w:rsidP="001F6887">
      <w:pPr>
        <w:jc w:val="both"/>
        <w:rPr>
          <w:rFonts w:ascii="Arial" w:hAnsi="Arial" w:cs="Arial"/>
          <w:color w:val="000000"/>
          <w:sz w:val="20"/>
          <w:szCs w:val="20"/>
        </w:rPr>
      </w:pPr>
    </w:p>
    <w:p w14:paraId="096414F3" w14:textId="04764968" w:rsidR="003E7D27" w:rsidRDefault="003E7D27" w:rsidP="001F6887">
      <w:pPr>
        <w:jc w:val="both"/>
        <w:rPr>
          <w:rFonts w:ascii="Arial" w:hAnsi="Arial" w:cs="Arial"/>
          <w:color w:val="000000"/>
          <w:sz w:val="20"/>
          <w:szCs w:val="20"/>
        </w:rPr>
      </w:pPr>
      <w:r>
        <w:rPr>
          <w:rFonts w:ascii="Arial" w:hAnsi="Arial" w:cs="Arial"/>
          <w:color w:val="000000"/>
          <w:sz w:val="20"/>
          <w:szCs w:val="20"/>
        </w:rPr>
        <w:t>La distribución de los estados de salud en cada ciclo del modelo fue:</w:t>
      </w:r>
    </w:p>
    <w:p w14:paraId="0F919CB9" w14:textId="77777777" w:rsidR="004C289A" w:rsidRDefault="004C289A" w:rsidP="001F6887">
      <w:pPr>
        <w:jc w:val="both"/>
        <w:rPr>
          <w:rFonts w:ascii="Arial" w:hAnsi="Arial" w:cs="Arial"/>
          <w:color w:val="000000"/>
          <w:sz w:val="20"/>
          <w:szCs w:val="20"/>
        </w:rPr>
      </w:pPr>
    </w:p>
    <w:p w14:paraId="551D63F7" w14:textId="4FEBC64F" w:rsidR="003E7D27" w:rsidRPr="003E7D27" w:rsidRDefault="003E7D27" w:rsidP="001F6887">
      <w:pPr>
        <w:jc w:val="both"/>
        <w:rPr>
          <w:rFonts w:ascii="Arial" w:hAnsi="Arial" w:cs="Arial"/>
          <w:color w:val="000000"/>
          <w:sz w:val="20"/>
          <w:szCs w:val="20"/>
        </w:rPr>
      </w:pPr>
      <w:r>
        <w:rPr>
          <w:noProof/>
        </w:rPr>
        <w:drawing>
          <wp:inline distT="0" distB="0" distL="0" distR="0" wp14:anchorId="232398B2" wp14:editId="024EBC85">
            <wp:extent cx="5713783" cy="164592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595" t="55670" r="32752" b="24024"/>
                    <a:stretch/>
                  </pic:blipFill>
                  <pic:spPr bwMode="auto">
                    <a:xfrm>
                      <a:off x="0" y="0"/>
                      <a:ext cx="5751096" cy="1656668"/>
                    </a:xfrm>
                    <a:prstGeom prst="rect">
                      <a:avLst/>
                    </a:prstGeom>
                    <a:ln>
                      <a:noFill/>
                    </a:ln>
                    <a:extLst>
                      <a:ext uri="{53640926-AAD7-44D8-BBD7-CCE9431645EC}">
                        <a14:shadowObscured xmlns:a14="http://schemas.microsoft.com/office/drawing/2010/main"/>
                      </a:ext>
                    </a:extLst>
                  </pic:spPr>
                </pic:pic>
              </a:graphicData>
            </a:graphic>
          </wp:inline>
        </w:drawing>
      </w:r>
    </w:p>
    <w:p w14:paraId="21A2DD03" w14:textId="77777777" w:rsidR="00A35C6C" w:rsidRDefault="00A35C6C" w:rsidP="001F6887">
      <w:pPr>
        <w:jc w:val="both"/>
        <w:rPr>
          <w:rFonts w:ascii="Arial" w:hAnsi="Arial" w:cs="Arial"/>
          <w:color w:val="000000"/>
          <w:sz w:val="20"/>
          <w:szCs w:val="20"/>
        </w:rPr>
      </w:pPr>
    </w:p>
    <w:p w14:paraId="38054917" w14:textId="656174E1" w:rsidR="00A66839" w:rsidRDefault="003E7D27" w:rsidP="001F6887">
      <w:pPr>
        <w:jc w:val="both"/>
        <w:rPr>
          <w:rFonts w:ascii="Arial" w:hAnsi="Arial" w:cs="Arial"/>
          <w:color w:val="000000"/>
          <w:sz w:val="20"/>
          <w:szCs w:val="20"/>
        </w:rPr>
      </w:pPr>
      <w:r>
        <w:rPr>
          <w:rFonts w:ascii="Arial" w:hAnsi="Arial" w:cs="Arial"/>
          <w:color w:val="000000"/>
          <w:sz w:val="20"/>
          <w:szCs w:val="20"/>
        </w:rPr>
        <w:t>En la imputación de costes, además del coste de adquisición del fármaco, se tuvieron en cuenta</w:t>
      </w:r>
      <w:r w:rsidR="00A66839">
        <w:rPr>
          <w:rFonts w:ascii="Arial" w:hAnsi="Arial" w:cs="Arial"/>
          <w:color w:val="000000"/>
          <w:sz w:val="20"/>
          <w:szCs w:val="20"/>
        </w:rPr>
        <w:t xml:space="preserve">, en el caso de </w:t>
      </w:r>
      <w:r w:rsidR="00482C21">
        <w:rPr>
          <w:rFonts w:ascii="Arial" w:hAnsi="Arial" w:cs="Arial"/>
          <w:color w:val="000000"/>
          <w:sz w:val="20"/>
          <w:szCs w:val="20"/>
        </w:rPr>
        <w:t>onasemnogén</w:t>
      </w:r>
      <w:r w:rsidR="00463AEF" w:rsidRPr="00463AEF">
        <w:rPr>
          <w:rFonts w:ascii="Arial" w:hAnsi="Arial" w:cs="Arial"/>
          <w:color w:val="000000"/>
          <w:sz w:val="20"/>
          <w:szCs w:val="20"/>
        </w:rPr>
        <w:t xml:space="preserve"> abeparvocec</w:t>
      </w:r>
      <w:r w:rsidR="00A66839">
        <w:rPr>
          <w:rFonts w:ascii="Arial" w:hAnsi="Arial" w:cs="Arial"/>
          <w:color w:val="000000"/>
          <w:sz w:val="20"/>
          <w:szCs w:val="20"/>
        </w:rPr>
        <w:t xml:space="preserve">, el coste de la administración iv, la premedicación y la monitorización y el test diagnóstico por parte del laboratorio clínico, mientras que para </w:t>
      </w:r>
      <w:r w:rsidR="0067181B">
        <w:rPr>
          <w:rFonts w:ascii="Arial" w:hAnsi="Arial" w:cs="Arial"/>
          <w:color w:val="000000"/>
          <w:sz w:val="20"/>
          <w:szCs w:val="20"/>
        </w:rPr>
        <w:t>nusinersen</w:t>
      </w:r>
      <w:r w:rsidR="00A66839">
        <w:rPr>
          <w:rFonts w:ascii="Arial" w:hAnsi="Arial" w:cs="Arial"/>
          <w:color w:val="000000"/>
          <w:sz w:val="20"/>
          <w:szCs w:val="20"/>
        </w:rPr>
        <w:t>, se sumaron los costes de cada visita de administración (administración intratecal, anestesia, uso de imagen guiada y monitorización de efectos de la administración).</w:t>
      </w:r>
    </w:p>
    <w:p w14:paraId="00057365" w14:textId="77777777" w:rsidR="00A35C6C" w:rsidRDefault="00A35C6C" w:rsidP="001F6887">
      <w:pPr>
        <w:jc w:val="both"/>
        <w:rPr>
          <w:rFonts w:ascii="Arial" w:hAnsi="Arial" w:cs="Arial"/>
          <w:color w:val="000000"/>
          <w:sz w:val="20"/>
          <w:szCs w:val="20"/>
        </w:rPr>
      </w:pPr>
    </w:p>
    <w:p w14:paraId="4C866DC1" w14:textId="3C1C3F85" w:rsidR="00A66839" w:rsidRDefault="00A66839" w:rsidP="001F6887">
      <w:pPr>
        <w:jc w:val="both"/>
        <w:rPr>
          <w:rFonts w:ascii="Arial" w:hAnsi="Arial" w:cs="Arial"/>
          <w:color w:val="000000"/>
          <w:sz w:val="20"/>
          <w:szCs w:val="20"/>
        </w:rPr>
      </w:pPr>
      <w:r>
        <w:rPr>
          <w:rFonts w:ascii="Arial" w:hAnsi="Arial" w:cs="Arial"/>
          <w:color w:val="000000"/>
          <w:sz w:val="20"/>
          <w:szCs w:val="20"/>
        </w:rPr>
        <w:lastRenderedPageBreak/>
        <w:t>Los resultados de este análisis reflejan principalmente la diferencia de supervivencia que estima el modelo para ambos fármacos (</w:t>
      </w:r>
      <w:r w:rsidR="00AB58F1">
        <w:rPr>
          <w:rFonts w:ascii="Arial" w:hAnsi="Arial" w:cs="Arial"/>
          <w:color w:val="000000"/>
          <w:sz w:val="20"/>
          <w:szCs w:val="20"/>
        </w:rPr>
        <w:t xml:space="preserve">la supervivencia del 50% de pacientes es de 35 años para </w:t>
      </w:r>
      <w:r w:rsidR="00482C21">
        <w:rPr>
          <w:rFonts w:ascii="Arial" w:hAnsi="Arial" w:cs="Arial"/>
          <w:color w:val="000000"/>
          <w:sz w:val="20"/>
          <w:szCs w:val="20"/>
        </w:rPr>
        <w:t>onasemnogén</w:t>
      </w:r>
      <w:r w:rsidR="00463AEF" w:rsidRPr="00463AEF">
        <w:rPr>
          <w:rFonts w:ascii="Arial" w:hAnsi="Arial" w:cs="Arial"/>
          <w:color w:val="000000"/>
          <w:sz w:val="20"/>
          <w:szCs w:val="20"/>
        </w:rPr>
        <w:t xml:space="preserve"> abeparvocec </w:t>
      </w:r>
      <w:r w:rsidR="00AB58F1">
        <w:rPr>
          <w:rFonts w:ascii="Arial" w:hAnsi="Arial" w:cs="Arial"/>
          <w:color w:val="000000"/>
          <w:sz w:val="20"/>
          <w:szCs w:val="20"/>
        </w:rPr>
        <w:t xml:space="preserve">y de 3 años para </w:t>
      </w:r>
      <w:r w:rsidR="0067181B">
        <w:rPr>
          <w:rFonts w:ascii="Arial" w:hAnsi="Arial" w:cs="Arial"/>
          <w:color w:val="000000"/>
          <w:sz w:val="20"/>
          <w:szCs w:val="20"/>
        </w:rPr>
        <w:t>nusinersen</w:t>
      </w:r>
      <w:r w:rsidR="004A2C77">
        <w:rPr>
          <w:rFonts w:ascii="Arial" w:hAnsi="Arial" w:cs="Arial"/>
          <w:color w:val="000000"/>
          <w:sz w:val="20"/>
          <w:szCs w:val="20"/>
        </w:rPr>
        <w:t xml:space="preserve">), lo que provoca que </w:t>
      </w:r>
      <w:r w:rsidR="00482C21">
        <w:rPr>
          <w:rFonts w:ascii="Arial" w:hAnsi="Arial" w:cs="Arial"/>
          <w:color w:val="000000"/>
          <w:sz w:val="20"/>
          <w:szCs w:val="20"/>
        </w:rPr>
        <w:t>onasemnogén</w:t>
      </w:r>
      <w:r w:rsidR="00463AEF" w:rsidRPr="00463AEF">
        <w:rPr>
          <w:rFonts w:ascii="Arial" w:hAnsi="Arial" w:cs="Arial"/>
          <w:color w:val="000000"/>
          <w:sz w:val="20"/>
          <w:szCs w:val="20"/>
        </w:rPr>
        <w:t xml:space="preserve"> abeparvocec</w:t>
      </w:r>
      <w:r w:rsidR="004A2C77">
        <w:rPr>
          <w:rFonts w:ascii="Arial" w:hAnsi="Arial" w:cs="Arial"/>
          <w:color w:val="000000"/>
          <w:sz w:val="20"/>
          <w:szCs w:val="20"/>
        </w:rPr>
        <w:t>, usando el rango de precios de $2,5M a $5M, sea coste-efectivo en todas las situaciones dentro de un umbral de disponibilidad a pagar de $150.000-$500.000/AVAC.</w:t>
      </w:r>
    </w:p>
    <w:p w14:paraId="6C288FC1" w14:textId="77777777" w:rsidR="00A35C6C" w:rsidRDefault="00A35C6C" w:rsidP="001F6887">
      <w:pPr>
        <w:jc w:val="both"/>
        <w:rPr>
          <w:rFonts w:ascii="Arial" w:hAnsi="Arial" w:cs="Arial"/>
          <w:color w:val="000000"/>
          <w:sz w:val="20"/>
          <w:szCs w:val="20"/>
        </w:rPr>
      </w:pPr>
    </w:p>
    <w:p w14:paraId="6B1FC371" w14:textId="77777777" w:rsidR="00A35C6C" w:rsidRDefault="00964AA9" w:rsidP="001F6887">
      <w:pPr>
        <w:jc w:val="both"/>
        <w:rPr>
          <w:rFonts w:ascii="Arial" w:hAnsi="Arial" w:cs="Arial"/>
          <w:color w:val="000000"/>
          <w:sz w:val="20"/>
          <w:szCs w:val="20"/>
        </w:rPr>
      </w:pPr>
      <w:r>
        <w:rPr>
          <w:rFonts w:ascii="Arial" w:hAnsi="Arial" w:cs="Arial"/>
          <w:color w:val="000000"/>
          <w:sz w:val="20"/>
          <w:szCs w:val="20"/>
        </w:rPr>
        <w:t>Algunas de las limitaciones de este estudio las marca la propia naturaleza de lo</w:t>
      </w:r>
      <w:r w:rsidR="00FF39A5">
        <w:rPr>
          <w:rFonts w:ascii="Arial" w:hAnsi="Arial" w:cs="Arial"/>
          <w:color w:val="000000"/>
          <w:sz w:val="20"/>
          <w:szCs w:val="20"/>
        </w:rPr>
        <w:t>s</w:t>
      </w:r>
      <w:r>
        <w:rPr>
          <w:rFonts w:ascii="Arial" w:hAnsi="Arial" w:cs="Arial"/>
          <w:color w:val="000000"/>
          <w:sz w:val="20"/>
          <w:szCs w:val="20"/>
        </w:rPr>
        <w:t xml:space="preserve"> ensayos pivotales. En el caso del estudio START, el limitado tamaño muestral, el escaso tiempo de seguimiento y la ausencia del grupo control son las principales debilidades. Esto obliga a que el modelo base casi la totalidad de la supervivencia de los pacientes en extrapolaciones y que apenas tenga en cuenta efectos adversos, ya que apenas han sido capturados en los ensayos.</w:t>
      </w:r>
      <w:r w:rsidR="00FF39A5">
        <w:rPr>
          <w:rFonts w:ascii="Arial" w:hAnsi="Arial" w:cs="Arial"/>
          <w:color w:val="000000"/>
          <w:sz w:val="20"/>
          <w:szCs w:val="20"/>
        </w:rPr>
        <w:t xml:space="preserve"> </w:t>
      </w:r>
    </w:p>
    <w:p w14:paraId="6FEA994B" w14:textId="77777777" w:rsidR="00A35C6C" w:rsidRDefault="00A35C6C" w:rsidP="001F6887">
      <w:pPr>
        <w:jc w:val="both"/>
        <w:rPr>
          <w:rFonts w:ascii="Arial" w:hAnsi="Arial" w:cs="Arial"/>
          <w:color w:val="000000"/>
          <w:sz w:val="20"/>
          <w:szCs w:val="20"/>
        </w:rPr>
      </w:pPr>
    </w:p>
    <w:p w14:paraId="6A2FF485" w14:textId="5E67F137" w:rsidR="004A2C77" w:rsidRDefault="00FF39A5" w:rsidP="001F6887">
      <w:pPr>
        <w:jc w:val="both"/>
        <w:rPr>
          <w:rFonts w:ascii="Arial" w:hAnsi="Arial" w:cs="Arial"/>
          <w:color w:val="000000"/>
          <w:sz w:val="20"/>
          <w:szCs w:val="20"/>
        </w:rPr>
      </w:pPr>
      <w:r>
        <w:rPr>
          <w:rFonts w:ascii="Arial" w:hAnsi="Arial" w:cs="Arial"/>
          <w:color w:val="000000"/>
          <w:sz w:val="20"/>
          <w:szCs w:val="20"/>
        </w:rPr>
        <w:t xml:space="preserve">Otra de las debilidades del estudio, es asumir que la dosis única de </w:t>
      </w:r>
      <w:r w:rsidR="00482C21">
        <w:rPr>
          <w:rFonts w:ascii="Arial" w:hAnsi="Arial" w:cs="Arial"/>
          <w:color w:val="000000"/>
          <w:sz w:val="20"/>
          <w:szCs w:val="20"/>
        </w:rPr>
        <w:t>onasemnogén</w:t>
      </w:r>
      <w:r w:rsidR="0067181B" w:rsidRPr="0067181B">
        <w:rPr>
          <w:rFonts w:ascii="Arial" w:hAnsi="Arial" w:cs="Arial"/>
          <w:color w:val="000000"/>
          <w:sz w:val="20"/>
          <w:szCs w:val="20"/>
        </w:rPr>
        <w:t xml:space="preserve"> abeparvocec </w:t>
      </w:r>
      <w:r>
        <w:rPr>
          <w:rFonts w:ascii="Arial" w:hAnsi="Arial" w:cs="Arial"/>
          <w:color w:val="000000"/>
          <w:sz w:val="20"/>
          <w:szCs w:val="20"/>
        </w:rPr>
        <w:t>será eficaz para toda la vida del paciente sin explorar la posibilidad de que sea necesaria una terapia de rescate.</w:t>
      </w:r>
    </w:p>
    <w:p w14:paraId="30DE1A88" w14:textId="77777777" w:rsidR="0067181B" w:rsidRPr="00FF39A5" w:rsidRDefault="0067181B" w:rsidP="001F6887">
      <w:pPr>
        <w:jc w:val="both"/>
        <w:rPr>
          <w:rFonts w:ascii="Arial" w:hAnsi="Arial" w:cs="Arial"/>
          <w:color w:val="000000"/>
          <w:sz w:val="20"/>
          <w:szCs w:val="20"/>
        </w:rPr>
      </w:pPr>
    </w:p>
    <w:p w14:paraId="09DE7CDA" w14:textId="7B894101" w:rsidR="00964AA9" w:rsidRDefault="00AF7D09" w:rsidP="001F6887">
      <w:pPr>
        <w:jc w:val="both"/>
        <w:rPr>
          <w:rFonts w:ascii="Arial" w:hAnsi="Arial" w:cs="Arial"/>
          <w:color w:val="000000"/>
          <w:sz w:val="20"/>
          <w:szCs w:val="20"/>
        </w:rPr>
      </w:pPr>
      <w:r>
        <w:rPr>
          <w:rFonts w:ascii="Arial" w:hAnsi="Arial" w:cs="Arial"/>
          <w:color w:val="000000"/>
          <w:sz w:val="20"/>
          <w:szCs w:val="20"/>
        </w:rPr>
        <w:t>Otro</w:t>
      </w:r>
      <w:r w:rsidR="00964AA9">
        <w:rPr>
          <w:rFonts w:ascii="Arial" w:hAnsi="Arial" w:cs="Arial"/>
          <w:color w:val="000000"/>
          <w:sz w:val="20"/>
          <w:szCs w:val="20"/>
        </w:rPr>
        <w:t xml:space="preserve"> de los problemas del modelo es adoptar la escala CHOP-INTEND como un marcador validado para el alcance de hitos motores y el paso entre los diferentes estados de salud del modelo</w:t>
      </w:r>
      <w:r w:rsidR="00660F6B">
        <w:rPr>
          <w:rFonts w:ascii="Arial" w:hAnsi="Arial" w:cs="Arial"/>
          <w:color w:val="000000"/>
          <w:sz w:val="20"/>
          <w:szCs w:val="20"/>
        </w:rPr>
        <w:t>, y también poder modelizar estados de salud que no se contemplan con la historia natural de la enfermedad como por ejemplo el tiempo sin ventilación permanente en pacientes que aún no alcancen el hito de sentarse pero vayan a desarrollarlo.</w:t>
      </w:r>
    </w:p>
    <w:p w14:paraId="253165DA" w14:textId="77777777" w:rsidR="004C289A" w:rsidRDefault="004C289A" w:rsidP="001F6887">
      <w:pPr>
        <w:jc w:val="both"/>
        <w:rPr>
          <w:rFonts w:ascii="Arial" w:hAnsi="Arial" w:cs="Arial"/>
          <w:b/>
          <w:bCs/>
          <w:color w:val="000000"/>
          <w:sz w:val="20"/>
          <w:szCs w:val="20"/>
          <w:u w:val="single"/>
        </w:rPr>
      </w:pPr>
    </w:p>
    <w:p w14:paraId="7813259F" w14:textId="6F743FE2" w:rsidR="0060785D" w:rsidRPr="004C289A" w:rsidRDefault="0060785D" w:rsidP="001F6887">
      <w:pPr>
        <w:pBdr>
          <w:bottom w:val="single" w:sz="4" w:space="1" w:color="auto"/>
        </w:pBdr>
        <w:jc w:val="both"/>
        <w:rPr>
          <w:rFonts w:ascii="Arial" w:hAnsi="Arial" w:cs="Arial"/>
          <w:color w:val="000000"/>
          <w:sz w:val="20"/>
          <w:szCs w:val="20"/>
        </w:rPr>
      </w:pPr>
      <w:r w:rsidRPr="004C289A">
        <w:rPr>
          <w:rFonts w:ascii="Arial" w:hAnsi="Arial" w:cs="Arial"/>
          <w:b/>
          <w:bCs/>
          <w:color w:val="000000"/>
          <w:sz w:val="20"/>
          <w:szCs w:val="20"/>
        </w:rPr>
        <w:t>Evaluación económica del</w:t>
      </w:r>
      <w:r w:rsidR="00660F6B" w:rsidRPr="004C289A">
        <w:rPr>
          <w:rFonts w:ascii="Arial" w:hAnsi="Arial" w:cs="Arial"/>
          <w:b/>
          <w:bCs/>
          <w:color w:val="000000"/>
          <w:sz w:val="20"/>
          <w:szCs w:val="20"/>
        </w:rPr>
        <w:t xml:space="preserve"> ICER</w:t>
      </w:r>
      <w:r w:rsidR="004C289A" w:rsidRPr="004C289A">
        <w:rPr>
          <w:rFonts w:ascii="Arial" w:hAnsi="Arial" w:cs="Arial"/>
          <w:b/>
          <w:bCs/>
          <w:color w:val="000000"/>
          <w:sz w:val="20"/>
          <w:szCs w:val="20"/>
          <w:vertAlign w:val="superscript"/>
        </w:rPr>
        <w:fldChar w:fldCharType="begin"/>
      </w:r>
      <w:r w:rsidR="004C289A" w:rsidRPr="004C289A">
        <w:rPr>
          <w:rFonts w:ascii="Arial" w:hAnsi="Arial" w:cs="Arial"/>
          <w:b/>
          <w:bCs/>
          <w:color w:val="000000"/>
          <w:sz w:val="20"/>
          <w:szCs w:val="20"/>
          <w:vertAlign w:val="superscript"/>
        </w:rPr>
        <w:instrText xml:space="preserve"> NOTEREF _Ref52799698 \h  \* MERGEFORMAT </w:instrText>
      </w:r>
      <w:r w:rsidR="004C289A" w:rsidRPr="004C289A">
        <w:rPr>
          <w:rFonts w:ascii="Arial" w:hAnsi="Arial" w:cs="Arial"/>
          <w:b/>
          <w:bCs/>
          <w:color w:val="000000"/>
          <w:sz w:val="20"/>
          <w:szCs w:val="20"/>
          <w:vertAlign w:val="superscript"/>
        </w:rPr>
      </w:r>
      <w:r w:rsidR="004C289A" w:rsidRPr="004C289A">
        <w:rPr>
          <w:rFonts w:ascii="Arial" w:hAnsi="Arial" w:cs="Arial"/>
          <w:b/>
          <w:bCs/>
          <w:color w:val="000000"/>
          <w:sz w:val="20"/>
          <w:szCs w:val="20"/>
          <w:vertAlign w:val="superscript"/>
        </w:rPr>
        <w:fldChar w:fldCharType="separate"/>
      </w:r>
      <w:r w:rsidR="00E277F2">
        <w:rPr>
          <w:rFonts w:ascii="Arial" w:hAnsi="Arial" w:cs="Arial"/>
          <w:b/>
          <w:bCs/>
          <w:color w:val="000000"/>
          <w:sz w:val="20"/>
          <w:szCs w:val="20"/>
          <w:vertAlign w:val="superscript"/>
        </w:rPr>
        <w:t>26</w:t>
      </w:r>
      <w:r w:rsidR="004C289A" w:rsidRPr="004C289A">
        <w:rPr>
          <w:rFonts w:ascii="Arial" w:hAnsi="Arial" w:cs="Arial"/>
          <w:b/>
          <w:bCs/>
          <w:color w:val="000000"/>
          <w:sz w:val="20"/>
          <w:szCs w:val="20"/>
          <w:vertAlign w:val="superscript"/>
        </w:rPr>
        <w:fldChar w:fldCharType="end"/>
      </w:r>
    </w:p>
    <w:p w14:paraId="02440A71" w14:textId="77777777" w:rsidR="004C289A" w:rsidRDefault="004C289A"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p>
    <w:p w14:paraId="191F6851" w14:textId="77777777" w:rsidR="00104EFD" w:rsidRDefault="006C6214"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Pr>
          <w:rFonts w:ascii="Arial" w:hAnsi="Arial" w:cs="Arial"/>
          <w:color w:val="000000"/>
          <w:sz w:val="20"/>
          <w:szCs w:val="20"/>
        </w:rPr>
        <w:t xml:space="preserve">El ICER desarrolla en su informe </w:t>
      </w:r>
      <w:r w:rsidR="00336F14">
        <w:rPr>
          <w:rFonts w:ascii="Arial" w:hAnsi="Arial" w:cs="Arial"/>
          <w:color w:val="000000"/>
          <w:sz w:val="20"/>
          <w:szCs w:val="20"/>
        </w:rPr>
        <w:t>tres evaluaciones económicas para tres</w:t>
      </w:r>
      <w:r>
        <w:rPr>
          <w:rFonts w:ascii="Arial" w:hAnsi="Arial" w:cs="Arial"/>
          <w:color w:val="000000"/>
          <w:sz w:val="20"/>
          <w:szCs w:val="20"/>
        </w:rPr>
        <w:t xml:space="preserve"> escenarios diferentes:</w:t>
      </w:r>
    </w:p>
    <w:p w14:paraId="35ACBEF8" w14:textId="77777777" w:rsidR="00104EFD" w:rsidRDefault="006C6214"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sidRPr="00660F6B">
        <w:rPr>
          <w:rFonts w:ascii="Arial" w:hAnsi="Arial" w:cs="Arial"/>
          <w:color w:val="000000"/>
          <w:sz w:val="20"/>
          <w:szCs w:val="20"/>
        </w:rPr>
        <w:t>1)</w:t>
      </w:r>
      <w:r>
        <w:rPr>
          <w:rFonts w:ascii="Arial" w:hAnsi="Arial" w:cs="Arial"/>
          <w:color w:val="000000"/>
          <w:sz w:val="20"/>
          <w:szCs w:val="20"/>
        </w:rPr>
        <w:t xml:space="preserve"> </w:t>
      </w:r>
      <w:r w:rsidRPr="00660F6B">
        <w:rPr>
          <w:rFonts w:ascii="Arial" w:hAnsi="Arial" w:cs="Arial"/>
          <w:color w:val="000000"/>
          <w:sz w:val="20"/>
          <w:szCs w:val="20"/>
        </w:rPr>
        <w:t>pacientes sintomáticos con AME de inicio infantil (</w:t>
      </w:r>
      <w:r w:rsidR="00104EFD">
        <w:rPr>
          <w:rFonts w:ascii="Arial" w:hAnsi="Arial" w:cs="Arial"/>
          <w:color w:val="000000"/>
          <w:sz w:val="20"/>
          <w:szCs w:val="20"/>
        </w:rPr>
        <w:t>Tipo I)</w:t>
      </w:r>
    </w:p>
    <w:p w14:paraId="54762CDF" w14:textId="77777777" w:rsidR="00104EFD" w:rsidRDefault="006C6214"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sidRPr="00660F6B">
        <w:rPr>
          <w:rFonts w:ascii="Arial" w:hAnsi="Arial" w:cs="Arial"/>
          <w:color w:val="000000"/>
          <w:sz w:val="20"/>
          <w:szCs w:val="20"/>
        </w:rPr>
        <w:t>2) para pacientes sintomáticos con AME de aparición tardía (Tipo II / III);</w:t>
      </w:r>
    </w:p>
    <w:p w14:paraId="0FFEDFFE" w14:textId="33CC234E" w:rsidR="00104EFD" w:rsidRDefault="006C6214"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sidRPr="00660F6B">
        <w:rPr>
          <w:rFonts w:ascii="Arial" w:hAnsi="Arial" w:cs="Arial"/>
          <w:color w:val="000000"/>
          <w:sz w:val="20"/>
          <w:szCs w:val="20"/>
        </w:rPr>
        <w:t>3) para pacientes presintomáticos con AME</w:t>
      </w:r>
      <w:r>
        <w:rPr>
          <w:rFonts w:ascii="Arial" w:hAnsi="Arial" w:cs="Arial"/>
          <w:color w:val="000000"/>
          <w:sz w:val="20"/>
          <w:szCs w:val="20"/>
        </w:rPr>
        <w:t xml:space="preserve">, </w:t>
      </w:r>
      <w:r w:rsidR="00660F6B" w:rsidRPr="00660F6B">
        <w:rPr>
          <w:rFonts w:ascii="Arial" w:hAnsi="Arial" w:cs="Arial"/>
          <w:color w:val="000000"/>
          <w:sz w:val="20"/>
          <w:szCs w:val="20"/>
        </w:rPr>
        <w:t>compara</w:t>
      </w:r>
      <w:r>
        <w:rPr>
          <w:rFonts w:ascii="Arial" w:hAnsi="Arial" w:cs="Arial"/>
          <w:color w:val="000000"/>
          <w:sz w:val="20"/>
          <w:szCs w:val="20"/>
        </w:rPr>
        <w:t xml:space="preserve">ndo con el mejor tratamiento de soporte desde la perspectiva </w:t>
      </w:r>
      <w:r w:rsidR="00104EFD">
        <w:rPr>
          <w:rFonts w:ascii="Arial" w:hAnsi="Arial" w:cs="Arial"/>
          <w:color w:val="000000"/>
          <w:sz w:val="20"/>
          <w:szCs w:val="20"/>
        </w:rPr>
        <w:t>de la atención médica de EE</w:t>
      </w:r>
      <w:r w:rsidR="00660F6B" w:rsidRPr="00660F6B">
        <w:rPr>
          <w:rFonts w:ascii="Arial" w:hAnsi="Arial" w:cs="Arial"/>
          <w:color w:val="000000"/>
          <w:sz w:val="20"/>
          <w:szCs w:val="20"/>
        </w:rPr>
        <w:t>UU.</w:t>
      </w:r>
      <w:r>
        <w:rPr>
          <w:rFonts w:ascii="Arial" w:hAnsi="Arial" w:cs="Arial"/>
          <w:color w:val="000000"/>
          <w:sz w:val="20"/>
          <w:szCs w:val="20"/>
        </w:rPr>
        <w:t xml:space="preserve"> </w:t>
      </w:r>
    </w:p>
    <w:p w14:paraId="23B65E1C" w14:textId="77777777" w:rsidR="00104EFD" w:rsidRDefault="00104EFD"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p>
    <w:p w14:paraId="21C93920" w14:textId="6CC60CA4" w:rsidR="00104EFD" w:rsidRDefault="00104EFD"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Pr>
          <w:rFonts w:ascii="Arial" w:hAnsi="Arial" w:cs="Arial"/>
          <w:color w:val="000000"/>
          <w:sz w:val="20"/>
          <w:szCs w:val="20"/>
        </w:rPr>
        <w:t>El primer escenario (pacientes sintomáticos con AME tipo I)</w:t>
      </w:r>
      <w:r w:rsidR="006C6214">
        <w:rPr>
          <w:rFonts w:ascii="Arial" w:hAnsi="Arial" w:cs="Arial"/>
          <w:color w:val="000000"/>
          <w:sz w:val="20"/>
          <w:szCs w:val="20"/>
        </w:rPr>
        <w:t xml:space="preserve"> </w:t>
      </w:r>
      <w:r>
        <w:rPr>
          <w:rFonts w:ascii="Arial" w:hAnsi="Arial" w:cs="Arial"/>
          <w:color w:val="000000"/>
          <w:sz w:val="20"/>
          <w:szCs w:val="20"/>
        </w:rPr>
        <w:t>es el único en el que se valoran las dos opciones (</w:t>
      </w:r>
      <w:r w:rsidR="00482C21">
        <w:rPr>
          <w:rFonts w:ascii="Arial" w:hAnsi="Arial" w:cs="Arial"/>
          <w:color w:val="000000"/>
          <w:sz w:val="20"/>
          <w:szCs w:val="20"/>
        </w:rPr>
        <w:t>onasemnogén</w:t>
      </w:r>
      <w:r w:rsidRPr="00104EFD">
        <w:rPr>
          <w:rFonts w:ascii="Arial" w:hAnsi="Arial" w:cs="Arial"/>
          <w:color w:val="000000"/>
          <w:sz w:val="20"/>
          <w:szCs w:val="20"/>
        </w:rPr>
        <w:t xml:space="preserve"> abeparvocec </w:t>
      </w:r>
      <w:r>
        <w:rPr>
          <w:rFonts w:ascii="Arial" w:hAnsi="Arial" w:cs="Arial"/>
          <w:color w:val="000000"/>
          <w:sz w:val="20"/>
          <w:szCs w:val="20"/>
        </w:rPr>
        <w:t xml:space="preserve">y nusinersen) ya que en el momento de redacción del informe no se habían llevado a cabo estudios en sintomáticos de aparición tardía ni en presintomáicos con </w:t>
      </w:r>
      <w:r w:rsidR="00482C21">
        <w:rPr>
          <w:rFonts w:ascii="Arial" w:hAnsi="Arial" w:cs="Arial"/>
          <w:color w:val="000000"/>
          <w:sz w:val="20"/>
          <w:szCs w:val="20"/>
        </w:rPr>
        <w:t>onasemnogén</w:t>
      </w:r>
      <w:r w:rsidRPr="00104EFD">
        <w:rPr>
          <w:rFonts w:ascii="Arial" w:hAnsi="Arial" w:cs="Arial"/>
          <w:color w:val="000000"/>
          <w:sz w:val="20"/>
          <w:szCs w:val="20"/>
        </w:rPr>
        <w:t xml:space="preserve"> abeparvocec</w:t>
      </w:r>
      <w:r>
        <w:rPr>
          <w:rFonts w:ascii="Arial" w:hAnsi="Arial" w:cs="Arial"/>
          <w:color w:val="000000"/>
          <w:sz w:val="20"/>
          <w:szCs w:val="20"/>
        </w:rPr>
        <w:t>.</w:t>
      </w:r>
    </w:p>
    <w:p w14:paraId="2A830B24" w14:textId="77777777" w:rsidR="00104EFD" w:rsidRDefault="00104EFD"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p>
    <w:p w14:paraId="48C9FD1D" w14:textId="77777777" w:rsidR="00104EFD" w:rsidRDefault="00104EFD"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Pr>
          <w:rFonts w:ascii="Arial" w:hAnsi="Arial" w:cs="Arial"/>
          <w:color w:val="000000"/>
          <w:sz w:val="20"/>
          <w:szCs w:val="20"/>
        </w:rPr>
        <w:t>El</w:t>
      </w:r>
      <w:r w:rsidRPr="00104EFD">
        <w:rPr>
          <w:rFonts w:ascii="Arial" w:hAnsi="Arial" w:cs="Arial"/>
          <w:color w:val="000000"/>
          <w:sz w:val="20"/>
          <w:szCs w:val="20"/>
        </w:rPr>
        <w:t xml:space="preserve"> </w:t>
      </w:r>
      <w:r w:rsidR="006C6214">
        <w:rPr>
          <w:rFonts w:ascii="Arial" w:hAnsi="Arial" w:cs="Arial"/>
          <w:color w:val="000000"/>
          <w:sz w:val="20"/>
          <w:szCs w:val="20"/>
        </w:rPr>
        <w:t xml:space="preserve">modelo se </w:t>
      </w:r>
      <w:r w:rsidR="00DB27DA">
        <w:rPr>
          <w:rFonts w:ascii="Arial" w:hAnsi="Arial" w:cs="Arial"/>
          <w:color w:val="000000"/>
          <w:sz w:val="20"/>
          <w:szCs w:val="20"/>
        </w:rPr>
        <w:t>fundamentaba</w:t>
      </w:r>
      <w:r w:rsidR="006C6214">
        <w:rPr>
          <w:rFonts w:ascii="Arial" w:hAnsi="Arial" w:cs="Arial"/>
          <w:color w:val="000000"/>
          <w:sz w:val="20"/>
          <w:szCs w:val="20"/>
        </w:rPr>
        <w:t xml:space="preserve"> en diferentes estados de salud basados en </w:t>
      </w:r>
      <w:r w:rsidR="006C6214" w:rsidRPr="006C6214">
        <w:rPr>
          <w:rFonts w:ascii="Arial" w:hAnsi="Arial" w:cs="Arial"/>
          <w:color w:val="000000"/>
          <w:sz w:val="20"/>
          <w:szCs w:val="20"/>
        </w:rPr>
        <w:t>hitos de función motora alcanzados</w:t>
      </w:r>
      <w:r w:rsidR="006C6214">
        <w:rPr>
          <w:rFonts w:ascii="Arial" w:hAnsi="Arial" w:cs="Arial"/>
          <w:color w:val="000000"/>
          <w:sz w:val="20"/>
          <w:szCs w:val="20"/>
        </w:rPr>
        <w:t xml:space="preserve"> (sentarse y caminar)</w:t>
      </w:r>
      <w:r w:rsidR="006C6214" w:rsidRPr="006C6214">
        <w:rPr>
          <w:rFonts w:ascii="Arial" w:hAnsi="Arial" w:cs="Arial"/>
          <w:color w:val="000000"/>
          <w:sz w:val="20"/>
          <w:szCs w:val="20"/>
        </w:rPr>
        <w:t>, necesidad de ventilación permanente y muerte</w:t>
      </w:r>
      <w:r w:rsidR="006C6214">
        <w:rPr>
          <w:rFonts w:ascii="Arial" w:hAnsi="Arial" w:cs="Arial"/>
          <w:color w:val="000000"/>
          <w:sz w:val="20"/>
          <w:szCs w:val="20"/>
        </w:rPr>
        <w:t xml:space="preserve"> y con </w:t>
      </w:r>
      <w:r w:rsidR="00D553DD">
        <w:rPr>
          <w:rFonts w:ascii="Arial" w:hAnsi="Arial" w:cs="Arial"/>
          <w:color w:val="000000"/>
          <w:sz w:val="20"/>
          <w:szCs w:val="20"/>
        </w:rPr>
        <w:t>una</w:t>
      </w:r>
      <w:r w:rsidR="006C6214" w:rsidRPr="006C6214">
        <w:rPr>
          <w:rFonts w:ascii="Arial" w:hAnsi="Arial" w:cs="Arial"/>
          <w:color w:val="000000"/>
          <w:sz w:val="20"/>
          <w:szCs w:val="20"/>
        </w:rPr>
        <w:t xml:space="preserve"> estructura de modelo </w:t>
      </w:r>
      <w:r w:rsidR="00D553DD">
        <w:rPr>
          <w:rFonts w:ascii="Arial" w:hAnsi="Arial" w:cs="Arial"/>
          <w:color w:val="000000"/>
          <w:sz w:val="20"/>
          <w:szCs w:val="20"/>
        </w:rPr>
        <w:t>que</w:t>
      </w:r>
      <w:r w:rsidR="006C6214" w:rsidRPr="006C6214">
        <w:rPr>
          <w:rFonts w:ascii="Arial" w:hAnsi="Arial" w:cs="Arial"/>
          <w:color w:val="000000"/>
          <w:sz w:val="20"/>
          <w:szCs w:val="20"/>
        </w:rPr>
        <w:t xml:space="preserve"> contenía dos componentes principales: </w:t>
      </w:r>
    </w:p>
    <w:p w14:paraId="66059560" w14:textId="77777777" w:rsidR="00104EFD" w:rsidRDefault="006C6214"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sidRPr="006C6214">
        <w:rPr>
          <w:rFonts w:ascii="Arial" w:hAnsi="Arial" w:cs="Arial"/>
          <w:color w:val="000000"/>
          <w:sz w:val="20"/>
          <w:szCs w:val="20"/>
        </w:rPr>
        <w:t>1) un modelo a corto plazo concordante con l</w:t>
      </w:r>
      <w:r w:rsidR="00104EFD">
        <w:rPr>
          <w:rFonts w:ascii="Arial" w:hAnsi="Arial" w:cs="Arial"/>
          <w:color w:val="000000"/>
          <w:sz w:val="20"/>
          <w:szCs w:val="20"/>
        </w:rPr>
        <w:t>os datos del estudio clínico</w:t>
      </w:r>
    </w:p>
    <w:p w14:paraId="6582CE31" w14:textId="77777777" w:rsidR="00104EFD" w:rsidRDefault="006C6214"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sidRPr="006C6214">
        <w:rPr>
          <w:rFonts w:ascii="Arial" w:hAnsi="Arial" w:cs="Arial"/>
          <w:color w:val="000000"/>
          <w:sz w:val="20"/>
          <w:szCs w:val="20"/>
        </w:rPr>
        <w:t>2) un modelo de extrapolación a largo plazo</w:t>
      </w:r>
      <w:r w:rsidR="00D553DD">
        <w:rPr>
          <w:rFonts w:ascii="Arial" w:hAnsi="Arial" w:cs="Arial"/>
          <w:color w:val="000000"/>
          <w:sz w:val="20"/>
          <w:szCs w:val="20"/>
        </w:rPr>
        <w:t xml:space="preserve">, y con ciclos mensuales. </w:t>
      </w:r>
    </w:p>
    <w:p w14:paraId="6A065F2D" w14:textId="77777777" w:rsidR="00104EFD" w:rsidRDefault="00104EFD"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p>
    <w:p w14:paraId="446DE375" w14:textId="1A35E910" w:rsidR="006C6214" w:rsidRDefault="00D553DD"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Pr>
          <w:rFonts w:ascii="Arial" w:hAnsi="Arial" w:cs="Arial"/>
          <w:color w:val="000000"/>
          <w:sz w:val="20"/>
          <w:szCs w:val="20"/>
        </w:rPr>
        <w:t>Al no existir un</w:t>
      </w:r>
      <w:r w:rsidR="006C6214" w:rsidRPr="006C6214">
        <w:rPr>
          <w:rFonts w:ascii="Arial" w:hAnsi="Arial" w:cs="Arial"/>
          <w:color w:val="000000"/>
          <w:sz w:val="20"/>
          <w:szCs w:val="20"/>
        </w:rPr>
        <w:t xml:space="preserve"> ensayo </w:t>
      </w:r>
      <w:r>
        <w:rPr>
          <w:rFonts w:ascii="Arial" w:hAnsi="Arial" w:cs="Arial"/>
          <w:color w:val="000000"/>
          <w:sz w:val="20"/>
          <w:szCs w:val="20"/>
        </w:rPr>
        <w:t xml:space="preserve">comparativo </w:t>
      </w:r>
      <w:r w:rsidR="006C6214" w:rsidRPr="006C6214">
        <w:rPr>
          <w:rFonts w:ascii="Arial" w:hAnsi="Arial" w:cs="Arial"/>
          <w:color w:val="000000"/>
          <w:sz w:val="20"/>
          <w:szCs w:val="20"/>
        </w:rPr>
        <w:t xml:space="preserve">de </w:t>
      </w:r>
      <w:r w:rsidR="00482C21">
        <w:rPr>
          <w:rFonts w:ascii="Arial" w:hAnsi="Arial" w:cs="Arial"/>
          <w:color w:val="000000"/>
          <w:sz w:val="20"/>
          <w:szCs w:val="20"/>
        </w:rPr>
        <w:t>onasemnogén</w:t>
      </w:r>
      <w:r w:rsidR="00104EFD" w:rsidRPr="00104EFD">
        <w:rPr>
          <w:rFonts w:ascii="Arial" w:hAnsi="Arial" w:cs="Arial"/>
          <w:color w:val="000000"/>
          <w:sz w:val="20"/>
          <w:szCs w:val="20"/>
        </w:rPr>
        <w:t xml:space="preserve"> abeparvocec</w:t>
      </w:r>
      <w:r>
        <w:rPr>
          <w:rFonts w:ascii="Arial" w:hAnsi="Arial" w:cs="Arial"/>
          <w:color w:val="000000"/>
          <w:sz w:val="20"/>
          <w:szCs w:val="20"/>
        </w:rPr>
        <w:t xml:space="preserve"> frente al mejor tratamiento de soporte</w:t>
      </w:r>
      <w:r w:rsidR="006C6214" w:rsidRPr="006C6214">
        <w:rPr>
          <w:rFonts w:ascii="Arial" w:hAnsi="Arial" w:cs="Arial"/>
          <w:color w:val="000000"/>
          <w:sz w:val="20"/>
          <w:szCs w:val="20"/>
        </w:rPr>
        <w:t xml:space="preserve">, se utilizaron los datos del brazo de </w:t>
      </w:r>
      <w:r>
        <w:rPr>
          <w:rFonts w:ascii="Arial" w:hAnsi="Arial" w:cs="Arial"/>
          <w:color w:val="000000"/>
          <w:sz w:val="20"/>
          <w:szCs w:val="20"/>
        </w:rPr>
        <w:t>mejor tratamiento de soporte del estudio</w:t>
      </w:r>
      <w:r w:rsidR="006C6214" w:rsidRPr="006C6214">
        <w:rPr>
          <w:rFonts w:ascii="Arial" w:hAnsi="Arial" w:cs="Arial"/>
          <w:color w:val="000000"/>
          <w:sz w:val="20"/>
          <w:szCs w:val="20"/>
        </w:rPr>
        <w:t xml:space="preserve"> ENDEAR </w:t>
      </w:r>
      <w:r w:rsidR="00104EFD">
        <w:rPr>
          <w:rFonts w:ascii="Arial" w:hAnsi="Arial" w:cs="Arial"/>
          <w:color w:val="000000"/>
          <w:sz w:val="20"/>
          <w:szCs w:val="20"/>
        </w:rPr>
        <w:t xml:space="preserve">con nusinersen </w:t>
      </w:r>
      <w:r w:rsidR="006C6214" w:rsidRPr="006C6214">
        <w:rPr>
          <w:rFonts w:ascii="Arial" w:hAnsi="Arial" w:cs="Arial"/>
          <w:color w:val="000000"/>
          <w:sz w:val="20"/>
          <w:szCs w:val="20"/>
        </w:rPr>
        <w:t xml:space="preserve">para </w:t>
      </w:r>
      <w:r>
        <w:rPr>
          <w:rFonts w:ascii="Arial" w:hAnsi="Arial" w:cs="Arial"/>
          <w:color w:val="000000"/>
          <w:sz w:val="20"/>
          <w:szCs w:val="20"/>
        </w:rPr>
        <w:t>hacer</w:t>
      </w:r>
      <w:r w:rsidR="006C6214" w:rsidRPr="006C6214">
        <w:rPr>
          <w:rFonts w:ascii="Arial" w:hAnsi="Arial" w:cs="Arial"/>
          <w:color w:val="000000"/>
          <w:sz w:val="20"/>
          <w:szCs w:val="20"/>
        </w:rPr>
        <w:t xml:space="preserve"> esta comparación.</w:t>
      </w:r>
    </w:p>
    <w:p w14:paraId="0020C134" w14:textId="77777777" w:rsidR="00104EFD" w:rsidRPr="00104EFD" w:rsidRDefault="00104EFD" w:rsidP="001F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6"/>
          <w:szCs w:val="20"/>
        </w:rPr>
      </w:pPr>
    </w:p>
    <w:p w14:paraId="1FAA663D" w14:textId="4264D51D" w:rsidR="00660F6B" w:rsidRDefault="00D553DD" w:rsidP="001F6887">
      <w:pPr>
        <w:jc w:val="center"/>
        <w:rPr>
          <w:rFonts w:ascii="Arial" w:hAnsi="Arial" w:cs="Arial"/>
          <w:color w:val="000000"/>
          <w:sz w:val="20"/>
          <w:szCs w:val="20"/>
        </w:rPr>
      </w:pPr>
      <w:r>
        <w:rPr>
          <w:noProof/>
        </w:rPr>
        <w:drawing>
          <wp:inline distT="0" distB="0" distL="0" distR="0" wp14:anchorId="41CCD294" wp14:editId="5A5F60FB">
            <wp:extent cx="5932627" cy="1806854"/>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68" t="45983" r="33204" b="24273"/>
                    <a:stretch/>
                  </pic:blipFill>
                  <pic:spPr bwMode="auto">
                    <a:xfrm>
                      <a:off x="0" y="0"/>
                      <a:ext cx="5982682" cy="1822099"/>
                    </a:xfrm>
                    <a:prstGeom prst="rect">
                      <a:avLst/>
                    </a:prstGeom>
                    <a:ln>
                      <a:noFill/>
                    </a:ln>
                    <a:extLst>
                      <a:ext uri="{53640926-AAD7-44D8-BBD7-CCE9431645EC}">
                        <a14:shadowObscured xmlns:a14="http://schemas.microsoft.com/office/drawing/2010/main"/>
                      </a:ext>
                    </a:extLst>
                  </pic:spPr>
                </pic:pic>
              </a:graphicData>
            </a:graphic>
          </wp:inline>
        </w:drawing>
      </w:r>
    </w:p>
    <w:p w14:paraId="3FD1B1EB" w14:textId="77777777" w:rsidR="0067181B" w:rsidRDefault="0067181B" w:rsidP="00104EFD">
      <w:pPr>
        <w:jc w:val="center"/>
        <w:rPr>
          <w:rFonts w:ascii="Arial" w:hAnsi="Arial" w:cs="Arial"/>
          <w:b/>
          <w:color w:val="000000"/>
          <w:sz w:val="16"/>
          <w:szCs w:val="20"/>
        </w:rPr>
      </w:pPr>
    </w:p>
    <w:p w14:paraId="0F7A8AF0" w14:textId="665E1552" w:rsidR="00104EFD" w:rsidRPr="00104EFD" w:rsidRDefault="00104EFD" w:rsidP="00104EFD">
      <w:pPr>
        <w:jc w:val="center"/>
        <w:rPr>
          <w:rFonts w:ascii="Arial" w:hAnsi="Arial" w:cs="Arial"/>
          <w:b/>
          <w:color w:val="000000"/>
          <w:sz w:val="16"/>
          <w:szCs w:val="20"/>
        </w:rPr>
      </w:pPr>
      <w:r w:rsidRPr="00104EFD">
        <w:rPr>
          <w:rFonts w:ascii="Arial" w:hAnsi="Arial" w:cs="Arial"/>
          <w:b/>
          <w:color w:val="000000"/>
          <w:sz w:val="16"/>
          <w:szCs w:val="20"/>
        </w:rPr>
        <w:t>Figura 3. Modelo según estados de salud</w:t>
      </w:r>
    </w:p>
    <w:p w14:paraId="54A03F59" w14:textId="77777777" w:rsidR="00036A6B" w:rsidRDefault="00036A6B" w:rsidP="001F6887">
      <w:pPr>
        <w:jc w:val="both"/>
        <w:rPr>
          <w:rFonts w:ascii="Arial" w:hAnsi="Arial" w:cs="Arial"/>
          <w:color w:val="000000"/>
          <w:sz w:val="20"/>
          <w:szCs w:val="20"/>
        </w:rPr>
      </w:pPr>
    </w:p>
    <w:p w14:paraId="76E7EF6C" w14:textId="4164CF63" w:rsidR="00660F6B" w:rsidRDefault="00D553DD" w:rsidP="001F6887">
      <w:pPr>
        <w:jc w:val="both"/>
        <w:rPr>
          <w:rFonts w:ascii="Arial" w:hAnsi="Arial" w:cs="Arial"/>
          <w:color w:val="000000"/>
          <w:sz w:val="20"/>
          <w:szCs w:val="20"/>
        </w:rPr>
      </w:pPr>
      <w:r>
        <w:rPr>
          <w:rFonts w:ascii="Arial" w:hAnsi="Arial" w:cs="Arial"/>
          <w:color w:val="000000"/>
          <w:sz w:val="20"/>
          <w:szCs w:val="20"/>
        </w:rPr>
        <w:lastRenderedPageBreak/>
        <w:t>Las diferentes premisas asumidas en el modelo fueron:</w:t>
      </w:r>
    </w:p>
    <w:p w14:paraId="18185261" w14:textId="77777777" w:rsidR="00104EFD" w:rsidRDefault="00104EFD" w:rsidP="001F6887">
      <w:pPr>
        <w:jc w:val="both"/>
        <w:rPr>
          <w:rFonts w:ascii="Arial" w:hAnsi="Arial" w:cs="Arial"/>
          <w:color w:val="000000"/>
          <w:sz w:val="20"/>
          <w:szCs w:val="20"/>
        </w:rPr>
      </w:pPr>
    </w:p>
    <w:p w14:paraId="475227C7" w14:textId="00BDF246" w:rsidR="00D553DD" w:rsidRPr="00D553DD" w:rsidRDefault="00D553DD" w:rsidP="001F6887">
      <w:pPr>
        <w:pStyle w:val="Prrafode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Pr>
          <w:rFonts w:ascii="Arial" w:hAnsi="Arial" w:cs="Arial"/>
          <w:color w:val="000000"/>
          <w:sz w:val="20"/>
          <w:szCs w:val="20"/>
        </w:rPr>
        <w:t xml:space="preserve">Utilizar una comparación indirecta no ajustada entre </w:t>
      </w:r>
      <w:r w:rsidR="00482C21">
        <w:rPr>
          <w:rFonts w:ascii="Arial" w:hAnsi="Arial" w:cs="Arial"/>
          <w:color w:val="000000"/>
          <w:sz w:val="20"/>
          <w:szCs w:val="20"/>
        </w:rPr>
        <w:t>onasemnogén</w:t>
      </w:r>
      <w:r w:rsidR="0068502A" w:rsidRPr="00104EFD">
        <w:rPr>
          <w:rFonts w:ascii="Arial" w:hAnsi="Arial" w:cs="Arial"/>
          <w:color w:val="000000"/>
          <w:sz w:val="20"/>
          <w:szCs w:val="20"/>
        </w:rPr>
        <w:t xml:space="preserve"> abeparvocec</w:t>
      </w:r>
      <w:r w:rsidRPr="00D553DD">
        <w:rPr>
          <w:rFonts w:ascii="Arial" w:hAnsi="Arial" w:cs="Arial"/>
          <w:color w:val="000000"/>
          <w:sz w:val="20"/>
          <w:szCs w:val="20"/>
        </w:rPr>
        <w:t xml:space="preserve"> y</w:t>
      </w:r>
      <w:r>
        <w:rPr>
          <w:rFonts w:ascii="Arial" w:hAnsi="Arial" w:cs="Arial"/>
          <w:color w:val="000000"/>
          <w:sz w:val="20"/>
          <w:szCs w:val="20"/>
        </w:rPr>
        <w:t xml:space="preserve"> el mejor tratamiento de soporte</w:t>
      </w:r>
    </w:p>
    <w:p w14:paraId="35CCD363" w14:textId="6FBABE4F" w:rsidR="00D553DD" w:rsidRPr="00D553DD" w:rsidRDefault="00D553DD" w:rsidP="001F6887">
      <w:pPr>
        <w:pStyle w:val="Prrafode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Pr>
          <w:rFonts w:ascii="Arial" w:hAnsi="Arial" w:cs="Arial"/>
          <w:color w:val="000000"/>
          <w:sz w:val="20"/>
          <w:szCs w:val="20"/>
        </w:rPr>
        <w:t>Aplicar l</w:t>
      </w:r>
      <w:r w:rsidRPr="00D553DD">
        <w:rPr>
          <w:rFonts w:ascii="Arial" w:hAnsi="Arial" w:cs="Arial"/>
          <w:color w:val="000000"/>
          <w:sz w:val="20"/>
          <w:szCs w:val="20"/>
        </w:rPr>
        <w:t xml:space="preserve">os datos de los ensayos </w:t>
      </w:r>
      <w:r>
        <w:rPr>
          <w:rFonts w:ascii="Arial" w:hAnsi="Arial" w:cs="Arial"/>
          <w:color w:val="000000"/>
          <w:sz w:val="20"/>
          <w:szCs w:val="20"/>
        </w:rPr>
        <w:t>solo</w:t>
      </w:r>
      <w:r w:rsidRPr="00D553DD">
        <w:rPr>
          <w:rFonts w:ascii="Arial" w:hAnsi="Arial" w:cs="Arial"/>
          <w:color w:val="000000"/>
          <w:sz w:val="20"/>
          <w:szCs w:val="20"/>
        </w:rPr>
        <w:t xml:space="preserve"> en el modelo a corto plazo.</w:t>
      </w:r>
    </w:p>
    <w:p w14:paraId="0DD64B7E" w14:textId="0F9CA95E" w:rsidR="00D553DD" w:rsidRPr="00D553DD" w:rsidRDefault="00D553DD" w:rsidP="001F6887">
      <w:pPr>
        <w:pStyle w:val="Prrafode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sidRPr="00D553DD">
        <w:rPr>
          <w:rFonts w:ascii="Arial" w:hAnsi="Arial" w:cs="Arial"/>
          <w:color w:val="000000"/>
          <w:sz w:val="20"/>
          <w:szCs w:val="20"/>
        </w:rPr>
        <w:t xml:space="preserve">En el modelo a corto plazo de </w:t>
      </w:r>
      <w:r w:rsidR="00104EFD">
        <w:rPr>
          <w:rFonts w:ascii="Arial" w:hAnsi="Arial" w:cs="Arial"/>
          <w:color w:val="000000"/>
          <w:sz w:val="20"/>
          <w:szCs w:val="20"/>
        </w:rPr>
        <w:t>nusinersen</w:t>
      </w:r>
      <w:r w:rsidRPr="00D553DD">
        <w:rPr>
          <w:rFonts w:ascii="Arial" w:hAnsi="Arial" w:cs="Arial"/>
          <w:color w:val="000000"/>
          <w:sz w:val="20"/>
          <w:szCs w:val="20"/>
        </w:rPr>
        <w:t xml:space="preserve">, </w:t>
      </w:r>
      <w:r>
        <w:rPr>
          <w:rFonts w:ascii="Arial" w:hAnsi="Arial" w:cs="Arial"/>
          <w:color w:val="000000"/>
          <w:sz w:val="20"/>
          <w:szCs w:val="20"/>
        </w:rPr>
        <w:t>se asumió</w:t>
      </w:r>
      <w:r w:rsidRPr="00D553DD">
        <w:rPr>
          <w:rFonts w:ascii="Arial" w:hAnsi="Arial" w:cs="Arial"/>
          <w:color w:val="000000"/>
          <w:sz w:val="20"/>
          <w:szCs w:val="20"/>
        </w:rPr>
        <w:t xml:space="preserve"> que la proporción de pacientes</w:t>
      </w:r>
      <w:r w:rsidR="00C21806">
        <w:rPr>
          <w:rFonts w:ascii="Arial" w:hAnsi="Arial" w:cs="Arial"/>
          <w:color w:val="000000"/>
          <w:sz w:val="20"/>
          <w:szCs w:val="20"/>
        </w:rPr>
        <w:t xml:space="preserve"> que logran sentarse</w:t>
      </w:r>
      <w:r w:rsidRPr="00D553DD">
        <w:rPr>
          <w:rFonts w:ascii="Arial" w:hAnsi="Arial" w:cs="Arial"/>
          <w:color w:val="000000"/>
          <w:sz w:val="20"/>
          <w:szCs w:val="20"/>
        </w:rPr>
        <w:t xml:space="preserve"> que no reciben seguimiento </w:t>
      </w:r>
      <w:r w:rsidR="00C21806">
        <w:rPr>
          <w:rFonts w:ascii="Arial" w:hAnsi="Arial" w:cs="Arial"/>
          <w:color w:val="000000"/>
          <w:sz w:val="20"/>
          <w:szCs w:val="20"/>
        </w:rPr>
        <w:t xml:space="preserve">y siguen vivos </w:t>
      </w:r>
      <w:r w:rsidRPr="00D553DD">
        <w:rPr>
          <w:rFonts w:ascii="Arial" w:hAnsi="Arial" w:cs="Arial"/>
          <w:color w:val="000000"/>
          <w:sz w:val="20"/>
          <w:szCs w:val="20"/>
        </w:rPr>
        <w:t xml:space="preserve">es la misma que la proporción observada </w:t>
      </w:r>
      <w:r w:rsidR="00C21806">
        <w:rPr>
          <w:rFonts w:ascii="Arial" w:hAnsi="Arial" w:cs="Arial"/>
          <w:color w:val="000000"/>
          <w:sz w:val="20"/>
          <w:szCs w:val="20"/>
        </w:rPr>
        <w:t>en</w:t>
      </w:r>
      <w:r w:rsidRPr="00D553DD">
        <w:rPr>
          <w:rFonts w:ascii="Arial" w:hAnsi="Arial" w:cs="Arial"/>
          <w:color w:val="000000"/>
          <w:sz w:val="20"/>
          <w:szCs w:val="20"/>
        </w:rPr>
        <w:t xml:space="preserve"> pacientes</w:t>
      </w:r>
      <w:r w:rsidR="00C21806">
        <w:rPr>
          <w:rFonts w:ascii="Arial" w:hAnsi="Arial" w:cs="Arial"/>
          <w:color w:val="000000"/>
          <w:sz w:val="20"/>
          <w:szCs w:val="20"/>
        </w:rPr>
        <w:t xml:space="preserve"> que logran sentarse y asisten</w:t>
      </w:r>
      <w:r w:rsidRPr="00D553DD">
        <w:rPr>
          <w:rFonts w:ascii="Arial" w:hAnsi="Arial" w:cs="Arial"/>
          <w:color w:val="000000"/>
          <w:sz w:val="20"/>
          <w:szCs w:val="20"/>
        </w:rPr>
        <w:t xml:space="preserve"> a las visitas de seguimiento.</w:t>
      </w:r>
    </w:p>
    <w:p w14:paraId="711AE209" w14:textId="54DEDA54" w:rsidR="00D553DD" w:rsidRPr="00D553DD" w:rsidRDefault="00D553DD" w:rsidP="001F6887">
      <w:pPr>
        <w:pStyle w:val="Prrafode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sidRPr="00D553DD">
        <w:rPr>
          <w:rFonts w:ascii="Arial" w:hAnsi="Arial" w:cs="Arial"/>
          <w:color w:val="000000"/>
          <w:sz w:val="20"/>
          <w:szCs w:val="20"/>
        </w:rPr>
        <w:t>El hito de función motora alcanzado al final del seguimiento se mant</w:t>
      </w:r>
      <w:r w:rsidR="00C21806">
        <w:rPr>
          <w:rFonts w:ascii="Arial" w:hAnsi="Arial" w:cs="Arial"/>
          <w:color w:val="000000"/>
          <w:sz w:val="20"/>
          <w:szCs w:val="20"/>
        </w:rPr>
        <w:t>iene</w:t>
      </w:r>
      <w:r w:rsidRPr="00D553DD">
        <w:rPr>
          <w:rFonts w:ascii="Arial" w:hAnsi="Arial" w:cs="Arial"/>
          <w:color w:val="000000"/>
          <w:sz w:val="20"/>
          <w:szCs w:val="20"/>
        </w:rPr>
        <w:t xml:space="preserve"> hasta la muerte.</w:t>
      </w:r>
    </w:p>
    <w:p w14:paraId="50F48F28" w14:textId="11EE005B" w:rsidR="00D553DD" w:rsidRPr="00D553DD" w:rsidRDefault="00D553DD" w:rsidP="001F6887">
      <w:pPr>
        <w:pStyle w:val="Prrafode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sidRPr="00D553DD">
        <w:rPr>
          <w:rFonts w:ascii="Arial" w:hAnsi="Arial" w:cs="Arial"/>
          <w:color w:val="000000"/>
          <w:sz w:val="20"/>
          <w:szCs w:val="20"/>
        </w:rPr>
        <w:t>Solo los pacientes en el estado de salud "no sentado" p</w:t>
      </w:r>
      <w:r w:rsidR="00C21806">
        <w:rPr>
          <w:rFonts w:ascii="Arial" w:hAnsi="Arial" w:cs="Arial"/>
          <w:color w:val="000000"/>
          <w:sz w:val="20"/>
          <w:szCs w:val="20"/>
        </w:rPr>
        <w:t>odían</w:t>
      </w:r>
      <w:r w:rsidRPr="00D553DD">
        <w:rPr>
          <w:rFonts w:ascii="Arial" w:hAnsi="Arial" w:cs="Arial"/>
          <w:color w:val="000000"/>
          <w:sz w:val="20"/>
          <w:szCs w:val="20"/>
        </w:rPr>
        <w:t xml:space="preserve"> pasar al estado de "ventilación permanente".</w:t>
      </w:r>
    </w:p>
    <w:p w14:paraId="5124C5E6" w14:textId="72906D89" w:rsidR="00D553DD" w:rsidRPr="00D553DD" w:rsidRDefault="00D553DD" w:rsidP="001F6887">
      <w:pPr>
        <w:pStyle w:val="Prrafode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sidRPr="00D553DD">
        <w:rPr>
          <w:rFonts w:ascii="Arial" w:hAnsi="Arial" w:cs="Arial"/>
          <w:color w:val="000000"/>
          <w:sz w:val="20"/>
          <w:szCs w:val="20"/>
        </w:rPr>
        <w:t xml:space="preserve">Los pacientes en el estado de salud "no sentado" al final del modelo a corto plazo tuvieron la misma supervivencia que aquellos con "ventilación permanente". </w:t>
      </w:r>
    </w:p>
    <w:p w14:paraId="5AAA2B72" w14:textId="6EFD055C" w:rsidR="00D553DD" w:rsidRDefault="00C21806" w:rsidP="001F6887">
      <w:pPr>
        <w:pStyle w:val="Prrafode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Pr>
          <w:rFonts w:ascii="Arial" w:hAnsi="Arial" w:cs="Arial"/>
          <w:color w:val="000000"/>
          <w:sz w:val="20"/>
          <w:szCs w:val="20"/>
        </w:rPr>
        <w:t xml:space="preserve">Se aplica </w:t>
      </w:r>
      <w:r w:rsidR="00D553DD" w:rsidRPr="00D553DD">
        <w:rPr>
          <w:rFonts w:ascii="Arial" w:hAnsi="Arial" w:cs="Arial"/>
          <w:color w:val="000000"/>
          <w:sz w:val="20"/>
          <w:szCs w:val="20"/>
        </w:rPr>
        <w:t>una regla de interrupción del tratamiento a los 24 meses para los pacientes en</w:t>
      </w:r>
      <w:r>
        <w:rPr>
          <w:rFonts w:ascii="Arial" w:hAnsi="Arial" w:cs="Arial"/>
          <w:color w:val="000000"/>
          <w:sz w:val="20"/>
          <w:szCs w:val="20"/>
        </w:rPr>
        <w:t xml:space="preserve"> tratamiento con</w:t>
      </w:r>
      <w:r w:rsidR="00D553DD" w:rsidRPr="00D553DD">
        <w:rPr>
          <w:rFonts w:ascii="Arial" w:hAnsi="Arial" w:cs="Arial"/>
          <w:color w:val="000000"/>
          <w:sz w:val="20"/>
          <w:szCs w:val="20"/>
        </w:rPr>
        <w:t xml:space="preserve"> </w:t>
      </w:r>
      <w:r w:rsidR="0068502A">
        <w:rPr>
          <w:rFonts w:ascii="Arial" w:hAnsi="Arial" w:cs="Arial"/>
          <w:color w:val="000000"/>
          <w:sz w:val="20"/>
          <w:szCs w:val="20"/>
        </w:rPr>
        <w:t>nusi</w:t>
      </w:r>
      <w:r w:rsidR="00BC5C24">
        <w:rPr>
          <w:rFonts w:ascii="Arial" w:hAnsi="Arial" w:cs="Arial"/>
          <w:color w:val="000000"/>
          <w:sz w:val="20"/>
          <w:szCs w:val="20"/>
        </w:rPr>
        <w:t>nersen</w:t>
      </w:r>
      <w:r w:rsidR="00D553DD" w:rsidRPr="00D553DD">
        <w:rPr>
          <w:rFonts w:ascii="Arial" w:hAnsi="Arial" w:cs="Arial"/>
          <w:color w:val="000000"/>
          <w:sz w:val="20"/>
          <w:szCs w:val="20"/>
        </w:rPr>
        <w:t xml:space="preserve"> que no lograron los hitos de función motora con el tratamiento.</w:t>
      </w:r>
    </w:p>
    <w:p w14:paraId="44C637BD" w14:textId="68D069F4" w:rsidR="0064752F" w:rsidRPr="00D553DD" w:rsidRDefault="0064752F" w:rsidP="00BC5C24">
      <w:pPr>
        <w:pStyle w:val="Prrafode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rPr>
      </w:pPr>
      <w:r>
        <w:rPr>
          <w:rFonts w:ascii="Arial" w:hAnsi="Arial" w:cs="Arial"/>
          <w:color w:val="000000"/>
          <w:sz w:val="20"/>
          <w:szCs w:val="20"/>
        </w:rPr>
        <w:t xml:space="preserve">Se considera que no ocurren muertes en el grupo de </w:t>
      </w:r>
      <w:r w:rsidR="00482C21">
        <w:rPr>
          <w:rFonts w:ascii="Arial" w:hAnsi="Arial" w:cs="Arial"/>
          <w:color w:val="000000"/>
          <w:sz w:val="20"/>
          <w:szCs w:val="20"/>
        </w:rPr>
        <w:t>onasemnogén</w:t>
      </w:r>
      <w:r w:rsidR="00BC5C24" w:rsidRPr="00BC5C24">
        <w:rPr>
          <w:rFonts w:ascii="Arial" w:hAnsi="Arial" w:cs="Arial"/>
          <w:color w:val="000000"/>
          <w:sz w:val="20"/>
          <w:szCs w:val="20"/>
        </w:rPr>
        <w:t xml:space="preserve"> abeparvocec</w:t>
      </w:r>
      <w:r>
        <w:rPr>
          <w:rFonts w:ascii="Arial" w:hAnsi="Arial" w:cs="Arial"/>
          <w:color w:val="000000"/>
          <w:sz w:val="20"/>
          <w:szCs w:val="20"/>
        </w:rPr>
        <w:t>, debido a los resultados del ensayo clínico, lo cual genera la mayor limitación e incertidumbre de todo el análisis</w:t>
      </w:r>
      <w:r w:rsidR="00DB27DA">
        <w:rPr>
          <w:rFonts w:ascii="Arial" w:hAnsi="Arial" w:cs="Arial"/>
          <w:color w:val="000000"/>
          <w:sz w:val="20"/>
          <w:szCs w:val="20"/>
        </w:rPr>
        <w:t>.</w:t>
      </w:r>
    </w:p>
    <w:p w14:paraId="5374D05F" w14:textId="77777777" w:rsidR="00D553DD" w:rsidRDefault="00D553DD" w:rsidP="001F6887">
      <w:pPr>
        <w:jc w:val="both"/>
        <w:rPr>
          <w:rFonts w:ascii="Arial" w:hAnsi="Arial" w:cs="Arial"/>
          <w:color w:val="000000"/>
          <w:sz w:val="20"/>
          <w:szCs w:val="20"/>
        </w:rPr>
      </w:pPr>
    </w:p>
    <w:p w14:paraId="2792C689" w14:textId="40753FE1" w:rsidR="00195178" w:rsidRDefault="00195178" w:rsidP="001F6887">
      <w:pPr>
        <w:jc w:val="both"/>
        <w:rPr>
          <w:rFonts w:ascii="Arial" w:hAnsi="Arial" w:cs="Arial"/>
          <w:color w:val="000000"/>
          <w:sz w:val="20"/>
          <w:szCs w:val="20"/>
        </w:rPr>
      </w:pPr>
      <w:r w:rsidRPr="00195178">
        <w:rPr>
          <w:rFonts w:ascii="Arial" w:hAnsi="Arial" w:cs="Arial"/>
          <w:color w:val="000000"/>
          <w:sz w:val="20"/>
          <w:szCs w:val="20"/>
        </w:rPr>
        <w:t xml:space="preserve">Ambas intervenciones resultaron en más AVAC y años de vida ganados </w:t>
      </w:r>
      <w:r w:rsidRPr="00BC5C24">
        <w:rPr>
          <w:rFonts w:ascii="Arial" w:hAnsi="Arial" w:cs="Arial"/>
          <w:b/>
          <w:color w:val="000000"/>
          <w:sz w:val="20"/>
          <w:szCs w:val="20"/>
        </w:rPr>
        <w:t>en relación con el mejor tratamiento de soporte</w:t>
      </w:r>
      <w:r w:rsidRPr="00195178">
        <w:rPr>
          <w:rFonts w:ascii="Arial" w:hAnsi="Arial" w:cs="Arial"/>
          <w:color w:val="000000"/>
          <w:sz w:val="20"/>
          <w:szCs w:val="20"/>
        </w:rPr>
        <w:t>, lo que resultó en índices de cost</w:t>
      </w:r>
      <w:r>
        <w:rPr>
          <w:rFonts w:ascii="Arial" w:hAnsi="Arial" w:cs="Arial"/>
          <w:color w:val="000000"/>
          <w:sz w:val="20"/>
          <w:szCs w:val="20"/>
        </w:rPr>
        <w:t>e-utilidad</w:t>
      </w:r>
      <w:r w:rsidRPr="00195178">
        <w:rPr>
          <w:rFonts w:ascii="Arial" w:hAnsi="Arial" w:cs="Arial"/>
          <w:color w:val="000000"/>
          <w:sz w:val="20"/>
          <w:szCs w:val="20"/>
        </w:rPr>
        <w:t xml:space="preserve"> incrementales de aproximadamente </w:t>
      </w:r>
      <w:r w:rsidRPr="00BC5C24">
        <w:rPr>
          <w:rFonts w:ascii="Arial" w:hAnsi="Arial" w:cs="Arial"/>
          <w:b/>
          <w:color w:val="000000"/>
          <w:sz w:val="20"/>
          <w:szCs w:val="20"/>
        </w:rPr>
        <w:t xml:space="preserve">$1,1 millones por AVAC para </w:t>
      </w:r>
      <w:r w:rsidR="00BC5C24" w:rsidRPr="00BC5C24">
        <w:rPr>
          <w:rFonts w:ascii="Arial" w:hAnsi="Arial" w:cs="Arial"/>
          <w:b/>
          <w:color w:val="000000"/>
          <w:sz w:val="20"/>
          <w:szCs w:val="20"/>
        </w:rPr>
        <w:t>nusinersen</w:t>
      </w:r>
      <w:r w:rsidRPr="00195178">
        <w:rPr>
          <w:rFonts w:ascii="Arial" w:hAnsi="Arial" w:cs="Arial"/>
          <w:color w:val="000000"/>
          <w:sz w:val="20"/>
          <w:szCs w:val="20"/>
        </w:rPr>
        <w:t xml:space="preserve"> y </w:t>
      </w:r>
      <w:r w:rsidRPr="00BC5C24">
        <w:rPr>
          <w:rFonts w:ascii="Arial" w:hAnsi="Arial" w:cs="Arial"/>
          <w:b/>
          <w:color w:val="000000"/>
          <w:sz w:val="20"/>
          <w:szCs w:val="20"/>
        </w:rPr>
        <w:t xml:space="preserve">aproximadamente $243.000 por AVAC para </w:t>
      </w:r>
      <w:r w:rsidR="00482C21">
        <w:rPr>
          <w:rFonts w:ascii="Arial" w:hAnsi="Arial" w:cs="Arial"/>
          <w:b/>
          <w:color w:val="000000"/>
          <w:sz w:val="20"/>
          <w:szCs w:val="20"/>
        </w:rPr>
        <w:t>onasemnogén</w:t>
      </w:r>
      <w:r w:rsidR="00BC5C24" w:rsidRPr="00BC5C24">
        <w:rPr>
          <w:rFonts w:ascii="Arial" w:hAnsi="Arial" w:cs="Arial"/>
          <w:b/>
          <w:color w:val="000000"/>
          <w:sz w:val="20"/>
          <w:szCs w:val="20"/>
        </w:rPr>
        <w:t xml:space="preserve"> abeparvocec</w:t>
      </w:r>
      <w:r>
        <w:rPr>
          <w:rFonts w:ascii="Arial" w:hAnsi="Arial" w:cs="Arial"/>
          <w:color w:val="000000"/>
          <w:sz w:val="20"/>
          <w:szCs w:val="20"/>
          <w:vertAlign w:val="superscript"/>
        </w:rPr>
        <w:t xml:space="preserve"> </w:t>
      </w:r>
      <w:r>
        <w:rPr>
          <w:rFonts w:ascii="Arial" w:hAnsi="Arial" w:cs="Arial"/>
          <w:color w:val="000000"/>
          <w:sz w:val="20"/>
          <w:szCs w:val="20"/>
        </w:rPr>
        <w:t>(usando como precio de adquisición de</w:t>
      </w:r>
      <w:r w:rsidRPr="00195178">
        <w:rPr>
          <w:rFonts w:ascii="Arial" w:hAnsi="Arial" w:cs="Arial"/>
          <w:color w:val="000000"/>
          <w:sz w:val="20"/>
          <w:szCs w:val="20"/>
        </w:rPr>
        <w:t xml:space="preserve"> </w:t>
      </w:r>
      <w:r w:rsidR="00482C21">
        <w:rPr>
          <w:rFonts w:ascii="Arial" w:hAnsi="Arial" w:cs="Arial"/>
          <w:color w:val="000000"/>
          <w:sz w:val="20"/>
          <w:szCs w:val="20"/>
        </w:rPr>
        <w:t>onasemnogén</w:t>
      </w:r>
      <w:r w:rsidR="00BC5C24" w:rsidRPr="00BC5C24">
        <w:rPr>
          <w:rFonts w:ascii="Arial" w:hAnsi="Arial" w:cs="Arial"/>
          <w:color w:val="000000"/>
          <w:sz w:val="20"/>
          <w:szCs w:val="20"/>
        </w:rPr>
        <w:t xml:space="preserve"> abeparvocec</w:t>
      </w:r>
      <w:r>
        <w:rPr>
          <w:rFonts w:ascii="Arial" w:hAnsi="Arial" w:cs="Arial"/>
          <w:color w:val="000000"/>
          <w:sz w:val="20"/>
          <w:szCs w:val="20"/>
          <w:vertAlign w:val="superscript"/>
        </w:rPr>
        <w:t xml:space="preserve"> </w:t>
      </w:r>
      <w:r>
        <w:rPr>
          <w:rFonts w:ascii="Arial" w:hAnsi="Arial" w:cs="Arial"/>
          <w:color w:val="000000"/>
          <w:sz w:val="20"/>
          <w:szCs w:val="20"/>
        </w:rPr>
        <w:t>un valor de</w:t>
      </w:r>
      <w:r w:rsidRPr="00195178">
        <w:rPr>
          <w:rFonts w:ascii="Arial" w:hAnsi="Arial" w:cs="Arial"/>
          <w:color w:val="000000"/>
          <w:sz w:val="20"/>
          <w:szCs w:val="20"/>
        </w:rPr>
        <w:t xml:space="preserve"> $2</w:t>
      </w:r>
      <w:r>
        <w:rPr>
          <w:rFonts w:ascii="Arial" w:hAnsi="Arial" w:cs="Arial"/>
          <w:color w:val="000000"/>
          <w:sz w:val="20"/>
          <w:szCs w:val="20"/>
        </w:rPr>
        <w:t>.000.000)</w:t>
      </w:r>
      <w:r w:rsidRPr="00195178">
        <w:rPr>
          <w:rFonts w:ascii="Arial" w:hAnsi="Arial" w:cs="Arial"/>
          <w:color w:val="000000"/>
          <w:sz w:val="20"/>
          <w:szCs w:val="20"/>
        </w:rPr>
        <w:t>. El cost</w:t>
      </w:r>
      <w:r>
        <w:rPr>
          <w:rFonts w:ascii="Arial" w:hAnsi="Arial" w:cs="Arial"/>
          <w:color w:val="000000"/>
          <w:sz w:val="20"/>
          <w:szCs w:val="20"/>
        </w:rPr>
        <w:t>e</w:t>
      </w:r>
      <w:r w:rsidRPr="00195178">
        <w:rPr>
          <w:rFonts w:ascii="Arial" w:hAnsi="Arial" w:cs="Arial"/>
          <w:color w:val="000000"/>
          <w:sz w:val="20"/>
          <w:szCs w:val="20"/>
        </w:rPr>
        <w:t xml:space="preserve"> por año de vida ganado para </w:t>
      </w:r>
      <w:r w:rsidR="00BC5C24">
        <w:rPr>
          <w:rFonts w:ascii="Arial" w:hAnsi="Arial" w:cs="Arial"/>
          <w:color w:val="000000"/>
          <w:sz w:val="20"/>
          <w:szCs w:val="20"/>
        </w:rPr>
        <w:t>nusinersen</w:t>
      </w:r>
      <w:r w:rsidRPr="00195178">
        <w:rPr>
          <w:rFonts w:ascii="Arial" w:hAnsi="Arial" w:cs="Arial"/>
          <w:color w:val="000000"/>
          <w:sz w:val="20"/>
          <w:szCs w:val="20"/>
        </w:rPr>
        <w:t xml:space="preserve"> y </w:t>
      </w:r>
      <w:r w:rsidR="00482C21">
        <w:rPr>
          <w:rFonts w:ascii="Arial" w:hAnsi="Arial" w:cs="Arial"/>
          <w:color w:val="000000"/>
          <w:sz w:val="20"/>
          <w:szCs w:val="20"/>
        </w:rPr>
        <w:t>onasemnogén</w:t>
      </w:r>
      <w:r w:rsidR="00BC5C24" w:rsidRPr="00BC5C24">
        <w:rPr>
          <w:rFonts w:ascii="Arial" w:hAnsi="Arial" w:cs="Arial"/>
          <w:color w:val="000000"/>
          <w:sz w:val="20"/>
          <w:szCs w:val="20"/>
        </w:rPr>
        <w:t xml:space="preserve"> abeparvocec</w:t>
      </w:r>
      <w:r w:rsidRPr="00195178">
        <w:rPr>
          <w:rFonts w:ascii="Arial" w:hAnsi="Arial" w:cs="Arial"/>
          <w:color w:val="000000"/>
          <w:sz w:val="20"/>
          <w:szCs w:val="20"/>
        </w:rPr>
        <w:t xml:space="preserve"> fue de aproximadamente $590</w:t>
      </w:r>
      <w:r w:rsidR="00E27955">
        <w:rPr>
          <w:rFonts w:ascii="Arial" w:hAnsi="Arial" w:cs="Arial"/>
          <w:color w:val="000000"/>
          <w:sz w:val="20"/>
          <w:szCs w:val="20"/>
        </w:rPr>
        <w:t>.</w:t>
      </w:r>
      <w:r w:rsidRPr="00195178">
        <w:rPr>
          <w:rFonts w:ascii="Arial" w:hAnsi="Arial" w:cs="Arial"/>
          <w:color w:val="000000"/>
          <w:sz w:val="20"/>
          <w:szCs w:val="20"/>
        </w:rPr>
        <w:t>000 y $</w:t>
      </w:r>
      <w:r w:rsidR="00E27955">
        <w:rPr>
          <w:rFonts w:ascii="Arial" w:hAnsi="Arial" w:cs="Arial"/>
          <w:color w:val="000000"/>
          <w:sz w:val="20"/>
          <w:szCs w:val="20"/>
        </w:rPr>
        <w:t>1</w:t>
      </w:r>
      <w:r w:rsidRPr="00195178">
        <w:rPr>
          <w:rFonts w:ascii="Arial" w:hAnsi="Arial" w:cs="Arial"/>
          <w:color w:val="000000"/>
          <w:sz w:val="20"/>
          <w:szCs w:val="20"/>
        </w:rPr>
        <w:t>82</w:t>
      </w:r>
      <w:r w:rsidR="00E27955">
        <w:rPr>
          <w:rFonts w:ascii="Arial" w:hAnsi="Arial" w:cs="Arial"/>
          <w:color w:val="000000"/>
          <w:sz w:val="20"/>
          <w:szCs w:val="20"/>
        </w:rPr>
        <w:t>.</w:t>
      </w:r>
      <w:r w:rsidRPr="00195178">
        <w:rPr>
          <w:rFonts w:ascii="Arial" w:hAnsi="Arial" w:cs="Arial"/>
          <w:color w:val="000000"/>
          <w:sz w:val="20"/>
          <w:szCs w:val="20"/>
        </w:rPr>
        <w:t>000, respectivamente.</w:t>
      </w:r>
    </w:p>
    <w:p w14:paraId="5D5E10D2" w14:textId="06D2E7AF" w:rsidR="00BC5C24" w:rsidRPr="00BC5C24" w:rsidRDefault="001E66A0" w:rsidP="001F6887">
      <w:pPr>
        <w:jc w:val="both"/>
        <w:rPr>
          <w:rFonts w:ascii="Arial" w:hAnsi="Arial" w:cs="Arial"/>
          <w:color w:val="000000"/>
          <w:sz w:val="14"/>
          <w:szCs w:val="20"/>
        </w:rPr>
      </w:pPr>
      <w:r>
        <w:rPr>
          <w:noProof/>
        </w:rPr>
        <w:drawing>
          <wp:inline distT="0" distB="0" distL="0" distR="0" wp14:anchorId="640ED14E" wp14:editId="34F4351A">
            <wp:extent cx="5474327" cy="1748333"/>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90" t="47286" r="32578" b="31178"/>
                    <a:stretch/>
                  </pic:blipFill>
                  <pic:spPr bwMode="auto">
                    <a:xfrm>
                      <a:off x="0" y="0"/>
                      <a:ext cx="5508980" cy="1759400"/>
                    </a:xfrm>
                    <a:prstGeom prst="rect">
                      <a:avLst/>
                    </a:prstGeom>
                    <a:ln>
                      <a:noFill/>
                    </a:ln>
                    <a:extLst>
                      <a:ext uri="{53640926-AAD7-44D8-BBD7-CCE9431645EC}">
                        <a14:shadowObscured xmlns:a14="http://schemas.microsoft.com/office/drawing/2010/main"/>
                      </a:ext>
                    </a:extLst>
                  </pic:spPr>
                </pic:pic>
              </a:graphicData>
            </a:graphic>
          </wp:inline>
        </w:drawing>
      </w:r>
    </w:p>
    <w:p w14:paraId="0CFE8579" w14:textId="34F406FA" w:rsidR="00E27955" w:rsidRDefault="00E27955" w:rsidP="001F6887">
      <w:pPr>
        <w:jc w:val="both"/>
        <w:rPr>
          <w:rFonts w:ascii="Arial" w:hAnsi="Arial" w:cs="Arial"/>
          <w:color w:val="000000"/>
          <w:sz w:val="20"/>
          <w:szCs w:val="20"/>
        </w:rPr>
      </w:pPr>
      <w:r>
        <w:rPr>
          <w:noProof/>
        </w:rPr>
        <w:drawing>
          <wp:inline distT="0" distB="0" distL="0" distR="0" wp14:anchorId="454804D4" wp14:editId="4878F49E">
            <wp:extent cx="5474327" cy="16971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90" t="68733" r="32578" b="10362"/>
                    <a:stretch/>
                  </pic:blipFill>
                  <pic:spPr bwMode="auto">
                    <a:xfrm>
                      <a:off x="0" y="0"/>
                      <a:ext cx="5508980" cy="1707869"/>
                    </a:xfrm>
                    <a:prstGeom prst="rect">
                      <a:avLst/>
                    </a:prstGeom>
                    <a:ln>
                      <a:noFill/>
                    </a:ln>
                    <a:extLst>
                      <a:ext uri="{53640926-AAD7-44D8-BBD7-CCE9431645EC}">
                        <a14:shadowObscured xmlns:a14="http://schemas.microsoft.com/office/drawing/2010/main"/>
                      </a:ext>
                    </a:extLst>
                  </pic:spPr>
                </pic:pic>
              </a:graphicData>
            </a:graphic>
          </wp:inline>
        </w:drawing>
      </w:r>
    </w:p>
    <w:p w14:paraId="6827EF5F" w14:textId="77777777" w:rsidR="00AB00EA" w:rsidRDefault="00AB00EA" w:rsidP="00BC5C24">
      <w:pPr>
        <w:jc w:val="both"/>
        <w:rPr>
          <w:rFonts w:ascii="Arial" w:hAnsi="Arial" w:cs="Arial"/>
          <w:color w:val="000000"/>
          <w:sz w:val="20"/>
          <w:szCs w:val="20"/>
        </w:rPr>
      </w:pPr>
    </w:p>
    <w:p w14:paraId="43767BB7" w14:textId="2DCEC8B7" w:rsidR="00BC5C24" w:rsidRDefault="00BC5C24" w:rsidP="00BC5C24">
      <w:pPr>
        <w:jc w:val="both"/>
        <w:rPr>
          <w:rFonts w:ascii="Arial" w:hAnsi="Arial" w:cs="Arial"/>
          <w:color w:val="000000"/>
          <w:sz w:val="20"/>
          <w:szCs w:val="20"/>
        </w:rPr>
      </w:pPr>
      <w:r w:rsidRPr="00E27955">
        <w:rPr>
          <w:rFonts w:ascii="Arial" w:hAnsi="Arial" w:cs="Arial"/>
          <w:color w:val="000000"/>
          <w:sz w:val="20"/>
          <w:szCs w:val="20"/>
        </w:rPr>
        <w:t>A partir de los análisis de sensibilidad unidireccionales, encontramos que la utilidad en el estado de salud "sentado" y los cost</w:t>
      </w:r>
      <w:r>
        <w:rPr>
          <w:rFonts w:ascii="Arial" w:hAnsi="Arial" w:cs="Arial"/>
          <w:color w:val="000000"/>
          <w:sz w:val="20"/>
          <w:szCs w:val="20"/>
        </w:rPr>
        <w:t>e</w:t>
      </w:r>
      <w:r w:rsidRPr="00E27955">
        <w:rPr>
          <w:rFonts w:ascii="Arial" w:hAnsi="Arial" w:cs="Arial"/>
          <w:color w:val="000000"/>
          <w:sz w:val="20"/>
          <w:szCs w:val="20"/>
        </w:rPr>
        <w:t xml:space="preserve">s de atención médica en el modelo de estado de salud "no sentado" </w:t>
      </w:r>
      <w:r>
        <w:rPr>
          <w:rFonts w:ascii="Arial" w:hAnsi="Arial" w:cs="Arial"/>
          <w:color w:val="000000"/>
          <w:sz w:val="20"/>
          <w:szCs w:val="20"/>
        </w:rPr>
        <w:t>fueron</w:t>
      </w:r>
      <w:r w:rsidRPr="00E27955">
        <w:rPr>
          <w:rFonts w:ascii="Arial" w:hAnsi="Arial" w:cs="Arial"/>
          <w:color w:val="000000"/>
          <w:sz w:val="20"/>
          <w:szCs w:val="20"/>
        </w:rPr>
        <w:t xml:space="preserve"> los factores que más afectaron al modelo. Los análisis probabilísticos mostraron que para </w:t>
      </w:r>
      <w:r>
        <w:rPr>
          <w:rFonts w:ascii="Arial" w:hAnsi="Arial" w:cs="Arial"/>
          <w:color w:val="000000"/>
          <w:sz w:val="20"/>
          <w:szCs w:val="20"/>
        </w:rPr>
        <w:t>nusinersen</w:t>
      </w:r>
      <w:r w:rsidRPr="00E27955">
        <w:rPr>
          <w:rFonts w:ascii="Arial" w:hAnsi="Arial" w:cs="Arial"/>
          <w:color w:val="000000"/>
          <w:sz w:val="20"/>
          <w:szCs w:val="20"/>
        </w:rPr>
        <w:t xml:space="preserve">, ninguna de las simulaciones produjo resultados incrementales que fueran </w:t>
      </w:r>
      <w:r>
        <w:rPr>
          <w:rFonts w:ascii="Arial" w:hAnsi="Arial" w:cs="Arial"/>
          <w:color w:val="000000"/>
          <w:sz w:val="20"/>
          <w:szCs w:val="20"/>
        </w:rPr>
        <w:t>coste-efectivas</w:t>
      </w:r>
      <w:r w:rsidRPr="00E27955">
        <w:rPr>
          <w:rFonts w:ascii="Arial" w:hAnsi="Arial" w:cs="Arial"/>
          <w:color w:val="000000"/>
          <w:sz w:val="20"/>
          <w:szCs w:val="20"/>
        </w:rPr>
        <w:t xml:space="preserve"> hasta un umbral de $500</w:t>
      </w:r>
      <w:r>
        <w:rPr>
          <w:rFonts w:ascii="Arial" w:hAnsi="Arial" w:cs="Arial"/>
          <w:color w:val="000000"/>
          <w:sz w:val="20"/>
          <w:szCs w:val="20"/>
        </w:rPr>
        <w:t>.</w:t>
      </w:r>
      <w:r w:rsidRPr="00E27955">
        <w:rPr>
          <w:rFonts w:ascii="Arial" w:hAnsi="Arial" w:cs="Arial"/>
          <w:color w:val="000000"/>
          <w:sz w:val="20"/>
          <w:szCs w:val="20"/>
        </w:rPr>
        <w:t>000</w:t>
      </w:r>
      <w:r>
        <w:rPr>
          <w:rFonts w:ascii="Arial" w:hAnsi="Arial" w:cs="Arial"/>
          <w:color w:val="000000"/>
          <w:sz w:val="20"/>
          <w:szCs w:val="20"/>
        </w:rPr>
        <w:t xml:space="preserve"> </w:t>
      </w:r>
      <w:r w:rsidRPr="00E27955">
        <w:rPr>
          <w:rFonts w:ascii="Arial" w:hAnsi="Arial" w:cs="Arial"/>
          <w:color w:val="000000"/>
          <w:sz w:val="20"/>
          <w:szCs w:val="20"/>
        </w:rPr>
        <w:t xml:space="preserve">por AVAC. Para </w:t>
      </w:r>
      <w:r w:rsidR="00482C21">
        <w:rPr>
          <w:rFonts w:ascii="Arial" w:hAnsi="Arial" w:cs="Arial"/>
          <w:color w:val="000000"/>
          <w:sz w:val="20"/>
          <w:szCs w:val="20"/>
        </w:rPr>
        <w:t>onasemnogén</w:t>
      </w:r>
      <w:r w:rsidRPr="00BC5C24">
        <w:rPr>
          <w:rFonts w:ascii="Arial" w:hAnsi="Arial" w:cs="Arial"/>
          <w:color w:val="000000"/>
          <w:sz w:val="20"/>
          <w:szCs w:val="20"/>
        </w:rPr>
        <w:t xml:space="preserve"> abeparvocec</w:t>
      </w:r>
      <w:r w:rsidRPr="00E27955">
        <w:rPr>
          <w:rFonts w:ascii="Arial" w:hAnsi="Arial" w:cs="Arial"/>
          <w:color w:val="000000"/>
          <w:sz w:val="20"/>
          <w:szCs w:val="20"/>
        </w:rPr>
        <w:t xml:space="preserve"> todas las simulaciones produjeron resultados que fueron </w:t>
      </w:r>
      <w:r>
        <w:rPr>
          <w:rFonts w:ascii="Arial" w:hAnsi="Arial" w:cs="Arial"/>
          <w:color w:val="000000"/>
          <w:sz w:val="20"/>
          <w:szCs w:val="20"/>
        </w:rPr>
        <w:t>coste-efectivas</w:t>
      </w:r>
      <w:r w:rsidRPr="00E27955">
        <w:rPr>
          <w:rFonts w:ascii="Arial" w:hAnsi="Arial" w:cs="Arial"/>
          <w:color w:val="000000"/>
          <w:sz w:val="20"/>
          <w:szCs w:val="20"/>
        </w:rPr>
        <w:t xml:space="preserve"> </w:t>
      </w:r>
      <w:r>
        <w:rPr>
          <w:rFonts w:ascii="Arial" w:hAnsi="Arial" w:cs="Arial"/>
          <w:color w:val="000000"/>
          <w:sz w:val="20"/>
          <w:szCs w:val="20"/>
        </w:rPr>
        <w:t>desde un umbral de $ 300.</w:t>
      </w:r>
      <w:r w:rsidRPr="00E27955">
        <w:rPr>
          <w:rFonts w:ascii="Arial" w:hAnsi="Arial" w:cs="Arial"/>
          <w:color w:val="000000"/>
          <w:sz w:val="20"/>
          <w:szCs w:val="20"/>
        </w:rPr>
        <w:t>000 por AVAC.</w:t>
      </w:r>
    </w:p>
    <w:p w14:paraId="3AF0D05E" w14:textId="77777777" w:rsidR="00BC5C24" w:rsidRDefault="00BC5C24" w:rsidP="001F6887">
      <w:pPr>
        <w:jc w:val="both"/>
        <w:rPr>
          <w:rFonts w:ascii="Arial" w:hAnsi="Arial" w:cs="Arial"/>
          <w:color w:val="000000"/>
          <w:sz w:val="20"/>
          <w:szCs w:val="20"/>
        </w:rPr>
      </w:pPr>
    </w:p>
    <w:p w14:paraId="2C86D16E" w14:textId="59A52DE7" w:rsidR="00E27955" w:rsidRPr="00195178" w:rsidRDefault="00476CE9" w:rsidP="001F6887">
      <w:pPr>
        <w:jc w:val="both"/>
        <w:rPr>
          <w:rFonts w:ascii="Arial" w:hAnsi="Arial" w:cs="Arial"/>
          <w:color w:val="000000"/>
          <w:sz w:val="20"/>
          <w:szCs w:val="20"/>
        </w:rPr>
      </w:pPr>
      <w:r>
        <w:rPr>
          <w:rFonts w:ascii="Arial" w:hAnsi="Arial" w:cs="Arial"/>
          <w:color w:val="000000"/>
          <w:sz w:val="20"/>
          <w:szCs w:val="20"/>
        </w:rPr>
        <w:lastRenderedPageBreak/>
        <w:t>En la siguiente tabla</w:t>
      </w:r>
      <w:r w:rsidR="00DB27DA">
        <w:rPr>
          <w:rFonts w:ascii="Arial" w:hAnsi="Arial" w:cs="Arial"/>
          <w:color w:val="000000"/>
          <w:sz w:val="20"/>
          <w:szCs w:val="20"/>
        </w:rPr>
        <w:t xml:space="preserve"> (Tabla ES13)</w:t>
      </w:r>
      <w:r>
        <w:rPr>
          <w:rFonts w:ascii="Arial" w:hAnsi="Arial" w:cs="Arial"/>
          <w:color w:val="000000"/>
          <w:sz w:val="20"/>
          <w:szCs w:val="20"/>
        </w:rPr>
        <w:t xml:space="preserve">, se muestra </w:t>
      </w:r>
      <w:r w:rsidRPr="00BC5C24">
        <w:rPr>
          <w:rFonts w:ascii="Arial" w:hAnsi="Arial" w:cs="Arial"/>
          <w:b/>
          <w:color w:val="000000"/>
          <w:sz w:val="20"/>
          <w:szCs w:val="20"/>
        </w:rPr>
        <w:t xml:space="preserve">una comparación </w:t>
      </w:r>
      <w:r w:rsidR="00BC5C24" w:rsidRPr="00BC5C24">
        <w:rPr>
          <w:rFonts w:ascii="Arial" w:hAnsi="Arial" w:cs="Arial"/>
          <w:b/>
          <w:color w:val="000000"/>
          <w:sz w:val="20"/>
          <w:szCs w:val="20"/>
        </w:rPr>
        <w:t>de</w:t>
      </w:r>
      <w:r w:rsidRPr="00BC5C24">
        <w:rPr>
          <w:rFonts w:ascii="Arial" w:hAnsi="Arial" w:cs="Arial"/>
          <w:b/>
          <w:color w:val="000000"/>
          <w:sz w:val="20"/>
          <w:szCs w:val="20"/>
        </w:rPr>
        <w:t xml:space="preserve"> </w:t>
      </w:r>
      <w:r w:rsidR="00482C21">
        <w:rPr>
          <w:rFonts w:ascii="Arial" w:hAnsi="Arial" w:cs="Arial"/>
          <w:b/>
          <w:color w:val="000000"/>
          <w:sz w:val="20"/>
          <w:szCs w:val="20"/>
        </w:rPr>
        <w:t>onasemnogén</w:t>
      </w:r>
      <w:r w:rsidR="00BC5C24" w:rsidRPr="00BC5C24">
        <w:rPr>
          <w:rFonts w:ascii="Arial" w:hAnsi="Arial" w:cs="Arial"/>
          <w:b/>
          <w:color w:val="000000"/>
          <w:sz w:val="20"/>
          <w:szCs w:val="20"/>
        </w:rPr>
        <w:t xml:space="preserve"> abeparvocec</w:t>
      </w:r>
      <w:r w:rsidR="00E27955" w:rsidRPr="00BC5C24">
        <w:rPr>
          <w:rFonts w:ascii="Arial" w:hAnsi="Arial" w:cs="Arial"/>
          <w:b/>
          <w:color w:val="000000"/>
          <w:sz w:val="20"/>
          <w:szCs w:val="20"/>
        </w:rPr>
        <w:t xml:space="preserve"> con </w:t>
      </w:r>
      <w:r w:rsidR="00BC5C24" w:rsidRPr="00BC5C24">
        <w:rPr>
          <w:rFonts w:ascii="Arial" w:hAnsi="Arial" w:cs="Arial"/>
          <w:b/>
          <w:color w:val="000000"/>
          <w:sz w:val="20"/>
          <w:szCs w:val="20"/>
        </w:rPr>
        <w:t>nusineren</w:t>
      </w:r>
      <w:r w:rsidR="00E27955" w:rsidRPr="00476CE9">
        <w:rPr>
          <w:rFonts w:ascii="Arial" w:hAnsi="Arial" w:cs="Arial"/>
          <w:color w:val="000000"/>
          <w:sz w:val="20"/>
          <w:szCs w:val="20"/>
        </w:rPr>
        <w:t xml:space="preserve"> </w:t>
      </w:r>
      <w:r w:rsidR="00BC5C24">
        <w:rPr>
          <w:rFonts w:ascii="Arial" w:hAnsi="Arial" w:cs="Arial"/>
          <w:color w:val="000000"/>
          <w:sz w:val="20"/>
          <w:szCs w:val="20"/>
        </w:rPr>
        <w:t xml:space="preserve">en la que </w:t>
      </w:r>
      <w:r w:rsidR="009810C1">
        <w:rPr>
          <w:rFonts w:ascii="Arial" w:hAnsi="Arial" w:cs="Arial"/>
          <w:color w:val="000000"/>
          <w:sz w:val="20"/>
          <w:szCs w:val="20"/>
        </w:rPr>
        <w:t>se incorporan</w:t>
      </w:r>
      <w:r w:rsidR="00E27955" w:rsidRPr="00476CE9">
        <w:rPr>
          <w:rFonts w:ascii="Arial" w:hAnsi="Arial" w:cs="Arial"/>
          <w:color w:val="000000"/>
          <w:sz w:val="20"/>
          <w:szCs w:val="20"/>
        </w:rPr>
        <w:t xml:space="preserve"> los cost</w:t>
      </w:r>
      <w:r w:rsidR="009810C1">
        <w:rPr>
          <w:rFonts w:ascii="Arial" w:hAnsi="Arial" w:cs="Arial"/>
          <w:color w:val="000000"/>
          <w:sz w:val="20"/>
          <w:szCs w:val="20"/>
        </w:rPr>
        <w:t>e</w:t>
      </w:r>
      <w:r w:rsidR="00E27955" w:rsidRPr="00476CE9">
        <w:rPr>
          <w:rFonts w:ascii="Arial" w:hAnsi="Arial" w:cs="Arial"/>
          <w:color w:val="000000"/>
          <w:sz w:val="20"/>
          <w:szCs w:val="20"/>
        </w:rPr>
        <w:t xml:space="preserve">s adicionales de </w:t>
      </w:r>
      <w:r w:rsidR="00BC5C24">
        <w:rPr>
          <w:rFonts w:ascii="Arial" w:hAnsi="Arial" w:cs="Arial"/>
          <w:color w:val="000000"/>
          <w:sz w:val="20"/>
          <w:szCs w:val="20"/>
        </w:rPr>
        <w:t>nusinersen</w:t>
      </w:r>
      <w:r w:rsidR="00E27955" w:rsidRPr="00476CE9">
        <w:rPr>
          <w:rFonts w:ascii="Arial" w:hAnsi="Arial" w:cs="Arial"/>
          <w:color w:val="000000"/>
          <w:sz w:val="20"/>
          <w:szCs w:val="20"/>
        </w:rPr>
        <w:t xml:space="preserve"> en el brazo de </w:t>
      </w:r>
      <w:r w:rsidR="00482C21">
        <w:rPr>
          <w:rFonts w:ascii="Arial" w:hAnsi="Arial" w:cs="Arial"/>
          <w:color w:val="000000"/>
          <w:sz w:val="20"/>
          <w:szCs w:val="20"/>
        </w:rPr>
        <w:t>onasemnogén</w:t>
      </w:r>
      <w:r w:rsidR="00BC5C24" w:rsidRPr="00BC5C24">
        <w:rPr>
          <w:rFonts w:ascii="Arial" w:hAnsi="Arial" w:cs="Arial"/>
          <w:color w:val="000000"/>
          <w:sz w:val="20"/>
          <w:szCs w:val="20"/>
        </w:rPr>
        <w:t xml:space="preserve"> abeparvocec</w:t>
      </w:r>
      <w:r w:rsidR="00E27955" w:rsidRPr="00476CE9">
        <w:rPr>
          <w:rFonts w:ascii="Arial" w:hAnsi="Arial" w:cs="Arial"/>
          <w:color w:val="000000"/>
          <w:sz w:val="20"/>
          <w:szCs w:val="20"/>
        </w:rPr>
        <w:t xml:space="preserve"> </w:t>
      </w:r>
      <w:r w:rsidR="0051731C">
        <w:rPr>
          <w:rFonts w:ascii="Arial" w:hAnsi="Arial" w:cs="Arial"/>
          <w:color w:val="000000"/>
          <w:sz w:val="20"/>
          <w:szCs w:val="20"/>
        </w:rPr>
        <w:t>asumiendo</w:t>
      </w:r>
      <w:r w:rsidR="00E27955" w:rsidRPr="00476CE9">
        <w:rPr>
          <w:rFonts w:ascii="Arial" w:hAnsi="Arial" w:cs="Arial"/>
          <w:color w:val="000000"/>
          <w:sz w:val="20"/>
          <w:szCs w:val="20"/>
        </w:rPr>
        <w:t xml:space="preserve"> que el 33% de los pacientes en el estado "sentado" del brazo de </w:t>
      </w:r>
      <w:r w:rsidR="00482C21">
        <w:rPr>
          <w:rFonts w:ascii="Arial" w:hAnsi="Arial" w:cs="Arial"/>
          <w:color w:val="000000"/>
          <w:sz w:val="20"/>
          <w:szCs w:val="20"/>
        </w:rPr>
        <w:t>onasemnogén</w:t>
      </w:r>
      <w:r w:rsidR="0051731C">
        <w:rPr>
          <w:rFonts w:ascii="Arial" w:hAnsi="Arial" w:cs="Arial"/>
          <w:color w:val="000000"/>
          <w:sz w:val="20"/>
          <w:szCs w:val="20"/>
        </w:rPr>
        <w:t xml:space="preserve"> abeparvocec</w:t>
      </w:r>
      <w:r w:rsidR="00E27955" w:rsidRPr="00476CE9">
        <w:rPr>
          <w:rFonts w:ascii="Arial" w:hAnsi="Arial" w:cs="Arial"/>
          <w:color w:val="000000"/>
          <w:sz w:val="20"/>
          <w:szCs w:val="20"/>
        </w:rPr>
        <w:t xml:space="preserve"> (es decir, el 25% de los pacientes en general) reciben </w:t>
      </w:r>
      <w:r w:rsidR="0051731C">
        <w:rPr>
          <w:rFonts w:ascii="Arial" w:hAnsi="Arial" w:cs="Arial"/>
          <w:color w:val="000000"/>
          <w:sz w:val="20"/>
          <w:szCs w:val="20"/>
        </w:rPr>
        <w:t>nusinersen</w:t>
      </w:r>
      <w:r w:rsidR="00E27955" w:rsidRPr="00476CE9">
        <w:rPr>
          <w:rFonts w:ascii="Arial" w:hAnsi="Arial" w:cs="Arial"/>
          <w:color w:val="000000"/>
          <w:sz w:val="20"/>
          <w:szCs w:val="20"/>
        </w:rPr>
        <w:t xml:space="preserve"> después del final del modelo a corto plazo.</w:t>
      </w:r>
    </w:p>
    <w:p w14:paraId="33605EC7" w14:textId="61B80E95" w:rsidR="00E27955" w:rsidRDefault="00E27955" w:rsidP="001F6887">
      <w:pPr>
        <w:jc w:val="both"/>
        <w:rPr>
          <w:rFonts w:ascii="Arial" w:hAnsi="Arial" w:cs="Arial"/>
          <w:color w:val="000000"/>
          <w:sz w:val="20"/>
          <w:szCs w:val="20"/>
        </w:rPr>
      </w:pPr>
      <w:r>
        <w:rPr>
          <w:noProof/>
        </w:rPr>
        <w:drawing>
          <wp:inline distT="0" distB="0" distL="0" distR="0" wp14:anchorId="6D1444F1" wp14:editId="62997A41">
            <wp:extent cx="5480050" cy="1922233"/>
            <wp:effectExtent l="0" t="0" r="635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21" t="61061" r="32693" b="15502"/>
                    <a:stretch/>
                  </pic:blipFill>
                  <pic:spPr bwMode="auto">
                    <a:xfrm>
                      <a:off x="0" y="0"/>
                      <a:ext cx="5514633" cy="1934364"/>
                    </a:xfrm>
                    <a:prstGeom prst="rect">
                      <a:avLst/>
                    </a:prstGeom>
                    <a:ln>
                      <a:noFill/>
                    </a:ln>
                    <a:extLst>
                      <a:ext uri="{53640926-AAD7-44D8-BBD7-CCE9431645EC}">
                        <a14:shadowObscured xmlns:a14="http://schemas.microsoft.com/office/drawing/2010/main"/>
                      </a:ext>
                    </a:extLst>
                  </pic:spPr>
                </pic:pic>
              </a:graphicData>
            </a:graphic>
          </wp:inline>
        </w:drawing>
      </w:r>
    </w:p>
    <w:p w14:paraId="5008E50D" w14:textId="67CD3FB6" w:rsidR="009810C1" w:rsidRPr="00E27955" w:rsidRDefault="009810C1" w:rsidP="001F6887">
      <w:pPr>
        <w:jc w:val="both"/>
        <w:rPr>
          <w:rFonts w:ascii="Arial" w:hAnsi="Arial" w:cs="Arial"/>
          <w:color w:val="000000"/>
          <w:sz w:val="20"/>
          <w:szCs w:val="20"/>
        </w:rPr>
      </w:pPr>
    </w:p>
    <w:p w14:paraId="6A29CF76" w14:textId="77777777" w:rsidR="0060785D" w:rsidRDefault="0060785D" w:rsidP="001F6887">
      <w:pPr>
        <w:jc w:val="both"/>
        <w:rPr>
          <w:rFonts w:ascii="Arial" w:hAnsi="Arial" w:cs="Arial"/>
          <w:b/>
          <w:bCs/>
          <w:sz w:val="20"/>
          <w:szCs w:val="20"/>
          <w:u w:val="single"/>
        </w:rPr>
      </w:pPr>
      <w:r>
        <w:rPr>
          <w:rFonts w:ascii="Arial" w:hAnsi="Arial" w:cs="Arial"/>
          <w:b/>
          <w:bCs/>
          <w:sz w:val="20"/>
          <w:szCs w:val="20"/>
          <w:u w:val="single"/>
        </w:rPr>
        <w:t>Revisión crítica y aplicabilidad de los estudios:</w:t>
      </w:r>
    </w:p>
    <w:p w14:paraId="6B342436" w14:textId="77777777" w:rsidR="007C62DA" w:rsidRDefault="007C62DA" w:rsidP="001F6887">
      <w:pPr>
        <w:jc w:val="both"/>
        <w:rPr>
          <w:rFonts w:ascii="Arial" w:hAnsi="Arial" w:cs="Arial"/>
          <w:color w:val="000000"/>
          <w:sz w:val="20"/>
          <w:szCs w:val="20"/>
        </w:rPr>
      </w:pPr>
    </w:p>
    <w:p w14:paraId="4A5E1E7B" w14:textId="77882E01" w:rsidR="007C62DA" w:rsidRDefault="0060785D" w:rsidP="00AB00EA">
      <w:pPr>
        <w:pStyle w:val="Prrafodelista"/>
        <w:numPr>
          <w:ilvl w:val="0"/>
          <w:numId w:val="7"/>
        </w:numPr>
        <w:jc w:val="both"/>
        <w:rPr>
          <w:rFonts w:ascii="Arial" w:hAnsi="Arial" w:cs="Arial"/>
          <w:color w:val="000000"/>
          <w:sz w:val="20"/>
          <w:szCs w:val="20"/>
        </w:rPr>
      </w:pPr>
      <w:r w:rsidRPr="004212EC">
        <w:rPr>
          <w:rFonts w:ascii="Arial" w:hAnsi="Arial" w:cs="Arial"/>
          <w:color w:val="000000"/>
          <w:sz w:val="20"/>
          <w:szCs w:val="20"/>
          <w:u w:val="single"/>
        </w:rPr>
        <w:t>Validez Interna:</w:t>
      </w:r>
      <w:r w:rsidRPr="004212EC">
        <w:rPr>
          <w:rFonts w:ascii="Arial" w:hAnsi="Arial" w:cs="Arial"/>
          <w:color w:val="000000"/>
          <w:sz w:val="20"/>
          <w:szCs w:val="20"/>
        </w:rPr>
        <w:t xml:space="preserve"> El principal problema de estos estudios radica en que realizan comparaciones </w:t>
      </w:r>
      <w:r w:rsidR="00EC15FA" w:rsidRPr="00D37336">
        <w:rPr>
          <w:rFonts w:ascii="Arial" w:hAnsi="Arial" w:cs="Arial"/>
          <w:color w:val="000000"/>
          <w:sz w:val="20"/>
          <w:szCs w:val="20"/>
        </w:rPr>
        <w:t>con</w:t>
      </w:r>
      <w:r w:rsidRPr="00D37336">
        <w:rPr>
          <w:rFonts w:ascii="Arial" w:hAnsi="Arial" w:cs="Arial"/>
          <w:color w:val="000000"/>
          <w:sz w:val="20"/>
          <w:szCs w:val="20"/>
        </w:rPr>
        <w:t xml:space="preserve"> estudios de un único brazo</w:t>
      </w:r>
      <w:r w:rsidR="00EC15FA" w:rsidRPr="00D37336">
        <w:rPr>
          <w:rFonts w:ascii="Arial" w:hAnsi="Arial" w:cs="Arial"/>
          <w:color w:val="000000"/>
          <w:sz w:val="20"/>
          <w:szCs w:val="20"/>
        </w:rPr>
        <w:t xml:space="preserve"> y también por el escaso tiempo de seguimiento de los estudios que obliga a que el modelo base casi la totalidad de hitos motores y de supervivencia de los pacientes en extrapolaciones, lo que influye enormemente en una evaluación</w:t>
      </w:r>
      <w:r w:rsidRPr="00D37336">
        <w:rPr>
          <w:rFonts w:ascii="Arial" w:hAnsi="Arial" w:cs="Arial"/>
          <w:color w:val="000000"/>
          <w:sz w:val="20"/>
          <w:szCs w:val="20"/>
        </w:rPr>
        <w:t xml:space="preserve"> coste-</w:t>
      </w:r>
      <w:r w:rsidR="00EC15FA" w:rsidRPr="00D37336">
        <w:rPr>
          <w:rFonts w:ascii="Arial" w:hAnsi="Arial" w:cs="Arial"/>
          <w:color w:val="000000"/>
          <w:sz w:val="20"/>
          <w:szCs w:val="20"/>
        </w:rPr>
        <w:t>utilidad</w:t>
      </w:r>
      <w:r w:rsidRPr="00D37336">
        <w:rPr>
          <w:rFonts w:ascii="Arial" w:hAnsi="Arial" w:cs="Arial"/>
          <w:color w:val="000000"/>
          <w:sz w:val="20"/>
          <w:szCs w:val="20"/>
        </w:rPr>
        <w:t xml:space="preserve"> del fármaco en el horizonte temporal de la vida. En esta línea, el </w:t>
      </w:r>
      <w:r w:rsidR="00EC15FA" w:rsidRPr="00D37336">
        <w:rPr>
          <w:rFonts w:ascii="Arial" w:hAnsi="Arial" w:cs="Arial"/>
          <w:color w:val="000000"/>
          <w:sz w:val="20"/>
          <w:szCs w:val="20"/>
        </w:rPr>
        <w:t>ICER ya</w:t>
      </w:r>
      <w:r w:rsidRPr="00D37336">
        <w:rPr>
          <w:rFonts w:ascii="Arial" w:hAnsi="Arial" w:cs="Arial"/>
          <w:color w:val="000000"/>
          <w:sz w:val="20"/>
          <w:szCs w:val="20"/>
        </w:rPr>
        <w:t xml:space="preserve"> indica que la extrapolación de los datos de </w:t>
      </w:r>
      <w:r w:rsidR="00EC15FA" w:rsidRPr="00D37336">
        <w:rPr>
          <w:rFonts w:ascii="Arial" w:hAnsi="Arial" w:cs="Arial"/>
          <w:color w:val="000000"/>
          <w:sz w:val="20"/>
          <w:szCs w:val="20"/>
        </w:rPr>
        <w:t xml:space="preserve">supervivencia en el brazo de </w:t>
      </w:r>
      <w:r w:rsidR="00482C21">
        <w:rPr>
          <w:rFonts w:ascii="Arial" w:hAnsi="Arial" w:cs="Arial"/>
          <w:color w:val="000000"/>
          <w:sz w:val="20"/>
          <w:szCs w:val="20"/>
        </w:rPr>
        <w:t>onasemnogén</w:t>
      </w:r>
      <w:r w:rsidR="00EF732D" w:rsidRPr="00D37336">
        <w:rPr>
          <w:rFonts w:ascii="Arial" w:hAnsi="Arial" w:cs="Arial"/>
          <w:color w:val="000000"/>
          <w:sz w:val="20"/>
          <w:szCs w:val="20"/>
        </w:rPr>
        <w:t xml:space="preserve"> abeparvocec </w:t>
      </w:r>
      <w:r w:rsidRPr="00D37336">
        <w:rPr>
          <w:rFonts w:ascii="Arial" w:hAnsi="Arial" w:cs="Arial"/>
          <w:color w:val="000000"/>
          <w:sz w:val="20"/>
          <w:szCs w:val="20"/>
        </w:rPr>
        <w:t>aportaba una gran incertidumbre.</w:t>
      </w:r>
      <w:r w:rsidR="00EC15FA" w:rsidRPr="00D37336">
        <w:rPr>
          <w:rFonts w:ascii="Arial" w:hAnsi="Arial" w:cs="Arial"/>
          <w:color w:val="000000"/>
          <w:sz w:val="20"/>
          <w:szCs w:val="20"/>
        </w:rPr>
        <w:t xml:space="preserve"> La consideración de efectos adversos es escasa en los estudios.</w:t>
      </w:r>
      <w:r w:rsidR="00EF732D" w:rsidRPr="00D37336">
        <w:rPr>
          <w:rFonts w:ascii="Arial" w:hAnsi="Arial" w:cs="Arial"/>
          <w:color w:val="000000"/>
          <w:sz w:val="20"/>
          <w:szCs w:val="20"/>
        </w:rPr>
        <w:t xml:space="preserve"> En ambas evaluaciones económicas solo se valoran los resultados en salud del primer ensayo clínico realizado con </w:t>
      </w:r>
      <w:r w:rsidR="00482C21">
        <w:rPr>
          <w:rFonts w:ascii="Arial" w:hAnsi="Arial" w:cs="Arial"/>
          <w:color w:val="000000"/>
          <w:sz w:val="20"/>
          <w:szCs w:val="20"/>
        </w:rPr>
        <w:t>onasemnogén</w:t>
      </w:r>
      <w:r w:rsidR="00EF732D" w:rsidRPr="00D37336">
        <w:rPr>
          <w:rFonts w:ascii="Arial" w:hAnsi="Arial" w:cs="Arial"/>
          <w:color w:val="000000"/>
          <w:sz w:val="20"/>
          <w:szCs w:val="20"/>
        </w:rPr>
        <w:t xml:space="preserve"> abeparvocec, que incluyó únicamente a 12 pacientes (START). Posteriormente se ha realizado otro ensayo (STR1VE-US) y se han publicado resultados a más largo plazo del estudio START.</w:t>
      </w:r>
    </w:p>
    <w:p w14:paraId="2235D832" w14:textId="77777777" w:rsidR="00455BD0" w:rsidRPr="004212EC" w:rsidRDefault="00455BD0" w:rsidP="00455BD0">
      <w:pPr>
        <w:pStyle w:val="Prrafodelista"/>
        <w:ind w:left="720"/>
        <w:jc w:val="both"/>
        <w:rPr>
          <w:rFonts w:ascii="Arial" w:hAnsi="Arial" w:cs="Arial"/>
          <w:color w:val="000000"/>
          <w:sz w:val="20"/>
          <w:szCs w:val="20"/>
        </w:rPr>
      </w:pPr>
    </w:p>
    <w:p w14:paraId="2C098765" w14:textId="6333211B" w:rsidR="0060785D" w:rsidRDefault="0060785D" w:rsidP="001F6887">
      <w:pPr>
        <w:numPr>
          <w:ilvl w:val="0"/>
          <w:numId w:val="7"/>
        </w:numPr>
        <w:suppressAutoHyphens/>
        <w:jc w:val="both"/>
        <w:rPr>
          <w:rFonts w:ascii="Arial" w:hAnsi="Arial" w:cs="Arial"/>
          <w:color w:val="000000"/>
          <w:sz w:val="20"/>
          <w:szCs w:val="20"/>
        </w:rPr>
      </w:pPr>
      <w:r>
        <w:rPr>
          <w:rFonts w:ascii="Arial" w:hAnsi="Arial" w:cs="Arial"/>
          <w:sz w:val="20"/>
          <w:szCs w:val="20"/>
          <w:u w:val="single"/>
        </w:rPr>
        <w:t>Validez externa:</w:t>
      </w:r>
      <w:r>
        <w:rPr>
          <w:rFonts w:ascii="Arial" w:hAnsi="Arial" w:cs="Arial"/>
          <w:sz w:val="20"/>
          <w:szCs w:val="20"/>
        </w:rPr>
        <w:t xml:space="preserve"> los principales aspectos que podrían comprometer la aplicabilidad de los resultados a nuestro medio son: los costes unitarios considerados para los medicamentos</w:t>
      </w:r>
      <w:r w:rsidR="00EC15FA">
        <w:rPr>
          <w:rFonts w:ascii="Arial" w:hAnsi="Arial" w:cs="Arial"/>
          <w:sz w:val="20"/>
          <w:szCs w:val="20"/>
        </w:rPr>
        <w:t xml:space="preserve">, </w:t>
      </w:r>
      <w:r>
        <w:rPr>
          <w:rFonts w:ascii="Arial" w:hAnsi="Arial" w:cs="Arial"/>
          <w:sz w:val="20"/>
          <w:szCs w:val="20"/>
        </w:rPr>
        <w:t>los valores de utilidad asignados a los diferentes estados de salud del modelo (obtenidos en población diferente a la española), el umbral de disponibilidad a pagar considerado (que es diferente al considerado en el sistema nacional de salud)</w:t>
      </w:r>
      <w:r w:rsidR="00EC15FA">
        <w:rPr>
          <w:rFonts w:ascii="Arial" w:hAnsi="Arial" w:cs="Arial"/>
          <w:sz w:val="20"/>
          <w:szCs w:val="20"/>
        </w:rPr>
        <w:t xml:space="preserve"> y la perspectiva del modelo.</w:t>
      </w:r>
    </w:p>
    <w:p w14:paraId="6D874EE5" w14:textId="4F5994FD" w:rsidR="007C62DA" w:rsidRDefault="007C62DA" w:rsidP="00201417">
      <w:pPr>
        <w:jc w:val="both"/>
        <w:rPr>
          <w:rFonts w:ascii="Arial" w:hAnsi="Arial" w:cs="Arial"/>
          <w:color w:val="000000"/>
          <w:sz w:val="20"/>
          <w:szCs w:val="20"/>
        </w:rPr>
      </w:pPr>
    </w:p>
    <w:p w14:paraId="3AB59F6D" w14:textId="77777777" w:rsidR="00AB00EA" w:rsidRDefault="00AB00EA" w:rsidP="00201417">
      <w:pPr>
        <w:jc w:val="both"/>
        <w:rPr>
          <w:rFonts w:ascii="Arial" w:hAnsi="Arial" w:cs="Arial"/>
          <w:color w:val="000000"/>
          <w:sz w:val="20"/>
          <w:szCs w:val="20"/>
        </w:rPr>
      </w:pPr>
    </w:p>
    <w:p w14:paraId="6EA3778E" w14:textId="5DBC8B1B" w:rsidR="0060785D" w:rsidRPr="007C62DA" w:rsidRDefault="0060785D" w:rsidP="0020141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99" w:name="_Toc344399659"/>
      <w:bookmarkStart w:id="100" w:name="_Toc348931390"/>
      <w:r w:rsidRPr="007C62DA">
        <w:rPr>
          <w:rFonts w:ascii="Arial" w:hAnsi="Arial" w:cs="Arial"/>
          <w:sz w:val="20"/>
          <w:szCs w:val="20"/>
        </w:rPr>
        <w:t xml:space="preserve">7.3 </w:t>
      </w:r>
      <w:bookmarkEnd w:id="99"/>
      <w:bookmarkEnd w:id="100"/>
      <w:r w:rsidRPr="007C62DA">
        <w:rPr>
          <w:rFonts w:ascii="Arial" w:hAnsi="Arial" w:cs="Arial"/>
          <w:sz w:val="20"/>
          <w:szCs w:val="20"/>
        </w:rPr>
        <w:t>Evaluación económica de elaboración propia</w:t>
      </w:r>
    </w:p>
    <w:p w14:paraId="37F59255" w14:textId="77777777" w:rsidR="00201417" w:rsidRDefault="00201417" w:rsidP="00201417">
      <w:pPr>
        <w:jc w:val="both"/>
        <w:rPr>
          <w:rFonts w:ascii="Arial" w:hAnsi="Arial" w:cs="Arial"/>
          <w:color w:val="000000"/>
          <w:sz w:val="20"/>
          <w:szCs w:val="20"/>
        </w:rPr>
      </w:pPr>
    </w:p>
    <w:p w14:paraId="6FCE3F8F" w14:textId="77777777" w:rsidR="00201417" w:rsidRDefault="00201417" w:rsidP="00201417">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 xml:space="preserve">7.3.0 Consideraciones generales y selección del tipo de evaluación económica </w:t>
      </w:r>
    </w:p>
    <w:p w14:paraId="216D0E67" w14:textId="77777777" w:rsidR="00201417" w:rsidRDefault="00201417" w:rsidP="00201417">
      <w:pPr>
        <w:jc w:val="both"/>
        <w:rPr>
          <w:rFonts w:ascii="Arial" w:hAnsi="Arial" w:cs="Arial"/>
          <w:color w:val="000000"/>
          <w:sz w:val="20"/>
          <w:szCs w:val="20"/>
        </w:rPr>
      </w:pPr>
    </w:p>
    <w:p w14:paraId="116F6AC7" w14:textId="171F27A2" w:rsidR="00201417" w:rsidRDefault="00201417" w:rsidP="00201417">
      <w:pPr>
        <w:jc w:val="both"/>
        <w:rPr>
          <w:rFonts w:ascii="Arial" w:hAnsi="Arial" w:cs="Arial"/>
          <w:color w:val="000000"/>
          <w:sz w:val="20"/>
          <w:szCs w:val="20"/>
        </w:rPr>
      </w:pPr>
      <w:r w:rsidRPr="007C62DA">
        <w:rPr>
          <w:rFonts w:ascii="Arial" w:hAnsi="Arial" w:cs="Arial"/>
          <w:color w:val="000000"/>
          <w:sz w:val="20"/>
          <w:szCs w:val="20"/>
        </w:rPr>
        <w:t xml:space="preserve">Al disponer únicamente de ensayos clínicos con un solo brazo, en el caso de </w:t>
      </w:r>
      <w:r w:rsidR="00482C21">
        <w:rPr>
          <w:rFonts w:ascii="Arial" w:hAnsi="Arial" w:cs="Arial"/>
          <w:color w:val="000000"/>
          <w:sz w:val="20"/>
          <w:szCs w:val="20"/>
        </w:rPr>
        <w:t>onasemnogén</w:t>
      </w:r>
      <w:r w:rsidRPr="00EF732D">
        <w:rPr>
          <w:rFonts w:ascii="Arial" w:hAnsi="Arial" w:cs="Arial"/>
          <w:color w:val="000000"/>
          <w:sz w:val="20"/>
          <w:szCs w:val="20"/>
        </w:rPr>
        <w:t xml:space="preserve"> abeparvocec</w:t>
      </w:r>
      <w:r w:rsidRPr="007C62DA">
        <w:rPr>
          <w:rFonts w:ascii="Arial" w:hAnsi="Arial" w:cs="Arial"/>
          <w:color w:val="000000"/>
          <w:sz w:val="20"/>
          <w:szCs w:val="20"/>
        </w:rPr>
        <w:t>, resulta imposible realizar una evaluación económica completa.</w:t>
      </w:r>
    </w:p>
    <w:p w14:paraId="35D84C20" w14:textId="64B1F98E" w:rsidR="00F443CA" w:rsidRDefault="00F443CA" w:rsidP="00201417">
      <w:pPr>
        <w:jc w:val="both"/>
        <w:rPr>
          <w:rFonts w:ascii="Arial" w:hAnsi="Arial" w:cs="Arial"/>
          <w:color w:val="000000"/>
          <w:sz w:val="20"/>
          <w:szCs w:val="20"/>
        </w:rPr>
      </w:pPr>
    </w:p>
    <w:p w14:paraId="450524DF" w14:textId="77777777" w:rsidR="005C2411" w:rsidRDefault="005C2411" w:rsidP="00201417">
      <w:pPr>
        <w:jc w:val="both"/>
        <w:rPr>
          <w:rFonts w:ascii="Arial" w:hAnsi="Arial" w:cs="Arial"/>
          <w:color w:val="000000"/>
          <w:sz w:val="20"/>
          <w:szCs w:val="20"/>
        </w:rPr>
      </w:pPr>
    </w:p>
    <w:p w14:paraId="2DA052BC" w14:textId="77777777" w:rsidR="00201417" w:rsidRDefault="00201417" w:rsidP="00201417">
      <w:pPr>
        <w:pBdr>
          <w:top w:val="single" w:sz="4" w:space="1" w:color="auto"/>
          <w:left w:val="single" w:sz="4" w:space="4" w:color="auto"/>
          <w:bottom w:val="single" w:sz="4" w:space="1" w:color="auto"/>
          <w:right w:val="single" w:sz="4" w:space="4" w:color="auto"/>
          <w:between w:val="single" w:sz="4" w:space="1" w:color="auto"/>
        </w:pBdr>
        <w:shd w:val="clear" w:color="auto" w:fill="D9D9D9"/>
        <w:rPr>
          <w:rFonts w:ascii="Arial" w:hAnsi="Arial" w:cs="Arial"/>
          <w:b/>
          <w:sz w:val="20"/>
          <w:szCs w:val="20"/>
        </w:rPr>
      </w:pPr>
      <w:bookmarkStart w:id="101" w:name="_Toc348931455"/>
      <w:r>
        <w:rPr>
          <w:rFonts w:ascii="Arial" w:hAnsi="Arial" w:cs="Arial"/>
          <w:b/>
          <w:sz w:val="20"/>
          <w:szCs w:val="20"/>
        </w:rPr>
        <w:t>7.3.1. Análisis de minimización de costes. Estudios propios</w:t>
      </w:r>
    </w:p>
    <w:p w14:paraId="1F9B9D1D" w14:textId="77777777" w:rsidR="00AB00EA" w:rsidRDefault="00AB00EA" w:rsidP="00201417"/>
    <w:p w14:paraId="6347898E" w14:textId="02652D84" w:rsidR="00201417" w:rsidRPr="00201417" w:rsidRDefault="00201417" w:rsidP="00201417">
      <w:pPr>
        <w:rPr>
          <w:rFonts w:ascii="Arial" w:hAnsi="Arial" w:cs="Arial"/>
          <w:sz w:val="20"/>
        </w:rPr>
      </w:pPr>
      <w:r w:rsidRPr="00201417">
        <w:rPr>
          <w:rFonts w:ascii="Arial" w:hAnsi="Arial" w:cs="Arial"/>
          <w:sz w:val="20"/>
        </w:rPr>
        <w:t>No procede</w:t>
      </w:r>
    </w:p>
    <w:p w14:paraId="5A367ACD" w14:textId="49EC03BB" w:rsidR="00AB00EA" w:rsidRDefault="00AB00EA" w:rsidP="00201417">
      <w:pPr>
        <w:rPr>
          <w:rFonts w:ascii="Arial" w:hAnsi="Arial" w:cs="Arial"/>
          <w:sz w:val="20"/>
          <w:szCs w:val="20"/>
        </w:rPr>
      </w:pPr>
    </w:p>
    <w:p w14:paraId="20F3D37D" w14:textId="77777777" w:rsidR="005C2411" w:rsidRPr="00AB00EA" w:rsidRDefault="005C2411" w:rsidP="00201417">
      <w:pPr>
        <w:rPr>
          <w:rFonts w:ascii="Arial" w:hAnsi="Arial" w:cs="Arial"/>
          <w:sz w:val="20"/>
          <w:szCs w:val="20"/>
        </w:rPr>
      </w:pPr>
    </w:p>
    <w:p w14:paraId="34BB689B" w14:textId="77777777" w:rsidR="00201417" w:rsidRDefault="00201417" w:rsidP="00201417">
      <w:pPr>
        <w:pBdr>
          <w:top w:val="single" w:sz="4" w:space="1" w:color="auto"/>
          <w:left w:val="single" w:sz="4" w:space="4" w:color="auto"/>
          <w:bottom w:val="single" w:sz="4" w:space="1" w:color="auto"/>
          <w:right w:val="single" w:sz="4" w:space="4" w:color="auto"/>
          <w:between w:val="single" w:sz="4" w:space="1" w:color="auto"/>
        </w:pBdr>
        <w:shd w:val="clear" w:color="auto" w:fill="D9D9D9"/>
        <w:rPr>
          <w:rFonts w:ascii="Arial" w:hAnsi="Arial" w:cs="Arial"/>
          <w:b/>
          <w:sz w:val="20"/>
          <w:szCs w:val="20"/>
        </w:rPr>
      </w:pPr>
      <w:r>
        <w:rPr>
          <w:rFonts w:ascii="Arial" w:hAnsi="Arial" w:cs="Arial"/>
          <w:b/>
          <w:sz w:val="20"/>
          <w:szCs w:val="20"/>
        </w:rPr>
        <w:t>7.3.2. Coste-efectividad. Estudios propios</w:t>
      </w:r>
    </w:p>
    <w:p w14:paraId="5076D63E" w14:textId="77777777" w:rsidR="00AB00EA" w:rsidRPr="00AB00EA" w:rsidRDefault="00AB00EA" w:rsidP="00201417">
      <w:pPr>
        <w:rPr>
          <w:rFonts w:ascii="Arial" w:hAnsi="Arial" w:cs="Arial"/>
          <w:sz w:val="20"/>
          <w:szCs w:val="20"/>
        </w:rPr>
      </w:pPr>
    </w:p>
    <w:p w14:paraId="31E6273A" w14:textId="7A05E61B" w:rsidR="00201417" w:rsidRPr="004212EC" w:rsidRDefault="00D37336" w:rsidP="00201417">
      <w:pPr>
        <w:rPr>
          <w:rFonts w:ascii="Arial" w:hAnsi="Arial" w:cs="Arial"/>
          <w:sz w:val="20"/>
          <w:szCs w:val="20"/>
        </w:rPr>
      </w:pPr>
      <w:r w:rsidRPr="00AB00EA">
        <w:rPr>
          <w:rFonts w:ascii="Arial" w:hAnsi="Arial" w:cs="Arial"/>
          <w:sz w:val="20"/>
          <w:szCs w:val="20"/>
        </w:rPr>
        <w:t>Ver el siguiente apartado</w:t>
      </w:r>
    </w:p>
    <w:p w14:paraId="634D294A" w14:textId="77777777" w:rsidR="00455BD0" w:rsidRDefault="00455BD0" w:rsidP="00201417">
      <w:pPr>
        <w:rPr>
          <w:rFonts w:ascii="Arial" w:hAnsi="Arial" w:cs="Arial"/>
          <w:sz w:val="20"/>
          <w:szCs w:val="20"/>
        </w:rPr>
      </w:pPr>
    </w:p>
    <w:p w14:paraId="66352C5D" w14:textId="77777777" w:rsidR="005C2411" w:rsidRPr="00AB00EA" w:rsidRDefault="005C2411" w:rsidP="00201417">
      <w:pPr>
        <w:rPr>
          <w:rFonts w:ascii="Arial" w:hAnsi="Arial" w:cs="Arial"/>
          <w:sz w:val="20"/>
          <w:szCs w:val="20"/>
        </w:rPr>
      </w:pPr>
    </w:p>
    <w:p w14:paraId="6D981CC3" w14:textId="77777777" w:rsidR="00201417" w:rsidRPr="00201417" w:rsidRDefault="00201417" w:rsidP="00201417">
      <w:pPr>
        <w:pBdr>
          <w:top w:val="single" w:sz="4" w:space="1" w:color="auto"/>
          <w:left w:val="single" w:sz="4" w:space="4" w:color="auto"/>
          <w:bottom w:val="single" w:sz="4" w:space="1" w:color="auto"/>
          <w:right w:val="single" w:sz="4" w:space="4" w:color="auto"/>
          <w:between w:val="single" w:sz="4" w:space="1" w:color="auto"/>
        </w:pBdr>
        <w:shd w:val="clear" w:color="auto" w:fill="D9D9D9"/>
        <w:rPr>
          <w:rFonts w:ascii="Arial" w:hAnsi="Arial" w:cs="Arial"/>
          <w:b/>
          <w:sz w:val="20"/>
          <w:szCs w:val="20"/>
        </w:rPr>
      </w:pPr>
      <w:r w:rsidRPr="00201417">
        <w:rPr>
          <w:rFonts w:ascii="Arial" w:hAnsi="Arial" w:cs="Arial"/>
          <w:b/>
          <w:sz w:val="20"/>
          <w:szCs w:val="20"/>
        </w:rPr>
        <w:t>7.3.3 Coste-utilidad. Estudios propios</w:t>
      </w:r>
      <w:bookmarkEnd w:id="101"/>
    </w:p>
    <w:p w14:paraId="342DD695" w14:textId="77777777" w:rsidR="00201417" w:rsidRDefault="00201417" w:rsidP="001F6887">
      <w:pPr>
        <w:jc w:val="both"/>
        <w:rPr>
          <w:rFonts w:ascii="Arial" w:hAnsi="Arial" w:cs="Arial"/>
          <w:color w:val="000000"/>
          <w:sz w:val="20"/>
          <w:szCs w:val="20"/>
        </w:rPr>
      </w:pPr>
    </w:p>
    <w:p w14:paraId="6A376862" w14:textId="62D95699" w:rsidR="00CA2390" w:rsidRDefault="00CA2390" w:rsidP="001F6887">
      <w:pPr>
        <w:jc w:val="both"/>
        <w:rPr>
          <w:rFonts w:ascii="Arial" w:hAnsi="Arial" w:cs="Arial"/>
          <w:color w:val="000000"/>
          <w:sz w:val="20"/>
          <w:szCs w:val="20"/>
        </w:rPr>
      </w:pPr>
      <w:r>
        <w:rPr>
          <w:rFonts w:ascii="Arial" w:hAnsi="Arial" w:cs="Arial"/>
          <w:color w:val="000000"/>
          <w:sz w:val="20"/>
          <w:szCs w:val="20"/>
        </w:rPr>
        <w:t xml:space="preserve">Con todas las limitaciones, que esto supone, y asumiendo los resultados de </w:t>
      </w:r>
      <w:r w:rsidR="00BB372A">
        <w:rPr>
          <w:rFonts w:ascii="Arial" w:hAnsi="Arial" w:cs="Arial"/>
          <w:color w:val="000000"/>
          <w:sz w:val="20"/>
          <w:szCs w:val="20"/>
        </w:rPr>
        <w:t xml:space="preserve">AV y AVAC </w:t>
      </w:r>
      <w:r>
        <w:rPr>
          <w:rFonts w:ascii="Arial" w:hAnsi="Arial" w:cs="Arial"/>
          <w:color w:val="000000"/>
          <w:sz w:val="20"/>
          <w:szCs w:val="20"/>
        </w:rPr>
        <w:t xml:space="preserve">del ICER, podemos hacer una aproximación del </w:t>
      </w:r>
      <w:r w:rsidR="00BB372A">
        <w:rPr>
          <w:rFonts w:ascii="Arial" w:hAnsi="Arial" w:cs="Arial"/>
          <w:color w:val="000000"/>
          <w:sz w:val="20"/>
          <w:szCs w:val="20"/>
        </w:rPr>
        <w:t xml:space="preserve">coste-efectividad y </w:t>
      </w:r>
      <w:r>
        <w:rPr>
          <w:rFonts w:ascii="Arial" w:hAnsi="Arial" w:cs="Arial"/>
          <w:color w:val="000000"/>
          <w:sz w:val="20"/>
          <w:szCs w:val="20"/>
        </w:rPr>
        <w:t xml:space="preserve">coste utilidad incremental de </w:t>
      </w:r>
      <w:r w:rsidR="00482C21">
        <w:rPr>
          <w:rFonts w:ascii="Arial" w:hAnsi="Arial" w:cs="Arial"/>
          <w:color w:val="000000"/>
          <w:sz w:val="20"/>
          <w:szCs w:val="20"/>
        </w:rPr>
        <w:t>onasemnogén</w:t>
      </w:r>
      <w:r w:rsidRPr="00CA2390">
        <w:rPr>
          <w:rFonts w:ascii="Arial" w:hAnsi="Arial" w:cs="Arial"/>
          <w:color w:val="000000"/>
          <w:sz w:val="20"/>
          <w:szCs w:val="20"/>
        </w:rPr>
        <w:t xml:space="preserve"> abeparvocec</w:t>
      </w:r>
      <w:r>
        <w:rPr>
          <w:rFonts w:ascii="Arial" w:hAnsi="Arial" w:cs="Arial"/>
          <w:color w:val="000000"/>
          <w:sz w:val="20"/>
          <w:szCs w:val="20"/>
        </w:rPr>
        <w:t xml:space="preserve"> frente a nusinersen </w:t>
      </w:r>
      <w:r w:rsidR="00FE2262">
        <w:rPr>
          <w:rFonts w:ascii="Arial" w:hAnsi="Arial" w:cs="Arial"/>
          <w:color w:val="000000"/>
          <w:sz w:val="20"/>
          <w:szCs w:val="20"/>
        </w:rPr>
        <w:t xml:space="preserve">en </w:t>
      </w:r>
      <w:r w:rsidR="00A142E2">
        <w:rPr>
          <w:rFonts w:ascii="Arial" w:hAnsi="Arial" w:cs="Arial"/>
          <w:color w:val="000000"/>
          <w:sz w:val="20"/>
          <w:szCs w:val="20"/>
        </w:rPr>
        <w:t xml:space="preserve">pacientes </w:t>
      </w:r>
      <w:r w:rsidR="00A142E2" w:rsidRPr="00A142E2">
        <w:rPr>
          <w:rFonts w:ascii="Arial" w:hAnsi="Arial" w:cs="Arial"/>
          <w:b/>
          <w:color w:val="000000"/>
          <w:sz w:val="20"/>
          <w:szCs w:val="20"/>
        </w:rPr>
        <w:t>sintomáticos con</w:t>
      </w:r>
      <w:r w:rsidR="00A142E2">
        <w:rPr>
          <w:rFonts w:ascii="Arial" w:hAnsi="Arial" w:cs="Arial"/>
          <w:color w:val="000000"/>
          <w:sz w:val="20"/>
          <w:szCs w:val="20"/>
        </w:rPr>
        <w:t xml:space="preserve"> </w:t>
      </w:r>
      <w:r w:rsidR="00FE2262" w:rsidRPr="00A142E2">
        <w:rPr>
          <w:rFonts w:ascii="Arial" w:hAnsi="Arial" w:cs="Arial"/>
          <w:b/>
          <w:color w:val="000000"/>
          <w:sz w:val="20"/>
          <w:szCs w:val="20"/>
        </w:rPr>
        <w:t>AME tipo 1</w:t>
      </w:r>
      <w:r w:rsidR="00FE2262">
        <w:rPr>
          <w:rFonts w:ascii="Arial" w:hAnsi="Arial" w:cs="Arial"/>
          <w:color w:val="000000"/>
          <w:sz w:val="20"/>
          <w:szCs w:val="20"/>
        </w:rPr>
        <w:t xml:space="preserve"> utilizando</w:t>
      </w:r>
      <w:r>
        <w:rPr>
          <w:rFonts w:ascii="Arial" w:hAnsi="Arial" w:cs="Arial"/>
          <w:color w:val="000000"/>
          <w:sz w:val="20"/>
          <w:szCs w:val="20"/>
        </w:rPr>
        <w:t xml:space="preserve"> los costes disponibles en España para nusinersen </w:t>
      </w:r>
      <w:r w:rsidR="00B07291">
        <w:rPr>
          <w:rFonts w:ascii="Arial" w:hAnsi="Arial" w:cs="Arial"/>
          <w:color w:val="000000"/>
          <w:sz w:val="20"/>
          <w:szCs w:val="20"/>
        </w:rPr>
        <w:t xml:space="preserve">(aplicando un descuento del 15%) </w:t>
      </w:r>
      <w:r>
        <w:rPr>
          <w:rFonts w:ascii="Arial" w:hAnsi="Arial" w:cs="Arial"/>
          <w:color w:val="000000"/>
          <w:sz w:val="20"/>
          <w:szCs w:val="20"/>
        </w:rPr>
        <w:t xml:space="preserve">y el coste actual de </w:t>
      </w:r>
      <w:r w:rsidR="00482C21">
        <w:rPr>
          <w:rFonts w:ascii="Arial" w:hAnsi="Arial" w:cs="Arial"/>
          <w:color w:val="000000"/>
          <w:sz w:val="20"/>
          <w:szCs w:val="20"/>
        </w:rPr>
        <w:t>onasemnogén</w:t>
      </w:r>
      <w:r w:rsidRPr="00CA2390">
        <w:rPr>
          <w:rFonts w:ascii="Arial" w:hAnsi="Arial" w:cs="Arial"/>
          <w:color w:val="000000"/>
          <w:sz w:val="20"/>
          <w:szCs w:val="20"/>
        </w:rPr>
        <w:t xml:space="preserve"> abeparvocec</w:t>
      </w:r>
      <w:r>
        <w:rPr>
          <w:rFonts w:ascii="Arial" w:hAnsi="Arial" w:cs="Arial"/>
          <w:color w:val="000000"/>
          <w:sz w:val="20"/>
          <w:szCs w:val="20"/>
        </w:rPr>
        <w:t xml:space="preserve"> en EEUU. Para ello, hemos utilizado un horizonte temporal de 8 años </w:t>
      </w:r>
      <w:r w:rsidR="009E48DC">
        <w:rPr>
          <w:rFonts w:ascii="Arial" w:hAnsi="Arial" w:cs="Arial"/>
          <w:color w:val="000000"/>
          <w:sz w:val="20"/>
          <w:szCs w:val="20"/>
        </w:rPr>
        <w:t>(</w:t>
      </w:r>
      <w:r w:rsidR="009E48DC" w:rsidRPr="00690F11">
        <w:rPr>
          <w:rFonts w:ascii="Arial" w:hAnsi="Arial" w:cs="Arial"/>
          <w:sz w:val="20"/>
          <w:szCs w:val="20"/>
        </w:rPr>
        <w:t>aproxi</w:t>
      </w:r>
      <w:r w:rsidR="00FE2262" w:rsidRPr="00690F11">
        <w:rPr>
          <w:rFonts w:ascii="Arial" w:hAnsi="Arial" w:cs="Arial"/>
          <w:sz w:val="20"/>
          <w:szCs w:val="20"/>
        </w:rPr>
        <w:t>madamente</w:t>
      </w:r>
      <w:r w:rsidR="00FE2262">
        <w:rPr>
          <w:rFonts w:ascii="Arial" w:hAnsi="Arial" w:cs="Arial"/>
          <w:color w:val="000000"/>
          <w:sz w:val="20"/>
          <w:szCs w:val="20"/>
        </w:rPr>
        <w:t xml:space="preserve"> los años de vida esperados con nusinersen) </w:t>
      </w:r>
      <w:r>
        <w:rPr>
          <w:rFonts w:ascii="Arial" w:hAnsi="Arial" w:cs="Arial"/>
          <w:color w:val="000000"/>
          <w:sz w:val="20"/>
          <w:szCs w:val="20"/>
        </w:rPr>
        <w:t>para calcular el coste de las dosis de nusinersen y no hemos tenido en cuenta ningún otro coste que no sea el de adquisición</w:t>
      </w:r>
      <w:r w:rsidR="00AB00EA">
        <w:rPr>
          <w:rFonts w:ascii="Arial" w:hAnsi="Arial" w:cs="Arial"/>
          <w:color w:val="000000"/>
          <w:sz w:val="20"/>
          <w:szCs w:val="20"/>
        </w:rPr>
        <w:t>. T</w:t>
      </w:r>
      <w:r w:rsidR="00BB372A">
        <w:rPr>
          <w:rFonts w:ascii="Arial" w:hAnsi="Arial" w:cs="Arial"/>
          <w:color w:val="000000"/>
          <w:sz w:val="20"/>
          <w:szCs w:val="20"/>
        </w:rPr>
        <w:t xml:space="preserve">ampoco se ha considerado si algunos de los pacientes que reciben </w:t>
      </w:r>
      <w:r w:rsidR="00482C21">
        <w:rPr>
          <w:rFonts w:ascii="Arial" w:hAnsi="Arial" w:cs="Arial"/>
          <w:color w:val="000000"/>
          <w:sz w:val="20"/>
          <w:szCs w:val="20"/>
        </w:rPr>
        <w:t>onasemnogén</w:t>
      </w:r>
      <w:r w:rsidR="00BB372A" w:rsidRPr="00CA2390">
        <w:rPr>
          <w:rFonts w:ascii="Arial" w:hAnsi="Arial" w:cs="Arial"/>
          <w:color w:val="000000"/>
          <w:sz w:val="20"/>
          <w:szCs w:val="20"/>
        </w:rPr>
        <w:t xml:space="preserve"> abeparvocec</w:t>
      </w:r>
      <w:r w:rsidR="00BB372A">
        <w:rPr>
          <w:rFonts w:ascii="Arial" w:hAnsi="Arial" w:cs="Arial"/>
          <w:color w:val="000000"/>
          <w:sz w:val="20"/>
          <w:szCs w:val="20"/>
        </w:rPr>
        <w:t xml:space="preserve"> también reciben nusinersen</w:t>
      </w:r>
      <w:r>
        <w:rPr>
          <w:rFonts w:ascii="Arial" w:hAnsi="Arial" w:cs="Arial"/>
          <w:color w:val="000000"/>
          <w:sz w:val="20"/>
          <w:szCs w:val="20"/>
        </w:rPr>
        <w:t>.</w:t>
      </w:r>
    </w:p>
    <w:p w14:paraId="63BA351E" w14:textId="6AAC78DA" w:rsidR="00CA2390" w:rsidRPr="007C62DA" w:rsidRDefault="00CA2390" w:rsidP="001F6887">
      <w:pPr>
        <w:jc w:val="both"/>
        <w:rPr>
          <w:rFonts w:ascii="Arial" w:hAnsi="Arial" w:cs="Arial"/>
          <w:color w:val="000000"/>
          <w:sz w:val="20"/>
          <w:szCs w:val="20"/>
        </w:rPr>
      </w:pPr>
      <w:r>
        <w:rPr>
          <w:rFonts w:ascii="Arial" w:hAnsi="Arial" w:cs="Arial"/>
          <w:color w:val="000000"/>
          <w:sz w:val="20"/>
          <w:szCs w:val="20"/>
        </w:rPr>
        <w:t xml:space="preserve"> </w:t>
      </w:r>
    </w:p>
    <w:tbl>
      <w:tblPr>
        <w:tblW w:w="878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035"/>
        <w:gridCol w:w="3260"/>
        <w:gridCol w:w="2490"/>
      </w:tblGrid>
      <w:tr w:rsidR="00FE2262" w:rsidRPr="007C62DA" w14:paraId="51516ADC" w14:textId="77777777" w:rsidTr="005C2411">
        <w:trPr>
          <w:trHeight w:val="414"/>
        </w:trPr>
        <w:tc>
          <w:tcPr>
            <w:tcW w:w="3035" w:type="dxa"/>
            <w:shd w:val="clear" w:color="auto" w:fill="CCFFCC"/>
            <w:vAlign w:val="center"/>
            <w:hideMark/>
          </w:tcPr>
          <w:p w14:paraId="05F8710A" w14:textId="6CE56C40" w:rsidR="00FE2262" w:rsidRPr="007C62DA" w:rsidRDefault="00FE2262" w:rsidP="001F6887">
            <w:pPr>
              <w:jc w:val="center"/>
              <w:rPr>
                <w:rFonts w:ascii="Arial" w:hAnsi="Arial" w:cs="Arial"/>
                <w:sz w:val="20"/>
                <w:szCs w:val="20"/>
              </w:rPr>
            </w:pPr>
          </w:p>
        </w:tc>
        <w:tc>
          <w:tcPr>
            <w:tcW w:w="3260" w:type="dxa"/>
            <w:shd w:val="clear" w:color="auto" w:fill="CCFFCC"/>
            <w:vAlign w:val="center"/>
            <w:hideMark/>
          </w:tcPr>
          <w:p w14:paraId="27155158" w14:textId="23490590" w:rsidR="00FE2262" w:rsidRPr="007C62DA" w:rsidRDefault="00FE2262" w:rsidP="001F6887">
            <w:pPr>
              <w:jc w:val="center"/>
              <w:rPr>
                <w:rFonts w:ascii="Arial" w:hAnsi="Arial" w:cs="Arial"/>
                <w:b/>
                <w:bCs/>
                <w:sz w:val="18"/>
                <w:szCs w:val="18"/>
                <w:highlight w:val="yellow"/>
              </w:rPr>
            </w:pPr>
            <w:r w:rsidRPr="007C62DA">
              <w:rPr>
                <w:rFonts w:ascii="Arial" w:hAnsi="Arial" w:cs="Arial"/>
                <w:b/>
                <w:bCs/>
                <w:sz w:val="18"/>
                <w:szCs w:val="18"/>
              </w:rPr>
              <w:t>Onasemnogén abeparvovec</w:t>
            </w:r>
          </w:p>
        </w:tc>
        <w:tc>
          <w:tcPr>
            <w:tcW w:w="2490" w:type="dxa"/>
            <w:shd w:val="clear" w:color="auto" w:fill="CCFFCC"/>
            <w:vAlign w:val="center"/>
            <w:hideMark/>
          </w:tcPr>
          <w:p w14:paraId="3F8134F8" w14:textId="77777777" w:rsidR="00A35C6F" w:rsidRDefault="00FE2262" w:rsidP="001F6887">
            <w:pPr>
              <w:jc w:val="center"/>
              <w:rPr>
                <w:rFonts w:ascii="Arial" w:hAnsi="Arial" w:cs="Arial"/>
                <w:b/>
                <w:bCs/>
                <w:sz w:val="18"/>
                <w:szCs w:val="18"/>
              </w:rPr>
            </w:pPr>
            <w:r w:rsidRPr="007C62DA">
              <w:rPr>
                <w:rFonts w:ascii="Arial" w:hAnsi="Arial" w:cs="Arial"/>
                <w:b/>
                <w:bCs/>
                <w:sz w:val="18"/>
                <w:szCs w:val="18"/>
              </w:rPr>
              <w:t>Nusinersen</w:t>
            </w:r>
            <w:r w:rsidR="00A35C6F">
              <w:rPr>
                <w:rFonts w:ascii="Arial" w:hAnsi="Arial" w:cs="Arial"/>
                <w:b/>
                <w:bCs/>
                <w:sz w:val="18"/>
                <w:szCs w:val="18"/>
              </w:rPr>
              <w:t xml:space="preserve"> </w:t>
            </w:r>
          </w:p>
          <w:p w14:paraId="77DE6618" w14:textId="5AD9EB3A" w:rsidR="00FE2262" w:rsidRPr="007C62DA" w:rsidRDefault="00A35C6F" w:rsidP="001F6887">
            <w:pPr>
              <w:jc w:val="center"/>
              <w:rPr>
                <w:rFonts w:ascii="Arial" w:hAnsi="Arial" w:cs="Arial"/>
                <w:b/>
                <w:bCs/>
                <w:sz w:val="18"/>
                <w:szCs w:val="18"/>
                <w:highlight w:val="yellow"/>
              </w:rPr>
            </w:pPr>
            <w:r>
              <w:rPr>
                <w:rFonts w:ascii="Arial" w:hAnsi="Arial" w:cs="Arial"/>
                <w:b/>
                <w:bCs/>
                <w:sz w:val="18"/>
                <w:szCs w:val="18"/>
              </w:rPr>
              <w:t>(15% de descuento)</w:t>
            </w:r>
          </w:p>
        </w:tc>
      </w:tr>
      <w:tr w:rsidR="00FE2262" w:rsidRPr="007C62DA" w14:paraId="67B94D08" w14:textId="77777777" w:rsidTr="005C2411">
        <w:trPr>
          <w:trHeight w:val="414"/>
        </w:trPr>
        <w:tc>
          <w:tcPr>
            <w:tcW w:w="3035" w:type="dxa"/>
            <w:vAlign w:val="center"/>
          </w:tcPr>
          <w:p w14:paraId="164D388D" w14:textId="35924DB7" w:rsidR="00FE2262" w:rsidRPr="007C62DA" w:rsidRDefault="00FE2262" w:rsidP="00A35C6F">
            <w:pPr>
              <w:rPr>
                <w:rFonts w:ascii="Arial" w:hAnsi="Arial" w:cs="Arial"/>
                <w:b/>
                <w:bCs/>
                <w:sz w:val="16"/>
                <w:szCs w:val="16"/>
              </w:rPr>
            </w:pPr>
            <w:r w:rsidRPr="007C62DA">
              <w:rPr>
                <w:rFonts w:ascii="Arial" w:hAnsi="Arial" w:cs="Arial"/>
                <w:b/>
                <w:bCs/>
                <w:sz w:val="16"/>
                <w:szCs w:val="16"/>
              </w:rPr>
              <w:t xml:space="preserve">Precio unitario </w:t>
            </w:r>
          </w:p>
        </w:tc>
        <w:tc>
          <w:tcPr>
            <w:tcW w:w="3260" w:type="dxa"/>
            <w:shd w:val="clear" w:color="auto" w:fill="FFFFFF"/>
            <w:vAlign w:val="center"/>
            <w:hideMark/>
          </w:tcPr>
          <w:p w14:paraId="2B7F305F" w14:textId="117273B5" w:rsidR="00FE2262" w:rsidRPr="007C62DA" w:rsidRDefault="00FE2262" w:rsidP="001F6887">
            <w:pPr>
              <w:jc w:val="center"/>
              <w:rPr>
                <w:rFonts w:ascii="Arial" w:hAnsi="Arial" w:cs="Arial"/>
                <w:b/>
                <w:bCs/>
                <w:sz w:val="16"/>
                <w:szCs w:val="16"/>
              </w:rPr>
            </w:pPr>
            <w:r w:rsidRPr="007C62DA">
              <w:rPr>
                <w:rFonts w:ascii="Arial" w:hAnsi="Arial" w:cs="Arial"/>
                <w:sz w:val="16"/>
                <w:szCs w:val="16"/>
              </w:rPr>
              <w:t>1.785.000 €*</w:t>
            </w:r>
          </w:p>
        </w:tc>
        <w:tc>
          <w:tcPr>
            <w:tcW w:w="2490" w:type="dxa"/>
            <w:shd w:val="clear" w:color="auto" w:fill="FFFFFF"/>
            <w:vAlign w:val="center"/>
            <w:hideMark/>
          </w:tcPr>
          <w:p w14:paraId="496F7A5D" w14:textId="3696B5BB" w:rsidR="00FE2262" w:rsidRPr="007C62DA" w:rsidRDefault="00B07291" w:rsidP="001F6887">
            <w:pPr>
              <w:jc w:val="center"/>
              <w:rPr>
                <w:rFonts w:ascii="Arial" w:hAnsi="Arial" w:cs="Arial"/>
                <w:b/>
                <w:bCs/>
                <w:sz w:val="16"/>
                <w:szCs w:val="16"/>
              </w:rPr>
            </w:pPr>
            <w:r>
              <w:rPr>
                <w:rFonts w:ascii="Arial" w:hAnsi="Arial" w:cs="Arial"/>
                <w:sz w:val="16"/>
                <w:szCs w:val="16"/>
              </w:rPr>
              <w:t>61.900</w:t>
            </w:r>
            <w:r w:rsidR="00FE2262" w:rsidRPr="007C62DA">
              <w:rPr>
                <w:rFonts w:ascii="Arial" w:hAnsi="Arial" w:cs="Arial"/>
                <w:sz w:val="16"/>
                <w:szCs w:val="16"/>
              </w:rPr>
              <w:t xml:space="preserve"> €</w:t>
            </w:r>
          </w:p>
        </w:tc>
      </w:tr>
      <w:tr w:rsidR="00FE2262" w:rsidRPr="007C62DA" w14:paraId="17C49360" w14:textId="77777777" w:rsidTr="005C2411">
        <w:trPr>
          <w:trHeight w:val="414"/>
        </w:trPr>
        <w:tc>
          <w:tcPr>
            <w:tcW w:w="3035" w:type="dxa"/>
            <w:vAlign w:val="center"/>
          </w:tcPr>
          <w:p w14:paraId="37289923" w14:textId="62AD7364" w:rsidR="00FE2262" w:rsidRPr="007C62DA" w:rsidRDefault="00FE2262" w:rsidP="00690F11">
            <w:pPr>
              <w:rPr>
                <w:rFonts w:ascii="Arial" w:hAnsi="Arial" w:cs="Arial"/>
                <w:sz w:val="16"/>
                <w:szCs w:val="16"/>
              </w:rPr>
            </w:pPr>
            <w:r>
              <w:rPr>
                <w:rFonts w:ascii="Arial" w:hAnsi="Arial" w:cs="Arial"/>
                <w:sz w:val="16"/>
                <w:szCs w:val="16"/>
              </w:rPr>
              <w:t>Coste Año de carga**</w:t>
            </w:r>
          </w:p>
        </w:tc>
        <w:tc>
          <w:tcPr>
            <w:tcW w:w="3260" w:type="dxa"/>
            <w:shd w:val="clear" w:color="auto" w:fill="D9D9D9"/>
            <w:vAlign w:val="center"/>
          </w:tcPr>
          <w:p w14:paraId="2B879D4C" w14:textId="3330BAEA" w:rsidR="00FE2262" w:rsidRPr="007C62DA" w:rsidRDefault="00FE2262" w:rsidP="00CA2390">
            <w:pPr>
              <w:jc w:val="center"/>
              <w:rPr>
                <w:rFonts w:ascii="Arial" w:hAnsi="Arial" w:cs="Arial"/>
                <w:b/>
                <w:bCs/>
                <w:sz w:val="16"/>
                <w:szCs w:val="16"/>
              </w:rPr>
            </w:pPr>
            <w:r>
              <w:rPr>
                <w:rFonts w:ascii="Arial" w:hAnsi="Arial" w:cs="Arial"/>
                <w:sz w:val="16"/>
                <w:szCs w:val="16"/>
              </w:rPr>
              <w:t>1.785.000 €</w:t>
            </w:r>
          </w:p>
        </w:tc>
        <w:tc>
          <w:tcPr>
            <w:tcW w:w="2490" w:type="dxa"/>
            <w:shd w:val="clear" w:color="auto" w:fill="D9D9D9"/>
            <w:vAlign w:val="center"/>
          </w:tcPr>
          <w:p w14:paraId="0CAA2E53" w14:textId="31EDC1D0" w:rsidR="00FE2262" w:rsidRPr="007C62DA" w:rsidRDefault="00B07291" w:rsidP="00CA2390">
            <w:pPr>
              <w:jc w:val="center"/>
              <w:rPr>
                <w:rFonts w:ascii="Arial" w:hAnsi="Arial" w:cs="Arial"/>
                <w:b/>
                <w:bCs/>
                <w:sz w:val="16"/>
                <w:szCs w:val="16"/>
              </w:rPr>
            </w:pPr>
            <w:r>
              <w:rPr>
                <w:rFonts w:ascii="Arial" w:hAnsi="Arial" w:cs="Arial"/>
                <w:sz w:val="16"/>
                <w:szCs w:val="16"/>
              </w:rPr>
              <w:t>371.400</w:t>
            </w:r>
            <w:r w:rsidR="00FE2262">
              <w:rPr>
                <w:rFonts w:ascii="Arial" w:hAnsi="Arial" w:cs="Arial"/>
                <w:sz w:val="16"/>
                <w:szCs w:val="16"/>
              </w:rPr>
              <w:t xml:space="preserve"> €</w:t>
            </w:r>
          </w:p>
        </w:tc>
      </w:tr>
      <w:tr w:rsidR="00FE2262" w:rsidRPr="007C62DA" w14:paraId="4BD58286" w14:textId="77777777" w:rsidTr="005C2411">
        <w:trPr>
          <w:trHeight w:val="414"/>
        </w:trPr>
        <w:tc>
          <w:tcPr>
            <w:tcW w:w="3035" w:type="dxa"/>
            <w:vAlign w:val="center"/>
          </w:tcPr>
          <w:p w14:paraId="01FDAB63" w14:textId="084FE93C" w:rsidR="00FE2262" w:rsidRDefault="00FE2262" w:rsidP="00690F11">
            <w:pPr>
              <w:rPr>
                <w:rFonts w:ascii="Arial" w:hAnsi="Arial" w:cs="Arial"/>
                <w:sz w:val="16"/>
                <w:szCs w:val="16"/>
              </w:rPr>
            </w:pPr>
            <w:r>
              <w:rPr>
                <w:rFonts w:ascii="Arial" w:hAnsi="Arial" w:cs="Arial"/>
                <w:sz w:val="16"/>
                <w:szCs w:val="16"/>
              </w:rPr>
              <w:t>Coste años de mantenimiento</w:t>
            </w:r>
          </w:p>
        </w:tc>
        <w:tc>
          <w:tcPr>
            <w:tcW w:w="3260" w:type="dxa"/>
            <w:shd w:val="clear" w:color="auto" w:fill="D9D9D9"/>
            <w:vAlign w:val="center"/>
          </w:tcPr>
          <w:p w14:paraId="7BA4B014" w14:textId="7CB34616" w:rsidR="00FE2262" w:rsidRPr="007C62DA" w:rsidRDefault="00FE2262" w:rsidP="00CA2390">
            <w:pPr>
              <w:jc w:val="center"/>
              <w:rPr>
                <w:rFonts w:ascii="Arial" w:hAnsi="Arial" w:cs="Arial"/>
                <w:b/>
                <w:bCs/>
                <w:sz w:val="16"/>
                <w:szCs w:val="16"/>
              </w:rPr>
            </w:pPr>
            <w:r>
              <w:rPr>
                <w:rFonts w:ascii="Arial" w:hAnsi="Arial" w:cs="Arial"/>
                <w:sz w:val="16"/>
                <w:szCs w:val="16"/>
              </w:rPr>
              <w:t>Dosis única</w:t>
            </w:r>
          </w:p>
        </w:tc>
        <w:tc>
          <w:tcPr>
            <w:tcW w:w="2490" w:type="dxa"/>
            <w:shd w:val="clear" w:color="auto" w:fill="D9D9D9"/>
            <w:vAlign w:val="center"/>
          </w:tcPr>
          <w:p w14:paraId="7803FB88" w14:textId="3D6356B1" w:rsidR="00FE2262" w:rsidRPr="007C62DA" w:rsidRDefault="00B07291" w:rsidP="00455BD0">
            <w:pPr>
              <w:jc w:val="center"/>
              <w:rPr>
                <w:rFonts w:ascii="Arial" w:hAnsi="Arial" w:cs="Arial"/>
                <w:b/>
                <w:bCs/>
                <w:sz w:val="16"/>
                <w:szCs w:val="16"/>
              </w:rPr>
            </w:pPr>
            <w:r>
              <w:rPr>
                <w:rFonts w:ascii="Arial" w:hAnsi="Arial" w:cs="Arial"/>
                <w:sz w:val="16"/>
                <w:szCs w:val="16"/>
              </w:rPr>
              <w:t>185.700</w:t>
            </w:r>
            <w:r w:rsidR="00FE2262">
              <w:rPr>
                <w:rFonts w:ascii="Arial" w:hAnsi="Arial" w:cs="Arial"/>
                <w:sz w:val="16"/>
                <w:szCs w:val="16"/>
              </w:rPr>
              <w:t xml:space="preserve"> €</w:t>
            </w:r>
          </w:p>
        </w:tc>
      </w:tr>
      <w:tr w:rsidR="00FE2262" w:rsidRPr="007C62DA" w14:paraId="7F9B234F" w14:textId="77777777" w:rsidTr="005C2411">
        <w:trPr>
          <w:trHeight w:val="414"/>
        </w:trPr>
        <w:tc>
          <w:tcPr>
            <w:tcW w:w="3035" w:type="dxa"/>
            <w:vAlign w:val="center"/>
          </w:tcPr>
          <w:p w14:paraId="75CD53D8" w14:textId="36683BB4" w:rsidR="00FE2262" w:rsidRPr="007C62DA" w:rsidRDefault="00FE2262" w:rsidP="00690F11">
            <w:pPr>
              <w:rPr>
                <w:rFonts w:ascii="Arial" w:hAnsi="Arial" w:cs="Arial"/>
                <w:b/>
                <w:bCs/>
                <w:sz w:val="16"/>
                <w:szCs w:val="16"/>
              </w:rPr>
            </w:pPr>
            <w:r w:rsidRPr="007C62DA">
              <w:rPr>
                <w:rFonts w:ascii="Arial" w:hAnsi="Arial" w:cs="Arial"/>
                <w:b/>
                <w:bCs/>
                <w:sz w:val="16"/>
                <w:szCs w:val="16"/>
              </w:rPr>
              <w:t>Coste global del tratamiento**</w:t>
            </w:r>
          </w:p>
        </w:tc>
        <w:tc>
          <w:tcPr>
            <w:tcW w:w="3260" w:type="dxa"/>
            <w:shd w:val="clear" w:color="auto" w:fill="D9D9D9"/>
            <w:vAlign w:val="center"/>
          </w:tcPr>
          <w:p w14:paraId="61168824" w14:textId="57C7260E" w:rsidR="00FE2262" w:rsidRPr="007C62DA" w:rsidRDefault="00FE2262" w:rsidP="001F6887">
            <w:pPr>
              <w:jc w:val="center"/>
              <w:rPr>
                <w:rFonts w:ascii="Arial" w:hAnsi="Arial" w:cs="Arial"/>
                <w:b/>
                <w:bCs/>
                <w:sz w:val="16"/>
                <w:szCs w:val="16"/>
              </w:rPr>
            </w:pPr>
            <w:r w:rsidRPr="007C62DA">
              <w:rPr>
                <w:rFonts w:ascii="Arial" w:hAnsi="Arial" w:cs="Arial"/>
                <w:b/>
                <w:bCs/>
                <w:sz w:val="16"/>
                <w:szCs w:val="16"/>
              </w:rPr>
              <w:t>1.785.000 €</w:t>
            </w:r>
          </w:p>
        </w:tc>
        <w:tc>
          <w:tcPr>
            <w:tcW w:w="2490" w:type="dxa"/>
            <w:shd w:val="clear" w:color="auto" w:fill="D9D9D9"/>
            <w:vAlign w:val="center"/>
          </w:tcPr>
          <w:p w14:paraId="3871C4E4" w14:textId="060B0683" w:rsidR="00FE2262" w:rsidRPr="007C62DA" w:rsidRDefault="00FE2262" w:rsidP="00B07291">
            <w:pPr>
              <w:jc w:val="center"/>
              <w:rPr>
                <w:rFonts w:ascii="Arial" w:hAnsi="Arial" w:cs="Arial"/>
                <w:b/>
                <w:bCs/>
                <w:sz w:val="16"/>
                <w:szCs w:val="16"/>
              </w:rPr>
            </w:pPr>
            <w:r>
              <w:rPr>
                <w:rFonts w:ascii="Arial" w:hAnsi="Arial" w:cs="Arial"/>
                <w:b/>
                <w:bCs/>
                <w:sz w:val="16"/>
                <w:szCs w:val="16"/>
              </w:rPr>
              <w:t>1</w:t>
            </w:r>
            <w:r w:rsidR="00455BD0">
              <w:rPr>
                <w:rFonts w:ascii="Arial" w:hAnsi="Arial" w:cs="Arial"/>
                <w:b/>
                <w:bCs/>
                <w:sz w:val="16"/>
                <w:szCs w:val="16"/>
              </w:rPr>
              <w:t>.</w:t>
            </w:r>
            <w:r w:rsidR="00B07291">
              <w:rPr>
                <w:rFonts w:ascii="Arial" w:hAnsi="Arial" w:cs="Arial"/>
                <w:b/>
                <w:bCs/>
                <w:sz w:val="16"/>
                <w:szCs w:val="16"/>
              </w:rPr>
              <w:t>671.300</w:t>
            </w:r>
            <w:r>
              <w:rPr>
                <w:rFonts w:ascii="Arial" w:hAnsi="Arial" w:cs="Arial"/>
                <w:b/>
                <w:bCs/>
                <w:sz w:val="16"/>
                <w:szCs w:val="16"/>
              </w:rPr>
              <w:t xml:space="preserve"> € (8 años)</w:t>
            </w:r>
          </w:p>
        </w:tc>
      </w:tr>
      <w:tr w:rsidR="00CA2390" w:rsidRPr="007C62DA" w14:paraId="50D2D2CA" w14:textId="77777777" w:rsidTr="005C2411">
        <w:trPr>
          <w:trHeight w:val="414"/>
        </w:trPr>
        <w:tc>
          <w:tcPr>
            <w:tcW w:w="8785" w:type="dxa"/>
            <w:gridSpan w:val="3"/>
            <w:hideMark/>
          </w:tcPr>
          <w:p w14:paraId="48E15127" w14:textId="5D5E2ED1" w:rsidR="00CA2390" w:rsidRPr="007C62DA" w:rsidRDefault="00CA2390" w:rsidP="001F6887">
            <w:pPr>
              <w:rPr>
                <w:rFonts w:ascii="Arial" w:hAnsi="Arial" w:cs="Arial"/>
                <w:sz w:val="16"/>
                <w:szCs w:val="16"/>
              </w:rPr>
            </w:pPr>
            <w:r w:rsidRPr="007C62DA">
              <w:rPr>
                <w:rFonts w:ascii="Arial" w:hAnsi="Arial" w:cs="Arial"/>
                <w:sz w:val="16"/>
                <w:szCs w:val="16"/>
              </w:rPr>
              <w:t>*Precios de Zolgensma</w:t>
            </w:r>
            <w:r w:rsidRPr="007C62DA">
              <w:rPr>
                <w:rFonts w:ascii="Arial" w:hAnsi="Arial" w:cs="Arial"/>
                <w:sz w:val="16"/>
                <w:szCs w:val="16"/>
                <w:vertAlign w:val="superscript"/>
              </w:rPr>
              <w:t>®</w:t>
            </w:r>
            <w:r w:rsidRPr="007C62DA">
              <w:rPr>
                <w:rFonts w:ascii="Arial" w:hAnsi="Arial" w:cs="Arial"/>
                <w:sz w:val="16"/>
                <w:szCs w:val="16"/>
              </w:rPr>
              <w:t xml:space="preserve"> en E.E.U.U ($2.100.000. Conversión de $ a € (08/09/2020): 1$ = 0,85€) </w:t>
            </w:r>
          </w:p>
          <w:p w14:paraId="351FA1D6" w14:textId="2DFB08B6" w:rsidR="00CA2390" w:rsidRPr="007C62DA" w:rsidRDefault="00CA2390" w:rsidP="00FE2262">
            <w:pPr>
              <w:rPr>
                <w:rFonts w:ascii="Arial" w:hAnsi="Arial" w:cs="Arial"/>
                <w:sz w:val="16"/>
                <w:szCs w:val="16"/>
              </w:rPr>
            </w:pPr>
            <w:r>
              <w:rPr>
                <w:rFonts w:ascii="Arial" w:hAnsi="Arial" w:cs="Arial"/>
                <w:sz w:val="16"/>
                <w:szCs w:val="16"/>
              </w:rPr>
              <w:t xml:space="preserve">**Horizonte temporal de </w:t>
            </w:r>
            <w:r w:rsidR="00FE2262">
              <w:rPr>
                <w:rFonts w:ascii="Arial" w:hAnsi="Arial" w:cs="Arial"/>
                <w:sz w:val="16"/>
                <w:szCs w:val="16"/>
              </w:rPr>
              <w:t>8</w:t>
            </w:r>
            <w:r>
              <w:rPr>
                <w:rFonts w:ascii="Arial" w:hAnsi="Arial" w:cs="Arial"/>
                <w:sz w:val="16"/>
                <w:szCs w:val="16"/>
              </w:rPr>
              <w:t xml:space="preserve"> años</w:t>
            </w:r>
          </w:p>
        </w:tc>
      </w:tr>
    </w:tbl>
    <w:p w14:paraId="077230BA" w14:textId="77777777" w:rsidR="00FE2262" w:rsidRDefault="00FE2262" w:rsidP="001F6887">
      <w:pPr>
        <w:pStyle w:val="Encabezado"/>
        <w:tabs>
          <w:tab w:val="left" w:pos="708"/>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8"/>
        <w:gridCol w:w="1136"/>
        <w:gridCol w:w="1119"/>
        <w:gridCol w:w="1020"/>
        <w:gridCol w:w="1828"/>
        <w:gridCol w:w="1134"/>
        <w:gridCol w:w="1432"/>
      </w:tblGrid>
      <w:tr w:rsidR="00FE2262" w14:paraId="62592481" w14:textId="77777777" w:rsidTr="005C2411">
        <w:trPr>
          <w:cantSplit/>
          <w:trHeight w:val="368"/>
        </w:trPr>
        <w:tc>
          <w:tcPr>
            <w:tcW w:w="8717" w:type="dxa"/>
            <w:gridSpan w:val="7"/>
            <w:tcBorders>
              <w:top w:val="single" w:sz="4" w:space="0" w:color="auto"/>
              <w:left w:val="single" w:sz="4" w:space="0" w:color="auto"/>
              <w:bottom w:val="single" w:sz="4" w:space="0" w:color="auto"/>
              <w:right w:val="single" w:sz="4" w:space="0" w:color="auto"/>
            </w:tcBorders>
            <w:shd w:val="clear" w:color="auto" w:fill="CCFFCC"/>
            <w:hideMark/>
          </w:tcPr>
          <w:p w14:paraId="732B61F0" w14:textId="752207CE" w:rsidR="00FE2262" w:rsidRDefault="00201417" w:rsidP="00A35C6F">
            <w:pPr>
              <w:rPr>
                <w:rFonts w:ascii="Arial" w:hAnsi="Arial" w:cs="Arial"/>
                <w:b/>
                <w:sz w:val="22"/>
              </w:rPr>
            </w:pPr>
            <w:r>
              <w:rPr>
                <w:rFonts w:ascii="Arial" w:hAnsi="Arial" w:cs="Arial"/>
                <w:b/>
                <w:sz w:val="18"/>
                <w:szCs w:val="16"/>
                <w:lang w:val="es-ES_tradnl"/>
              </w:rPr>
              <w:t>Tabla 7.3.3.1. Análisis de coste-utilidad</w:t>
            </w:r>
            <w:r w:rsidR="004C5933">
              <w:rPr>
                <w:rFonts w:ascii="Arial" w:hAnsi="Arial" w:cs="Arial"/>
                <w:b/>
                <w:sz w:val="18"/>
                <w:szCs w:val="16"/>
                <w:lang w:val="es-ES_tradnl"/>
              </w:rPr>
              <w:t xml:space="preserve"> y coste-efectividad</w:t>
            </w:r>
            <w:r w:rsidR="005E35CB">
              <w:rPr>
                <w:rFonts w:ascii="Arial" w:hAnsi="Arial" w:cs="Arial"/>
                <w:b/>
                <w:sz w:val="18"/>
                <w:szCs w:val="16"/>
                <w:lang w:val="es-ES_tradnl"/>
              </w:rPr>
              <w:t xml:space="preserve"> frente a nusinersen</w:t>
            </w:r>
            <w:r w:rsidR="00A35C6F">
              <w:rPr>
                <w:rFonts w:ascii="Arial" w:hAnsi="Arial" w:cs="Arial"/>
                <w:b/>
                <w:sz w:val="18"/>
                <w:szCs w:val="16"/>
                <w:lang w:val="es-ES_tradnl"/>
              </w:rPr>
              <w:t xml:space="preserve"> (15% de descuento)</w:t>
            </w:r>
          </w:p>
        </w:tc>
      </w:tr>
      <w:tr w:rsidR="00FE2262" w14:paraId="51FE94C2" w14:textId="77777777" w:rsidTr="005C2411">
        <w:trPr>
          <w:cantSplit/>
          <w:trHeight w:val="368"/>
        </w:trPr>
        <w:tc>
          <w:tcPr>
            <w:tcW w:w="1048" w:type="dxa"/>
            <w:tcBorders>
              <w:top w:val="single" w:sz="4" w:space="0" w:color="auto"/>
              <w:left w:val="single" w:sz="4" w:space="0" w:color="auto"/>
              <w:bottom w:val="single" w:sz="4" w:space="0" w:color="auto"/>
              <w:right w:val="single" w:sz="4" w:space="0" w:color="auto"/>
            </w:tcBorders>
            <w:shd w:val="clear" w:color="auto" w:fill="E0E0E0"/>
          </w:tcPr>
          <w:p w14:paraId="10DA4D7F" w14:textId="017403F2" w:rsidR="00FE2262" w:rsidRPr="00FE2262" w:rsidRDefault="00FE2262" w:rsidP="00FE2262">
            <w:pPr>
              <w:rPr>
                <w:rFonts w:ascii="Arial" w:hAnsi="Arial" w:cs="Arial"/>
                <w:b/>
                <w:sz w:val="16"/>
                <w:lang w:val="es-ES_tradnl"/>
              </w:rPr>
            </w:pPr>
            <w:r w:rsidRPr="00FE2262">
              <w:rPr>
                <w:rFonts w:ascii="Arial" w:hAnsi="Arial" w:cs="Arial"/>
                <w:b/>
                <w:sz w:val="16"/>
                <w:lang w:val="es-ES_tradnl"/>
              </w:rPr>
              <w:t>Referencia</w:t>
            </w:r>
          </w:p>
        </w:tc>
        <w:tc>
          <w:tcPr>
            <w:tcW w:w="1136" w:type="dxa"/>
            <w:tcBorders>
              <w:top w:val="single" w:sz="4" w:space="0" w:color="auto"/>
              <w:left w:val="single" w:sz="4" w:space="0" w:color="auto"/>
              <w:bottom w:val="single" w:sz="4" w:space="0" w:color="auto"/>
              <w:right w:val="single" w:sz="4" w:space="0" w:color="auto"/>
            </w:tcBorders>
            <w:shd w:val="clear" w:color="auto" w:fill="E0E0E0"/>
          </w:tcPr>
          <w:p w14:paraId="19E52A56" w14:textId="77777777" w:rsidR="00617436" w:rsidRDefault="00FE2262" w:rsidP="00FE2262">
            <w:pPr>
              <w:rPr>
                <w:rFonts w:ascii="Arial" w:hAnsi="Arial" w:cs="Arial"/>
                <w:b/>
                <w:sz w:val="16"/>
              </w:rPr>
            </w:pPr>
            <w:r>
              <w:rPr>
                <w:rFonts w:ascii="Arial" w:hAnsi="Arial" w:cs="Arial"/>
                <w:b/>
                <w:sz w:val="16"/>
              </w:rPr>
              <w:t xml:space="preserve">VARIABLE  </w:t>
            </w:r>
          </w:p>
          <w:p w14:paraId="04596076" w14:textId="0795DB59" w:rsidR="00FE2262" w:rsidRDefault="00FE2262" w:rsidP="00FE2262">
            <w:pPr>
              <w:rPr>
                <w:rFonts w:ascii="Arial" w:hAnsi="Arial" w:cs="Arial"/>
                <w:sz w:val="16"/>
                <w:lang w:val="es-ES_tradnl"/>
              </w:rPr>
            </w:pPr>
            <w:r>
              <w:rPr>
                <w:rFonts w:ascii="Arial" w:hAnsi="Arial" w:cs="Arial"/>
                <w:b/>
                <w:sz w:val="16"/>
              </w:rPr>
              <w:t>evaluada</w:t>
            </w:r>
          </w:p>
        </w:tc>
        <w:tc>
          <w:tcPr>
            <w:tcW w:w="1119" w:type="dxa"/>
            <w:tcBorders>
              <w:top w:val="single" w:sz="4" w:space="0" w:color="auto"/>
              <w:left w:val="single" w:sz="4" w:space="0" w:color="auto"/>
              <w:bottom w:val="single" w:sz="4" w:space="0" w:color="auto"/>
              <w:right w:val="single" w:sz="4" w:space="0" w:color="auto"/>
            </w:tcBorders>
            <w:shd w:val="clear" w:color="auto" w:fill="E0E0E0"/>
            <w:hideMark/>
          </w:tcPr>
          <w:p w14:paraId="73D64650" w14:textId="4C2A236E" w:rsidR="00FE2262" w:rsidRPr="00617436" w:rsidRDefault="00FE2262" w:rsidP="00617436">
            <w:pPr>
              <w:rPr>
                <w:rFonts w:ascii="Arial" w:hAnsi="Arial" w:cs="Arial"/>
                <w:sz w:val="16"/>
                <w:lang w:val="es-ES_tradnl"/>
              </w:rPr>
            </w:pPr>
            <w:r w:rsidRPr="00617436">
              <w:rPr>
                <w:rFonts w:ascii="Arial" w:hAnsi="Arial" w:cs="Arial"/>
                <w:b/>
                <w:sz w:val="16"/>
              </w:rPr>
              <w:t>Eficacia de</w:t>
            </w:r>
            <w:r w:rsidR="00617436">
              <w:rPr>
                <w:rFonts w:ascii="Arial" w:hAnsi="Arial" w:cs="Arial"/>
                <w:b/>
                <w:sz w:val="16"/>
              </w:rPr>
              <w:t xml:space="preserve"> </w:t>
            </w:r>
            <w:r w:rsidR="00617436" w:rsidRPr="00617436">
              <w:rPr>
                <w:rFonts w:ascii="Arial" w:hAnsi="Arial" w:cs="Arial"/>
                <w:b/>
                <w:sz w:val="16"/>
              </w:rPr>
              <w:t>Zolgensma</w:t>
            </w:r>
          </w:p>
        </w:tc>
        <w:tc>
          <w:tcPr>
            <w:tcW w:w="1020" w:type="dxa"/>
            <w:tcBorders>
              <w:top w:val="single" w:sz="4" w:space="0" w:color="auto"/>
              <w:left w:val="single" w:sz="4" w:space="0" w:color="auto"/>
              <w:bottom w:val="single" w:sz="4" w:space="0" w:color="auto"/>
              <w:right w:val="single" w:sz="4" w:space="0" w:color="auto"/>
            </w:tcBorders>
            <w:shd w:val="clear" w:color="auto" w:fill="E0E0E0"/>
            <w:hideMark/>
          </w:tcPr>
          <w:p w14:paraId="7E5454C8" w14:textId="02D75504" w:rsidR="00FE2262" w:rsidRPr="00617436" w:rsidRDefault="00FE2262" w:rsidP="00617436">
            <w:pPr>
              <w:rPr>
                <w:rFonts w:ascii="Arial" w:hAnsi="Arial" w:cs="Arial"/>
                <w:b/>
                <w:sz w:val="16"/>
              </w:rPr>
            </w:pPr>
            <w:r w:rsidRPr="00617436">
              <w:rPr>
                <w:rFonts w:ascii="Arial" w:hAnsi="Arial" w:cs="Arial"/>
                <w:b/>
                <w:sz w:val="16"/>
              </w:rPr>
              <w:t xml:space="preserve">Eficacia de </w:t>
            </w:r>
            <w:r w:rsidR="00617436" w:rsidRPr="00617436">
              <w:rPr>
                <w:rFonts w:ascii="Arial" w:hAnsi="Arial" w:cs="Arial"/>
                <w:b/>
                <w:sz w:val="16"/>
              </w:rPr>
              <w:t>Spinraza</w:t>
            </w:r>
          </w:p>
        </w:tc>
        <w:tc>
          <w:tcPr>
            <w:tcW w:w="1828" w:type="dxa"/>
            <w:tcBorders>
              <w:top w:val="single" w:sz="4" w:space="0" w:color="auto"/>
              <w:left w:val="single" w:sz="4" w:space="0" w:color="auto"/>
              <w:bottom w:val="single" w:sz="4" w:space="0" w:color="auto"/>
              <w:right w:val="single" w:sz="4" w:space="0" w:color="auto"/>
            </w:tcBorders>
            <w:shd w:val="clear" w:color="auto" w:fill="E0E0E0"/>
            <w:hideMark/>
          </w:tcPr>
          <w:p w14:paraId="04458840" w14:textId="5BF1396B" w:rsidR="00FE2262" w:rsidRDefault="009A2187" w:rsidP="009A2187">
            <w:pPr>
              <w:rPr>
                <w:rFonts w:ascii="Arial" w:hAnsi="Arial" w:cs="Arial"/>
                <w:b/>
                <w:sz w:val="16"/>
                <w:lang w:val="es-ES_tradnl"/>
              </w:rPr>
            </w:pPr>
            <w:r>
              <w:rPr>
                <w:rFonts w:ascii="Arial" w:hAnsi="Arial" w:cs="Arial"/>
                <w:b/>
                <w:sz w:val="16"/>
                <w:lang w:val="es-ES_tradnl"/>
              </w:rPr>
              <w:t>Diferencia de eficacia</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7A88C202" w14:textId="77777777" w:rsidR="00FE2262" w:rsidRDefault="00FE2262" w:rsidP="00FE2262">
            <w:pPr>
              <w:rPr>
                <w:rFonts w:ascii="Arial" w:hAnsi="Arial" w:cs="Arial"/>
                <w:b/>
                <w:sz w:val="16"/>
              </w:rPr>
            </w:pPr>
            <w:r>
              <w:rPr>
                <w:rFonts w:ascii="Arial" w:hAnsi="Arial" w:cs="Arial"/>
                <w:b/>
                <w:sz w:val="16"/>
              </w:rPr>
              <w:t>Coste incremental</w:t>
            </w:r>
          </w:p>
        </w:tc>
        <w:tc>
          <w:tcPr>
            <w:tcW w:w="1432" w:type="dxa"/>
            <w:tcBorders>
              <w:top w:val="single" w:sz="4" w:space="0" w:color="auto"/>
              <w:left w:val="single" w:sz="4" w:space="0" w:color="auto"/>
              <w:bottom w:val="single" w:sz="4" w:space="0" w:color="auto"/>
              <w:right w:val="single" w:sz="4" w:space="0" w:color="auto"/>
            </w:tcBorders>
            <w:shd w:val="clear" w:color="auto" w:fill="E0E0E0"/>
            <w:hideMark/>
          </w:tcPr>
          <w:p w14:paraId="6B87C0DB" w14:textId="355862F8" w:rsidR="00FE2262" w:rsidRDefault="009A2187" w:rsidP="00FE2262">
            <w:pPr>
              <w:rPr>
                <w:rFonts w:ascii="Arial" w:hAnsi="Arial" w:cs="Arial"/>
                <w:b/>
                <w:sz w:val="16"/>
                <w:lang w:val="es-ES_tradnl"/>
              </w:rPr>
            </w:pPr>
            <w:r>
              <w:rPr>
                <w:rFonts w:ascii="Arial" w:hAnsi="Arial" w:cs="Arial"/>
                <w:b/>
                <w:sz w:val="16"/>
                <w:lang w:val="es-ES_tradnl"/>
              </w:rPr>
              <w:t>CEI</w:t>
            </w:r>
          </w:p>
        </w:tc>
      </w:tr>
      <w:tr w:rsidR="009A2187" w14:paraId="45336770" w14:textId="77777777" w:rsidTr="005C2411">
        <w:trPr>
          <w:cantSplit/>
          <w:trHeight w:val="368"/>
        </w:trPr>
        <w:tc>
          <w:tcPr>
            <w:tcW w:w="1048" w:type="dxa"/>
            <w:vMerge w:val="restart"/>
            <w:tcBorders>
              <w:top w:val="single" w:sz="4" w:space="0" w:color="auto"/>
              <w:left w:val="single" w:sz="4" w:space="0" w:color="auto"/>
              <w:right w:val="single" w:sz="4" w:space="0" w:color="auto"/>
            </w:tcBorders>
            <w:vAlign w:val="center"/>
          </w:tcPr>
          <w:p w14:paraId="72D26179" w14:textId="5C1AF368" w:rsidR="009A2187" w:rsidRDefault="009A2187" w:rsidP="009A2187">
            <w:pPr>
              <w:rPr>
                <w:rFonts w:ascii="Arial" w:hAnsi="Arial" w:cs="Arial"/>
                <w:sz w:val="16"/>
                <w:lang w:val="es-ES_tradnl"/>
              </w:rPr>
            </w:pPr>
            <w:r>
              <w:rPr>
                <w:rFonts w:ascii="Arial" w:hAnsi="Arial" w:cs="Arial"/>
                <w:sz w:val="16"/>
                <w:lang w:val="es-ES_tradnl"/>
              </w:rPr>
              <w:t>ICER</w:t>
            </w:r>
          </w:p>
        </w:tc>
        <w:tc>
          <w:tcPr>
            <w:tcW w:w="1136" w:type="dxa"/>
            <w:tcBorders>
              <w:top w:val="single" w:sz="4" w:space="0" w:color="auto"/>
              <w:left w:val="single" w:sz="4" w:space="0" w:color="auto"/>
              <w:bottom w:val="single" w:sz="4" w:space="0" w:color="auto"/>
              <w:right w:val="single" w:sz="4" w:space="0" w:color="auto"/>
            </w:tcBorders>
            <w:vAlign w:val="center"/>
          </w:tcPr>
          <w:p w14:paraId="6C1CBAEF" w14:textId="5AC8149C" w:rsidR="009A2187" w:rsidRDefault="009A2187" w:rsidP="009A2187">
            <w:pPr>
              <w:rPr>
                <w:rFonts w:ascii="Arial" w:hAnsi="Arial" w:cs="Arial"/>
                <w:sz w:val="16"/>
                <w:lang w:val="es-ES_tradnl"/>
              </w:rPr>
            </w:pPr>
            <w:r>
              <w:rPr>
                <w:rFonts w:ascii="Arial" w:hAnsi="Arial" w:cs="Arial"/>
                <w:sz w:val="16"/>
                <w:lang w:val="es-ES_tradnl"/>
              </w:rPr>
              <w:t>AVAC</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53C4608" w14:textId="40F80DC7" w:rsidR="009A2187" w:rsidRDefault="009A2187" w:rsidP="009A2187">
            <w:pPr>
              <w:rPr>
                <w:rFonts w:ascii="Arial" w:hAnsi="Arial" w:cs="Arial"/>
                <w:sz w:val="16"/>
                <w:lang w:val="es-ES_tradnl"/>
              </w:rPr>
            </w:pPr>
            <w:r>
              <w:rPr>
                <w:rFonts w:ascii="Arial" w:hAnsi="Arial" w:cs="Arial"/>
                <w:sz w:val="16"/>
                <w:lang w:val="es-ES_tradnl"/>
              </w:rPr>
              <w:t>12,23</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4576744" w14:textId="282D673D" w:rsidR="009A2187" w:rsidRDefault="009A2187" w:rsidP="009A2187">
            <w:pPr>
              <w:rPr>
                <w:rFonts w:ascii="Arial" w:hAnsi="Arial" w:cs="Arial"/>
                <w:sz w:val="16"/>
                <w:lang w:val="es-ES_tradnl"/>
              </w:rPr>
            </w:pPr>
            <w:r>
              <w:rPr>
                <w:rFonts w:ascii="Arial" w:hAnsi="Arial" w:cs="Arial"/>
                <w:sz w:val="16"/>
                <w:lang w:val="es-ES_tradnl"/>
              </w:rPr>
              <w:t>3,24</w:t>
            </w:r>
          </w:p>
        </w:tc>
        <w:tc>
          <w:tcPr>
            <w:tcW w:w="1828" w:type="dxa"/>
            <w:tcBorders>
              <w:top w:val="single" w:sz="4" w:space="0" w:color="auto"/>
              <w:left w:val="single" w:sz="4" w:space="0" w:color="auto"/>
              <w:bottom w:val="single" w:sz="4" w:space="0" w:color="auto"/>
              <w:right w:val="single" w:sz="4" w:space="0" w:color="auto"/>
            </w:tcBorders>
            <w:vAlign w:val="center"/>
            <w:hideMark/>
          </w:tcPr>
          <w:p w14:paraId="34206444" w14:textId="7A05AF1F" w:rsidR="009A2187" w:rsidRDefault="009A2187" w:rsidP="009A2187">
            <w:pPr>
              <w:rPr>
                <w:rFonts w:ascii="Arial" w:hAnsi="Arial" w:cs="Arial"/>
                <w:sz w:val="16"/>
                <w:lang w:val="en-GB"/>
              </w:rPr>
            </w:pPr>
            <w:r>
              <w:rPr>
                <w:rFonts w:ascii="Arial" w:hAnsi="Arial" w:cs="Arial"/>
                <w:sz w:val="16"/>
                <w:lang w:val="en-GB"/>
              </w:rPr>
              <w:t>8,99 AVAC</w:t>
            </w:r>
          </w:p>
        </w:tc>
        <w:tc>
          <w:tcPr>
            <w:tcW w:w="1134" w:type="dxa"/>
            <w:vMerge w:val="restart"/>
            <w:tcBorders>
              <w:top w:val="single" w:sz="4" w:space="0" w:color="auto"/>
              <w:left w:val="single" w:sz="4" w:space="0" w:color="auto"/>
              <w:right w:val="single" w:sz="4" w:space="0" w:color="auto"/>
            </w:tcBorders>
            <w:vAlign w:val="center"/>
            <w:hideMark/>
          </w:tcPr>
          <w:p w14:paraId="59B364AF" w14:textId="1BB3552E" w:rsidR="009A2187" w:rsidRDefault="00B07291" w:rsidP="00455BD0">
            <w:pPr>
              <w:rPr>
                <w:rFonts w:ascii="Arial" w:hAnsi="Arial" w:cs="Arial"/>
                <w:sz w:val="16"/>
                <w:lang w:val="en-GB"/>
              </w:rPr>
            </w:pPr>
            <w:r>
              <w:rPr>
                <w:rFonts w:ascii="Arial" w:hAnsi="Arial" w:cs="Arial"/>
                <w:sz w:val="16"/>
                <w:lang w:val="en-GB"/>
              </w:rPr>
              <w:t>113.700</w:t>
            </w:r>
            <w:r w:rsidR="009A2187">
              <w:rPr>
                <w:rFonts w:ascii="Arial" w:hAnsi="Arial" w:cs="Arial"/>
                <w:sz w:val="16"/>
                <w:lang w:val="en-GB"/>
              </w:rPr>
              <w:t xml:space="preserve"> €</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78D5CF1" w14:textId="6F2AC03D" w:rsidR="009A2187" w:rsidRDefault="00B07291" w:rsidP="009A2187">
            <w:pPr>
              <w:rPr>
                <w:rFonts w:ascii="Arial" w:hAnsi="Arial" w:cs="Arial"/>
                <w:sz w:val="16"/>
                <w:lang w:val="en-GB"/>
              </w:rPr>
            </w:pPr>
            <w:r>
              <w:rPr>
                <w:rFonts w:ascii="Arial" w:hAnsi="Arial" w:cs="Arial"/>
                <w:sz w:val="16"/>
                <w:lang w:val="en-GB"/>
              </w:rPr>
              <w:t>12.647</w:t>
            </w:r>
            <w:r w:rsidR="009A2187">
              <w:rPr>
                <w:rFonts w:ascii="Arial" w:hAnsi="Arial" w:cs="Arial"/>
                <w:sz w:val="16"/>
                <w:lang w:val="en-GB"/>
              </w:rPr>
              <w:t xml:space="preserve"> €/AVAC</w:t>
            </w:r>
          </w:p>
        </w:tc>
      </w:tr>
      <w:tr w:rsidR="009A2187" w14:paraId="4677805B" w14:textId="77777777" w:rsidTr="005C2411">
        <w:trPr>
          <w:cantSplit/>
          <w:trHeight w:val="368"/>
        </w:trPr>
        <w:tc>
          <w:tcPr>
            <w:tcW w:w="1048" w:type="dxa"/>
            <w:vMerge/>
            <w:tcBorders>
              <w:left w:val="single" w:sz="4" w:space="0" w:color="auto"/>
              <w:bottom w:val="single" w:sz="4" w:space="0" w:color="auto"/>
              <w:right w:val="single" w:sz="4" w:space="0" w:color="auto"/>
            </w:tcBorders>
            <w:vAlign w:val="center"/>
          </w:tcPr>
          <w:p w14:paraId="43B4732F" w14:textId="77777777" w:rsidR="009A2187" w:rsidRDefault="009A2187" w:rsidP="009A2187">
            <w:pPr>
              <w:jc w:val="center"/>
              <w:rPr>
                <w:rFonts w:ascii="Arial" w:hAnsi="Arial" w:cs="Arial"/>
                <w:sz w:val="16"/>
                <w:lang w:val="es-ES_tradnl"/>
              </w:rPr>
            </w:pPr>
          </w:p>
        </w:tc>
        <w:tc>
          <w:tcPr>
            <w:tcW w:w="1136" w:type="dxa"/>
            <w:tcBorders>
              <w:top w:val="single" w:sz="4" w:space="0" w:color="auto"/>
              <w:left w:val="single" w:sz="4" w:space="0" w:color="auto"/>
              <w:right w:val="single" w:sz="4" w:space="0" w:color="auto"/>
            </w:tcBorders>
            <w:vAlign w:val="center"/>
          </w:tcPr>
          <w:p w14:paraId="7CB3A77D" w14:textId="126EB4FC" w:rsidR="009A2187" w:rsidRDefault="009A2187" w:rsidP="009A2187">
            <w:pPr>
              <w:rPr>
                <w:rFonts w:ascii="Arial" w:hAnsi="Arial" w:cs="Arial"/>
                <w:sz w:val="16"/>
                <w:lang w:val="es-ES_tradnl"/>
              </w:rPr>
            </w:pPr>
            <w:r>
              <w:rPr>
                <w:rFonts w:ascii="Arial" w:hAnsi="Arial" w:cs="Arial"/>
                <w:sz w:val="16"/>
                <w:lang w:val="es-ES_tradnl"/>
              </w:rPr>
              <w:t>AV</w:t>
            </w:r>
          </w:p>
        </w:tc>
        <w:tc>
          <w:tcPr>
            <w:tcW w:w="1119" w:type="dxa"/>
            <w:tcBorders>
              <w:top w:val="single" w:sz="4" w:space="0" w:color="auto"/>
              <w:left w:val="single" w:sz="4" w:space="0" w:color="auto"/>
              <w:right w:val="single" w:sz="4" w:space="0" w:color="auto"/>
            </w:tcBorders>
            <w:vAlign w:val="center"/>
          </w:tcPr>
          <w:p w14:paraId="132D6950" w14:textId="3C21D195" w:rsidR="009A2187" w:rsidRDefault="009A2187" w:rsidP="009A2187">
            <w:pPr>
              <w:rPr>
                <w:rFonts w:ascii="Arial" w:hAnsi="Arial" w:cs="Arial"/>
                <w:sz w:val="16"/>
                <w:lang w:val="es-ES_tradnl"/>
              </w:rPr>
            </w:pPr>
            <w:r>
              <w:rPr>
                <w:rFonts w:ascii="Arial" w:hAnsi="Arial" w:cs="Arial"/>
                <w:sz w:val="16"/>
                <w:lang w:val="es-ES_tradnl"/>
              </w:rPr>
              <w:t>18,17</w:t>
            </w:r>
          </w:p>
        </w:tc>
        <w:tc>
          <w:tcPr>
            <w:tcW w:w="1020" w:type="dxa"/>
            <w:tcBorders>
              <w:top w:val="single" w:sz="4" w:space="0" w:color="auto"/>
              <w:left w:val="single" w:sz="4" w:space="0" w:color="auto"/>
              <w:right w:val="single" w:sz="4" w:space="0" w:color="auto"/>
            </w:tcBorders>
            <w:vAlign w:val="center"/>
          </w:tcPr>
          <w:p w14:paraId="502DE220" w14:textId="78721725" w:rsidR="009A2187" w:rsidRDefault="009A2187" w:rsidP="009A2187">
            <w:pPr>
              <w:rPr>
                <w:rFonts w:ascii="Arial" w:hAnsi="Arial" w:cs="Arial"/>
                <w:sz w:val="16"/>
                <w:lang w:val="es-ES_tradnl"/>
              </w:rPr>
            </w:pPr>
            <w:r>
              <w:rPr>
                <w:rFonts w:ascii="Arial" w:hAnsi="Arial" w:cs="Arial"/>
                <w:sz w:val="16"/>
                <w:lang w:val="es-ES_tradnl"/>
              </w:rPr>
              <w:t>7,64</w:t>
            </w:r>
          </w:p>
        </w:tc>
        <w:tc>
          <w:tcPr>
            <w:tcW w:w="1828" w:type="dxa"/>
            <w:tcBorders>
              <w:top w:val="single" w:sz="4" w:space="0" w:color="auto"/>
              <w:left w:val="single" w:sz="4" w:space="0" w:color="auto"/>
              <w:right w:val="single" w:sz="4" w:space="0" w:color="auto"/>
            </w:tcBorders>
            <w:vAlign w:val="center"/>
          </w:tcPr>
          <w:p w14:paraId="0B48CB15" w14:textId="7EC6B085" w:rsidR="009A2187" w:rsidRDefault="009A2187" w:rsidP="009A2187">
            <w:pPr>
              <w:rPr>
                <w:rFonts w:ascii="Arial" w:hAnsi="Arial" w:cs="Arial"/>
                <w:sz w:val="16"/>
                <w:lang w:val="en-GB"/>
              </w:rPr>
            </w:pPr>
            <w:r>
              <w:rPr>
                <w:rFonts w:ascii="Arial" w:hAnsi="Arial" w:cs="Arial"/>
                <w:sz w:val="16"/>
                <w:lang w:val="en-GB"/>
              </w:rPr>
              <w:t>10,53 AV</w:t>
            </w:r>
          </w:p>
        </w:tc>
        <w:tc>
          <w:tcPr>
            <w:tcW w:w="1134" w:type="dxa"/>
            <w:vMerge/>
            <w:tcBorders>
              <w:left w:val="single" w:sz="4" w:space="0" w:color="auto"/>
              <w:right w:val="single" w:sz="4" w:space="0" w:color="auto"/>
            </w:tcBorders>
            <w:vAlign w:val="center"/>
          </w:tcPr>
          <w:p w14:paraId="02A395DC" w14:textId="77777777" w:rsidR="009A2187" w:rsidRDefault="009A2187" w:rsidP="009A2187">
            <w:pPr>
              <w:rPr>
                <w:rFonts w:ascii="Arial" w:hAnsi="Arial" w:cs="Arial"/>
                <w:sz w:val="16"/>
                <w:lang w:val="en-GB"/>
              </w:rPr>
            </w:pPr>
          </w:p>
        </w:tc>
        <w:tc>
          <w:tcPr>
            <w:tcW w:w="1432" w:type="dxa"/>
            <w:tcBorders>
              <w:top w:val="single" w:sz="4" w:space="0" w:color="auto"/>
              <w:left w:val="single" w:sz="4" w:space="0" w:color="auto"/>
              <w:right w:val="single" w:sz="4" w:space="0" w:color="auto"/>
            </w:tcBorders>
            <w:vAlign w:val="center"/>
          </w:tcPr>
          <w:p w14:paraId="58B8D95C" w14:textId="51677135" w:rsidR="009A2187" w:rsidRDefault="00B07291" w:rsidP="009A2187">
            <w:pPr>
              <w:rPr>
                <w:rFonts w:ascii="Arial" w:hAnsi="Arial" w:cs="Arial"/>
                <w:sz w:val="16"/>
                <w:lang w:val="en-GB"/>
              </w:rPr>
            </w:pPr>
            <w:r>
              <w:rPr>
                <w:rFonts w:ascii="Arial" w:hAnsi="Arial" w:cs="Arial"/>
                <w:sz w:val="16"/>
                <w:lang w:val="en-GB"/>
              </w:rPr>
              <w:t>10.798</w:t>
            </w:r>
            <w:r w:rsidR="009A2187">
              <w:rPr>
                <w:rFonts w:ascii="Arial" w:hAnsi="Arial" w:cs="Arial"/>
                <w:sz w:val="16"/>
                <w:lang w:val="en-GB"/>
              </w:rPr>
              <w:t xml:space="preserve"> €/AV</w:t>
            </w:r>
          </w:p>
        </w:tc>
      </w:tr>
    </w:tbl>
    <w:p w14:paraId="42C40B70" w14:textId="77777777" w:rsidR="00FE2262" w:rsidRDefault="00FE2262" w:rsidP="001F6887">
      <w:pPr>
        <w:pStyle w:val="Encabezado"/>
        <w:tabs>
          <w:tab w:val="left" w:pos="708"/>
        </w:tabs>
        <w:jc w:val="both"/>
        <w:rPr>
          <w:rFonts w:ascii="Arial" w:hAnsi="Arial" w:cs="Arial"/>
        </w:rPr>
      </w:pPr>
    </w:p>
    <w:p w14:paraId="7449D57A" w14:textId="6017947E" w:rsidR="009A2187" w:rsidRPr="009A2187" w:rsidRDefault="009A2187" w:rsidP="009A2187">
      <w:pPr>
        <w:pStyle w:val="Encabezado"/>
        <w:tabs>
          <w:tab w:val="left" w:pos="708"/>
        </w:tabs>
        <w:jc w:val="both"/>
        <w:rPr>
          <w:rFonts w:ascii="Arial" w:hAnsi="Arial" w:cs="Arial"/>
          <w:color w:val="000000"/>
          <w:sz w:val="20"/>
          <w:szCs w:val="20"/>
        </w:rPr>
      </w:pPr>
      <w:r w:rsidRPr="009A2187">
        <w:rPr>
          <w:rFonts w:ascii="Arial" w:hAnsi="Arial" w:cs="Arial"/>
          <w:color w:val="000000"/>
          <w:sz w:val="20"/>
          <w:szCs w:val="20"/>
        </w:rPr>
        <w:t xml:space="preserve">Interpretación: Según los </w:t>
      </w:r>
      <w:r>
        <w:rPr>
          <w:rFonts w:ascii="Arial" w:hAnsi="Arial" w:cs="Arial"/>
          <w:color w:val="000000"/>
          <w:sz w:val="20"/>
          <w:szCs w:val="20"/>
        </w:rPr>
        <w:t xml:space="preserve">resultados de </w:t>
      </w:r>
      <w:r w:rsidR="00BB372A">
        <w:rPr>
          <w:rFonts w:ascii="Arial" w:hAnsi="Arial" w:cs="Arial"/>
          <w:color w:val="000000"/>
          <w:sz w:val="20"/>
          <w:szCs w:val="20"/>
        </w:rPr>
        <w:t xml:space="preserve">AV y AVAC </w:t>
      </w:r>
      <w:r>
        <w:rPr>
          <w:rFonts w:ascii="Arial" w:hAnsi="Arial" w:cs="Arial"/>
          <w:color w:val="000000"/>
          <w:sz w:val="20"/>
          <w:szCs w:val="20"/>
        </w:rPr>
        <w:t>del</w:t>
      </w:r>
      <w:r w:rsidRPr="009A2187">
        <w:rPr>
          <w:rFonts w:ascii="Arial" w:hAnsi="Arial" w:cs="Arial"/>
          <w:color w:val="000000"/>
          <w:sz w:val="20"/>
          <w:szCs w:val="20"/>
        </w:rPr>
        <w:t xml:space="preserve"> estudio </w:t>
      </w:r>
      <w:r>
        <w:rPr>
          <w:rFonts w:ascii="Arial" w:hAnsi="Arial" w:cs="Arial"/>
          <w:color w:val="000000"/>
          <w:sz w:val="20"/>
          <w:szCs w:val="20"/>
        </w:rPr>
        <w:t>farmacoeconómico publicado por el ICER</w:t>
      </w:r>
      <w:r w:rsidRPr="009A2187">
        <w:rPr>
          <w:rFonts w:ascii="Arial" w:hAnsi="Arial" w:cs="Arial"/>
          <w:color w:val="000000"/>
          <w:sz w:val="20"/>
          <w:szCs w:val="20"/>
        </w:rPr>
        <w:t xml:space="preserve"> y el coste del tratamiento, </w:t>
      </w:r>
      <w:r>
        <w:rPr>
          <w:rFonts w:ascii="Arial" w:hAnsi="Arial" w:cs="Arial"/>
          <w:color w:val="000000"/>
          <w:sz w:val="20"/>
          <w:szCs w:val="20"/>
        </w:rPr>
        <w:t xml:space="preserve">el coste por AVAC sería de </w:t>
      </w:r>
      <w:r w:rsidR="00B07291">
        <w:rPr>
          <w:rFonts w:ascii="Arial" w:hAnsi="Arial" w:cs="Arial"/>
          <w:color w:val="000000"/>
          <w:sz w:val="20"/>
          <w:szCs w:val="20"/>
        </w:rPr>
        <w:t>12.647</w:t>
      </w:r>
      <w:r w:rsidR="00455BD0">
        <w:rPr>
          <w:rFonts w:ascii="Arial" w:hAnsi="Arial" w:cs="Arial"/>
          <w:color w:val="000000"/>
          <w:sz w:val="20"/>
          <w:szCs w:val="20"/>
        </w:rPr>
        <w:t xml:space="preserve"> </w:t>
      </w:r>
      <w:r>
        <w:rPr>
          <w:rFonts w:ascii="Arial" w:hAnsi="Arial" w:cs="Arial"/>
          <w:color w:val="000000"/>
          <w:sz w:val="20"/>
          <w:szCs w:val="20"/>
        </w:rPr>
        <w:t xml:space="preserve">€ y el coste por AV </w:t>
      </w:r>
      <w:r w:rsidR="00B07291">
        <w:rPr>
          <w:rFonts w:ascii="Arial" w:hAnsi="Arial" w:cs="Arial"/>
          <w:color w:val="000000"/>
          <w:sz w:val="20"/>
          <w:szCs w:val="20"/>
        </w:rPr>
        <w:t>10.798</w:t>
      </w:r>
      <w:r>
        <w:rPr>
          <w:rFonts w:ascii="Arial" w:hAnsi="Arial" w:cs="Arial"/>
          <w:color w:val="000000"/>
          <w:sz w:val="20"/>
          <w:szCs w:val="20"/>
        </w:rPr>
        <w:t>€.</w:t>
      </w:r>
    </w:p>
    <w:p w14:paraId="3BE67C53" w14:textId="77777777" w:rsidR="00690F11" w:rsidRDefault="00690F11" w:rsidP="00201417">
      <w:pPr>
        <w:pStyle w:val="Encabezado"/>
        <w:tabs>
          <w:tab w:val="left" w:pos="708"/>
        </w:tabs>
        <w:jc w:val="both"/>
        <w:rPr>
          <w:rFonts w:ascii="Arial" w:hAnsi="Arial" w:cs="Arial"/>
          <w:sz w:val="20"/>
          <w:szCs w:val="20"/>
        </w:rPr>
      </w:pPr>
    </w:p>
    <w:p w14:paraId="3C37E49E" w14:textId="0072447C" w:rsidR="00201417" w:rsidRDefault="00237A4C" w:rsidP="00201417">
      <w:pPr>
        <w:pStyle w:val="Encabezado"/>
        <w:tabs>
          <w:tab w:val="left" w:pos="708"/>
        </w:tabs>
        <w:jc w:val="both"/>
        <w:rPr>
          <w:rFonts w:ascii="Arial" w:hAnsi="Arial" w:cs="Arial"/>
          <w:sz w:val="20"/>
          <w:szCs w:val="20"/>
        </w:rPr>
      </w:pPr>
      <w:r>
        <w:rPr>
          <w:rFonts w:ascii="Arial" w:hAnsi="Arial" w:cs="Arial"/>
          <w:sz w:val="20"/>
          <w:szCs w:val="20"/>
        </w:rPr>
        <w:t xml:space="preserve">Interpretación: </w:t>
      </w:r>
      <w:r w:rsidR="00201417">
        <w:rPr>
          <w:rFonts w:ascii="Arial" w:hAnsi="Arial" w:cs="Arial"/>
          <w:sz w:val="20"/>
          <w:szCs w:val="20"/>
        </w:rPr>
        <w:t xml:space="preserve">Según los datos del informe del ICER sobre los AVAC obtenidos con los tratamientos </w:t>
      </w:r>
      <w:r w:rsidR="00482C21">
        <w:rPr>
          <w:rFonts w:ascii="Arial" w:hAnsi="Arial" w:cs="Arial"/>
          <w:color w:val="000000"/>
          <w:sz w:val="20"/>
          <w:szCs w:val="20"/>
        </w:rPr>
        <w:t>onasemnogén</w:t>
      </w:r>
      <w:r w:rsidR="00201417" w:rsidRPr="00CA2390">
        <w:rPr>
          <w:rFonts w:ascii="Arial" w:hAnsi="Arial" w:cs="Arial"/>
          <w:color w:val="000000"/>
          <w:sz w:val="20"/>
          <w:szCs w:val="20"/>
        </w:rPr>
        <w:t xml:space="preserve"> abeparvocec</w:t>
      </w:r>
      <w:r w:rsidR="00201417">
        <w:rPr>
          <w:rFonts w:ascii="Arial" w:hAnsi="Arial" w:cs="Arial"/>
          <w:sz w:val="20"/>
          <w:szCs w:val="20"/>
        </w:rPr>
        <w:t xml:space="preserve"> y </w:t>
      </w:r>
      <w:r w:rsidR="00201417">
        <w:rPr>
          <w:rFonts w:ascii="Arial" w:hAnsi="Arial" w:cs="Arial"/>
          <w:color w:val="000000"/>
          <w:sz w:val="20"/>
          <w:szCs w:val="20"/>
        </w:rPr>
        <w:t xml:space="preserve">nusinersen  </w:t>
      </w:r>
      <w:r w:rsidR="00201417">
        <w:rPr>
          <w:rFonts w:ascii="Arial" w:hAnsi="Arial" w:cs="Arial"/>
          <w:sz w:val="20"/>
          <w:szCs w:val="20"/>
        </w:rPr>
        <w:t>y la diferencia de costes entre ellos, si se trata</w:t>
      </w:r>
      <w:r>
        <w:rPr>
          <w:rFonts w:ascii="Arial" w:hAnsi="Arial" w:cs="Arial"/>
          <w:sz w:val="20"/>
          <w:szCs w:val="20"/>
        </w:rPr>
        <w:t>ra</w:t>
      </w:r>
      <w:r w:rsidR="00201417">
        <w:rPr>
          <w:rFonts w:ascii="Arial" w:hAnsi="Arial" w:cs="Arial"/>
          <w:sz w:val="20"/>
          <w:szCs w:val="20"/>
        </w:rPr>
        <w:t xml:space="preserve"> a los pacientes con </w:t>
      </w:r>
      <w:r w:rsidR="00482C21">
        <w:rPr>
          <w:rFonts w:ascii="Arial" w:hAnsi="Arial" w:cs="Arial"/>
          <w:color w:val="000000"/>
          <w:sz w:val="20"/>
          <w:szCs w:val="20"/>
        </w:rPr>
        <w:t>onasemnogén</w:t>
      </w:r>
      <w:r w:rsidR="00201417" w:rsidRPr="00CA2390">
        <w:rPr>
          <w:rFonts w:ascii="Arial" w:hAnsi="Arial" w:cs="Arial"/>
          <w:color w:val="000000"/>
          <w:sz w:val="20"/>
          <w:szCs w:val="20"/>
        </w:rPr>
        <w:t xml:space="preserve"> abeparvocec</w:t>
      </w:r>
      <w:r w:rsidR="00201417">
        <w:rPr>
          <w:rFonts w:ascii="Arial" w:hAnsi="Arial" w:cs="Arial"/>
          <w:sz w:val="20"/>
          <w:szCs w:val="20"/>
        </w:rPr>
        <w:t xml:space="preserve"> en lugar de con </w:t>
      </w:r>
      <w:r w:rsidR="00201417">
        <w:rPr>
          <w:rFonts w:ascii="Arial" w:hAnsi="Arial" w:cs="Arial"/>
          <w:color w:val="000000"/>
          <w:sz w:val="20"/>
          <w:szCs w:val="20"/>
        </w:rPr>
        <w:t>nusinersen</w:t>
      </w:r>
      <w:r>
        <w:rPr>
          <w:rFonts w:ascii="Arial" w:hAnsi="Arial" w:cs="Arial"/>
          <w:color w:val="000000"/>
          <w:sz w:val="20"/>
          <w:szCs w:val="20"/>
        </w:rPr>
        <w:t>,</w:t>
      </w:r>
      <w:r w:rsidR="00201417">
        <w:rPr>
          <w:rFonts w:ascii="Arial" w:hAnsi="Arial" w:cs="Arial"/>
          <w:sz w:val="20"/>
          <w:szCs w:val="20"/>
        </w:rPr>
        <w:t xml:space="preserve"> cada AVAC adicional que gana</w:t>
      </w:r>
      <w:r>
        <w:rPr>
          <w:rFonts w:ascii="Arial" w:hAnsi="Arial" w:cs="Arial"/>
          <w:sz w:val="20"/>
          <w:szCs w:val="20"/>
        </w:rPr>
        <w:t>ran</w:t>
      </w:r>
      <w:r w:rsidR="00201417">
        <w:rPr>
          <w:rFonts w:ascii="Arial" w:hAnsi="Arial" w:cs="Arial"/>
          <w:sz w:val="20"/>
          <w:szCs w:val="20"/>
        </w:rPr>
        <w:t xml:space="preserve"> los pacientes costará </w:t>
      </w:r>
      <w:r w:rsidR="00B07291">
        <w:rPr>
          <w:rFonts w:ascii="Arial" w:hAnsi="Arial" w:cs="Arial"/>
          <w:sz w:val="20"/>
          <w:szCs w:val="20"/>
        </w:rPr>
        <w:t>12.647</w:t>
      </w:r>
      <w:r w:rsidR="00455BD0">
        <w:rPr>
          <w:rFonts w:ascii="Arial" w:hAnsi="Arial" w:cs="Arial"/>
          <w:sz w:val="20"/>
          <w:szCs w:val="20"/>
        </w:rPr>
        <w:t xml:space="preserve"> </w:t>
      </w:r>
      <w:r w:rsidR="00201417">
        <w:rPr>
          <w:rFonts w:ascii="Arial" w:hAnsi="Arial" w:cs="Arial"/>
          <w:sz w:val="20"/>
          <w:szCs w:val="20"/>
        </w:rPr>
        <w:t>€ y cada año de vida adicional</w:t>
      </w:r>
      <w:r>
        <w:rPr>
          <w:rFonts w:ascii="Arial" w:hAnsi="Arial" w:cs="Arial"/>
          <w:sz w:val="20"/>
          <w:szCs w:val="20"/>
        </w:rPr>
        <w:t xml:space="preserve"> </w:t>
      </w:r>
      <w:r w:rsidR="00201417">
        <w:rPr>
          <w:rFonts w:ascii="Arial" w:hAnsi="Arial" w:cs="Arial"/>
          <w:sz w:val="20"/>
          <w:szCs w:val="20"/>
        </w:rPr>
        <w:t xml:space="preserve">ganado </w:t>
      </w:r>
      <w:r w:rsidR="00B07291">
        <w:rPr>
          <w:rFonts w:ascii="Arial" w:hAnsi="Arial" w:cs="Arial"/>
          <w:sz w:val="20"/>
          <w:szCs w:val="20"/>
        </w:rPr>
        <w:t>10.798</w:t>
      </w:r>
      <w:r w:rsidR="00201417">
        <w:rPr>
          <w:rFonts w:ascii="Arial" w:hAnsi="Arial" w:cs="Arial"/>
          <w:sz w:val="20"/>
          <w:szCs w:val="20"/>
        </w:rPr>
        <w:t>€</w:t>
      </w:r>
      <w:r>
        <w:rPr>
          <w:rFonts w:ascii="Arial" w:hAnsi="Arial" w:cs="Arial"/>
          <w:sz w:val="20"/>
          <w:szCs w:val="20"/>
        </w:rPr>
        <w:t>.</w:t>
      </w:r>
    </w:p>
    <w:p w14:paraId="45B2EA20" w14:textId="3D09F276" w:rsidR="00652A4D" w:rsidRDefault="00652A4D" w:rsidP="00201417">
      <w:pPr>
        <w:pStyle w:val="Encabezado"/>
        <w:tabs>
          <w:tab w:val="left" w:pos="708"/>
        </w:tabs>
        <w:jc w:val="both"/>
        <w:rPr>
          <w:rFonts w:ascii="Arial" w:hAnsi="Arial" w:cs="Arial"/>
          <w:sz w:val="20"/>
          <w:szCs w:val="20"/>
        </w:rPr>
      </w:pPr>
    </w:p>
    <w:p w14:paraId="41A7722F" w14:textId="0BC3363C" w:rsidR="00652A4D" w:rsidRDefault="00652A4D" w:rsidP="00201417">
      <w:pPr>
        <w:pStyle w:val="Encabezado"/>
        <w:tabs>
          <w:tab w:val="left" w:pos="708"/>
        </w:tabs>
        <w:jc w:val="both"/>
        <w:rPr>
          <w:rFonts w:ascii="Arial" w:hAnsi="Arial" w:cs="Arial"/>
          <w:sz w:val="20"/>
          <w:szCs w:val="20"/>
        </w:rPr>
      </w:pPr>
      <w:r>
        <w:rPr>
          <w:rFonts w:ascii="Arial" w:hAnsi="Arial" w:cs="Arial"/>
          <w:sz w:val="20"/>
          <w:szCs w:val="20"/>
        </w:rPr>
        <w:t xml:space="preserve">También utilizando los datos de AV y AVAC de la evaluación realizada en el informe del ICER y utilizando el coste actual de </w:t>
      </w:r>
      <w:r w:rsidR="00482C21">
        <w:rPr>
          <w:rFonts w:ascii="Arial" w:hAnsi="Arial" w:cs="Arial"/>
          <w:color w:val="000000"/>
          <w:sz w:val="20"/>
          <w:szCs w:val="20"/>
        </w:rPr>
        <w:t>onasemnogén</w:t>
      </w:r>
      <w:r w:rsidR="00F5167C" w:rsidRPr="00CA2390">
        <w:rPr>
          <w:rFonts w:ascii="Arial" w:hAnsi="Arial" w:cs="Arial"/>
          <w:color w:val="000000"/>
          <w:sz w:val="20"/>
          <w:szCs w:val="20"/>
        </w:rPr>
        <w:t xml:space="preserve"> abeparvocec</w:t>
      </w:r>
      <w:r w:rsidR="00F5167C" w:rsidDel="00F5167C">
        <w:rPr>
          <w:rFonts w:ascii="Arial" w:hAnsi="Arial" w:cs="Arial"/>
          <w:sz w:val="20"/>
          <w:szCs w:val="20"/>
        </w:rPr>
        <w:t xml:space="preserve"> </w:t>
      </w:r>
      <w:r>
        <w:rPr>
          <w:rFonts w:ascii="Arial" w:hAnsi="Arial" w:cs="Arial"/>
          <w:sz w:val="20"/>
          <w:szCs w:val="20"/>
        </w:rPr>
        <w:t xml:space="preserve">en EEUU y sin considerar </w:t>
      </w:r>
      <w:r w:rsidR="00F5167C">
        <w:rPr>
          <w:rFonts w:ascii="Arial" w:hAnsi="Arial" w:cs="Arial"/>
          <w:sz w:val="20"/>
          <w:szCs w:val="20"/>
        </w:rPr>
        <w:t>todos los costes</w:t>
      </w:r>
      <w:r w:rsidR="00455BD0">
        <w:rPr>
          <w:rFonts w:ascii="Arial" w:hAnsi="Arial" w:cs="Arial"/>
          <w:sz w:val="20"/>
          <w:szCs w:val="20"/>
        </w:rPr>
        <w:t xml:space="preserve"> asociados</w:t>
      </w:r>
      <w:r>
        <w:rPr>
          <w:rFonts w:ascii="Arial" w:hAnsi="Arial" w:cs="Arial"/>
          <w:sz w:val="20"/>
          <w:szCs w:val="20"/>
        </w:rPr>
        <w:t xml:space="preserve">, el RCEI que resultaría de la comparación entre </w:t>
      </w:r>
      <w:r w:rsidR="00482C21">
        <w:rPr>
          <w:rFonts w:ascii="Arial" w:hAnsi="Arial" w:cs="Arial"/>
          <w:color w:val="000000"/>
          <w:sz w:val="20"/>
          <w:szCs w:val="20"/>
        </w:rPr>
        <w:t>onasemnogén</w:t>
      </w:r>
      <w:r w:rsidR="00F5167C" w:rsidRPr="00CA2390">
        <w:rPr>
          <w:rFonts w:ascii="Arial" w:hAnsi="Arial" w:cs="Arial"/>
          <w:color w:val="000000"/>
          <w:sz w:val="20"/>
          <w:szCs w:val="20"/>
        </w:rPr>
        <w:t xml:space="preserve"> abeparvocec</w:t>
      </w:r>
      <w:r w:rsidR="00F5167C">
        <w:rPr>
          <w:rFonts w:ascii="Arial" w:hAnsi="Arial" w:cs="Arial"/>
          <w:sz w:val="20"/>
          <w:szCs w:val="20"/>
        </w:rPr>
        <w:t xml:space="preserve"> </w:t>
      </w:r>
      <w:r>
        <w:rPr>
          <w:rFonts w:ascii="Arial" w:hAnsi="Arial" w:cs="Arial"/>
          <w:sz w:val="20"/>
          <w:szCs w:val="20"/>
        </w:rPr>
        <w:t>y la mejor terapia de soporte sería el que se muestra en la tabla 7.3.3.2.</w:t>
      </w:r>
    </w:p>
    <w:p w14:paraId="0B982DAF" w14:textId="5F8F8D38" w:rsidR="005E35CB" w:rsidRDefault="005E35CB" w:rsidP="005E35CB">
      <w:pPr>
        <w:pStyle w:val="Encabezado"/>
        <w:tabs>
          <w:tab w:val="left" w:pos="708"/>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8"/>
        <w:gridCol w:w="1136"/>
        <w:gridCol w:w="1119"/>
        <w:gridCol w:w="1087"/>
        <w:gridCol w:w="1761"/>
        <w:gridCol w:w="1134"/>
        <w:gridCol w:w="1432"/>
      </w:tblGrid>
      <w:tr w:rsidR="00AB00EA" w14:paraId="635B22B9" w14:textId="77777777" w:rsidTr="005C2411">
        <w:trPr>
          <w:cantSplit/>
          <w:trHeight w:val="368"/>
        </w:trPr>
        <w:tc>
          <w:tcPr>
            <w:tcW w:w="8717" w:type="dxa"/>
            <w:gridSpan w:val="7"/>
            <w:tcBorders>
              <w:top w:val="single" w:sz="4" w:space="0" w:color="auto"/>
              <w:left w:val="single" w:sz="4" w:space="0" w:color="auto"/>
              <w:bottom w:val="single" w:sz="4" w:space="0" w:color="auto"/>
              <w:right w:val="single" w:sz="4" w:space="0" w:color="auto"/>
            </w:tcBorders>
            <w:shd w:val="clear" w:color="auto" w:fill="CCFFCC"/>
            <w:hideMark/>
          </w:tcPr>
          <w:p w14:paraId="71CD12E7" w14:textId="796A228E" w:rsidR="005C2411" w:rsidRPr="005C2411" w:rsidRDefault="00AB00EA" w:rsidP="005C2411">
            <w:pPr>
              <w:rPr>
                <w:rFonts w:ascii="Arial" w:hAnsi="Arial" w:cs="Arial"/>
                <w:b/>
                <w:sz w:val="18"/>
                <w:szCs w:val="16"/>
                <w:lang w:val="es-ES_tradnl"/>
              </w:rPr>
            </w:pPr>
            <w:r>
              <w:rPr>
                <w:rFonts w:ascii="Arial" w:hAnsi="Arial" w:cs="Arial"/>
                <w:b/>
                <w:sz w:val="18"/>
                <w:szCs w:val="16"/>
                <w:lang w:val="es-ES_tradnl"/>
              </w:rPr>
              <w:t>Tabla 7.3.3.2. Análisis de coste-utilidad y coste-efectividad frente a la mejor terapia de soporte</w:t>
            </w:r>
          </w:p>
        </w:tc>
      </w:tr>
      <w:tr w:rsidR="00AB00EA" w14:paraId="0B93B762" w14:textId="77777777" w:rsidTr="005C2411">
        <w:trPr>
          <w:cantSplit/>
          <w:trHeight w:val="368"/>
        </w:trPr>
        <w:tc>
          <w:tcPr>
            <w:tcW w:w="1048" w:type="dxa"/>
            <w:tcBorders>
              <w:top w:val="single" w:sz="4" w:space="0" w:color="auto"/>
              <w:left w:val="single" w:sz="4" w:space="0" w:color="auto"/>
              <w:bottom w:val="single" w:sz="4" w:space="0" w:color="auto"/>
              <w:right w:val="single" w:sz="4" w:space="0" w:color="auto"/>
            </w:tcBorders>
            <w:shd w:val="clear" w:color="auto" w:fill="E0E0E0"/>
          </w:tcPr>
          <w:p w14:paraId="3A500852" w14:textId="77777777" w:rsidR="00AB00EA" w:rsidRPr="00FE2262" w:rsidRDefault="00AB00EA" w:rsidP="001D639A">
            <w:pPr>
              <w:rPr>
                <w:rFonts w:ascii="Arial" w:hAnsi="Arial" w:cs="Arial"/>
                <w:b/>
                <w:sz w:val="16"/>
                <w:lang w:val="es-ES_tradnl"/>
              </w:rPr>
            </w:pPr>
            <w:r w:rsidRPr="00FE2262">
              <w:rPr>
                <w:rFonts w:ascii="Arial" w:hAnsi="Arial" w:cs="Arial"/>
                <w:b/>
                <w:sz w:val="16"/>
                <w:lang w:val="es-ES_tradnl"/>
              </w:rPr>
              <w:t>Referencia</w:t>
            </w:r>
          </w:p>
        </w:tc>
        <w:tc>
          <w:tcPr>
            <w:tcW w:w="1136" w:type="dxa"/>
            <w:tcBorders>
              <w:top w:val="single" w:sz="4" w:space="0" w:color="auto"/>
              <w:left w:val="single" w:sz="4" w:space="0" w:color="auto"/>
              <w:bottom w:val="single" w:sz="4" w:space="0" w:color="auto"/>
              <w:right w:val="single" w:sz="4" w:space="0" w:color="auto"/>
            </w:tcBorders>
            <w:shd w:val="clear" w:color="auto" w:fill="E0E0E0"/>
          </w:tcPr>
          <w:p w14:paraId="2B5C07F5" w14:textId="77777777" w:rsidR="00AB00EA" w:rsidRDefault="00AB00EA" w:rsidP="001D639A">
            <w:pPr>
              <w:rPr>
                <w:rFonts w:ascii="Arial" w:hAnsi="Arial" w:cs="Arial"/>
                <w:b/>
                <w:sz w:val="16"/>
              </w:rPr>
            </w:pPr>
            <w:r>
              <w:rPr>
                <w:rFonts w:ascii="Arial" w:hAnsi="Arial" w:cs="Arial"/>
                <w:b/>
                <w:sz w:val="16"/>
              </w:rPr>
              <w:t xml:space="preserve">VARIABLE  </w:t>
            </w:r>
          </w:p>
          <w:p w14:paraId="04AA1780" w14:textId="77777777" w:rsidR="00AB00EA" w:rsidRDefault="00AB00EA" w:rsidP="001D639A">
            <w:pPr>
              <w:rPr>
                <w:rFonts w:ascii="Arial" w:hAnsi="Arial" w:cs="Arial"/>
                <w:sz w:val="16"/>
                <w:lang w:val="es-ES_tradnl"/>
              </w:rPr>
            </w:pPr>
            <w:r>
              <w:rPr>
                <w:rFonts w:ascii="Arial" w:hAnsi="Arial" w:cs="Arial"/>
                <w:b/>
                <w:sz w:val="16"/>
              </w:rPr>
              <w:t>evaluada</w:t>
            </w:r>
          </w:p>
        </w:tc>
        <w:tc>
          <w:tcPr>
            <w:tcW w:w="1119" w:type="dxa"/>
            <w:tcBorders>
              <w:top w:val="single" w:sz="4" w:space="0" w:color="auto"/>
              <w:left w:val="single" w:sz="4" w:space="0" w:color="auto"/>
              <w:bottom w:val="single" w:sz="4" w:space="0" w:color="auto"/>
              <w:right w:val="single" w:sz="4" w:space="0" w:color="auto"/>
            </w:tcBorders>
            <w:shd w:val="clear" w:color="auto" w:fill="E0E0E0"/>
            <w:hideMark/>
          </w:tcPr>
          <w:p w14:paraId="0C5446A5" w14:textId="77777777" w:rsidR="00AB00EA" w:rsidRPr="00617436" w:rsidRDefault="00AB00EA" w:rsidP="001D639A">
            <w:pPr>
              <w:rPr>
                <w:rFonts w:ascii="Arial" w:hAnsi="Arial" w:cs="Arial"/>
                <w:sz w:val="16"/>
                <w:lang w:val="es-ES_tradnl"/>
              </w:rPr>
            </w:pPr>
            <w:r w:rsidRPr="00617436">
              <w:rPr>
                <w:rFonts w:ascii="Arial" w:hAnsi="Arial" w:cs="Arial"/>
                <w:b/>
                <w:sz w:val="16"/>
              </w:rPr>
              <w:t>Eficacia de</w:t>
            </w:r>
            <w:r>
              <w:rPr>
                <w:rFonts w:ascii="Arial" w:hAnsi="Arial" w:cs="Arial"/>
                <w:b/>
                <w:sz w:val="16"/>
              </w:rPr>
              <w:t xml:space="preserve"> </w:t>
            </w:r>
            <w:r w:rsidRPr="00617436">
              <w:rPr>
                <w:rFonts w:ascii="Arial" w:hAnsi="Arial" w:cs="Arial"/>
                <w:b/>
                <w:sz w:val="16"/>
              </w:rPr>
              <w:t>Zolgensma</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1826E3D0" w14:textId="77777777" w:rsidR="00AB00EA" w:rsidRPr="00617436" w:rsidRDefault="00AB00EA" w:rsidP="001D639A">
            <w:pPr>
              <w:rPr>
                <w:rFonts w:ascii="Arial" w:hAnsi="Arial" w:cs="Arial"/>
                <w:b/>
                <w:sz w:val="16"/>
              </w:rPr>
            </w:pPr>
            <w:r w:rsidRPr="00617436">
              <w:rPr>
                <w:rFonts w:ascii="Arial" w:hAnsi="Arial" w:cs="Arial"/>
                <w:b/>
                <w:sz w:val="16"/>
              </w:rPr>
              <w:t xml:space="preserve">Eficacia de </w:t>
            </w:r>
            <w:r>
              <w:rPr>
                <w:rFonts w:ascii="Arial" w:hAnsi="Arial" w:cs="Arial"/>
                <w:b/>
                <w:sz w:val="16"/>
              </w:rPr>
              <w:t>comparador</w:t>
            </w:r>
          </w:p>
        </w:tc>
        <w:tc>
          <w:tcPr>
            <w:tcW w:w="1761" w:type="dxa"/>
            <w:tcBorders>
              <w:top w:val="single" w:sz="4" w:space="0" w:color="auto"/>
              <w:left w:val="single" w:sz="4" w:space="0" w:color="auto"/>
              <w:bottom w:val="single" w:sz="4" w:space="0" w:color="auto"/>
              <w:right w:val="single" w:sz="4" w:space="0" w:color="auto"/>
            </w:tcBorders>
            <w:shd w:val="clear" w:color="auto" w:fill="E0E0E0"/>
            <w:hideMark/>
          </w:tcPr>
          <w:p w14:paraId="26FE5B0F" w14:textId="77777777" w:rsidR="00AB00EA" w:rsidRDefault="00AB00EA" w:rsidP="001D639A">
            <w:pPr>
              <w:rPr>
                <w:rFonts w:ascii="Arial" w:hAnsi="Arial" w:cs="Arial"/>
                <w:b/>
                <w:sz w:val="16"/>
                <w:lang w:val="es-ES_tradnl"/>
              </w:rPr>
            </w:pPr>
            <w:r>
              <w:rPr>
                <w:rFonts w:ascii="Arial" w:hAnsi="Arial" w:cs="Arial"/>
                <w:b/>
                <w:sz w:val="16"/>
                <w:lang w:val="es-ES_tradnl"/>
              </w:rPr>
              <w:t>Diferencia de eficacia</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06F826A5" w14:textId="77777777" w:rsidR="00AB00EA" w:rsidRDefault="00AB00EA" w:rsidP="001D639A">
            <w:pPr>
              <w:rPr>
                <w:rFonts w:ascii="Arial" w:hAnsi="Arial" w:cs="Arial"/>
                <w:b/>
                <w:sz w:val="16"/>
              </w:rPr>
            </w:pPr>
            <w:r>
              <w:rPr>
                <w:rFonts w:ascii="Arial" w:hAnsi="Arial" w:cs="Arial"/>
                <w:b/>
                <w:sz w:val="16"/>
              </w:rPr>
              <w:t>Coste incremental</w:t>
            </w:r>
          </w:p>
        </w:tc>
        <w:tc>
          <w:tcPr>
            <w:tcW w:w="1432" w:type="dxa"/>
            <w:tcBorders>
              <w:top w:val="single" w:sz="4" w:space="0" w:color="auto"/>
              <w:left w:val="single" w:sz="4" w:space="0" w:color="auto"/>
              <w:bottom w:val="single" w:sz="4" w:space="0" w:color="auto"/>
              <w:right w:val="single" w:sz="4" w:space="0" w:color="auto"/>
            </w:tcBorders>
            <w:shd w:val="clear" w:color="auto" w:fill="E0E0E0"/>
            <w:hideMark/>
          </w:tcPr>
          <w:p w14:paraId="78EF3366" w14:textId="77777777" w:rsidR="00AB00EA" w:rsidRDefault="00AB00EA" w:rsidP="001D639A">
            <w:pPr>
              <w:rPr>
                <w:rFonts w:ascii="Arial" w:hAnsi="Arial" w:cs="Arial"/>
                <w:b/>
                <w:sz w:val="16"/>
                <w:lang w:val="es-ES_tradnl"/>
              </w:rPr>
            </w:pPr>
            <w:r>
              <w:rPr>
                <w:rFonts w:ascii="Arial" w:hAnsi="Arial" w:cs="Arial"/>
                <w:b/>
                <w:sz w:val="16"/>
                <w:lang w:val="es-ES_tradnl"/>
              </w:rPr>
              <w:t>RCEI</w:t>
            </w:r>
          </w:p>
        </w:tc>
      </w:tr>
      <w:tr w:rsidR="00AB00EA" w14:paraId="054015FB" w14:textId="77777777" w:rsidTr="005C2411">
        <w:trPr>
          <w:cantSplit/>
          <w:trHeight w:val="368"/>
        </w:trPr>
        <w:tc>
          <w:tcPr>
            <w:tcW w:w="1048" w:type="dxa"/>
            <w:vMerge w:val="restart"/>
            <w:tcBorders>
              <w:top w:val="single" w:sz="4" w:space="0" w:color="auto"/>
              <w:left w:val="single" w:sz="4" w:space="0" w:color="auto"/>
              <w:right w:val="single" w:sz="4" w:space="0" w:color="auto"/>
            </w:tcBorders>
            <w:vAlign w:val="center"/>
          </w:tcPr>
          <w:p w14:paraId="3CEEF0A9" w14:textId="77777777" w:rsidR="00AB00EA" w:rsidRDefault="00AB00EA" w:rsidP="001D639A">
            <w:pPr>
              <w:rPr>
                <w:rFonts w:ascii="Arial" w:hAnsi="Arial" w:cs="Arial"/>
                <w:sz w:val="16"/>
                <w:lang w:val="es-ES_tradnl"/>
              </w:rPr>
            </w:pPr>
            <w:r>
              <w:rPr>
                <w:rFonts w:ascii="Arial" w:hAnsi="Arial" w:cs="Arial"/>
                <w:sz w:val="16"/>
                <w:lang w:val="es-ES_tradnl"/>
              </w:rPr>
              <w:t>ICER</w:t>
            </w:r>
          </w:p>
        </w:tc>
        <w:tc>
          <w:tcPr>
            <w:tcW w:w="1136" w:type="dxa"/>
            <w:tcBorders>
              <w:top w:val="single" w:sz="4" w:space="0" w:color="auto"/>
              <w:left w:val="single" w:sz="4" w:space="0" w:color="auto"/>
              <w:bottom w:val="single" w:sz="4" w:space="0" w:color="auto"/>
              <w:right w:val="single" w:sz="4" w:space="0" w:color="auto"/>
            </w:tcBorders>
            <w:vAlign w:val="center"/>
          </w:tcPr>
          <w:p w14:paraId="359356DE" w14:textId="77777777" w:rsidR="00AB00EA" w:rsidRDefault="00AB00EA" w:rsidP="001D639A">
            <w:pPr>
              <w:rPr>
                <w:rFonts w:ascii="Arial" w:hAnsi="Arial" w:cs="Arial"/>
                <w:sz w:val="16"/>
                <w:lang w:val="es-ES_tradnl"/>
              </w:rPr>
            </w:pPr>
            <w:r>
              <w:rPr>
                <w:rFonts w:ascii="Arial" w:hAnsi="Arial" w:cs="Arial"/>
                <w:sz w:val="16"/>
                <w:lang w:val="es-ES_tradnl"/>
              </w:rPr>
              <w:t>AVAC</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0784375" w14:textId="77777777" w:rsidR="00AB00EA" w:rsidRDefault="00AB00EA" w:rsidP="001D639A">
            <w:pPr>
              <w:rPr>
                <w:rFonts w:ascii="Arial" w:hAnsi="Arial" w:cs="Arial"/>
                <w:sz w:val="16"/>
                <w:lang w:val="es-ES_tradnl"/>
              </w:rPr>
            </w:pPr>
            <w:r>
              <w:rPr>
                <w:rFonts w:ascii="Arial" w:hAnsi="Arial" w:cs="Arial"/>
                <w:sz w:val="16"/>
                <w:lang w:val="es-ES_tradnl"/>
              </w:rPr>
              <w:t>12,23</w:t>
            </w:r>
          </w:p>
        </w:tc>
        <w:tc>
          <w:tcPr>
            <w:tcW w:w="1087" w:type="dxa"/>
            <w:tcBorders>
              <w:top w:val="single" w:sz="4" w:space="0" w:color="auto"/>
              <w:left w:val="single" w:sz="4" w:space="0" w:color="auto"/>
              <w:bottom w:val="single" w:sz="4" w:space="0" w:color="auto"/>
              <w:right w:val="single" w:sz="4" w:space="0" w:color="auto"/>
            </w:tcBorders>
            <w:vAlign w:val="center"/>
            <w:hideMark/>
          </w:tcPr>
          <w:p w14:paraId="50C0E447" w14:textId="77777777" w:rsidR="00AB00EA" w:rsidRDefault="00AB00EA" w:rsidP="001D639A">
            <w:pPr>
              <w:rPr>
                <w:rFonts w:ascii="Arial" w:hAnsi="Arial" w:cs="Arial"/>
                <w:sz w:val="16"/>
                <w:lang w:val="es-ES_tradnl"/>
              </w:rPr>
            </w:pPr>
            <w:r>
              <w:rPr>
                <w:rFonts w:ascii="Arial" w:hAnsi="Arial" w:cs="Arial"/>
                <w:sz w:val="16"/>
                <w:lang w:val="es-ES_tradnl"/>
              </w:rPr>
              <w:t>0,46</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3024C8A" w14:textId="77777777" w:rsidR="00AB00EA" w:rsidRDefault="00AB00EA" w:rsidP="001D639A">
            <w:pPr>
              <w:rPr>
                <w:rFonts w:ascii="Arial" w:hAnsi="Arial" w:cs="Arial"/>
                <w:sz w:val="16"/>
                <w:lang w:val="en-GB"/>
              </w:rPr>
            </w:pPr>
            <w:r>
              <w:rPr>
                <w:rFonts w:ascii="Arial" w:hAnsi="Arial" w:cs="Arial"/>
                <w:sz w:val="16"/>
                <w:lang w:val="en-GB"/>
              </w:rPr>
              <w:t>11,77 AVAC</w:t>
            </w:r>
          </w:p>
        </w:tc>
        <w:tc>
          <w:tcPr>
            <w:tcW w:w="1134" w:type="dxa"/>
            <w:vMerge w:val="restart"/>
            <w:tcBorders>
              <w:top w:val="single" w:sz="4" w:space="0" w:color="auto"/>
              <w:left w:val="single" w:sz="4" w:space="0" w:color="auto"/>
              <w:right w:val="single" w:sz="4" w:space="0" w:color="auto"/>
            </w:tcBorders>
            <w:vAlign w:val="center"/>
            <w:hideMark/>
          </w:tcPr>
          <w:p w14:paraId="5A3F0E51" w14:textId="77777777" w:rsidR="00AB00EA" w:rsidRPr="00AB00EA" w:rsidRDefault="00AB00EA" w:rsidP="001D639A">
            <w:pPr>
              <w:rPr>
                <w:rFonts w:ascii="Arial" w:hAnsi="Arial" w:cs="Arial"/>
                <w:sz w:val="16"/>
              </w:rPr>
            </w:pPr>
            <w:r w:rsidRPr="00AB00EA">
              <w:rPr>
                <w:rFonts w:ascii="Arial" w:hAnsi="Arial" w:cs="Arial"/>
                <w:sz w:val="16"/>
              </w:rPr>
              <w:t>1.</w:t>
            </w:r>
            <w:r>
              <w:rPr>
                <w:rFonts w:ascii="Arial" w:hAnsi="Arial" w:cs="Arial"/>
                <w:sz w:val="16"/>
              </w:rPr>
              <w:t>785.000</w:t>
            </w:r>
            <w:r w:rsidRPr="00AB00EA">
              <w:rPr>
                <w:rFonts w:ascii="Arial" w:hAnsi="Arial" w:cs="Arial"/>
                <w:sz w:val="16"/>
              </w:rPr>
              <w:t xml:space="preserve"> €</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0151E81" w14:textId="77777777" w:rsidR="00AB00EA" w:rsidRPr="00AB00EA" w:rsidRDefault="00AB00EA" w:rsidP="001D639A">
            <w:pPr>
              <w:rPr>
                <w:rFonts w:ascii="Arial" w:hAnsi="Arial" w:cs="Arial"/>
                <w:sz w:val="16"/>
              </w:rPr>
            </w:pPr>
            <w:r>
              <w:rPr>
                <w:rFonts w:ascii="Arial" w:hAnsi="Arial" w:cs="Arial"/>
                <w:sz w:val="16"/>
              </w:rPr>
              <w:t>151.656</w:t>
            </w:r>
            <w:r w:rsidRPr="00AB00EA">
              <w:rPr>
                <w:rFonts w:ascii="Arial" w:hAnsi="Arial" w:cs="Arial"/>
                <w:sz w:val="16"/>
              </w:rPr>
              <w:t xml:space="preserve"> €/AVAC</w:t>
            </w:r>
          </w:p>
        </w:tc>
      </w:tr>
      <w:tr w:rsidR="00AB00EA" w14:paraId="57D55614" w14:textId="77777777" w:rsidTr="005C2411">
        <w:trPr>
          <w:cantSplit/>
          <w:trHeight w:val="368"/>
        </w:trPr>
        <w:tc>
          <w:tcPr>
            <w:tcW w:w="1048" w:type="dxa"/>
            <w:vMerge/>
            <w:tcBorders>
              <w:left w:val="single" w:sz="4" w:space="0" w:color="auto"/>
              <w:bottom w:val="single" w:sz="4" w:space="0" w:color="auto"/>
              <w:right w:val="single" w:sz="4" w:space="0" w:color="auto"/>
            </w:tcBorders>
            <w:vAlign w:val="center"/>
          </w:tcPr>
          <w:p w14:paraId="0697ECDE" w14:textId="77777777" w:rsidR="00AB00EA" w:rsidRDefault="00AB00EA" w:rsidP="001D639A">
            <w:pPr>
              <w:jc w:val="center"/>
              <w:rPr>
                <w:rFonts w:ascii="Arial" w:hAnsi="Arial" w:cs="Arial"/>
                <w:sz w:val="16"/>
                <w:lang w:val="es-ES_tradnl"/>
              </w:rPr>
            </w:pPr>
          </w:p>
        </w:tc>
        <w:tc>
          <w:tcPr>
            <w:tcW w:w="1136" w:type="dxa"/>
            <w:tcBorders>
              <w:top w:val="single" w:sz="4" w:space="0" w:color="auto"/>
              <w:left w:val="single" w:sz="4" w:space="0" w:color="auto"/>
              <w:bottom w:val="single" w:sz="4" w:space="0" w:color="auto"/>
              <w:right w:val="single" w:sz="4" w:space="0" w:color="auto"/>
            </w:tcBorders>
            <w:vAlign w:val="center"/>
          </w:tcPr>
          <w:p w14:paraId="0D66BA59" w14:textId="77777777" w:rsidR="00AB00EA" w:rsidRDefault="00AB00EA" w:rsidP="001D639A">
            <w:pPr>
              <w:rPr>
                <w:rFonts w:ascii="Arial" w:hAnsi="Arial" w:cs="Arial"/>
                <w:sz w:val="16"/>
                <w:lang w:val="es-ES_tradnl"/>
              </w:rPr>
            </w:pPr>
            <w:r>
              <w:rPr>
                <w:rFonts w:ascii="Arial" w:hAnsi="Arial" w:cs="Arial"/>
                <w:sz w:val="16"/>
                <w:lang w:val="es-ES_tradnl"/>
              </w:rPr>
              <w:t>AV</w:t>
            </w:r>
          </w:p>
        </w:tc>
        <w:tc>
          <w:tcPr>
            <w:tcW w:w="1119" w:type="dxa"/>
            <w:tcBorders>
              <w:top w:val="single" w:sz="4" w:space="0" w:color="auto"/>
              <w:left w:val="single" w:sz="4" w:space="0" w:color="auto"/>
              <w:bottom w:val="single" w:sz="4" w:space="0" w:color="auto"/>
              <w:right w:val="single" w:sz="4" w:space="0" w:color="auto"/>
            </w:tcBorders>
            <w:vAlign w:val="center"/>
          </w:tcPr>
          <w:p w14:paraId="39079690" w14:textId="77777777" w:rsidR="00AB00EA" w:rsidRDefault="00AB00EA" w:rsidP="001D639A">
            <w:pPr>
              <w:rPr>
                <w:rFonts w:ascii="Arial" w:hAnsi="Arial" w:cs="Arial"/>
                <w:sz w:val="16"/>
                <w:lang w:val="es-ES_tradnl"/>
              </w:rPr>
            </w:pPr>
            <w:r>
              <w:rPr>
                <w:rFonts w:ascii="Arial" w:hAnsi="Arial" w:cs="Arial"/>
                <w:sz w:val="16"/>
                <w:lang w:val="es-ES_tradnl"/>
              </w:rPr>
              <w:t>18,17</w:t>
            </w:r>
          </w:p>
        </w:tc>
        <w:tc>
          <w:tcPr>
            <w:tcW w:w="1087" w:type="dxa"/>
            <w:tcBorders>
              <w:top w:val="single" w:sz="4" w:space="0" w:color="auto"/>
              <w:left w:val="single" w:sz="4" w:space="0" w:color="auto"/>
              <w:bottom w:val="single" w:sz="4" w:space="0" w:color="auto"/>
              <w:right w:val="single" w:sz="4" w:space="0" w:color="auto"/>
            </w:tcBorders>
            <w:vAlign w:val="center"/>
          </w:tcPr>
          <w:p w14:paraId="7327EEEC" w14:textId="77777777" w:rsidR="00AB00EA" w:rsidRDefault="00AB00EA" w:rsidP="001D639A">
            <w:pPr>
              <w:rPr>
                <w:rFonts w:ascii="Arial" w:hAnsi="Arial" w:cs="Arial"/>
                <w:sz w:val="16"/>
                <w:lang w:val="es-ES_tradnl"/>
              </w:rPr>
            </w:pPr>
            <w:r>
              <w:rPr>
                <w:rFonts w:ascii="Arial" w:hAnsi="Arial" w:cs="Arial"/>
                <w:sz w:val="16"/>
                <w:lang w:val="es-ES_tradnl"/>
              </w:rPr>
              <w:t>2,4</w:t>
            </w:r>
          </w:p>
        </w:tc>
        <w:tc>
          <w:tcPr>
            <w:tcW w:w="1761" w:type="dxa"/>
            <w:tcBorders>
              <w:top w:val="single" w:sz="4" w:space="0" w:color="auto"/>
              <w:left w:val="single" w:sz="4" w:space="0" w:color="auto"/>
              <w:bottom w:val="single" w:sz="4" w:space="0" w:color="auto"/>
              <w:right w:val="single" w:sz="4" w:space="0" w:color="auto"/>
            </w:tcBorders>
            <w:vAlign w:val="center"/>
          </w:tcPr>
          <w:p w14:paraId="5E05C10E" w14:textId="77777777" w:rsidR="00AB00EA" w:rsidRPr="00AB00EA" w:rsidRDefault="00AB00EA" w:rsidP="001D639A">
            <w:pPr>
              <w:rPr>
                <w:rFonts w:ascii="Arial" w:hAnsi="Arial" w:cs="Arial"/>
                <w:sz w:val="16"/>
              </w:rPr>
            </w:pPr>
            <w:r w:rsidRPr="00AB00EA">
              <w:rPr>
                <w:rFonts w:ascii="Arial" w:hAnsi="Arial" w:cs="Arial"/>
                <w:sz w:val="16"/>
              </w:rPr>
              <w:t>15,77 AV</w:t>
            </w:r>
          </w:p>
        </w:tc>
        <w:tc>
          <w:tcPr>
            <w:tcW w:w="1134" w:type="dxa"/>
            <w:vMerge/>
            <w:tcBorders>
              <w:left w:val="single" w:sz="4" w:space="0" w:color="auto"/>
              <w:bottom w:val="single" w:sz="4" w:space="0" w:color="auto"/>
              <w:right w:val="single" w:sz="4" w:space="0" w:color="auto"/>
            </w:tcBorders>
            <w:vAlign w:val="center"/>
          </w:tcPr>
          <w:p w14:paraId="1DCC1087" w14:textId="77777777" w:rsidR="00AB00EA" w:rsidRPr="00AB00EA" w:rsidRDefault="00AB00EA" w:rsidP="001D639A">
            <w:pPr>
              <w:rPr>
                <w:rFonts w:ascii="Arial" w:hAnsi="Arial" w:cs="Arial"/>
                <w:sz w:val="16"/>
              </w:rPr>
            </w:pPr>
          </w:p>
        </w:tc>
        <w:tc>
          <w:tcPr>
            <w:tcW w:w="1432" w:type="dxa"/>
            <w:tcBorders>
              <w:top w:val="single" w:sz="4" w:space="0" w:color="auto"/>
              <w:left w:val="single" w:sz="4" w:space="0" w:color="auto"/>
              <w:bottom w:val="single" w:sz="4" w:space="0" w:color="auto"/>
              <w:right w:val="single" w:sz="4" w:space="0" w:color="auto"/>
            </w:tcBorders>
            <w:vAlign w:val="center"/>
          </w:tcPr>
          <w:p w14:paraId="38A2C7BC" w14:textId="77777777" w:rsidR="00AB00EA" w:rsidRPr="00AB00EA" w:rsidRDefault="00AB00EA" w:rsidP="001D639A">
            <w:pPr>
              <w:rPr>
                <w:rFonts w:ascii="Arial" w:hAnsi="Arial" w:cs="Arial"/>
                <w:sz w:val="16"/>
              </w:rPr>
            </w:pPr>
            <w:r w:rsidRPr="00AB00EA">
              <w:rPr>
                <w:rFonts w:ascii="Arial" w:hAnsi="Arial" w:cs="Arial"/>
                <w:sz w:val="16"/>
              </w:rPr>
              <w:t>1</w:t>
            </w:r>
            <w:r>
              <w:rPr>
                <w:rFonts w:ascii="Arial" w:hAnsi="Arial" w:cs="Arial"/>
                <w:sz w:val="16"/>
              </w:rPr>
              <w:t>13</w:t>
            </w:r>
            <w:r w:rsidRPr="00AB00EA">
              <w:rPr>
                <w:rFonts w:ascii="Arial" w:hAnsi="Arial" w:cs="Arial"/>
                <w:sz w:val="16"/>
              </w:rPr>
              <w:t>.</w:t>
            </w:r>
            <w:r>
              <w:rPr>
                <w:rFonts w:ascii="Arial" w:hAnsi="Arial" w:cs="Arial"/>
                <w:sz w:val="16"/>
              </w:rPr>
              <w:t>189</w:t>
            </w:r>
            <w:r w:rsidRPr="00AB00EA">
              <w:rPr>
                <w:rFonts w:ascii="Arial" w:hAnsi="Arial" w:cs="Arial"/>
                <w:sz w:val="16"/>
              </w:rPr>
              <w:t xml:space="preserve"> €/AV</w:t>
            </w:r>
          </w:p>
        </w:tc>
      </w:tr>
    </w:tbl>
    <w:p w14:paraId="3139D38C" w14:textId="77777777" w:rsidR="00455BD0" w:rsidRDefault="00455BD0" w:rsidP="005E35CB">
      <w:pPr>
        <w:pStyle w:val="Encabezado"/>
        <w:tabs>
          <w:tab w:val="left" w:pos="708"/>
        </w:tabs>
        <w:jc w:val="both"/>
        <w:rPr>
          <w:rFonts w:ascii="Arial" w:hAnsi="Arial" w:cs="Arial"/>
        </w:rPr>
      </w:pPr>
    </w:p>
    <w:p w14:paraId="182342C2" w14:textId="77777777" w:rsidR="005C2411" w:rsidRDefault="005C2411" w:rsidP="005E35CB">
      <w:pPr>
        <w:pStyle w:val="Encabezado"/>
        <w:tabs>
          <w:tab w:val="left" w:pos="708"/>
        </w:tabs>
        <w:jc w:val="both"/>
        <w:rPr>
          <w:rFonts w:ascii="Arial" w:hAnsi="Arial" w:cs="Arial"/>
        </w:rPr>
      </w:pPr>
    </w:p>
    <w:p w14:paraId="3A0FF92E" w14:textId="109BCF62" w:rsidR="0060785D" w:rsidRPr="007C62DA" w:rsidRDefault="0060785D"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r w:rsidRPr="007C62DA">
        <w:rPr>
          <w:rFonts w:ascii="Arial" w:hAnsi="Arial" w:cs="Arial"/>
          <w:sz w:val="20"/>
          <w:szCs w:val="20"/>
        </w:rPr>
        <w:t>7.3.4. Análisis de sensibilidad</w:t>
      </w:r>
    </w:p>
    <w:p w14:paraId="153527A6" w14:textId="77777777" w:rsidR="007C62DA" w:rsidRDefault="007C62DA" w:rsidP="001F6887">
      <w:pPr>
        <w:jc w:val="both"/>
        <w:rPr>
          <w:rFonts w:ascii="Arial" w:hAnsi="Arial" w:cs="Arial"/>
          <w:color w:val="000000"/>
          <w:sz w:val="20"/>
          <w:szCs w:val="20"/>
        </w:rPr>
      </w:pPr>
    </w:p>
    <w:p w14:paraId="486E2848" w14:textId="469ABDED" w:rsidR="00C15735" w:rsidRDefault="0060785D" w:rsidP="001F6887">
      <w:pPr>
        <w:jc w:val="both"/>
        <w:rPr>
          <w:rFonts w:ascii="Arial" w:hAnsi="Arial" w:cs="Arial"/>
          <w:color w:val="000000"/>
          <w:sz w:val="20"/>
          <w:szCs w:val="20"/>
        </w:rPr>
      </w:pPr>
      <w:r w:rsidRPr="007C62DA">
        <w:rPr>
          <w:rFonts w:ascii="Arial" w:hAnsi="Arial" w:cs="Arial"/>
          <w:color w:val="000000"/>
          <w:sz w:val="20"/>
          <w:szCs w:val="20"/>
        </w:rPr>
        <w:lastRenderedPageBreak/>
        <w:t xml:space="preserve">Uno de los principales puntos de incertidumbre en </w:t>
      </w:r>
      <w:r w:rsidR="00C15735" w:rsidRPr="007C62DA">
        <w:rPr>
          <w:rFonts w:ascii="Arial" w:hAnsi="Arial" w:cs="Arial"/>
          <w:color w:val="000000"/>
          <w:sz w:val="20"/>
          <w:szCs w:val="20"/>
        </w:rPr>
        <w:t xml:space="preserve">el análisis económico de este fármaco es el </w:t>
      </w:r>
      <w:r w:rsidR="00C15735" w:rsidRPr="007A2E00">
        <w:rPr>
          <w:rFonts w:ascii="Arial" w:hAnsi="Arial" w:cs="Arial"/>
          <w:b/>
          <w:color w:val="000000"/>
          <w:sz w:val="20"/>
          <w:szCs w:val="20"/>
        </w:rPr>
        <w:t>horizonte temporal</w:t>
      </w:r>
      <w:r w:rsidR="00C15735" w:rsidRPr="007C62DA">
        <w:rPr>
          <w:rFonts w:ascii="Arial" w:hAnsi="Arial" w:cs="Arial"/>
          <w:color w:val="000000"/>
          <w:sz w:val="20"/>
          <w:szCs w:val="20"/>
        </w:rPr>
        <w:t xml:space="preserve"> de su uso. Debido al escaso tiempo de seguimiento de los ensayos clínicos, se desconoce si la dosis única será permanente para toda la vida del paciente o</w:t>
      </w:r>
      <w:r w:rsidR="00DB27DA" w:rsidRPr="007C62DA">
        <w:rPr>
          <w:rFonts w:ascii="Arial" w:hAnsi="Arial" w:cs="Arial"/>
          <w:color w:val="000000"/>
          <w:sz w:val="20"/>
          <w:szCs w:val="20"/>
        </w:rPr>
        <w:t xml:space="preserve"> si,</w:t>
      </w:r>
      <w:r w:rsidR="00C15735" w:rsidRPr="007C62DA">
        <w:rPr>
          <w:rFonts w:ascii="Arial" w:hAnsi="Arial" w:cs="Arial"/>
          <w:color w:val="000000"/>
          <w:sz w:val="20"/>
          <w:szCs w:val="20"/>
        </w:rPr>
        <w:t xml:space="preserve"> por el contrario, aquellos pacientes tratados con </w:t>
      </w:r>
      <w:r w:rsidR="00482C21">
        <w:rPr>
          <w:rFonts w:ascii="Arial" w:hAnsi="Arial" w:cs="Arial"/>
          <w:color w:val="000000"/>
          <w:sz w:val="20"/>
          <w:szCs w:val="20"/>
        </w:rPr>
        <w:t>onasemnogén</w:t>
      </w:r>
      <w:r w:rsidR="00A142E2" w:rsidRPr="00CA2390">
        <w:rPr>
          <w:rFonts w:ascii="Arial" w:hAnsi="Arial" w:cs="Arial"/>
          <w:color w:val="000000"/>
          <w:sz w:val="20"/>
          <w:szCs w:val="20"/>
        </w:rPr>
        <w:t xml:space="preserve"> abeparvocec</w:t>
      </w:r>
      <w:r w:rsidR="00C15735" w:rsidRPr="007C62DA">
        <w:rPr>
          <w:rFonts w:ascii="Arial" w:hAnsi="Arial" w:cs="Arial"/>
          <w:color w:val="000000"/>
          <w:sz w:val="20"/>
          <w:szCs w:val="20"/>
        </w:rPr>
        <w:t xml:space="preserve"> necesitarán </w:t>
      </w:r>
      <w:r w:rsidR="00C15735" w:rsidRPr="007A2E00">
        <w:rPr>
          <w:rFonts w:ascii="Arial" w:hAnsi="Arial" w:cs="Arial"/>
          <w:b/>
          <w:color w:val="000000"/>
          <w:sz w:val="20"/>
          <w:szCs w:val="20"/>
        </w:rPr>
        <w:t>rescate</w:t>
      </w:r>
      <w:r w:rsidR="00C15735" w:rsidRPr="007C62DA">
        <w:rPr>
          <w:rFonts w:ascii="Arial" w:hAnsi="Arial" w:cs="Arial"/>
          <w:color w:val="000000"/>
          <w:sz w:val="20"/>
          <w:szCs w:val="20"/>
        </w:rPr>
        <w:t xml:space="preserve"> con </w:t>
      </w:r>
      <w:r w:rsidR="00A142E2">
        <w:rPr>
          <w:rFonts w:ascii="Arial" w:hAnsi="Arial" w:cs="Arial"/>
          <w:color w:val="000000"/>
          <w:sz w:val="20"/>
          <w:szCs w:val="20"/>
        </w:rPr>
        <w:t>nusinersen</w:t>
      </w:r>
      <w:r w:rsidR="00A142E2" w:rsidRPr="007C62DA">
        <w:rPr>
          <w:rFonts w:ascii="Arial" w:hAnsi="Arial" w:cs="Arial"/>
          <w:color w:val="000000"/>
          <w:sz w:val="20"/>
          <w:szCs w:val="20"/>
        </w:rPr>
        <w:t xml:space="preserve"> </w:t>
      </w:r>
      <w:r w:rsidR="00C15735" w:rsidRPr="007C62DA">
        <w:rPr>
          <w:rFonts w:ascii="Arial" w:hAnsi="Arial" w:cs="Arial"/>
          <w:color w:val="000000"/>
          <w:sz w:val="20"/>
          <w:szCs w:val="20"/>
        </w:rPr>
        <w:t>pasado un determinado tiempo.</w:t>
      </w:r>
      <w:r w:rsidR="00BB372A">
        <w:rPr>
          <w:rFonts w:ascii="Arial" w:hAnsi="Arial" w:cs="Arial"/>
          <w:color w:val="000000"/>
          <w:sz w:val="20"/>
          <w:szCs w:val="20"/>
        </w:rPr>
        <w:t xml:space="preserve"> </w:t>
      </w:r>
      <w:r w:rsidR="00652A4D">
        <w:rPr>
          <w:rFonts w:ascii="Arial" w:hAnsi="Arial" w:cs="Arial"/>
          <w:color w:val="000000"/>
          <w:sz w:val="20"/>
          <w:szCs w:val="20"/>
        </w:rPr>
        <w:t>Por otro lado, d</w:t>
      </w:r>
      <w:r w:rsidR="00BB372A">
        <w:rPr>
          <w:rFonts w:ascii="Arial" w:hAnsi="Arial" w:cs="Arial"/>
          <w:color w:val="000000"/>
          <w:sz w:val="20"/>
          <w:szCs w:val="20"/>
        </w:rPr>
        <w:t xml:space="preserve">ebido a la corta duración de los ensayos, también existe una gran incertidumbre en cuanto a los </w:t>
      </w:r>
      <w:r w:rsidR="00BB372A" w:rsidRPr="007A2E00">
        <w:rPr>
          <w:rFonts w:ascii="Arial" w:hAnsi="Arial" w:cs="Arial"/>
          <w:b/>
          <w:color w:val="000000"/>
          <w:sz w:val="20"/>
          <w:szCs w:val="20"/>
        </w:rPr>
        <w:t>efectos a largo plazo</w:t>
      </w:r>
      <w:r w:rsidR="00652A4D">
        <w:rPr>
          <w:rFonts w:ascii="Arial" w:hAnsi="Arial" w:cs="Arial"/>
          <w:color w:val="000000"/>
          <w:sz w:val="20"/>
          <w:szCs w:val="20"/>
        </w:rPr>
        <w:t xml:space="preserve"> y</w:t>
      </w:r>
      <w:r w:rsidR="000B3B05">
        <w:rPr>
          <w:rFonts w:ascii="Arial" w:hAnsi="Arial" w:cs="Arial"/>
          <w:color w:val="000000"/>
          <w:sz w:val="20"/>
          <w:szCs w:val="20"/>
        </w:rPr>
        <w:t>,</w:t>
      </w:r>
      <w:r w:rsidR="00652A4D">
        <w:rPr>
          <w:rFonts w:ascii="Arial" w:hAnsi="Arial" w:cs="Arial"/>
          <w:color w:val="000000"/>
          <w:sz w:val="20"/>
          <w:szCs w:val="20"/>
        </w:rPr>
        <w:t xml:space="preserve"> además</w:t>
      </w:r>
      <w:r w:rsidR="000B3B05">
        <w:rPr>
          <w:rFonts w:ascii="Arial" w:hAnsi="Arial" w:cs="Arial"/>
          <w:color w:val="000000"/>
          <w:sz w:val="20"/>
          <w:szCs w:val="20"/>
        </w:rPr>
        <w:t>,</w:t>
      </w:r>
      <w:r w:rsidR="00652A4D">
        <w:rPr>
          <w:rFonts w:ascii="Arial" w:hAnsi="Arial" w:cs="Arial"/>
          <w:color w:val="000000"/>
          <w:sz w:val="20"/>
          <w:szCs w:val="20"/>
        </w:rPr>
        <w:t xml:space="preserve"> al ser ensayos no comparativos</w:t>
      </w:r>
      <w:r w:rsidR="000B3B05">
        <w:rPr>
          <w:rFonts w:ascii="Arial" w:hAnsi="Arial" w:cs="Arial"/>
          <w:color w:val="000000"/>
          <w:sz w:val="20"/>
          <w:szCs w:val="20"/>
        </w:rPr>
        <w:t>,</w:t>
      </w:r>
      <w:r w:rsidR="00652A4D">
        <w:rPr>
          <w:rFonts w:ascii="Arial" w:hAnsi="Arial" w:cs="Arial"/>
          <w:color w:val="000000"/>
          <w:sz w:val="20"/>
          <w:szCs w:val="20"/>
        </w:rPr>
        <w:t xml:space="preserve"> </w:t>
      </w:r>
      <w:r w:rsidR="000B3B05">
        <w:rPr>
          <w:rFonts w:ascii="Arial" w:hAnsi="Arial" w:cs="Arial"/>
          <w:color w:val="000000"/>
          <w:sz w:val="20"/>
          <w:szCs w:val="20"/>
        </w:rPr>
        <w:t>se</w:t>
      </w:r>
      <w:r w:rsidR="00652A4D">
        <w:rPr>
          <w:rFonts w:ascii="Arial" w:hAnsi="Arial" w:cs="Arial"/>
          <w:color w:val="000000"/>
          <w:sz w:val="20"/>
          <w:szCs w:val="20"/>
        </w:rPr>
        <w:t xml:space="preserve"> añade aún más incertidumbre a las estimaciones de AV y AVAC ganados con el tratamiento.</w:t>
      </w:r>
    </w:p>
    <w:p w14:paraId="464112A5" w14:textId="77777777" w:rsidR="00D37336" w:rsidRDefault="00D37336" w:rsidP="001F6887">
      <w:pPr>
        <w:jc w:val="both"/>
        <w:rPr>
          <w:rFonts w:ascii="Arial" w:hAnsi="Arial" w:cs="Arial"/>
          <w:color w:val="000000"/>
          <w:sz w:val="20"/>
          <w:szCs w:val="20"/>
        </w:rPr>
      </w:pPr>
    </w:p>
    <w:p w14:paraId="11A2986B" w14:textId="52504059" w:rsidR="00A142E2" w:rsidRDefault="00A142E2" w:rsidP="001F6887">
      <w:pPr>
        <w:jc w:val="both"/>
        <w:rPr>
          <w:rFonts w:ascii="Arial" w:hAnsi="Arial" w:cs="Arial"/>
          <w:color w:val="000000"/>
          <w:sz w:val="20"/>
          <w:szCs w:val="20"/>
        </w:rPr>
      </w:pPr>
      <w:r>
        <w:rPr>
          <w:rFonts w:ascii="Arial" w:hAnsi="Arial" w:cs="Arial"/>
          <w:color w:val="000000"/>
          <w:sz w:val="20"/>
          <w:szCs w:val="20"/>
        </w:rPr>
        <w:t xml:space="preserve">También hay que tener en cuenta que, actualmente hay un </w:t>
      </w:r>
      <w:r w:rsidRPr="007A2E00">
        <w:rPr>
          <w:rFonts w:ascii="Arial" w:hAnsi="Arial" w:cs="Arial"/>
          <w:b/>
          <w:color w:val="000000"/>
          <w:sz w:val="20"/>
          <w:szCs w:val="20"/>
        </w:rPr>
        <w:t>techo de gasto en España</w:t>
      </w:r>
      <w:r>
        <w:rPr>
          <w:rFonts w:ascii="Arial" w:hAnsi="Arial" w:cs="Arial"/>
          <w:color w:val="000000"/>
          <w:sz w:val="20"/>
          <w:szCs w:val="20"/>
        </w:rPr>
        <w:t xml:space="preserve"> para </w:t>
      </w:r>
      <w:r w:rsidR="00F5167C">
        <w:rPr>
          <w:rFonts w:ascii="Arial" w:hAnsi="Arial" w:cs="Arial"/>
          <w:color w:val="000000"/>
          <w:sz w:val="20"/>
          <w:szCs w:val="20"/>
        </w:rPr>
        <w:t>nusinersen</w:t>
      </w:r>
      <w:r>
        <w:rPr>
          <w:rFonts w:ascii="Arial" w:hAnsi="Arial" w:cs="Arial"/>
          <w:color w:val="000000"/>
          <w:sz w:val="20"/>
          <w:szCs w:val="20"/>
        </w:rPr>
        <w:t>. Dependiendo de si se ha alcanzado este techo y de si se renueva o se modifica en el futuro, los cost</w:t>
      </w:r>
      <w:r w:rsidR="00237A4C">
        <w:rPr>
          <w:rFonts w:ascii="Arial" w:hAnsi="Arial" w:cs="Arial"/>
          <w:color w:val="000000"/>
          <w:sz w:val="20"/>
          <w:szCs w:val="20"/>
        </w:rPr>
        <w:t xml:space="preserve">es de nusinersen podrían variar, y por tanto el coste incremental de </w:t>
      </w:r>
      <w:r w:rsidR="00482C21">
        <w:rPr>
          <w:rFonts w:ascii="Arial" w:hAnsi="Arial" w:cs="Arial"/>
          <w:color w:val="000000"/>
          <w:sz w:val="20"/>
          <w:szCs w:val="20"/>
        </w:rPr>
        <w:t>onasemnogén</w:t>
      </w:r>
      <w:r w:rsidR="00237A4C" w:rsidRPr="00CA2390">
        <w:rPr>
          <w:rFonts w:ascii="Arial" w:hAnsi="Arial" w:cs="Arial"/>
          <w:color w:val="000000"/>
          <w:sz w:val="20"/>
          <w:szCs w:val="20"/>
        </w:rPr>
        <w:t xml:space="preserve"> abeparvocec</w:t>
      </w:r>
      <w:r w:rsidR="00237A4C">
        <w:rPr>
          <w:rFonts w:ascii="Arial" w:hAnsi="Arial" w:cs="Arial"/>
          <w:color w:val="000000"/>
          <w:sz w:val="20"/>
          <w:szCs w:val="20"/>
        </w:rPr>
        <w:t>.</w:t>
      </w:r>
    </w:p>
    <w:p w14:paraId="0CE6A6AC" w14:textId="77777777" w:rsidR="00237A4C" w:rsidRDefault="00237A4C" w:rsidP="001F6887">
      <w:pPr>
        <w:jc w:val="both"/>
        <w:rPr>
          <w:rFonts w:ascii="Arial" w:hAnsi="Arial" w:cs="Arial"/>
          <w:color w:val="000000"/>
          <w:sz w:val="20"/>
          <w:szCs w:val="20"/>
        </w:rPr>
      </w:pPr>
    </w:p>
    <w:p w14:paraId="331887FC" w14:textId="7462D186" w:rsidR="00A142E2" w:rsidRDefault="00A142E2" w:rsidP="001F6887">
      <w:pPr>
        <w:jc w:val="both"/>
        <w:rPr>
          <w:rFonts w:ascii="Arial" w:hAnsi="Arial" w:cs="Arial"/>
          <w:color w:val="000000"/>
          <w:sz w:val="20"/>
          <w:szCs w:val="20"/>
        </w:rPr>
      </w:pPr>
      <w:r>
        <w:rPr>
          <w:rFonts w:ascii="Arial" w:hAnsi="Arial" w:cs="Arial"/>
          <w:color w:val="000000"/>
          <w:sz w:val="20"/>
          <w:szCs w:val="20"/>
        </w:rPr>
        <w:t xml:space="preserve">Otro aspecto que no se ha tenido en cuenta es el de los </w:t>
      </w:r>
      <w:r w:rsidRPr="007A2E00">
        <w:rPr>
          <w:rFonts w:ascii="Arial" w:hAnsi="Arial" w:cs="Arial"/>
          <w:b/>
          <w:color w:val="000000"/>
          <w:sz w:val="20"/>
          <w:szCs w:val="20"/>
        </w:rPr>
        <w:t>costes de administración</w:t>
      </w:r>
      <w:r>
        <w:rPr>
          <w:rFonts w:ascii="Arial" w:hAnsi="Arial" w:cs="Arial"/>
          <w:color w:val="000000"/>
          <w:sz w:val="20"/>
          <w:szCs w:val="20"/>
        </w:rPr>
        <w:t>, que en el caso de nusi</w:t>
      </w:r>
      <w:r w:rsidR="00A86B66">
        <w:rPr>
          <w:rFonts w:ascii="Arial" w:hAnsi="Arial" w:cs="Arial"/>
          <w:color w:val="000000"/>
          <w:sz w:val="20"/>
          <w:szCs w:val="20"/>
        </w:rPr>
        <w:t>n</w:t>
      </w:r>
      <w:r>
        <w:rPr>
          <w:rFonts w:ascii="Arial" w:hAnsi="Arial" w:cs="Arial"/>
          <w:color w:val="000000"/>
          <w:sz w:val="20"/>
          <w:szCs w:val="20"/>
        </w:rPr>
        <w:t>ersen son muy elevados debido a la administración tan compleja y el seguimiento continuo que requiere el tratamiento.</w:t>
      </w:r>
    </w:p>
    <w:p w14:paraId="66F76890" w14:textId="77777777" w:rsidR="00A142E2" w:rsidRDefault="00A142E2" w:rsidP="001F6887">
      <w:pPr>
        <w:jc w:val="both"/>
        <w:rPr>
          <w:rFonts w:ascii="Arial" w:hAnsi="Arial" w:cs="Arial"/>
          <w:color w:val="000000"/>
          <w:sz w:val="20"/>
          <w:szCs w:val="20"/>
        </w:rPr>
      </w:pPr>
    </w:p>
    <w:p w14:paraId="30D0A434" w14:textId="79BF9847" w:rsidR="00A142E2" w:rsidRDefault="00A142E2" w:rsidP="004134BE">
      <w:pPr>
        <w:jc w:val="both"/>
        <w:rPr>
          <w:rFonts w:ascii="Arial" w:hAnsi="Arial" w:cs="Arial"/>
          <w:color w:val="000000"/>
          <w:sz w:val="20"/>
          <w:szCs w:val="20"/>
        </w:rPr>
      </w:pPr>
      <w:r>
        <w:rPr>
          <w:rFonts w:ascii="Arial" w:hAnsi="Arial" w:cs="Arial"/>
          <w:color w:val="000000"/>
          <w:sz w:val="20"/>
          <w:szCs w:val="20"/>
        </w:rPr>
        <w:t xml:space="preserve">Por otra parte, tanto los </w:t>
      </w:r>
      <w:r w:rsidRPr="007A2E00">
        <w:rPr>
          <w:rFonts w:ascii="Arial" w:hAnsi="Arial" w:cs="Arial"/>
          <w:b/>
          <w:color w:val="000000"/>
          <w:sz w:val="20"/>
          <w:szCs w:val="20"/>
        </w:rPr>
        <w:t xml:space="preserve">costes directos sanitarios, </w:t>
      </w:r>
      <w:r w:rsidRPr="007A2E00">
        <w:rPr>
          <w:rFonts w:ascii="Arial" w:hAnsi="Arial" w:cs="Arial"/>
          <w:color w:val="000000"/>
          <w:sz w:val="20"/>
          <w:szCs w:val="20"/>
        </w:rPr>
        <w:t>como los</w:t>
      </w:r>
      <w:r w:rsidRPr="007A2E00">
        <w:rPr>
          <w:rFonts w:ascii="Arial" w:hAnsi="Arial" w:cs="Arial"/>
          <w:b/>
          <w:color w:val="000000"/>
          <w:sz w:val="20"/>
          <w:szCs w:val="20"/>
        </w:rPr>
        <w:t xml:space="preserve"> no sanitarios</w:t>
      </w:r>
      <w:r>
        <w:rPr>
          <w:rFonts w:ascii="Arial" w:hAnsi="Arial" w:cs="Arial"/>
          <w:color w:val="000000"/>
          <w:sz w:val="20"/>
          <w:szCs w:val="20"/>
        </w:rPr>
        <w:t>, son muy elevados, por lo que idealmente deberían ser valorados</w:t>
      </w:r>
      <w:r w:rsidR="003A0794">
        <w:rPr>
          <w:rFonts w:ascii="Arial" w:hAnsi="Arial" w:cs="Arial"/>
          <w:color w:val="000000"/>
          <w:sz w:val="20"/>
          <w:szCs w:val="20"/>
        </w:rPr>
        <w:t xml:space="preserve"> al analizar el coste del tratamiento.</w:t>
      </w:r>
    </w:p>
    <w:p w14:paraId="16E56249" w14:textId="50D0BBB4" w:rsidR="007C62DA" w:rsidRDefault="007C62DA" w:rsidP="001F6887">
      <w:pPr>
        <w:jc w:val="both"/>
        <w:rPr>
          <w:rFonts w:ascii="Arial" w:hAnsi="Arial" w:cs="Arial"/>
          <w:color w:val="000000"/>
          <w:sz w:val="20"/>
          <w:szCs w:val="20"/>
        </w:rPr>
      </w:pPr>
    </w:p>
    <w:p w14:paraId="72BDDBED" w14:textId="420D4D05" w:rsidR="004827B6" w:rsidRDefault="004827B6" w:rsidP="001F6887">
      <w:pPr>
        <w:jc w:val="both"/>
        <w:rPr>
          <w:rFonts w:ascii="Arial" w:hAnsi="Arial" w:cs="Arial"/>
          <w:color w:val="000000"/>
          <w:sz w:val="20"/>
          <w:szCs w:val="20"/>
        </w:rPr>
      </w:pPr>
      <w:r>
        <w:rPr>
          <w:rFonts w:ascii="Arial" w:hAnsi="Arial" w:cs="Arial"/>
          <w:color w:val="000000"/>
          <w:sz w:val="20"/>
          <w:szCs w:val="20"/>
        </w:rPr>
        <w:t xml:space="preserve">En la tabla </w:t>
      </w:r>
      <w:r w:rsidR="009422FC">
        <w:rPr>
          <w:rFonts w:ascii="Arial" w:hAnsi="Arial" w:cs="Arial"/>
          <w:color w:val="000000"/>
          <w:sz w:val="20"/>
          <w:szCs w:val="20"/>
        </w:rPr>
        <w:t xml:space="preserve">7.3.4.1 </w:t>
      </w:r>
      <w:r>
        <w:rPr>
          <w:rFonts w:ascii="Arial" w:hAnsi="Arial" w:cs="Arial"/>
          <w:color w:val="000000"/>
          <w:sz w:val="20"/>
          <w:szCs w:val="20"/>
        </w:rPr>
        <w:t>se muestra el RCEI con diferentes escenarios</w:t>
      </w:r>
      <w:r w:rsidR="009422FC">
        <w:rPr>
          <w:rFonts w:ascii="Arial" w:hAnsi="Arial" w:cs="Arial"/>
          <w:color w:val="000000"/>
          <w:sz w:val="20"/>
          <w:szCs w:val="20"/>
        </w:rPr>
        <w:t xml:space="preserve"> a los que faltaría añadir otros como la incertidumbre en la estimación de los AV o AVAC ganados.</w:t>
      </w:r>
    </w:p>
    <w:p w14:paraId="167BB056" w14:textId="135092A9" w:rsidR="009422FC" w:rsidRDefault="009422FC" w:rsidP="003E7AFF">
      <w:pPr>
        <w:pStyle w:val="Encabezado"/>
        <w:tabs>
          <w:tab w:val="left" w:pos="708"/>
        </w:tabs>
        <w:jc w:val="both"/>
        <w:rPr>
          <w:rFonts w:ascii="Arial" w:hAnsi="Arial" w:cs="Arial"/>
          <w:b/>
          <w:sz w:val="20"/>
        </w:rPr>
      </w:pPr>
    </w:p>
    <w:p w14:paraId="71645D45" w14:textId="77777777" w:rsidR="005C2411" w:rsidRDefault="005C2411" w:rsidP="003E7AFF">
      <w:pPr>
        <w:pStyle w:val="Encabezado"/>
        <w:tabs>
          <w:tab w:val="left" w:pos="708"/>
        </w:tabs>
        <w:jc w:val="both"/>
        <w:rPr>
          <w:rFonts w:ascii="Arial" w:hAnsi="Arial" w:cs="Arial"/>
          <w:b/>
          <w:sz w:val="20"/>
        </w:rPr>
      </w:pPr>
    </w:p>
    <w:p w14:paraId="46BF5B77" w14:textId="77777777" w:rsidR="005C2411" w:rsidRPr="000B3B05" w:rsidRDefault="005C2411" w:rsidP="003E7AFF">
      <w:pPr>
        <w:pStyle w:val="Encabezado"/>
        <w:tabs>
          <w:tab w:val="left" w:pos="708"/>
        </w:tabs>
        <w:jc w:val="both"/>
        <w:rPr>
          <w:rFonts w:ascii="Arial" w:hAnsi="Arial" w:cs="Arial"/>
          <w:b/>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1"/>
        <w:gridCol w:w="1134"/>
        <w:gridCol w:w="1134"/>
        <w:gridCol w:w="992"/>
        <w:gridCol w:w="1134"/>
        <w:gridCol w:w="1417"/>
      </w:tblGrid>
      <w:tr w:rsidR="00AE0510" w:rsidRPr="00AE0510" w14:paraId="549AF871" w14:textId="77777777" w:rsidTr="009E568A">
        <w:trPr>
          <w:cantSplit/>
        </w:trPr>
        <w:tc>
          <w:tcPr>
            <w:tcW w:w="9142" w:type="dxa"/>
            <w:gridSpan w:val="6"/>
            <w:tcBorders>
              <w:top w:val="single" w:sz="4" w:space="0" w:color="auto"/>
              <w:left w:val="single" w:sz="4" w:space="0" w:color="auto"/>
              <w:bottom w:val="single" w:sz="4" w:space="0" w:color="auto"/>
              <w:right w:val="single" w:sz="4" w:space="0" w:color="auto"/>
            </w:tcBorders>
            <w:shd w:val="clear" w:color="auto" w:fill="E0E0E0"/>
          </w:tcPr>
          <w:p w14:paraId="1BC4D695" w14:textId="77777777" w:rsidR="00AE0510" w:rsidRDefault="00AE0510" w:rsidP="00AE0510">
            <w:pPr>
              <w:pStyle w:val="Encabezado"/>
              <w:tabs>
                <w:tab w:val="left" w:pos="708"/>
              </w:tabs>
              <w:jc w:val="both"/>
              <w:rPr>
                <w:rFonts w:ascii="Arial" w:hAnsi="Arial" w:cs="Arial"/>
                <w:b/>
                <w:sz w:val="16"/>
              </w:rPr>
            </w:pPr>
            <w:r w:rsidRPr="00AE0510">
              <w:rPr>
                <w:rFonts w:ascii="Arial" w:hAnsi="Arial" w:cs="Arial"/>
                <w:b/>
                <w:sz w:val="16"/>
              </w:rPr>
              <w:t>Tabla 7.3.4.1.</w:t>
            </w:r>
            <w:r>
              <w:rPr>
                <w:rFonts w:ascii="Arial" w:hAnsi="Arial" w:cs="Arial"/>
                <w:b/>
                <w:sz w:val="16"/>
              </w:rPr>
              <w:t xml:space="preserve"> RCEI según diferentes escenarios</w:t>
            </w:r>
          </w:p>
          <w:p w14:paraId="0D641C36" w14:textId="19EA3481" w:rsidR="005C2411" w:rsidRPr="00AE0510" w:rsidRDefault="005C2411" w:rsidP="00AE0510">
            <w:pPr>
              <w:pStyle w:val="Encabezado"/>
              <w:tabs>
                <w:tab w:val="left" w:pos="708"/>
              </w:tabs>
              <w:jc w:val="both"/>
              <w:rPr>
                <w:rFonts w:ascii="Arial" w:hAnsi="Arial" w:cs="Arial"/>
                <w:b/>
                <w:sz w:val="16"/>
              </w:rPr>
            </w:pPr>
          </w:p>
        </w:tc>
      </w:tr>
      <w:tr w:rsidR="00C716C5" w14:paraId="4C605F4A" w14:textId="77777777" w:rsidTr="00AE0510">
        <w:trPr>
          <w:cantSplit/>
        </w:trPr>
        <w:tc>
          <w:tcPr>
            <w:tcW w:w="3331" w:type="dxa"/>
            <w:tcBorders>
              <w:top w:val="single" w:sz="4" w:space="0" w:color="auto"/>
              <w:left w:val="single" w:sz="4" w:space="0" w:color="auto"/>
              <w:bottom w:val="single" w:sz="4" w:space="0" w:color="auto"/>
              <w:right w:val="single" w:sz="4" w:space="0" w:color="auto"/>
            </w:tcBorders>
            <w:shd w:val="clear" w:color="auto" w:fill="E0E0E0"/>
          </w:tcPr>
          <w:p w14:paraId="738E3223" w14:textId="56581838" w:rsidR="00C716C5" w:rsidRDefault="00C716C5" w:rsidP="00EC7274">
            <w:pPr>
              <w:rPr>
                <w:rFonts w:ascii="Arial" w:hAnsi="Arial" w:cs="Arial"/>
                <w:sz w:val="16"/>
                <w:lang w:val="es-ES_tradnl"/>
              </w:rPr>
            </w:pPr>
            <w:r>
              <w:rPr>
                <w:rFonts w:ascii="Arial" w:hAnsi="Arial" w:cs="Arial"/>
                <w:b/>
                <w:sz w:val="16"/>
              </w:rPr>
              <w:t>Escenario</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3126616D" w14:textId="77777777" w:rsidR="00C716C5" w:rsidRPr="00617436" w:rsidRDefault="00C716C5" w:rsidP="00EC7274">
            <w:pPr>
              <w:rPr>
                <w:rFonts w:ascii="Arial" w:hAnsi="Arial" w:cs="Arial"/>
                <w:sz w:val="16"/>
                <w:lang w:val="es-ES_tradnl"/>
              </w:rPr>
            </w:pPr>
            <w:r w:rsidRPr="00617436">
              <w:rPr>
                <w:rFonts w:ascii="Arial" w:hAnsi="Arial" w:cs="Arial"/>
                <w:b/>
                <w:sz w:val="16"/>
              </w:rPr>
              <w:t>Eficacia de</w:t>
            </w:r>
            <w:r>
              <w:rPr>
                <w:rFonts w:ascii="Arial" w:hAnsi="Arial" w:cs="Arial"/>
                <w:b/>
                <w:sz w:val="16"/>
              </w:rPr>
              <w:t xml:space="preserve"> </w:t>
            </w:r>
            <w:r w:rsidRPr="00617436">
              <w:rPr>
                <w:rFonts w:ascii="Arial" w:hAnsi="Arial" w:cs="Arial"/>
                <w:b/>
                <w:sz w:val="16"/>
              </w:rPr>
              <w:t>Zolgensma</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28745E0D" w14:textId="30106CA0" w:rsidR="00C716C5" w:rsidRPr="00617436" w:rsidRDefault="00C716C5">
            <w:pPr>
              <w:rPr>
                <w:rFonts w:ascii="Arial" w:hAnsi="Arial" w:cs="Arial"/>
                <w:b/>
                <w:sz w:val="16"/>
              </w:rPr>
            </w:pPr>
            <w:r w:rsidRPr="00617436">
              <w:rPr>
                <w:rFonts w:ascii="Arial" w:hAnsi="Arial" w:cs="Arial"/>
                <w:b/>
                <w:sz w:val="16"/>
              </w:rPr>
              <w:t xml:space="preserve">Eficacia de </w:t>
            </w:r>
            <w:r>
              <w:rPr>
                <w:rFonts w:ascii="Arial" w:hAnsi="Arial" w:cs="Arial"/>
                <w:b/>
                <w:sz w:val="16"/>
              </w:rPr>
              <w:t>Comparador</w:t>
            </w:r>
          </w:p>
        </w:tc>
        <w:tc>
          <w:tcPr>
            <w:tcW w:w="992" w:type="dxa"/>
            <w:tcBorders>
              <w:top w:val="single" w:sz="4" w:space="0" w:color="auto"/>
              <w:left w:val="single" w:sz="4" w:space="0" w:color="auto"/>
              <w:bottom w:val="single" w:sz="4" w:space="0" w:color="auto"/>
              <w:right w:val="single" w:sz="4" w:space="0" w:color="auto"/>
            </w:tcBorders>
            <w:shd w:val="clear" w:color="auto" w:fill="E0E0E0"/>
            <w:hideMark/>
          </w:tcPr>
          <w:p w14:paraId="4244D169" w14:textId="77777777" w:rsidR="00C716C5" w:rsidRDefault="00C716C5" w:rsidP="00EC7274">
            <w:pPr>
              <w:rPr>
                <w:rFonts w:ascii="Arial" w:hAnsi="Arial" w:cs="Arial"/>
                <w:b/>
                <w:sz w:val="16"/>
                <w:lang w:val="es-ES_tradnl"/>
              </w:rPr>
            </w:pPr>
            <w:r>
              <w:rPr>
                <w:rFonts w:ascii="Arial" w:hAnsi="Arial" w:cs="Arial"/>
                <w:b/>
                <w:sz w:val="16"/>
                <w:lang w:val="es-ES_tradnl"/>
              </w:rPr>
              <w:t xml:space="preserve">Coste </w:t>
            </w:r>
          </w:p>
          <w:p w14:paraId="1348EF31" w14:textId="18083468" w:rsidR="00C716C5" w:rsidRDefault="00C716C5" w:rsidP="00EC7274">
            <w:pPr>
              <w:rPr>
                <w:rFonts w:ascii="Arial" w:hAnsi="Arial" w:cs="Arial"/>
                <w:b/>
                <w:sz w:val="16"/>
                <w:lang w:val="es-ES_tradnl"/>
              </w:rPr>
            </w:pPr>
            <w:r>
              <w:rPr>
                <w:rFonts w:ascii="Arial" w:hAnsi="Arial" w:cs="Arial"/>
                <w:b/>
                <w:sz w:val="16"/>
                <w:lang w:val="es-ES_tradnl"/>
              </w:rPr>
              <w:t>Zolgensma</w:t>
            </w:r>
          </w:p>
        </w:tc>
        <w:tc>
          <w:tcPr>
            <w:tcW w:w="1134" w:type="dxa"/>
            <w:tcBorders>
              <w:top w:val="single" w:sz="4" w:space="0" w:color="auto"/>
              <w:left w:val="single" w:sz="4" w:space="0" w:color="auto"/>
              <w:bottom w:val="single" w:sz="4" w:space="0" w:color="auto"/>
              <w:right w:val="single" w:sz="4" w:space="0" w:color="auto"/>
            </w:tcBorders>
            <w:shd w:val="clear" w:color="auto" w:fill="E0E0E0"/>
          </w:tcPr>
          <w:p w14:paraId="2A426C6C" w14:textId="696D364F" w:rsidR="00C716C5" w:rsidRDefault="00C716C5" w:rsidP="00EC7274">
            <w:pPr>
              <w:rPr>
                <w:rFonts w:ascii="Arial" w:hAnsi="Arial" w:cs="Arial"/>
                <w:b/>
                <w:sz w:val="16"/>
                <w:lang w:val="es-ES_tradnl"/>
              </w:rPr>
            </w:pPr>
            <w:r>
              <w:rPr>
                <w:rFonts w:ascii="Arial" w:hAnsi="Arial" w:cs="Arial"/>
                <w:b/>
                <w:sz w:val="16"/>
                <w:lang w:val="es-ES_tradnl"/>
              </w:rPr>
              <w:t>Coste comparador</w:t>
            </w:r>
          </w:p>
        </w:tc>
        <w:tc>
          <w:tcPr>
            <w:tcW w:w="1417" w:type="dxa"/>
            <w:tcBorders>
              <w:top w:val="single" w:sz="4" w:space="0" w:color="auto"/>
              <w:left w:val="single" w:sz="4" w:space="0" w:color="auto"/>
              <w:bottom w:val="single" w:sz="4" w:space="0" w:color="auto"/>
              <w:right w:val="single" w:sz="4" w:space="0" w:color="auto"/>
            </w:tcBorders>
            <w:shd w:val="clear" w:color="auto" w:fill="E0E0E0"/>
            <w:hideMark/>
          </w:tcPr>
          <w:p w14:paraId="3C3EB2DB" w14:textId="64AC8694" w:rsidR="00C716C5" w:rsidRDefault="00C716C5" w:rsidP="00EC7274">
            <w:pPr>
              <w:rPr>
                <w:rFonts w:ascii="Arial" w:hAnsi="Arial" w:cs="Arial"/>
                <w:b/>
                <w:sz w:val="16"/>
                <w:lang w:val="es-ES_tradnl"/>
              </w:rPr>
            </w:pPr>
            <w:r>
              <w:rPr>
                <w:rFonts w:ascii="Arial" w:hAnsi="Arial" w:cs="Arial"/>
                <w:b/>
                <w:sz w:val="16"/>
                <w:lang w:val="es-ES_tradnl"/>
              </w:rPr>
              <w:t>RCEI</w:t>
            </w:r>
          </w:p>
        </w:tc>
      </w:tr>
      <w:tr w:rsidR="001D639A" w14:paraId="3EE1E39B" w14:textId="77777777" w:rsidTr="00AE0510">
        <w:trPr>
          <w:cantSplit/>
          <w:trHeight w:val="310"/>
        </w:trPr>
        <w:tc>
          <w:tcPr>
            <w:tcW w:w="9142" w:type="dxa"/>
            <w:gridSpan w:val="6"/>
            <w:tcBorders>
              <w:top w:val="single" w:sz="4" w:space="0" w:color="auto"/>
              <w:left w:val="single" w:sz="4" w:space="0" w:color="auto"/>
              <w:bottom w:val="single" w:sz="4" w:space="0" w:color="auto"/>
              <w:right w:val="single" w:sz="4" w:space="0" w:color="auto"/>
            </w:tcBorders>
            <w:vAlign w:val="center"/>
          </w:tcPr>
          <w:p w14:paraId="0EC442D2" w14:textId="77777777" w:rsidR="001D639A" w:rsidRDefault="001D639A" w:rsidP="00EC7274">
            <w:pPr>
              <w:rPr>
                <w:rFonts w:ascii="Arial" w:hAnsi="Arial" w:cs="Arial"/>
                <w:b/>
                <w:sz w:val="16"/>
                <w:lang w:val="es-ES_tradnl"/>
              </w:rPr>
            </w:pPr>
            <w:r w:rsidRPr="000B3B05">
              <w:rPr>
                <w:rFonts w:ascii="Arial" w:hAnsi="Arial" w:cs="Arial"/>
                <w:b/>
                <w:sz w:val="16"/>
                <w:lang w:val="es-ES_tradnl"/>
              </w:rPr>
              <w:t>Frente a Nusinersen</w:t>
            </w:r>
          </w:p>
          <w:p w14:paraId="3C73BB36" w14:textId="5C3611BE" w:rsidR="005C2411" w:rsidRDefault="005C2411" w:rsidP="00EC7274">
            <w:pPr>
              <w:rPr>
                <w:rFonts w:ascii="Arial" w:hAnsi="Arial" w:cs="Arial"/>
                <w:sz w:val="16"/>
              </w:rPr>
            </w:pPr>
          </w:p>
        </w:tc>
      </w:tr>
      <w:tr w:rsidR="007B47BC" w14:paraId="5BCF1377" w14:textId="77777777" w:rsidTr="00A35C6F">
        <w:trPr>
          <w:cantSplit/>
          <w:trHeight w:val="310"/>
        </w:trPr>
        <w:tc>
          <w:tcPr>
            <w:tcW w:w="3331" w:type="dxa"/>
            <w:vMerge w:val="restart"/>
            <w:tcBorders>
              <w:top w:val="single" w:sz="4" w:space="0" w:color="auto"/>
              <w:left w:val="single" w:sz="4" w:space="0" w:color="auto"/>
              <w:right w:val="single" w:sz="4" w:space="0" w:color="auto"/>
            </w:tcBorders>
            <w:vAlign w:val="center"/>
          </w:tcPr>
          <w:p w14:paraId="644AC65F" w14:textId="151708B5" w:rsidR="007B47BC" w:rsidRDefault="007B47BC" w:rsidP="00DE0053">
            <w:pPr>
              <w:rPr>
                <w:rFonts w:ascii="Arial" w:hAnsi="Arial" w:cs="Arial"/>
                <w:sz w:val="16"/>
                <w:lang w:val="es-ES_tradnl"/>
              </w:rPr>
            </w:pPr>
            <w:r>
              <w:rPr>
                <w:rFonts w:ascii="Arial" w:hAnsi="Arial" w:cs="Arial"/>
                <w:sz w:val="16"/>
                <w:lang w:val="es-ES_tradnl"/>
              </w:rPr>
              <w:t>Caso base</w:t>
            </w:r>
            <w:r w:rsidRPr="000B3B05">
              <w:rPr>
                <w:rFonts w:ascii="Arial" w:hAnsi="Arial" w:cs="Arial"/>
                <w:sz w:val="16"/>
                <w:vertAlign w:val="superscript"/>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14:paraId="23A91EBA" w14:textId="0F8461CE" w:rsidR="007B47BC" w:rsidRDefault="007B47BC" w:rsidP="007B47BC">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2A0C94D9" w14:textId="64A8CB30" w:rsidR="007B47BC" w:rsidRDefault="007B47BC" w:rsidP="007B47BC">
            <w:pPr>
              <w:jc w:val="right"/>
              <w:rPr>
                <w:rFonts w:ascii="Arial" w:hAnsi="Arial" w:cs="Arial"/>
                <w:sz w:val="16"/>
                <w:lang w:val="es-ES_tradnl"/>
              </w:rPr>
            </w:pPr>
            <w:r>
              <w:rPr>
                <w:rFonts w:ascii="Arial" w:hAnsi="Arial" w:cs="Arial"/>
                <w:sz w:val="16"/>
                <w:lang w:val="es-ES_tradnl"/>
              </w:rPr>
              <w:t>3,24 AVAC</w:t>
            </w:r>
          </w:p>
        </w:tc>
        <w:tc>
          <w:tcPr>
            <w:tcW w:w="992" w:type="dxa"/>
            <w:vMerge w:val="restart"/>
            <w:tcBorders>
              <w:top w:val="single" w:sz="4" w:space="0" w:color="auto"/>
              <w:left w:val="single" w:sz="4" w:space="0" w:color="auto"/>
              <w:right w:val="single" w:sz="4" w:space="0" w:color="auto"/>
            </w:tcBorders>
            <w:vAlign w:val="center"/>
          </w:tcPr>
          <w:p w14:paraId="3FB7030D" w14:textId="705C341E" w:rsidR="007B47BC" w:rsidRDefault="007B47BC" w:rsidP="007B47BC">
            <w:pPr>
              <w:jc w:val="right"/>
              <w:rPr>
                <w:rFonts w:ascii="Arial" w:hAnsi="Arial" w:cs="Arial"/>
                <w:sz w:val="16"/>
                <w:lang w:val="en-GB"/>
              </w:rPr>
            </w:pPr>
            <w:r>
              <w:rPr>
                <w:rFonts w:ascii="Arial" w:hAnsi="Arial" w:cs="Arial"/>
                <w:sz w:val="16"/>
                <w:lang w:val="en-GB"/>
              </w:rPr>
              <w:t>1.785.000 €</w:t>
            </w:r>
          </w:p>
        </w:tc>
        <w:tc>
          <w:tcPr>
            <w:tcW w:w="1134" w:type="dxa"/>
            <w:vMerge w:val="restart"/>
            <w:tcBorders>
              <w:top w:val="single" w:sz="4" w:space="0" w:color="auto"/>
              <w:left w:val="single" w:sz="4" w:space="0" w:color="auto"/>
              <w:right w:val="single" w:sz="4" w:space="0" w:color="auto"/>
            </w:tcBorders>
            <w:vAlign w:val="center"/>
          </w:tcPr>
          <w:p w14:paraId="6AFCE8BB" w14:textId="204DEB59" w:rsidR="007B47BC" w:rsidRDefault="007B47BC" w:rsidP="007B47BC">
            <w:pPr>
              <w:jc w:val="right"/>
              <w:rPr>
                <w:rFonts w:ascii="Arial" w:hAnsi="Arial" w:cs="Arial"/>
                <w:sz w:val="16"/>
              </w:rPr>
            </w:pPr>
            <w:r>
              <w:rPr>
                <w:rFonts w:ascii="Arial" w:hAnsi="Arial" w:cs="Arial"/>
                <w:sz w:val="16"/>
              </w:rPr>
              <w:t>1.671.300 €</w:t>
            </w:r>
          </w:p>
        </w:tc>
        <w:tc>
          <w:tcPr>
            <w:tcW w:w="1417" w:type="dxa"/>
            <w:tcBorders>
              <w:top w:val="single" w:sz="4" w:space="0" w:color="auto"/>
              <w:left w:val="single" w:sz="4" w:space="0" w:color="auto"/>
              <w:bottom w:val="single" w:sz="4" w:space="0" w:color="auto"/>
              <w:right w:val="single" w:sz="4" w:space="0" w:color="auto"/>
            </w:tcBorders>
            <w:vAlign w:val="center"/>
          </w:tcPr>
          <w:p w14:paraId="03793411" w14:textId="0E46C976" w:rsidR="007B47BC" w:rsidRDefault="007B47BC" w:rsidP="007B47BC">
            <w:pPr>
              <w:jc w:val="right"/>
              <w:rPr>
                <w:rFonts w:ascii="Arial" w:hAnsi="Arial" w:cs="Arial"/>
                <w:sz w:val="16"/>
              </w:rPr>
            </w:pPr>
            <w:r>
              <w:rPr>
                <w:rFonts w:ascii="Arial" w:hAnsi="Arial" w:cs="Arial"/>
                <w:sz w:val="16"/>
                <w:lang w:val="en-GB"/>
              </w:rPr>
              <w:t>12.647 €/AVAC</w:t>
            </w:r>
          </w:p>
        </w:tc>
      </w:tr>
      <w:tr w:rsidR="007B47BC" w14:paraId="7C8E8136"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1B8C2692" w14:textId="3687D673" w:rsidR="007B47BC" w:rsidRDefault="007B47BC" w:rsidP="00DE0053">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6AB078FE" w14:textId="5F2D3FF0" w:rsidR="007B47BC" w:rsidRDefault="007B47BC" w:rsidP="007B47BC">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0F1E8CD5" w14:textId="12D32D1F" w:rsidR="007B47BC" w:rsidRDefault="007B47BC" w:rsidP="007B47BC">
            <w:pPr>
              <w:jc w:val="right"/>
              <w:rPr>
                <w:rFonts w:ascii="Arial" w:hAnsi="Arial" w:cs="Arial"/>
                <w:sz w:val="16"/>
                <w:lang w:val="es-ES_tradnl"/>
              </w:rPr>
            </w:pPr>
            <w:r>
              <w:rPr>
                <w:rFonts w:ascii="Arial" w:hAnsi="Arial" w:cs="Arial"/>
                <w:sz w:val="16"/>
                <w:lang w:val="es-ES_tradnl"/>
              </w:rPr>
              <w:t>7,64 AV</w:t>
            </w:r>
          </w:p>
        </w:tc>
        <w:tc>
          <w:tcPr>
            <w:tcW w:w="992" w:type="dxa"/>
            <w:vMerge/>
            <w:tcBorders>
              <w:left w:val="single" w:sz="4" w:space="0" w:color="auto"/>
              <w:bottom w:val="single" w:sz="4" w:space="0" w:color="auto"/>
              <w:right w:val="single" w:sz="4" w:space="0" w:color="auto"/>
            </w:tcBorders>
            <w:vAlign w:val="center"/>
          </w:tcPr>
          <w:p w14:paraId="220D71B7" w14:textId="2B5A1812" w:rsidR="007B47BC" w:rsidRDefault="007B47BC" w:rsidP="007B47BC">
            <w:pPr>
              <w:jc w:val="right"/>
              <w:rPr>
                <w:rFonts w:ascii="Arial" w:hAnsi="Arial" w:cs="Arial"/>
                <w:sz w:val="16"/>
                <w:lang w:val="en-GB"/>
              </w:rPr>
            </w:pPr>
          </w:p>
        </w:tc>
        <w:tc>
          <w:tcPr>
            <w:tcW w:w="1134" w:type="dxa"/>
            <w:vMerge/>
            <w:tcBorders>
              <w:left w:val="single" w:sz="4" w:space="0" w:color="auto"/>
              <w:bottom w:val="single" w:sz="4" w:space="0" w:color="auto"/>
              <w:right w:val="single" w:sz="4" w:space="0" w:color="auto"/>
            </w:tcBorders>
            <w:vAlign w:val="center"/>
          </w:tcPr>
          <w:p w14:paraId="78D04501" w14:textId="704BE9ED" w:rsidR="007B47BC" w:rsidRDefault="007B47BC" w:rsidP="007B47BC">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8F43B29" w14:textId="052CA0A2" w:rsidR="007B47BC" w:rsidRDefault="007B47BC" w:rsidP="007B47BC">
            <w:pPr>
              <w:jc w:val="right"/>
              <w:rPr>
                <w:rFonts w:ascii="Arial" w:hAnsi="Arial" w:cs="Arial"/>
                <w:sz w:val="16"/>
              </w:rPr>
            </w:pPr>
            <w:r>
              <w:rPr>
                <w:rFonts w:ascii="Arial" w:hAnsi="Arial" w:cs="Arial"/>
                <w:sz w:val="16"/>
                <w:lang w:val="en-GB"/>
              </w:rPr>
              <w:t>10.798 €/AV</w:t>
            </w:r>
          </w:p>
        </w:tc>
      </w:tr>
      <w:tr w:rsidR="007B47BC" w14:paraId="5C575717" w14:textId="77777777" w:rsidTr="00A35C6F">
        <w:trPr>
          <w:cantSplit/>
          <w:trHeight w:val="310"/>
        </w:trPr>
        <w:tc>
          <w:tcPr>
            <w:tcW w:w="3331" w:type="dxa"/>
            <w:vMerge w:val="restart"/>
            <w:tcBorders>
              <w:top w:val="single" w:sz="4" w:space="0" w:color="auto"/>
              <w:left w:val="single" w:sz="4" w:space="0" w:color="auto"/>
              <w:right w:val="single" w:sz="4" w:space="0" w:color="auto"/>
            </w:tcBorders>
            <w:vAlign w:val="center"/>
          </w:tcPr>
          <w:p w14:paraId="7DEC8186" w14:textId="2FB5BAC8" w:rsidR="007B47BC" w:rsidRDefault="007B47BC" w:rsidP="000D7B74">
            <w:pPr>
              <w:rPr>
                <w:rFonts w:ascii="Arial" w:hAnsi="Arial" w:cs="Arial"/>
                <w:sz w:val="16"/>
                <w:lang w:val="es-ES_tradnl"/>
              </w:rPr>
            </w:pPr>
            <w:r>
              <w:rPr>
                <w:rFonts w:ascii="Arial" w:hAnsi="Arial" w:cs="Arial"/>
                <w:sz w:val="16"/>
                <w:lang w:val="es-ES_tradnl"/>
              </w:rPr>
              <w:t>Si un 33% de los tratados con Zolgensma reciben Nusinersen</w:t>
            </w:r>
            <w:r w:rsidRPr="000B3B05">
              <w:rPr>
                <w:rFonts w:ascii="Arial" w:hAnsi="Arial" w:cs="Arial"/>
                <w:sz w:val="16"/>
                <w:vertAlign w:val="superscript"/>
                <w:lang w:val="es-ES_tradnl"/>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31F15B" w14:textId="4CB50950" w:rsidR="007B47BC" w:rsidRDefault="007B47BC" w:rsidP="007B47BC">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051DAE" w14:textId="0C166575" w:rsidR="007B47BC" w:rsidRDefault="007B47BC" w:rsidP="007B47BC">
            <w:pPr>
              <w:jc w:val="right"/>
              <w:rPr>
                <w:rFonts w:ascii="Arial" w:hAnsi="Arial" w:cs="Arial"/>
                <w:sz w:val="16"/>
                <w:lang w:val="es-ES_tradnl"/>
              </w:rPr>
            </w:pPr>
            <w:r>
              <w:rPr>
                <w:rFonts w:ascii="Arial" w:hAnsi="Arial" w:cs="Arial"/>
                <w:sz w:val="16"/>
                <w:lang w:val="es-ES_tradnl"/>
              </w:rPr>
              <w:t>3,24 AVAC</w:t>
            </w:r>
          </w:p>
        </w:tc>
        <w:tc>
          <w:tcPr>
            <w:tcW w:w="992" w:type="dxa"/>
            <w:vMerge w:val="restart"/>
            <w:tcBorders>
              <w:top w:val="single" w:sz="4" w:space="0" w:color="auto"/>
              <w:left w:val="single" w:sz="4" w:space="0" w:color="auto"/>
              <w:right w:val="single" w:sz="4" w:space="0" w:color="auto"/>
            </w:tcBorders>
            <w:vAlign w:val="center"/>
          </w:tcPr>
          <w:p w14:paraId="17506C2A" w14:textId="556C4A18" w:rsidR="007B47BC" w:rsidRPr="000B3B05" w:rsidRDefault="007B47BC" w:rsidP="007B47BC">
            <w:pPr>
              <w:jc w:val="right"/>
              <w:rPr>
                <w:rFonts w:ascii="Arial" w:hAnsi="Arial" w:cs="Arial"/>
                <w:sz w:val="16"/>
              </w:rPr>
            </w:pPr>
            <w:r w:rsidRPr="000B3B05">
              <w:rPr>
                <w:rFonts w:ascii="Arial" w:hAnsi="Arial" w:cs="Arial"/>
                <w:sz w:val="16"/>
              </w:rPr>
              <w:t>2.</w:t>
            </w:r>
            <w:r>
              <w:rPr>
                <w:rFonts w:ascii="Arial" w:hAnsi="Arial" w:cs="Arial"/>
                <w:sz w:val="16"/>
              </w:rPr>
              <w:t>336.529</w:t>
            </w:r>
            <w:r w:rsidRPr="000B3B05">
              <w:rPr>
                <w:rFonts w:ascii="Arial" w:hAnsi="Arial" w:cs="Arial"/>
                <w:sz w:val="16"/>
              </w:rPr>
              <w:t xml:space="preserve"> €</w:t>
            </w:r>
          </w:p>
        </w:tc>
        <w:tc>
          <w:tcPr>
            <w:tcW w:w="1134" w:type="dxa"/>
            <w:vMerge w:val="restart"/>
            <w:tcBorders>
              <w:top w:val="single" w:sz="4" w:space="0" w:color="auto"/>
              <w:left w:val="single" w:sz="4" w:space="0" w:color="auto"/>
              <w:right w:val="single" w:sz="4" w:space="0" w:color="auto"/>
            </w:tcBorders>
            <w:vAlign w:val="center"/>
          </w:tcPr>
          <w:p w14:paraId="0D25BA7D" w14:textId="1CD7D64E" w:rsidR="007B47BC" w:rsidRDefault="007B47BC" w:rsidP="007B47BC">
            <w:pPr>
              <w:jc w:val="right"/>
              <w:rPr>
                <w:rFonts w:ascii="Arial" w:hAnsi="Arial" w:cs="Arial"/>
                <w:sz w:val="16"/>
              </w:rPr>
            </w:pPr>
            <w:r>
              <w:rPr>
                <w:rFonts w:ascii="Arial" w:hAnsi="Arial" w:cs="Arial"/>
                <w:sz w:val="16"/>
              </w:rPr>
              <w:t>1.671.300 €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8D3C84" w14:textId="39BEDF47" w:rsidR="007B47BC" w:rsidRPr="000B3B05" w:rsidRDefault="007B47BC" w:rsidP="007B47BC">
            <w:pPr>
              <w:jc w:val="right"/>
              <w:rPr>
                <w:rFonts w:ascii="Arial" w:hAnsi="Arial" w:cs="Arial"/>
                <w:sz w:val="16"/>
              </w:rPr>
            </w:pPr>
            <w:r>
              <w:rPr>
                <w:rFonts w:ascii="Arial" w:hAnsi="Arial" w:cs="Arial"/>
                <w:sz w:val="16"/>
              </w:rPr>
              <w:t>73.996</w:t>
            </w:r>
            <w:r w:rsidRPr="00062E00">
              <w:rPr>
                <w:rFonts w:ascii="Arial" w:hAnsi="Arial" w:cs="Arial"/>
                <w:sz w:val="16"/>
              </w:rPr>
              <w:t xml:space="preserve"> €/AVAC</w:t>
            </w:r>
          </w:p>
        </w:tc>
      </w:tr>
      <w:tr w:rsidR="007B47BC" w14:paraId="291891DA"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421867AD" w14:textId="76673AB5" w:rsidR="007B47BC" w:rsidRDefault="007B47BC">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3D4E265F" w14:textId="67B1333D" w:rsidR="007B47BC" w:rsidRDefault="007B47BC" w:rsidP="007B47BC">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7A22F222" w14:textId="1C7B4044" w:rsidR="007B47BC" w:rsidRDefault="007B47BC" w:rsidP="007B47BC">
            <w:pPr>
              <w:jc w:val="right"/>
              <w:rPr>
                <w:rFonts w:ascii="Arial" w:hAnsi="Arial" w:cs="Arial"/>
                <w:sz w:val="16"/>
                <w:lang w:val="es-ES_tradnl"/>
              </w:rPr>
            </w:pPr>
            <w:r>
              <w:rPr>
                <w:rFonts w:ascii="Arial" w:hAnsi="Arial" w:cs="Arial"/>
                <w:sz w:val="16"/>
                <w:lang w:val="es-ES_tradnl"/>
              </w:rPr>
              <w:t>7,64 AV</w:t>
            </w:r>
          </w:p>
        </w:tc>
        <w:tc>
          <w:tcPr>
            <w:tcW w:w="992" w:type="dxa"/>
            <w:vMerge/>
            <w:tcBorders>
              <w:left w:val="single" w:sz="4" w:space="0" w:color="auto"/>
              <w:bottom w:val="single" w:sz="4" w:space="0" w:color="auto"/>
              <w:right w:val="single" w:sz="4" w:space="0" w:color="auto"/>
            </w:tcBorders>
            <w:vAlign w:val="center"/>
          </w:tcPr>
          <w:p w14:paraId="29B00A93" w14:textId="69225634" w:rsidR="007B47BC" w:rsidRPr="000B3B05" w:rsidRDefault="007B47BC" w:rsidP="007B47BC">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10ED8C83" w14:textId="4C4AB584" w:rsidR="007B47BC" w:rsidRDefault="007B47BC" w:rsidP="007B47BC">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484F6668" w14:textId="08A7CB79" w:rsidR="007B47BC" w:rsidRPr="000B3B05" w:rsidRDefault="007B47BC" w:rsidP="007B47BC">
            <w:pPr>
              <w:jc w:val="right"/>
              <w:rPr>
                <w:rFonts w:ascii="Arial" w:hAnsi="Arial" w:cs="Arial"/>
                <w:sz w:val="16"/>
              </w:rPr>
            </w:pPr>
            <w:r>
              <w:rPr>
                <w:rFonts w:ascii="Arial" w:hAnsi="Arial" w:cs="Arial"/>
                <w:sz w:val="16"/>
              </w:rPr>
              <w:t>63.175</w:t>
            </w:r>
            <w:r w:rsidRPr="00062E00">
              <w:rPr>
                <w:rFonts w:ascii="Arial" w:hAnsi="Arial" w:cs="Arial"/>
                <w:sz w:val="16"/>
              </w:rPr>
              <w:t xml:space="preserve"> €/AV</w:t>
            </w:r>
          </w:p>
        </w:tc>
      </w:tr>
      <w:tr w:rsidR="007B47BC" w14:paraId="303E16E5" w14:textId="77777777" w:rsidTr="00A35C6F">
        <w:trPr>
          <w:cantSplit/>
          <w:trHeight w:val="310"/>
        </w:trPr>
        <w:tc>
          <w:tcPr>
            <w:tcW w:w="3331" w:type="dxa"/>
            <w:vMerge w:val="restart"/>
            <w:tcBorders>
              <w:left w:val="single" w:sz="4" w:space="0" w:color="auto"/>
              <w:right w:val="single" w:sz="4" w:space="0" w:color="auto"/>
            </w:tcBorders>
            <w:vAlign w:val="center"/>
          </w:tcPr>
          <w:p w14:paraId="1825976C" w14:textId="6445943B" w:rsidR="007B47BC" w:rsidRDefault="007B47BC" w:rsidP="002B2D4F">
            <w:pPr>
              <w:rPr>
                <w:rFonts w:ascii="Arial" w:hAnsi="Arial" w:cs="Arial"/>
                <w:sz w:val="16"/>
                <w:lang w:val="es-ES_tradnl"/>
              </w:rPr>
            </w:pPr>
            <w:r>
              <w:rPr>
                <w:rFonts w:ascii="Arial" w:hAnsi="Arial" w:cs="Arial"/>
                <w:sz w:val="16"/>
                <w:lang w:val="es-ES_tradnl"/>
              </w:rPr>
              <w:t>Si un 16% de los tratados con Zolgensma reciben Nusinersen</w:t>
            </w:r>
          </w:p>
        </w:tc>
        <w:tc>
          <w:tcPr>
            <w:tcW w:w="1134" w:type="dxa"/>
            <w:tcBorders>
              <w:top w:val="single" w:sz="4" w:space="0" w:color="auto"/>
              <w:left w:val="single" w:sz="4" w:space="0" w:color="auto"/>
              <w:bottom w:val="single" w:sz="4" w:space="0" w:color="auto"/>
              <w:right w:val="single" w:sz="4" w:space="0" w:color="auto"/>
            </w:tcBorders>
            <w:vAlign w:val="center"/>
          </w:tcPr>
          <w:p w14:paraId="752ECCC5" w14:textId="1578DC65" w:rsidR="007B47BC" w:rsidRDefault="007B47BC" w:rsidP="007B47BC">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1F7286CC" w14:textId="58ABD978" w:rsidR="007B47BC" w:rsidRDefault="007B47BC" w:rsidP="007B47BC">
            <w:pPr>
              <w:jc w:val="right"/>
              <w:rPr>
                <w:rFonts w:ascii="Arial" w:hAnsi="Arial" w:cs="Arial"/>
                <w:sz w:val="16"/>
                <w:lang w:val="es-ES_tradnl"/>
              </w:rPr>
            </w:pPr>
            <w:r>
              <w:rPr>
                <w:rFonts w:ascii="Arial" w:hAnsi="Arial" w:cs="Arial"/>
                <w:sz w:val="16"/>
                <w:lang w:val="es-ES_tradnl"/>
              </w:rPr>
              <w:t>3,24 AVAC</w:t>
            </w:r>
          </w:p>
        </w:tc>
        <w:tc>
          <w:tcPr>
            <w:tcW w:w="992" w:type="dxa"/>
            <w:vMerge w:val="restart"/>
            <w:tcBorders>
              <w:top w:val="single" w:sz="4" w:space="0" w:color="auto"/>
              <w:left w:val="single" w:sz="4" w:space="0" w:color="auto"/>
              <w:right w:val="single" w:sz="4" w:space="0" w:color="auto"/>
            </w:tcBorders>
            <w:vAlign w:val="center"/>
          </w:tcPr>
          <w:p w14:paraId="07AA02E0" w14:textId="44C5344E" w:rsidR="007B47BC" w:rsidRDefault="007B47BC" w:rsidP="007B47BC">
            <w:pPr>
              <w:jc w:val="right"/>
              <w:rPr>
                <w:rFonts w:ascii="Arial" w:hAnsi="Arial" w:cs="Arial"/>
                <w:sz w:val="16"/>
              </w:rPr>
            </w:pPr>
            <w:r>
              <w:rPr>
                <w:rFonts w:ascii="Arial" w:hAnsi="Arial" w:cs="Arial"/>
                <w:sz w:val="16"/>
              </w:rPr>
              <w:t>2.052.408 €</w:t>
            </w:r>
          </w:p>
        </w:tc>
        <w:tc>
          <w:tcPr>
            <w:tcW w:w="1134" w:type="dxa"/>
            <w:vMerge w:val="restart"/>
            <w:tcBorders>
              <w:top w:val="single" w:sz="4" w:space="0" w:color="auto"/>
              <w:left w:val="single" w:sz="4" w:space="0" w:color="auto"/>
              <w:right w:val="single" w:sz="4" w:space="0" w:color="auto"/>
            </w:tcBorders>
            <w:vAlign w:val="center"/>
          </w:tcPr>
          <w:p w14:paraId="203CF8C9" w14:textId="36B18C23" w:rsidR="007B47BC" w:rsidRDefault="007B47BC" w:rsidP="007B47BC">
            <w:pPr>
              <w:jc w:val="right"/>
              <w:rPr>
                <w:rFonts w:ascii="Arial" w:hAnsi="Arial" w:cs="Arial"/>
                <w:sz w:val="16"/>
              </w:rPr>
            </w:pPr>
            <w:r>
              <w:rPr>
                <w:rFonts w:ascii="Arial" w:hAnsi="Arial" w:cs="Arial"/>
                <w:sz w:val="16"/>
              </w:rPr>
              <w:t>1.671.300 €</w:t>
            </w:r>
          </w:p>
        </w:tc>
        <w:tc>
          <w:tcPr>
            <w:tcW w:w="1417" w:type="dxa"/>
            <w:tcBorders>
              <w:top w:val="single" w:sz="4" w:space="0" w:color="auto"/>
              <w:left w:val="single" w:sz="4" w:space="0" w:color="auto"/>
              <w:bottom w:val="single" w:sz="4" w:space="0" w:color="auto"/>
              <w:right w:val="single" w:sz="4" w:space="0" w:color="auto"/>
            </w:tcBorders>
            <w:vAlign w:val="center"/>
          </w:tcPr>
          <w:p w14:paraId="5E20ED57" w14:textId="5D1E8A66" w:rsidR="007B47BC" w:rsidRDefault="007B47BC" w:rsidP="007B47BC">
            <w:pPr>
              <w:jc w:val="right"/>
              <w:rPr>
                <w:rFonts w:ascii="Arial" w:hAnsi="Arial" w:cs="Arial"/>
                <w:sz w:val="16"/>
              </w:rPr>
            </w:pPr>
            <w:r>
              <w:rPr>
                <w:rFonts w:ascii="Arial" w:hAnsi="Arial" w:cs="Arial"/>
                <w:sz w:val="16"/>
              </w:rPr>
              <w:t>42.392 €/AVAC</w:t>
            </w:r>
          </w:p>
        </w:tc>
      </w:tr>
      <w:tr w:rsidR="007B47BC" w14:paraId="7CD15F23"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5A771086" w14:textId="77777777" w:rsidR="007B47BC" w:rsidRDefault="007B47BC">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24C1C0EB" w14:textId="53C2B512" w:rsidR="007B47BC" w:rsidRDefault="007B47BC" w:rsidP="007B47BC">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3812C1DA" w14:textId="6FA963A1" w:rsidR="007B47BC" w:rsidRDefault="007B47BC" w:rsidP="007B47BC">
            <w:pPr>
              <w:jc w:val="right"/>
              <w:rPr>
                <w:rFonts w:ascii="Arial" w:hAnsi="Arial" w:cs="Arial"/>
                <w:sz w:val="16"/>
                <w:lang w:val="es-ES_tradnl"/>
              </w:rPr>
            </w:pPr>
            <w:r>
              <w:rPr>
                <w:rFonts w:ascii="Arial" w:hAnsi="Arial" w:cs="Arial"/>
                <w:sz w:val="16"/>
                <w:lang w:val="es-ES_tradnl"/>
              </w:rPr>
              <w:t>7,64 AV</w:t>
            </w:r>
          </w:p>
        </w:tc>
        <w:tc>
          <w:tcPr>
            <w:tcW w:w="992" w:type="dxa"/>
            <w:vMerge/>
            <w:tcBorders>
              <w:left w:val="single" w:sz="4" w:space="0" w:color="auto"/>
              <w:bottom w:val="single" w:sz="4" w:space="0" w:color="auto"/>
              <w:right w:val="single" w:sz="4" w:space="0" w:color="auto"/>
            </w:tcBorders>
            <w:vAlign w:val="center"/>
          </w:tcPr>
          <w:p w14:paraId="42A390CD" w14:textId="4DA5332C" w:rsidR="007B47BC" w:rsidRDefault="007B47BC" w:rsidP="007B47BC">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17F6E2B0" w14:textId="7CAB2B33" w:rsidR="007B47BC" w:rsidRDefault="007B47BC" w:rsidP="007B47BC">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75634816" w14:textId="0167C509" w:rsidR="007B47BC" w:rsidRDefault="007B47BC" w:rsidP="007B47BC">
            <w:pPr>
              <w:jc w:val="right"/>
              <w:rPr>
                <w:rFonts w:ascii="Arial" w:hAnsi="Arial" w:cs="Arial"/>
                <w:sz w:val="16"/>
              </w:rPr>
            </w:pPr>
            <w:r>
              <w:rPr>
                <w:rFonts w:ascii="Arial" w:hAnsi="Arial" w:cs="Arial"/>
                <w:sz w:val="16"/>
              </w:rPr>
              <w:t>36.192 €/AV</w:t>
            </w:r>
          </w:p>
        </w:tc>
      </w:tr>
      <w:tr w:rsidR="007B47BC" w14:paraId="56EC2C46" w14:textId="77777777" w:rsidTr="00A35C6F">
        <w:trPr>
          <w:cantSplit/>
          <w:trHeight w:val="310"/>
        </w:trPr>
        <w:tc>
          <w:tcPr>
            <w:tcW w:w="3331" w:type="dxa"/>
            <w:vMerge w:val="restart"/>
            <w:tcBorders>
              <w:top w:val="single" w:sz="4" w:space="0" w:color="auto"/>
              <w:left w:val="single" w:sz="4" w:space="0" w:color="auto"/>
              <w:right w:val="single" w:sz="4" w:space="0" w:color="auto"/>
            </w:tcBorders>
            <w:vAlign w:val="center"/>
          </w:tcPr>
          <w:p w14:paraId="3EE5ED6E" w14:textId="69CB58E1" w:rsidR="007B47BC" w:rsidRPr="000B3B05" w:rsidRDefault="007B47BC" w:rsidP="00E377ED">
            <w:pPr>
              <w:rPr>
                <w:rFonts w:ascii="Arial" w:hAnsi="Arial" w:cs="Arial"/>
                <w:sz w:val="16"/>
                <w:lang w:val="es-ES_tradnl"/>
              </w:rPr>
            </w:pPr>
            <w:r w:rsidRPr="000B3B05">
              <w:rPr>
                <w:rFonts w:ascii="Arial" w:hAnsi="Arial" w:cs="Arial"/>
                <w:sz w:val="16"/>
                <w:lang w:val="es-ES_tradnl"/>
              </w:rPr>
              <w:t>Incluyendo costes directos diferentes de los medicamentos</w:t>
            </w:r>
            <w:r w:rsidRPr="000B3B05">
              <w:rPr>
                <w:rFonts w:ascii="Arial" w:hAnsi="Arial" w:cs="Arial"/>
                <w:sz w:val="16"/>
                <w:vertAlign w:val="superscript"/>
                <w:lang w:val="es-ES_tradnl"/>
              </w:rPr>
              <w:t>3</w:t>
            </w:r>
          </w:p>
        </w:tc>
        <w:tc>
          <w:tcPr>
            <w:tcW w:w="1134" w:type="dxa"/>
            <w:tcBorders>
              <w:top w:val="single" w:sz="4" w:space="0" w:color="auto"/>
              <w:left w:val="single" w:sz="4" w:space="0" w:color="auto"/>
              <w:bottom w:val="single" w:sz="4" w:space="0" w:color="auto"/>
              <w:right w:val="single" w:sz="4" w:space="0" w:color="auto"/>
            </w:tcBorders>
            <w:vAlign w:val="center"/>
          </w:tcPr>
          <w:p w14:paraId="15D268CF" w14:textId="5E9C4E73" w:rsidR="007B47BC" w:rsidRDefault="007B47BC" w:rsidP="007B47BC">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440B8A7E" w14:textId="2D7A6E17" w:rsidR="007B47BC" w:rsidRDefault="007B47BC" w:rsidP="007B47BC">
            <w:pPr>
              <w:jc w:val="right"/>
              <w:rPr>
                <w:rFonts w:ascii="Arial" w:hAnsi="Arial" w:cs="Arial"/>
                <w:sz w:val="16"/>
                <w:lang w:val="es-ES_tradnl"/>
              </w:rPr>
            </w:pPr>
            <w:r>
              <w:rPr>
                <w:rFonts w:ascii="Arial" w:hAnsi="Arial" w:cs="Arial"/>
                <w:sz w:val="16"/>
                <w:lang w:val="es-ES_tradnl"/>
              </w:rPr>
              <w:t>3,24 AVAC</w:t>
            </w:r>
          </w:p>
        </w:tc>
        <w:tc>
          <w:tcPr>
            <w:tcW w:w="992" w:type="dxa"/>
            <w:vMerge w:val="restart"/>
            <w:tcBorders>
              <w:top w:val="single" w:sz="4" w:space="0" w:color="auto"/>
              <w:left w:val="single" w:sz="4" w:space="0" w:color="auto"/>
              <w:right w:val="single" w:sz="4" w:space="0" w:color="auto"/>
            </w:tcBorders>
            <w:vAlign w:val="center"/>
          </w:tcPr>
          <w:p w14:paraId="09CCCD95" w14:textId="286A1092" w:rsidR="007B47BC" w:rsidRDefault="007B47BC" w:rsidP="007B47BC">
            <w:pPr>
              <w:jc w:val="right"/>
              <w:rPr>
                <w:rFonts w:ascii="Arial" w:hAnsi="Arial" w:cs="Arial"/>
                <w:sz w:val="16"/>
              </w:rPr>
            </w:pPr>
            <w:r w:rsidRPr="000B3B05">
              <w:rPr>
                <w:rFonts w:ascii="Arial" w:hAnsi="Arial" w:cs="Arial"/>
                <w:sz w:val="16"/>
                <w:lang w:val="es-ES_tradnl"/>
              </w:rPr>
              <w:t>3.</w:t>
            </w:r>
            <w:r>
              <w:rPr>
                <w:rFonts w:ascii="Arial" w:hAnsi="Arial" w:cs="Arial"/>
                <w:sz w:val="16"/>
                <w:lang w:val="es-ES_tradnl"/>
              </w:rPr>
              <w:t>205.350</w:t>
            </w:r>
            <w:r w:rsidRPr="000B3B05">
              <w:rPr>
                <w:rFonts w:ascii="Arial" w:hAnsi="Arial" w:cs="Arial"/>
                <w:sz w:val="16"/>
                <w:lang w:val="es-ES_tradnl"/>
              </w:rPr>
              <w:t xml:space="preserve"> €</w:t>
            </w:r>
          </w:p>
        </w:tc>
        <w:tc>
          <w:tcPr>
            <w:tcW w:w="1134" w:type="dxa"/>
            <w:vMerge w:val="restart"/>
            <w:tcBorders>
              <w:top w:val="single" w:sz="4" w:space="0" w:color="auto"/>
              <w:left w:val="single" w:sz="4" w:space="0" w:color="auto"/>
              <w:right w:val="single" w:sz="4" w:space="0" w:color="auto"/>
            </w:tcBorders>
            <w:vAlign w:val="center"/>
          </w:tcPr>
          <w:p w14:paraId="10F77D63" w14:textId="1409533F" w:rsidR="007B47BC" w:rsidRDefault="007B47BC" w:rsidP="007B47BC">
            <w:pPr>
              <w:jc w:val="right"/>
              <w:rPr>
                <w:rFonts w:ascii="Arial" w:hAnsi="Arial" w:cs="Arial"/>
                <w:sz w:val="16"/>
              </w:rPr>
            </w:pPr>
            <w:r>
              <w:rPr>
                <w:rFonts w:ascii="Arial" w:hAnsi="Arial" w:cs="Arial"/>
                <w:sz w:val="16"/>
              </w:rPr>
              <w:t>3.076.350 €</w:t>
            </w:r>
          </w:p>
        </w:tc>
        <w:tc>
          <w:tcPr>
            <w:tcW w:w="1417" w:type="dxa"/>
            <w:tcBorders>
              <w:top w:val="single" w:sz="4" w:space="0" w:color="auto"/>
              <w:left w:val="single" w:sz="4" w:space="0" w:color="auto"/>
              <w:bottom w:val="single" w:sz="4" w:space="0" w:color="auto"/>
              <w:right w:val="single" w:sz="4" w:space="0" w:color="auto"/>
            </w:tcBorders>
            <w:vAlign w:val="center"/>
          </w:tcPr>
          <w:p w14:paraId="0191F18C" w14:textId="46843B8B" w:rsidR="007B47BC" w:rsidRDefault="007B47BC" w:rsidP="007B47BC">
            <w:pPr>
              <w:jc w:val="right"/>
              <w:rPr>
                <w:rFonts w:ascii="Arial" w:hAnsi="Arial" w:cs="Arial"/>
                <w:sz w:val="16"/>
              </w:rPr>
            </w:pPr>
            <w:r>
              <w:rPr>
                <w:rFonts w:ascii="Arial" w:hAnsi="Arial" w:cs="Arial"/>
                <w:sz w:val="16"/>
                <w:lang w:val="es-ES_tradnl"/>
              </w:rPr>
              <w:t>14.349</w:t>
            </w:r>
            <w:r w:rsidRPr="000B3B05">
              <w:rPr>
                <w:rFonts w:ascii="Arial" w:hAnsi="Arial" w:cs="Arial"/>
                <w:sz w:val="16"/>
                <w:lang w:val="es-ES_tradnl"/>
              </w:rPr>
              <w:t xml:space="preserve"> €/AVAC</w:t>
            </w:r>
          </w:p>
        </w:tc>
      </w:tr>
      <w:tr w:rsidR="007B47BC" w14:paraId="4A7F45F6"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154AACA5" w14:textId="11CFDD85" w:rsidR="007B47BC" w:rsidRPr="00DE0053" w:rsidRDefault="007B47BC" w:rsidP="00E377ED">
            <w:pPr>
              <w:rPr>
                <w:rFonts w:ascii="Arial" w:hAnsi="Arial" w:cs="Arial"/>
                <w:b/>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6CCDE00C" w14:textId="700E7FDD" w:rsidR="007B47BC" w:rsidRDefault="007B47BC" w:rsidP="007B47BC">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31192FB6" w14:textId="774C3E30" w:rsidR="007B47BC" w:rsidRDefault="007B47BC" w:rsidP="007B47BC">
            <w:pPr>
              <w:jc w:val="right"/>
              <w:rPr>
                <w:rFonts w:ascii="Arial" w:hAnsi="Arial" w:cs="Arial"/>
                <w:sz w:val="16"/>
                <w:lang w:val="es-ES_tradnl"/>
              </w:rPr>
            </w:pPr>
            <w:r>
              <w:rPr>
                <w:rFonts w:ascii="Arial" w:hAnsi="Arial" w:cs="Arial"/>
                <w:sz w:val="16"/>
                <w:lang w:val="es-ES_tradnl"/>
              </w:rPr>
              <w:t>7,64 AV</w:t>
            </w:r>
          </w:p>
        </w:tc>
        <w:tc>
          <w:tcPr>
            <w:tcW w:w="992" w:type="dxa"/>
            <w:vMerge/>
            <w:tcBorders>
              <w:left w:val="single" w:sz="4" w:space="0" w:color="auto"/>
              <w:bottom w:val="single" w:sz="4" w:space="0" w:color="auto"/>
              <w:right w:val="single" w:sz="4" w:space="0" w:color="auto"/>
            </w:tcBorders>
            <w:vAlign w:val="center"/>
          </w:tcPr>
          <w:p w14:paraId="2E481CA1" w14:textId="458AB0EF" w:rsidR="007B47BC" w:rsidRDefault="007B47BC" w:rsidP="007B47BC">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1F7F1938" w14:textId="12EDBD7A" w:rsidR="007B47BC" w:rsidRDefault="007B47BC" w:rsidP="007B47BC">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9F72CD1" w14:textId="60F92400" w:rsidR="007B47BC" w:rsidRDefault="007B47BC" w:rsidP="007B47BC">
            <w:pPr>
              <w:jc w:val="right"/>
              <w:rPr>
                <w:rFonts w:ascii="Arial" w:hAnsi="Arial" w:cs="Arial"/>
                <w:sz w:val="16"/>
              </w:rPr>
            </w:pPr>
            <w:r>
              <w:rPr>
                <w:rFonts w:ascii="Arial" w:hAnsi="Arial" w:cs="Arial"/>
                <w:sz w:val="16"/>
                <w:lang w:val="es-ES_tradnl"/>
              </w:rPr>
              <w:t>12.250</w:t>
            </w:r>
            <w:r w:rsidRPr="000B3B05">
              <w:rPr>
                <w:rFonts w:ascii="Arial" w:hAnsi="Arial" w:cs="Arial"/>
                <w:sz w:val="16"/>
                <w:lang w:val="es-ES_tradnl"/>
              </w:rPr>
              <w:t xml:space="preserve"> €/AV</w:t>
            </w:r>
          </w:p>
        </w:tc>
      </w:tr>
      <w:tr w:rsidR="007B47BC" w14:paraId="2FA73084" w14:textId="77777777" w:rsidTr="00A35C6F">
        <w:trPr>
          <w:cantSplit/>
          <w:trHeight w:val="310"/>
        </w:trPr>
        <w:tc>
          <w:tcPr>
            <w:tcW w:w="3331" w:type="dxa"/>
            <w:vMerge w:val="restart"/>
            <w:tcBorders>
              <w:top w:val="single" w:sz="4" w:space="0" w:color="auto"/>
              <w:left w:val="single" w:sz="4" w:space="0" w:color="auto"/>
              <w:right w:val="single" w:sz="4" w:space="0" w:color="auto"/>
            </w:tcBorders>
            <w:vAlign w:val="center"/>
          </w:tcPr>
          <w:p w14:paraId="3AFD3C55" w14:textId="182CD384" w:rsidR="007B47BC" w:rsidRPr="00DE0053" w:rsidRDefault="007B47BC" w:rsidP="004212EC">
            <w:pPr>
              <w:rPr>
                <w:rFonts w:ascii="Arial" w:hAnsi="Arial" w:cs="Arial"/>
                <w:b/>
                <w:sz w:val="16"/>
                <w:lang w:val="es-ES_tradnl"/>
              </w:rPr>
            </w:pPr>
            <w:r>
              <w:rPr>
                <w:rFonts w:ascii="Arial" w:hAnsi="Arial" w:cs="Arial"/>
                <w:sz w:val="16"/>
                <w:lang w:val="es-ES_tradnl"/>
              </w:rPr>
              <w:t>Si un 33% de los tratados con Zolgensma reciben Nusinersen</w:t>
            </w:r>
            <w:r w:rsidRPr="00062E00">
              <w:rPr>
                <w:rFonts w:ascii="Arial" w:hAnsi="Arial" w:cs="Arial"/>
                <w:sz w:val="16"/>
                <w:vertAlign w:val="superscript"/>
                <w:lang w:val="es-ES_tradnl"/>
              </w:rPr>
              <w:t>2</w:t>
            </w:r>
            <w:r>
              <w:rPr>
                <w:rFonts w:ascii="Arial" w:hAnsi="Arial" w:cs="Arial"/>
                <w:sz w:val="16"/>
                <w:vertAlign w:val="superscript"/>
                <w:lang w:val="es-ES_tradnl"/>
              </w:rPr>
              <w:t xml:space="preserve"> </w:t>
            </w:r>
            <w:r w:rsidRPr="000B3B05">
              <w:rPr>
                <w:rFonts w:ascii="Arial" w:hAnsi="Arial" w:cs="Arial"/>
                <w:sz w:val="16"/>
                <w:lang w:val="es-ES_tradnl"/>
              </w:rPr>
              <w:t>+</w:t>
            </w:r>
            <w:r>
              <w:rPr>
                <w:rFonts w:ascii="Arial" w:hAnsi="Arial" w:cs="Arial"/>
                <w:sz w:val="16"/>
                <w:lang w:val="es-ES_tradnl"/>
              </w:rPr>
              <w:t xml:space="preserve"> </w:t>
            </w:r>
            <w:r w:rsidRPr="00062E00">
              <w:rPr>
                <w:rFonts w:ascii="Arial" w:hAnsi="Arial" w:cs="Arial"/>
                <w:sz w:val="16"/>
                <w:lang w:val="es-ES_tradnl"/>
              </w:rPr>
              <w:t>Incluyendo costes directos diferentes de los medicamentos</w:t>
            </w:r>
            <w:r w:rsidRPr="00062E00">
              <w:rPr>
                <w:rFonts w:ascii="Arial" w:hAnsi="Arial" w:cs="Arial"/>
                <w:sz w:val="16"/>
                <w:vertAlign w:val="superscript"/>
                <w:lang w:val="es-ES_tradnl"/>
              </w:rPr>
              <w:t>3</w:t>
            </w:r>
          </w:p>
        </w:tc>
        <w:tc>
          <w:tcPr>
            <w:tcW w:w="1134" w:type="dxa"/>
            <w:tcBorders>
              <w:top w:val="single" w:sz="4" w:space="0" w:color="auto"/>
              <w:left w:val="single" w:sz="4" w:space="0" w:color="auto"/>
              <w:bottom w:val="single" w:sz="4" w:space="0" w:color="auto"/>
              <w:right w:val="single" w:sz="4" w:space="0" w:color="auto"/>
            </w:tcBorders>
            <w:vAlign w:val="center"/>
          </w:tcPr>
          <w:p w14:paraId="200065CB" w14:textId="27FCC69C" w:rsidR="007B47BC" w:rsidRDefault="007B47BC" w:rsidP="007B47BC">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4A4DD937" w14:textId="275C097E" w:rsidR="007B47BC" w:rsidRDefault="007B47BC" w:rsidP="007B47BC">
            <w:pPr>
              <w:jc w:val="right"/>
              <w:rPr>
                <w:rFonts w:ascii="Arial" w:hAnsi="Arial" w:cs="Arial"/>
                <w:sz w:val="16"/>
                <w:lang w:val="es-ES_tradnl"/>
              </w:rPr>
            </w:pPr>
            <w:r>
              <w:rPr>
                <w:rFonts w:ascii="Arial" w:hAnsi="Arial" w:cs="Arial"/>
                <w:sz w:val="16"/>
                <w:lang w:val="es-ES_tradnl"/>
              </w:rPr>
              <w:t>3,24 AVAC</w:t>
            </w:r>
          </w:p>
        </w:tc>
        <w:tc>
          <w:tcPr>
            <w:tcW w:w="992" w:type="dxa"/>
            <w:vMerge w:val="restart"/>
            <w:tcBorders>
              <w:top w:val="single" w:sz="4" w:space="0" w:color="auto"/>
              <w:left w:val="single" w:sz="4" w:space="0" w:color="auto"/>
              <w:right w:val="single" w:sz="4" w:space="0" w:color="auto"/>
            </w:tcBorders>
            <w:vAlign w:val="center"/>
          </w:tcPr>
          <w:p w14:paraId="2792DCDD" w14:textId="4B218A85" w:rsidR="007B47BC" w:rsidRDefault="007B47BC" w:rsidP="007B47BC">
            <w:pPr>
              <w:jc w:val="right"/>
              <w:rPr>
                <w:rFonts w:ascii="Arial" w:hAnsi="Arial" w:cs="Arial"/>
                <w:sz w:val="16"/>
              </w:rPr>
            </w:pPr>
            <w:r>
              <w:rPr>
                <w:rFonts w:ascii="Arial" w:hAnsi="Arial" w:cs="Arial"/>
                <w:sz w:val="16"/>
              </w:rPr>
              <w:t>3.756.879</w:t>
            </w:r>
            <w:r w:rsidRPr="00062E00">
              <w:rPr>
                <w:rFonts w:ascii="Arial" w:hAnsi="Arial" w:cs="Arial"/>
                <w:sz w:val="16"/>
              </w:rPr>
              <w:t xml:space="preserve"> €</w:t>
            </w:r>
          </w:p>
        </w:tc>
        <w:tc>
          <w:tcPr>
            <w:tcW w:w="1134" w:type="dxa"/>
            <w:vMerge w:val="restart"/>
            <w:tcBorders>
              <w:top w:val="single" w:sz="4" w:space="0" w:color="auto"/>
              <w:left w:val="single" w:sz="4" w:space="0" w:color="auto"/>
              <w:right w:val="single" w:sz="4" w:space="0" w:color="auto"/>
            </w:tcBorders>
            <w:vAlign w:val="center"/>
          </w:tcPr>
          <w:p w14:paraId="482FC182" w14:textId="0B612102" w:rsidR="007B47BC" w:rsidRDefault="007B47BC" w:rsidP="007B47BC">
            <w:pPr>
              <w:jc w:val="right"/>
              <w:rPr>
                <w:rFonts w:ascii="Arial" w:hAnsi="Arial" w:cs="Arial"/>
                <w:sz w:val="16"/>
              </w:rPr>
            </w:pPr>
            <w:r>
              <w:rPr>
                <w:rFonts w:ascii="Arial" w:hAnsi="Arial" w:cs="Arial"/>
                <w:sz w:val="16"/>
              </w:rPr>
              <w:t>3.076.350 €</w:t>
            </w:r>
          </w:p>
        </w:tc>
        <w:tc>
          <w:tcPr>
            <w:tcW w:w="1417" w:type="dxa"/>
            <w:tcBorders>
              <w:top w:val="single" w:sz="4" w:space="0" w:color="auto"/>
              <w:left w:val="single" w:sz="4" w:space="0" w:color="auto"/>
              <w:bottom w:val="single" w:sz="4" w:space="0" w:color="auto"/>
              <w:right w:val="single" w:sz="4" w:space="0" w:color="auto"/>
            </w:tcBorders>
            <w:vAlign w:val="center"/>
          </w:tcPr>
          <w:p w14:paraId="6B1F6D0B" w14:textId="1EB5B95A" w:rsidR="007B47BC" w:rsidRDefault="007B47BC" w:rsidP="007B47BC">
            <w:pPr>
              <w:jc w:val="right"/>
              <w:rPr>
                <w:rFonts w:ascii="Arial" w:hAnsi="Arial" w:cs="Arial"/>
                <w:sz w:val="16"/>
              </w:rPr>
            </w:pPr>
            <w:r>
              <w:rPr>
                <w:rFonts w:ascii="Arial" w:hAnsi="Arial" w:cs="Arial"/>
                <w:sz w:val="16"/>
              </w:rPr>
              <w:t>75.698</w:t>
            </w:r>
            <w:r w:rsidRPr="00062E00">
              <w:rPr>
                <w:rFonts w:ascii="Arial" w:hAnsi="Arial" w:cs="Arial"/>
                <w:sz w:val="16"/>
              </w:rPr>
              <w:t xml:space="preserve"> €/AVAC</w:t>
            </w:r>
          </w:p>
        </w:tc>
      </w:tr>
      <w:tr w:rsidR="007B47BC" w14:paraId="42DD795E"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26522772" w14:textId="1127D373" w:rsidR="007B47BC" w:rsidRPr="00DE0053" w:rsidRDefault="007B47BC" w:rsidP="00E377ED">
            <w:pPr>
              <w:rPr>
                <w:rFonts w:ascii="Arial" w:hAnsi="Arial" w:cs="Arial"/>
                <w:b/>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38C01A1B" w14:textId="38A1CBE2" w:rsidR="007B47BC" w:rsidRDefault="007B47BC" w:rsidP="007B47BC">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3CB6418B" w14:textId="32177704" w:rsidR="007B47BC" w:rsidRDefault="007B47BC" w:rsidP="007B47BC">
            <w:pPr>
              <w:jc w:val="right"/>
              <w:rPr>
                <w:rFonts w:ascii="Arial" w:hAnsi="Arial" w:cs="Arial"/>
                <w:sz w:val="16"/>
                <w:lang w:val="es-ES_tradnl"/>
              </w:rPr>
            </w:pPr>
            <w:r>
              <w:rPr>
                <w:rFonts w:ascii="Arial" w:hAnsi="Arial" w:cs="Arial"/>
                <w:sz w:val="16"/>
                <w:lang w:val="es-ES_tradnl"/>
              </w:rPr>
              <w:t>7,64 AV</w:t>
            </w:r>
          </w:p>
        </w:tc>
        <w:tc>
          <w:tcPr>
            <w:tcW w:w="992" w:type="dxa"/>
            <w:vMerge/>
            <w:tcBorders>
              <w:left w:val="single" w:sz="4" w:space="0" w:color="auto"/>
              <w:bottom w:val="single" w:sz="4" w:space="0" w:color="auto"/>
              <w:right w:val="single" w:sz="4" w:space="0" w:color="auto"/>
            </w:tcBorders>
            <w:vAlign w:val="center"/>
          </w:tcPr>
          <w:p w14:paraId="36FD5321" w14:textId="1616BAEB" w:rsidR="007B47BC" w:rsidRDefault="007B47BC" w:rsidP="007B47BC">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2F6AE677" w14:textId="0F8FAE19" w:rsidR="007B47BC" w:rsidRDefault="007B47BC" w:rsidP="007B47BC">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33183607" w14:textId="3BA0A570" w:rsidR="007B47BC" w:rsidRDefault="007B47BC" w:rsidP="007B47BC">
            <w:pPr>
              <w:jc w:val="right"/>
              <w:rPr>
                <w:rFonts w:ascii="Arial" w:hAnsi="Arial" w:cs="Arial"/>
                <w:sz w:val="16"/>
              </w:rPr>
            </w:pPr>
            <w:r>
              <w:rPr>
                <w:rFonts w:ascii="Arial" w:hAnsi="Arial" w:cs="Arial"/>
                <w:sz w:val="16"/>
              </w:rPr>
              <w:t>64.627</w:t>
            </w:r>
            <w:r w:rsidRPr="00062E00">
              <w:rPr>
                <w:rFonts w:ascii="Arial" w:hAnsi="Arial" w:cs="Arial"/>
                <w:sz w:val="16"/>
              </w:rPr>
              <w:t xml:space="preserve"> €/AV</w:t>
            </w:r>
          </w:p>
        </w:tc>
      </w:tr>
      <w:tr w:rsidR="007B47BC" w14:paraId="4DA83312" w14:textId="77777777" w:rsidTr="00A35C6F">
        <w:trPr>
          <w:cantSplit/>
          <w:trHeight w:val="310"/>
        </w:trPr>
        <w:tc>
          <w:tcPr>
            <w:tcW w:w="3331" w:type="dxa"/>
            <w:vMerge w:val="restart"/>
            <w:tcBorders>
              <w:left w:val="single" w:sz="4" w:space="0" w:color="auto"/>
              <w:right w:val="single" w:sz="4" w:space="0" w:color="auto"/>
            </w:tcBorders>
            <w:vAlign w:val="center"/>
          </w:tcPr>
          <w:p w14:paraId="20E2F5B2" w14:textId="734B0726" w:rsidR="007B47BC" w:rsidRPr="00DE0053" w:rsidRDefault="007B47BC" w:rsidP="002B2D4F">
            <w:pPr>
              <w:rPr>
                <w:rFonts w:ascii="Arial" w:hAnsi="Arial" w:cs="Arial"/>
                <w:b/>
                <w:sz w:val="16"/>
                <w:lang w:val="es-ES_tradnl"/>
              </w:rPr>
            </w:pPr>
            <w:r>
              <w:rPr>
                <w:rFonts w:ascii="Arial" w:hAnsi="Arial" w:cs="Arial"/>
                <w:sz w:val="16"/>
                <w:lang w:val="es-ES_tradnl"/>
              </w:rPr>
              <w:t>Si un 16% de los tratados con Zolgensma reciben Nusinersen</w:t>
            </w:r>
            <w:r>
              <w:rPr>
                <w:rFonts w:ascii="Arial" w:hAnsi="Arial" w:cs="Arial"/>
                <w:sz w:val="16"/>
                <w:vertAlign w:val="superscript"/>
                <w:lang w:val="es-ES_tradnl"/>
              </w:rPr>
              <w:t xml:space="preserve"> </w:t>
            </w:r>
            <w:r w:rsidRPr="000B3B05">
              <w:rPr>
                <w:rFonts w:ascii="Arial" w:hAnsi="Arial" w:cs="Arial"/>
                <w:sz w:val="16"/>
                <w:lang w:val="es-ES_tradnl"/>
              </w:rPr>
              <w:t>+</w:t>
            </w:r>
            <w:r>
              <w:rPr>
                <w:rFonts w:ascii="Arial" w:hAnsi="Arial" w:cs="Arial"/>
                <w:sz w:val="16"/>
                <w:lang w:val="es-ES_tradnl"/>
              </w:rPr>
              <w:t xml:space="preserve"> </w:t>
            </w:r>
            <w:r w:rsidRPr="00062E00">
              <w:rPr>
                <w:rFonts w:ascii="Arial" w:hAnsi="Arial" w:cs="Arial"/>
                <w:sz w:val="16"/>
                <w:lang w:val="es-ES_tradnl"/>
              </w:rPr>
              <w:t>Incluyendo costes directos diferentes de los medicamentos</w:t>
            </w:r>
          </w:p>
        </w:tc>
        <w:tc>
          <w:tcPr>
            <w:tcW w:w="1134" w:type="dxa"/>
            <w:tcBorders>
              <w:top w:val="single" w:sz="4" w:space="0" w:color="auto"/>
              <w:left w:val="single" w:sz="4" w:space="0" w:color="auto"/>
              <w:bottom w:val="single" w:sz="4" w:space="0" w:color="auto"/>
              <w:right w:val="single" w:sz="4" w:space="0" w:color="auto"/>
            </w:tcBorders>
            <w:vAlign w:val="center"/>
          </w:tcPr>
          <w:p w14:paraId="3DF8688F" w14:textId="64963B55" w:rsidR="007B47BC" w:rsidRDefault="007B47BC" w:rsidP="007B47BC">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7DD006F1" w14:textId="726F2795" w:rsidR="007B47BC" w:rsidRDefault="007B47BC" w:rsidP="007B47BC">
            <w:pPr>
              <w:jc w:val="right"/>
              <w:rPr>
                <w:rFonts w:ascii="Arial" w:hAnsi="Arial" w:cs="Arial"/>
                <w:sz w:val="16"/>
                <w:lang w:val="es-ES_tradnl"/>
              </w:rPr>
            </w:pPr>
            <w:r>
              <w:rPr>
                <w:rFonts w:ascii="Arial" w:hAnsi="Arial" w:cs="Arial"/>
                <w:sz w:val="16"/>
                <w:lang w:val="es-ES_tradnl"/>
              </w:rPr>
              <w:t>3,24 AVAC</w:t>
            </w:r>
          </w:p>
        </w:tc>
        <w:tc>
          <w:tcPr>
            <w:tcW w:w="992" w:type="dxa"/>
            <w:vMerge w:val="restart"/>
            <w:tcBorders>
              <w:top w:val="single" w:sz="4" w:space="0" w:color="auto"/>
              <w:left w:val="single" w:sz="4" w:space="0" w:color="auto"/>
              <w:right w:val="single" w:sz="4" w:space="0" w:color="auto"/>
            </w:tcBorders>
            <w:vAlign w:val="center"/>
          </w:tcPr>
          <w:p w14:paraId="30A75951" w14:textId="25F329A9" w:rsidR="007B47BC" w:rsidRDefault="007B47BC" w:rsidP="007B47BC">
            <w:pPr>
              <w:jc w:val="right"/>
              <w:rPr>
                <w:rFonts w:ascii="Arial" w:hAnsi="Arial" w:cs="Arial"/>
                <w:sz w:val="16"/>
              </w:rPr>
            </w:pPr>
            <w:r>
              <w:rPr>
                <w:rFonts w:ascii="Arial" w:hAnsi="Arial" w:cs="Arial"/>
                <w:sz w:val="16"/>
              </w:rPr>
              <w:t>3.472.758 €</w:t>
            </w:r>
          </w:p>
        </w:tc>
        <w:tc>
          <w:tcPr>
            <w:tcW w:w="1134" w:type="dxa"/>
            <w:vMerge w:val="restart"/>
            <w:tcBorders>
              <w:top w:val="single" w:sz="4" w:space="0" w:color="auto"/>
              <w:left w:val="single" w:sz="4" w:space="0" w:color="auto"/>
              <w:right w:val="single" w:sz="4" w:space="0" w:color="auto"/>
            </w:tcBorders>
            <w:vAlign w:val="center"/>
          </w:tcPr>
          <w:p w14:paraId="1F1A4561" w14:textId="011FB0EB" w:rsidR="007B47BC" w:rsidRDefault="007B47BC" w:rsidP="007B47BC">
            <w:pPr>
              <w:jc w:val="right"/>
              <w:rPr>
                <w:rFonts w:ascii="Arial" w:hAnsi="Arial" w:cs="Arial"/>
                <w:sz w:val="16"/>
              </w:rPr>
            </w:pPr>
            <w:r>
              <w:rPr>
                <w:rFonts w:ascii="Arial" w:hAnsi="Arial" w:cs="Arial"/>
                <w:sz w:val="16"/>
              </w:rPr>
              <w:t>3.076.350 €</w:t>
            </w:r>
          </w:p>
        </w:tc>
        <w:tc>
          <w:tcPr>
            <w:tcW w:w="1417" w:type="dxa"/>
            <w:tcBorders>
              <w:top w:val="single" w:sz="4" w:space="0" w:color="auto"/>
              <w:left w:val="single" w:sz="4" w:space="0" w:color="auto"/>
              <w:bottom w:val="single" w:sz="4" w:space="0" w:color="auto"/>
              <w:right w:val="single" w:sz="4" w:space="0" w:color="auto"/>
            </w:tcBorders>
            <w:vAlign w:val="center"/>
          </w:tcPr>
          <w:p w14:paraId="4DE4629E" w14:textId="43362C7C" w:rsidR="007B47BC" w:rsidRDefault="007B47BC" w:rsidP="007B47BC">
            <w:pPr>
              <w:jc w:val="right"/>
              <w:rPr>
                <w:rFonts w:ascii="Arial" w:hAnsi="Arial" w:cs="Arial"/>
                <w:sz w:val="16"/>
              </w:rPr>
            </w:pPr>
            <w:r>
              <w:rPr>
                <w:rFonts w:ascii="Arial" w:hAnsi="Arial" w:cs="Arial"/>
                <w:sz w:val="16"/>
              </w:rPr>
              <w:t>44.094 €/AVAC</w:t>
            </w:r>
          </w:p>
        </w:tc>
      </w:tr>
      <w:tr w:rsidR="007B47BC" w14:paraId="1B7B1DA6"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4DA81E83" w14:textId="77777777" w:rsidR="007B47BC" w:rsidRPr="00DE0053" w:rsidRDefault="007B47BC" w:rsidP="00E377ED">
            <w:pPr>
              <w:rPr>
                <w:rFonts w:ascii="Arial" w:hAnsi="Arial" w:cs="Arial"/>
                <w:b/>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45A77669" w14:textId="2D4E7B10" w:rsidR="007B47BC" w:rsidRDefault="007B47BC" w:rsidP="007B47BC">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4476666C" w14:textId="36D3D913" w:rsidR="007B47BC" w:rsidRDefault="007B47BC" w:rsidP="007B47BC">
            <w:pPr>
              <w:jc w:val="right"/>
              <w:rPr>
                <w:rFonts w:ascii="Arial" w:hAnsi="Arial" w:cs="Arial"/>
                <w:sz w:val="16"/>
                <w:lang w:val="es-ES_tradnl"/>
              </w:rPr>
            </w:pPr>
            <w:r>
              <w:rPr>
                <w:rFonts w:ascii="Arial" w:hAnsi="Arial" w:cs="Arial"/>
                <w:sz w:val="16"/>
                <w:lang w:val="es-ES_tradnl"/>
              </w:rPr>
              <w:t>7,64 AV</w:t>
            </w:r>
          </w:p>
        </w:tc>
        <w:tc>
          <w:tcPr>
            <w:tcW w:w="992" w:type="dxa"/>
            <w:vMerge/>
            <w:tcBorders>
              <w:left w:val="single" w:sz="4" w:space="0" w:color="auto"/>
              <w:bottom w:val="single" w:sz="4" w:space="0" w:color="auto"/>
              <w:right w:val="single" w:sz="4" w:space="0" w:color="auto"/>
            </w:tcBorders>
            <w:vAlign w:val="center"/>
          </w:tcPr>
          <w:p w14:paraId="0D4413A1" w14:textId="2AE40AB4" w:rsidR="007B47BC" w:rsidRDefault="007B47BC" w:rsidP="007B47BC">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07B1CB87" w14:textId="1718BBA9" w:rsidR="007B47BC" w:rsidRDefault="007B47BC" w:rsidP="007B47BC">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4AD9AAD2" w14:textId="771DDF41" w:rsidR="007B47BC" w:rsidRDefault="007B47BC" w:rsidP="007B47BC">
            <w:pPr>
              <w:jc w:val="right"/>
              <w:rPr>
                <w:rFonts w:ascii="Arial" w:hAnsi="Arial" w:cs="Arial"/>
                <w:sz w:val="16"/>
              </w:rPr>
            </w:pPr>
            <w:r>
              <w:rPr>
                <w:rFonts w:ascii="Arial" w:hAnsi="Arial" w:cs="Arial"/>
                <w:sz w:val="16"/>
              </w:rPr>
              <w:t>37.646€/AV</w:t>
            </w:r>
          </w:p>
        </w:tc>
      </w:tr>
      <w:tr w:rsidR="007B47BC" w14:paraId="62BCA0CD" w14:textId="77777777" w:rsidTr="007B47BC">
        <w:trPr>
          <w:cantSplit/>
          <w:trHeight w:val="441"/>
        </w:trPr>
        <w:tc>
          <w:tcPr>
            <w:tcW w:w="3331" w:type="dxa"/>
            <w:vMerge w:val="restart"/>
            <w:tcBorders>
              <w:top w:val="single" w:sz="4" w:space="0" w:color="auto"/>
              <w:left w:val="single" w:sz="4" w:space="0" w:color="auto"/>
              <w:right w:val="single" w:sz="4" w:space="0" w:color="auto"/>
            </w:tcBorders>
            <w:vAlign w:val="center"/>
          </w:tcPr>
          <w:p w14:paraId="25653928" w14:textId="501566EB" w:rsidR="007B47BC" w:rsidRPr="004212EC" w:rsidRDefault="007B47BC" w:rsidP="00D37336">
            <w:pPr>
              <w:rPr>
                <w:rFonts w:ascii="Arial" w:hAnsi="Arial" w:cs="Arial"/>
                <w:sz w:val="16"/>
                <w:lang w:val="es-ES_tradnl"/>
              </w:rPr>
            </w:pPr>
            <w:r>
              <w:rPr>
                <w:rFonts w:ascii="Arial" w:hAnsi="Arial" w:cs="Arial"/>
                <w:sz w:val="16"/>
                <w:lang w:val="es-ES_tradnl"/>
              </w:rPr>
              <w:t>Si un 33% de los tratados con Zolgensma reciben Nusinersen</w:t>
            </w:r>
            <w:r w:rsidRPr="00062E00">
              <w:rPr>
                <w:rFonts w:ascii="Arial" w:hAnsi="Arial" w:cs="Arial"/>
                <w:sz w:val="16"/>
                <w:vertAlign w:val="superscript"/>
                <w:lang w:val="es-ES_tradnl"/>
              </w:rPr>
              <w:t>2</w:t>
            </w:r>
            <w:r>
              <w:rPr>
                <w:rFonts w:ascii="Arial" w:hAnsi="Arial" w:cs="Arial"/>
                <w:sz w:val="16"/>
                <w:vertAlign w:val="superscript"/>
                <w:lang w:val="es-ES_tradnl"/>
              </w:rPr>
              <w:t xml:space="preserve"> </w:t>
            </w:r>
            <w:r w:rsidRPr="00062E00">
              <w:rPr>
                <w:rFonts w:ascii="Arial" w:hAnsi="Arial" w:cs="Arial"/>
                <w:sz w:val="16"/>
                <w:lang w:val="es-ES_tradnl"/>
              </w:rPr>
              <w:t>+</w:t>
            </w:r>
            <w:r>
              <w:rPr>
                <w:rFonts w:ascii="Arial" w:hAnsi="Arial" w:cs="Arial"/>
                <w:sz w:val="16"/>
                <w:lang w:val="es-ES_tradnl"/>
              </w:rPr>
              <w:t xml:space="preserve"> </w:t>
            </w:r>
            <w:r w:rsidRPr="00062E00">
              <w:rPr>
                <w:rFonts w:ascii="Arial" w:hAnsi="Arial" w:cs="Arial"/>
                <w:sz w:val="16"/>
                <w:lang w:val="es-ES_tradnl"/>
              </w:rPr>
              <w:t>Incluyendo costes directos diferentes de los medicamentos</w:t>
            </w:r>
            <w:r w:rsidRPr="00062E00">
              <w:rPr>
                <w:rFonts w:ascii="Arial" w:hAnsi="Arial" w:cs="Arial"/>
                <w:sz w:val="16"/>
                <w:vertAlign w:val="superscript"/>
                <w:lang w:val="es-ES_tradnl"/>
              </w:rPr>
              <w:t>3</w:t>
            </w:r>
            <w:r>
              <w:rPr>
                <w:rFonts w:ascii="Arial" w:hAnsi="Arial" w:cs="Arial"/>
                <w:sz w:val="16"/>
                <w:lang w:val="es-ES_tradnl"/>
              </w:rPr>
              <w:t>, suponiendo que estos costes son un 20% menores que en EEUU</w:t>
            </w:r>
          </w:p>
        </w:tc>
        <w:tc>
          <w:tcPr>
            <w:tcW w:w="1134" w:type="dxa"/>
            <w:tcBorders>
              <w:top w:val="single" w:sz="4" w:space="0" w:color="auto"/>
              <w:left w:val="single" w:sz="4" w:space="0" w:color="auto"/>
              <w:right w:val="single" w:sz="4" w:space="0" w:color="auto"/>
            </w:tcBorders>
            <w:vAlign w:val="center"/>
          </w:tcPr>
          <w:p w14:paraId="374E68A8" w14:textId="71C74B19" w:rsidR="007B47BC" w:rsidRDefault="007B47BC" w:rsidP="007B47BC">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right w:val="single" w:sz="4" w:space="0" w:color="auto"/>
            </w:tcBorders>
            <w:vAlign w:val="center"/>
          </w:tcPr>
          <w:p w14:paraId="5611C68D" w14:textId="0598FCCA" w:rsidR="007B47BC" w:rsidRDefault="007B47BC" w:rsidP="007B47BC">
            <w:pPr>
              <w:jc w:val="right"/>
              <w:rPr>
                <w:rFonts w:ascii="Arial" w:hAnsi="Arial" w:cs="Arial"/>
                <w:sz w:val="16"/>
                <w:lang w:val="es-ES_tradnl"/>
              </w:rPr>
            </w:pPr>
            <w:r>
              <w:rPr>
                <w:rFonts w:ascii="Arial" w:hAnsi="Arial" w:cs="Arial"/>
                <w:sz w:val="16"/>
                <w:lang w:val="es-ES_tradnl"/>
              </w:rPr>
              <w:t>3,24 AVAC</w:t>
            </w:r>
          </w:p>
        </w:tc>
        <w:tc>
          <w:tcPr>
            <w:tcW w:w="992" w:type="dxa"/>
            <w:vMerge w:val="restart"/>
            <w:tcBorders>
              <w:top w:val="single" w:sz="4" w:space="0" w:color="auto"/>
              <w:left w:val="single" w:sz="4" w:space="0" w:color="auto"/>
              <w:right w:val="single" w:sz="4" w:space="0" w:color="auto"/>
            </w:tcBorders>
            <w:vAlign w:val="center"/>
          </w:tcPr>
          <w:p w14:paraId="02FB010B" w14:textId="5F9EA254" w:rsidR="007B47BC" w:rsidRDefault="007B47BC" w:rsidP="007B47BC">
            <w:pPr>
              <w:jc w:val="right"/>
              <w:rPr>
                <w:rFonts w:ascii="Arial" w:hAnsi="Arial" w:cs="Arial"/>
                <w:sz w:val="16"/>
              </w:rPr>
            </w:pPr>
            <w:r>
              <w:rPr>
                <w:rFonts w:ascii="Arial" w:hAnsi="Arial" w:cs="Arial"/>
                <w:sz w:val="16"/>
              </w:rPr>
              <w:t>3.472.809 €</w:t>
            </w:r>
          </w:p>
        </w:tc>
        <w:tc>
          <w:tcPr>
            <w:tcW w:w="1134" w:type="dxa"/>
            <w:vMerge w:val="restart"/>
            <w:tcBorders>
              <w:top w:val="single" w:sz="4" w:space="0" w:color="auto"/>
              <w:left w:val="single" w:sz="4" w:space="0" w:color="auto"/>
              <w:right w:val="single" w:sz="4" w:space="0" w:color="auto"/>
            </w:tcBorders>
            <w:vAlign w:val="center"/>
          </w:tcPr>
          <w:p w14:paraId="7263B319" w14:textId="49DA2E53" w:rsidR="007B47BC" w:rsidRDefault="007B47BC" w:rsidP="007B47BC">
            <w:pPr>
              <w:jc w:val="right"/>
              <w:rPr>
                <w:rFonts w:ascii="Arial" w:hAnsi="Arial" w:cs="Arial"/>
                <w:sz w:val="16"/>
              </w:rPr>
            </w:pPr>
            <w:r>
              <w:rPr>
                <w:rFonts w:ascii="Arial" w:hAnsi="Arial" w:cs="Arial"/>
                <w:sz w:val="16"/>
              </w:rPr>
              <w:t>2.795.340 €</w:t>
            </w:r>
          </w:p>
        </w:tc>
        <w:tc>
          <w:tcPr>
            <w:tcW w:w="1417" w:type="dxa"/>
            <w:tcBorders>
              <w:top w:val="single" w:sz="4" w:space="0" w:color="auto"/>
              <w:left w:val="single" w:sz="4" w:space="0" w:color="auto"/>
              <w:bottom w:val="single" w:sz="4" w:space="0" w:color="auto"/>
              <w:right w:val="single" w:sz="4" w:space="0" w:color="auto"/>
            </w:tcBorders>
            <w:vAlign w:val="center"/>
          </w:tcPr>
          <w:p w14:paraId="75DAB773" w14:textId="1685248F" w:rsidR="007B47BC" w:rsidRDefault="007B47BC" w:rsidP="007B47BC">
            <w:pPr>
              <w:jc w:val="right"/>
              <w:rPr>
                <w:rFonts w:ascii="Arial" w:hAnsi="Arial" w:cs="Arial"/>
                <w:sz w:val="16"/>
              </w:rPr>
            </w:pPr>
            <w:r>
              <w:rPr>
                <w:rFonts w:ascii="Arial" w:hAnsi="Arial" w:cs="Arial"/>
                <w:sz w:val="16"/>
              </w:rPr>
              <w:t>75.358 €/AVAC</w:t>
            </w:r>
          </w:p>
        </w:tc>
      </w:tr>
      <w:tr w:rsidR="007B47BC" w14:paraId="50EC9725" w14:textId="77777777" w:rsidTr="007B47BC">
        <w:trPr>
          <w:cantSplit/>
          <w:trHeight w:val="351"/>
        </w:trPr>
        <w:tc>
          <w:tcPr>
            <w:tcW w:w="3331" w:type="dxa"/>
            <w:vMerge/>
            <w:tcBorders>
              <w:left w:val="single" w:sz="4" w:space="0" w:color="auto"/>
              <w:bottom w:val="single" w:sz="4" w:space="0" w:color="auto"/>
              <w:right w:val="single" w:sz="4" w:space="0" w:color="auto"/>
            </w:tcBorders>
            <w:vAlign w:val="center"/>
          </w:tcPr>
          <w:p w14:paraId="59F0DDB8" w14:textId="77777777" w:rsidR="007B47BC" w:rsidRDefault="007B47BC" w:rsidP="00D37336">
            <w:pPr>
              <w:rPr>
                <w:rFonts w:ascii="Arial" w:hAnsi="Arial" w:cs="Arial"/>
                <w:sz w:val="16"/>
                <w:lang w:val="es-ES_tradnl"/>
              </w:rPr>
            </w:pPr>
          </w:p>
        </w:tc>
        <w:tc>
          <w:tcPr>
            <w:tcW w:w="1134" w:type="dxa"/>
            <w:tcBorders>
              <w:left w:val="single" w:sz="4" w:space="0" w:color="auto"/>
              <w:bottom w:val="single" w:sz="4" w:space="0" w:color="auto"/>
              <w:right w:val="single" w:sz="4" w:space="0" w:color="auto"/>
            </w:tcBorders>
            <w:vAlign w:val="center"/>
          </w:tcPr>
          <w:p w14:paraId="0876C3FF" w14:textId="65151424" w:rsidR="007B47BC" w:rsidRDefault="007B47BC" w:rsidP="007B47BC">
            <w:pPr>
              <w:jc w:val="right"/>
              <w:rPr>
                <w:rFonts w:ascii="Arial" w:hAnsi="Arial" w:cs="Arial"/>
                <w:sz w:val="16"/>
                <w:lang w:val="es-ES_tradnl"/>
              </w:rPr>
            </w:pPr>
            <w:r>
              <w:rPr>
                <w:rFonts w:ascii="Arial" w:hAnsi="Arial" w:cs="Arial"/>
                <w:sz w:val="16"/>
                <w:lang w:val="es-ES_tradnl"/>
              </w:rPr>
              <w:t>18,17 AV</w:t>
            </w:r>
          </w:p>
        </w:tc>
        <w:tc>
          <w:tcPr>
            <w:tcW w:w="1134" w:type="dxa"/>
            <w:tcBorders>
              <w:left w:val="single" w:sz="4" w:space="0" w:color="auto"/>
              <w:bottom w:val="single" w:sz="4" w:space="0" w:color="auto"/>
              <w:right w:val="single" w:sz="4" w:space="0" w:color="auto"/>
            </w:tcBorders>
            <w:vAlign w:val="center"/>
          </w:tcPr>
          <w:p w14:paraId="4F49D38B" w14:textId="104411BD" w:rsidR="007B47BC" w:rsidRDefault="007B47BC" w:rsidP="007B47BC">
            <w:pPr>
              <w:jc w:val="right"/>
              <w:rPr>
                <w:rFonts w:ascii="Arial" w:hAnsi="Arial" w:cs="Arial"/>
                <w:sz w:val="16"/>
                <w:lang w:val="es-ES_tradnl"/>
              </w:rPr>
            </w:pPr>
            <w:r>
              <w:rPr>
                <w:rFonts w:ascii="Arial" w:hAnsi="Arial" w:cs="Arial"/>
                <w:sz w:val="16"/>
                <w:lang w:val="es-ES_tradnl"/>
              </w:rPr>
              <w:t>7,64 AV</w:t>
            </w:r>
          </w:p>
        </w:tc>
        <w:tc>
          <w:tcPr>
            <w:tcW w:w="992" w:type="dxa"/>
            <w:vMerge/>
            <w:tcBorders>
              <w:left w:val="single" w:sz="4" w:space="0" w:color="auto"/>
              <w:bottom w:val="single" w:sz="4" w:space="0" w:color="auto"/>
              <w:right w:val="single" w:sz="4" w:space="0" w:color="auto"/>
            </w:tcBorders>
            <w:vAlign w:val="center"/>
          </w:tcPr>
          <w:p w14:paraId="5E456764" w14:textId="77777777" w:rsidR="007B47BC" w:rsidRDefault="007B47BC" w:rsidP="007B47BC">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279C56C0" w14:textId="77777777" w:rsidR="007B47BC" w:rsidRDefault="007B47BC" w:rsidP="007B47BC">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33B8BB0C" w14:textId="39BE4D48" w:rsidR="007B47BC" w:rsidRDefault="007B47BC" w:rsidP="007B47BC">
            <w:pPr>
              <w:jc w:val="right"/>
              <w:rPr>
                <w:rFonts w:ascii="Arial" w:hAnsi="Arial" w:cs="Arial"/>
                <w:sz w:val="16"/>
              </w:rPr>
            </w:pPr>
            <w:r>
              <w:rPr>
                <w:rFonts w:ascii="Arial" w:hAnsi="Arial" w:cs="Arial"/>
                <w:sz w:val="16"/>
              </w:rPr>
              <w:t>64.337 €/AV</w:t>
            </w:r>
          </w:p>
        </w:tc>
      </w:tr>
      <w:tr w:rsidR="00060233" w14:paraId="2829440C" w14:textId="77777777" w:rsidTr="007B47BC">
        <w:trPr>
          <w:cantSplit/>
          <w:trHeight w:val="512"/>
        </w:trPr>
        <w:tc>
          <w:tcPr>
            <w:tcW w:w="3331" w:type="dxa"/>
            <w:vMerge w:val="restart"/>
            <w:tcBorders>
              <w:top w:val="single" w:sz="4" w:space="0" w:color="auto"/>
              <w:left w:val="single" w:sz="4" w:space="0" w:color="auto"/>
              <w:right w:val="single" w:sz="4" w:space="0" w:color="auto"/>
            </w:tcBorders>
            <w:vAlign w:val="center"/>
          </w:tcPr>
          <w:p w14:paraId="73845AE9" w14:textId="34A04B25" w:rsidR="00060233" w:rsidRDefault="00060233" w:rsidP="00060233">
            <w:pPr>
              <w:rPr>
                <w:rFonts w:ascii="Arial" w:hAnsi="Arial" w:cs="Arial"/>
                <w:sz w:val="16"/>
                <w:lang w:val="es-ES_tradnl"/>
              </w:rPr>
            </w:pPr>
            <w:r>
              <w:rPr>
                <w:rFonts w:ascii="Arial" w:hAnsi="Arial" w:cs="Arial"/>
                <w:sz w:val="16"/>
                <w:lang w:val="es-ES_tradnl"/>
              </w:rPr>
              <w:t>Si un 16% de los tratados con Zolgensma reciben Nusinersen</w:t>
            </w:r>
            <w:r>
              <w:rPr>
                <w:rFonts w:ascii="Arial" w:hAnsi="Arial" w:cs="Arial"/>
                <w:sz w:val="16"/>
                <w:vertAlign w:val="superscript"/>
                <w:lang w:val="es-ES_tradnl"/>
              </w:rPr>
              <w:t xml:space="preserve"> </w:t>
            </w:r>
            <w:r w:rsidRPr="00062E00">
              <w:rPr>
                <w:rFonts w:ascii="Arial" w:hAnsi="Arial" w:cs="Arial"/>
                <w:sz w:val="16"/>
                <w:lang w:val="es-ES_tradnl"/>
              </w:rPr>
              <w:t>+</w:t>
            </w:r>
            <w:r>
              <w:rPr>
                <w:rFonts w:ascii="Arial" w:hAnsi="Arial" w:cs="Arial"/>
                <w:sz w:val="16"/>
                <w:lang w:val="es-ES_tradnl"/>
              </w:rPr>
              <w:t xml:space="preserve"> </w:t>
            </w:r>
            <w:r w:rsidRPr="00062E00">
              <w:rPr>
                <w:rFonts w:ascii="Arial" w:hAnsi="Arial" w:cs="Arial"/>
                <w:sz w:val="16"/>
                <w:lang w:val="es-ES_tradnl"/>
              </w:rPr>
              <w:t>Incluyendo costes directos diferentes de los medicamentos</w:t>
            </w:r>
            <w:r>
              <w:rPr>
                <w:rFonts w:ascii="Arial" w:hAnsi="Arial" w:cs="Arial"/>
                <w:sz w:val="16"/>
                <w:lang w:val="es-ES_tradnl"/>
              </w:rPr>
              <w:t>, suponiendo que estos costes son un 20% menores que en EEUU</w:t>
            </w:r>
          </w:p>
        </w:tc>
        <w:tc>
          <w:tcPr>
            <w:tcW w:w="1134" w:type="dxa"/>
            <w:tcBorders>
              <w:top w:val="single" w:sz="4" w:space="0" w:color="auto"/>
              <w:left w:val="single" w:sz="4" w:space="0" w:color="auto"/>
              <w:right w:val="single" w:sz="4" w:space="0" w:color="auto"/>
            </w:tcBorders>
            <w:vAlign w:val="center"/>
          </w:tcPr>
          <w:p w14:paraId="37A0847F" w14:textId="2F6A3E1D" w:rsidR="00060233" w:rsidRDefault="00060233" w:rsidP="007B47BC">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right w:val="single" w:sz="4" w:space="0" w:color="auto"/>
            </w:tcBorders>
            <w:vAlign w:val="center"/>
          </w:tcPr>
          <w:p w14:paraId="2407CCB0" w14:textId="19DDAA5E" w:rsidR="00060233" w:rsidRDefault="00060233" w:rsidP="007B47BC">
            <w:pPr>
              <w:jc w:val="right"/>
              <w:rPr>
                <w:rFonts w:ascii="Arial" w:hAnsi="Arial" w:cs="Arial"/>
                <w:sz w:val="16"/>
                <w:lang w:val="es-ES_tradnl"/>
              </w:rPr>
            </w:pPr>
            <w:r>
              <w:rPr>
                <w:rFonts w:ascii="Arial" w:hAnsi="Arial" w:cs="Arial"/>
                <w:sz w:val="16"/>
                <w:lang w:val="es-ES_tradnl"/>
              </w:rPr>
              <w:t>3,24 AVAC</w:t>
            </w:r>
          </w:p>
        </w:tc>
        <w:tc>
          <w:tcPr>
            <w:tcW w:w="992" w:type="dxa"/>
            <w:vMerge w:val="restart"/>
            <w:tcBorders>
              <w:top w:val="single" w:sz="4" w:space="0" w:color="auto"/>
              <w:left w:val="single" w:sz="4" w:space="0" w:color="auto"/>
              <w:right w:val="single" w:sz="4" w:space="0" w:color="auto"/>
            </w:tcBorders>
            <w:vAlign w:val="center"/>
          </w:tcPr>
          <w:p w14:paraId="5A443987" w14:textId="58092312" w:rsidR="00060233" w:rsidRDefault="00060233" w:rsidP="007B47BC">
            <w:pPr>
              <w:jc w:val="right"/>
              <w:rPr>
                <w:rFonts w:ascii="Arial" w:hAnsi="Arial" w:cs="Arial"/>
                <w:sz w:val="16"/>
              </w:rPr>
            </w:pPr>
            <w:r>
              <w:rPr>
                <w:rFonts w:ascii="Arial" w:hAnsi="Arial" w:cs="Arial"/>
                <w:sz w:val="16"/>
              </w:rPr>
              <w:t>3.188.688 €</w:t>
            </w:r>
          </w:p>
        </w:tc>
        <w:tc>
          <w:tcPr>
            <w:tcW w:w="1134" w:type="dxa"/>
            <w:vMerge w:val="restart"/>
            <w:tcBorders>
              <w:top w:val="single" w:sz="4" w:space="0" w:color="auto"/>
              <w:left w:val="single" w:sz="4" w:space="0" w:color="auto"/>
              <w:right w:val="single" w:sz="4" w:space="0" w:color="auto"/>
            </w:tcBorders>
            <w:vAlign w:val="center"/>
          </w:tcPr>
          <w:p w14:paraId="065FD5B9" w14:textId="3839D6B2" w:rsidR="00060233" w:rsidRDefault="00060233" w:rsidP="007B47BC">
            <w:pPr>
              <w:jc w:val="right"/>
              <w:rPr>
                <w:rFonts w:ascii="Arial" w:hAnsi="Arial" w:cs="Arial"/>
                <w:sz w:val="16"/>
              </w:rPr>
            </w:pPr>
            <w:r>
              <w:rPr>
                <w:rFonts w:ascii="Arial" w:hAnsi="Arial" w:cs="Arial"/>
                <w:sz w:val="16"/>
              </w:rPr>
              <w:t>2.795.340 €</w:t>
            </w:r>
          </w:p>
        </w:tc>
        <w:tc>
          <w:tcPr>
            <w:tcW w:w="1417" w:type="dxa"/>
            <w:tcBorders>
              <w:top w:val="single" w:sz="4" w:space="0" w:color="auto"/>
              <w:left w:val="single" w:sz="4" w:space="0" w:color="auto"/>
              <w:bottom w:val="single" w:sz="4" w:space="0" w:color="auto"/>
              <w:right w:val="single" w:sz="4" w:space="0" w:color="auto"/>
            </w:tcBorders>
            <w:vAlign w:val="center"/>
          </w:tcPr>
          <w:p w14:paraId="2596E058" w14:textId="20929CD0" w:rsidR="00060233" w:rsidRDefault="00060233" w:rsidP="007B47BC">
            <w:pPr>
              <w:jc w:val="right"/>
              <w:rPr>
                <w:rFonts w:ascii="Arial" w:hAnsi="Arial" w:cs="Arial"/>
                <w:sz w:val="16"/>
              </w:rPr>
            </w:pPr>
            <w:r>
              <w:rPr>
                <w:rFonts w:ascii="Arial" w:hAnsi="Arial" w:cs="Arial"/>
                <w:sz w:val="16"/>
              </w:rPr>
              <w:t>43.754 €/AVAC</w:t>
            </w:r>
          </w:p>
        </w:tc>
      </w:tr>
      <w:tr w:rsidR="007B47BC" w14:paraId="34CE5B14" w14:textId="77777777" w:rsidTr="007B47BC">
        <w:trPr>
          <w:cantSplit/>
          <w:trHeight w:val="351"/>
        </w:trPr>
        <w:tc>
          <w:tcPr>
            <w:tcW w:w="3331" w:type="dxa"/>
            <w:vMerge/>
            <w:tcBorders>
              <w:left w:val="single" w:sz="4" w:space="0" w:color="auto"/>
              <w:bottom w:val="single" w:sz="4" w:space="0" w:color="auto"/>
              <w:right w:val="single" w:sz="4" w:space="0" w:color="auto"/>
            </w:tcBorders>
            <w:vAlign w:val="center"/>
          </w:tcPr>
          <w:p w14:paraId="38B369AA" w14:textId="77777777" w:rsidR="007B47BC" w:rsidRDefault="007B47BC" w:rsidP="00060233">
            <w:pPr>
              <w:rPr>
                <w:rFonts w:ascii="Arial" w:hAnsi="Arial" w:cs="Arial"/>
                <w:sz w:val="16"/>
                <w:lang w:val="es-ES_tradnl"/>
              </w:rPr>
            </w:pPr>
          </w:p>
        </w:tc>
        <w:tc>
          <w:tcPr>
            <w:tcW w:w="1134" w:type="dxa"/>
            <w:tcBorders>
              <w:left w:val="single" w:sz="4" w:space="0" w:color="auto"/>
              <w:bottom w:val="single" w:sz="4" w:space="0" w:color="auto"/>
              <w:right w:val="single" w:sz="4" w:space="0" w:color="auto"/>
            </w:tcBorders>
            <w:vAlign w:val="center"/>
          </w:tcPr>
          <w:p w14:paraId="55E96E8E" w14:textId="4589BB76" w:rsidR="007B47BC" w:rsidRDefault="007B47BC" w:rsidP="007B47BC">
            <w:pPr>
              <w:jc w:val="right"/>
              <w:rPr>
                <w:rFonts w:ascii="Arial" w:hAnsi="Arial" w:cs="Arial"/>
                <w:sz w:val="16"/>
                <w:lang w:val="es-ES_tradnl"/>
              </w:rPr>
            </w:pPr>
            <w:r w:rsidRPr="007B47BC">
              <w:rPr>
                <w:rFonts w:ascii="Arial" w:hAnsi="Arial" w:cs="Arial"/>
                <w:sz w:val="16"/>
                <w:lang w:val="es-ES_tradnl"/>
              </w:rPr>
              <w:t>18,17 AV</w:t>
            </w:r>
          </w:p>
        </w:tc>
        <w:tc>
          <w:tcPr>
            <w:tcW w:w="1134" w:type="dxa"/>
            <w:tcBorders>
              <w:left w:val="single" w:sz="4" w:space="0" w:color="auto"/>
              <w:bottom w:val="single" w:sz="4" w:space="0" w:color="auto"/>
              <w:right w:val="single" w:sz="4" w:space="0" w:color="auto"/>
            </w:tcBorders>
            <w:vAlign w:val="center"/>
          </w:tcPr>
          <w:p w14:paraId="77432895" w14:textId="4FE96CC4" w:rsidR="007B47BC" w:rsidRDefault="007B47BC" w:rsidP="007B47BC">
            <w:pPr>
              <w:jc w:val="right"/>
              <w:rPr>
                <w:rFonts w:ascii="Arial" w:hAnsi="Arial" w:cs="Arial"/>
                <w:sz w:val="16"/>
                <w:lang w:val="es-ES_tradnl"/>
              </w:rPr>
            </w:pPr>
            <w:r w:rsidRPr="007B47BC">
              <w:rPr>
                <w:rFonts w:ascii="Arial" w:hAnsi="Arial" w:cs="Arial"/>
                <w:sz w:val="16"/>
                <w:lang w:val="es-ES_tradnl"/>
              </w:rPr>
              <w:t>7,64 AV</w:t>
            </w:r>
          </w:p>
        </w:tc>
        <w:tc>
          <w:tcPr>
            <w:tcW w:w="992" w:type="dxa"/>
            <w:vMerge/>
            <w:tcBorders>
              <w:left w:val="single" w:sz="4" w:space="0" w:color="auto"/>
              <w:bottom w:val="single" w:sz="4" w:space="0" w:color="auto"/>
              <w:right w:val="single" w:sz="4" w:space="0" w:color="auto"/>
            </w:tcBorders>
            <w:vAlign w:val="center"/>
          </w:tcPr>
          <w:p w14:paraId="6678C4A7" w14:textId="77777777" w:rsidR="007B47BC" w:rsidRDefault="007B47BC" w:rsidP="007B47BC">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421D237E" w14:textId="77777777" w:rsidR="007B47BC" w:rsidRDefault="007B47BC" w:rsidP="007B47BC">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72E77708" w14:textId="4B4F6983" w:rsidR="007B47BC" w:rsidRDefault="007B47BC" w:rsidP="007B47BC">
            <w:pPr>
              <w:jc w:val="right"/>
              <w:rPr>
                <w:rFonts w:ascii="Arial" w:hAnsi="Arial" w:cs="Arial"/>
                <w:sz w:val="16"/>
              </w:rPr>
            </w:pPr>
            <w:r>
              <w:rPr>
                <w:rFonts w:ascii="Arial" w:hAnsi="Arial" w:cs="Arial"/>
                <w:sz w:val="16"/>
              </w:rPr>
              <w:t>37.355 €/AV</w:t>
            </w:r>
          </w:p>
        </w:tc>
      </w:tr>
      <w:tr w:rsidR="005C2411" w14:paraId="2A656444" w14:textId="77777777" w:rsidTr="009574D3">
        <w:trPr>
          <w:cantSplit/>
        </w:trPr>
        <w:tc>
          <w:tcPr>
            <w:tcW w:w="3331" w:type="dxa"/>
            <w:tcBorders>
              <w:top w:val="single" w:sz="4" w:space="0" w:color="auto"/>
              <w:left w:val="single" w:sz="4" w:space="0" w:color="auto"/>
              <w:bottom w:val="single" w:sz="4" w:space="0" w:color="auto"/>
              <w:right w:val="single" w:sz="4" w:space="0" w:color="auto"/>
            </w:tcBorders>
            <w:shd w:val="clear" w:color="auto" w:fill="E0E0E0"/>
          </w:tcPr>
          <w:p w14:paraId="5F0D03FC" w14:textId="77777777" w:rsidR="005C2411" w:rsidRDefault="005C2411" w:rsidP="009574D3">
            <w:pPr>
              <w:rPr>
                <w:rFonts w:ascii="Arial" w:hAnsi="Arial" w:cs="Arial"/>
                <w:sz w:val="16"/>
                <w:lang w:val="es-ES_tradnl"/>
              </w:rPr>
            </w:pPr>
            <w:r>
              <w:rPr>
                <w:rFonts w:ascii="Arial" w:hAnsi="Arial" w:cs="Arial"/>
                <w:b/>
                <w:sz w:val="16"/>
              </w:rPr>
              <w:t>Escenario</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115EB37D" w14:textId="77777777" w:rsidR="005C2411" w:rsidRPr="00617436" w:rsidRDefault="005C2411" w:rsidP="009574D3">
            <w:pPr>
              <w:rPr>
                <w:rFonts w:ascii="Arial" w:hAnsi="Arial" w:cs="Arial"/>
                <w:sz w:val="16"/>
                <w:lang w:val="es-ES_tradnl"/>
              </w:rPr>
            </w:pPr>
            <w:r w:rsidRPr="00617436">
              <w:rPr>
                <w:rFonts w:ascii="Arial" w:hAnsi="Arial" w:cs="Arial"/>
                <w:b/>
                <w:sz w:val="16"/>
              </w:rPr>
              <w:t>Eficacia de</w:t>
            </w:r>
            <w:r>
              <w:rPr>
                <w:rFonts w:ascii="Arial" w:hAnsi="Arial" w:cs="Arial"/>
                <w:b/>
                <w:sz w:val="16"/>
              </w:rPr>
              <w:t xml:space="preserve"> </w:t>
            </w:r>
            <w:r w:rsidRPr="00617436">
              <w:rPr>
                <w:rFonts w:ascii="Arial" w:hAnsi="Arial" w:cs="Arial"/>
                <w:b/>
                <w:sz w:val="16"/>
              </w:rPr>
              <w:t>Zolgensma</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79188D2F" w14:textId="77777777" w:rsidR="005C2411" w:rsidRPr="00617436" w:rsidRDefault="005C2411" w:rsidP="009574D3">
            <w:pPr>
              <w:rPr>
                <w:rFonts w:ascii="Arial" w:hAnsi="Arial" w:cs="Arial"/>
                <w:b/>
                <w:sz w:val="16"/>
              </w:rPr>
            </w:pPr>
            <w:r w:rsidRPr="00617436">
              <w:rPr>
                <w:rFonts w:ascii="Arial" w:hAnsi="Arial" w:cs="Arial"/>
                <w:b/>
                <w:sz w:val="16"/>
              </w:rPr>
              <w:t xml:space="preserve">Eficacia de </w:t>
            </w:r>
            <w:r>
              <w:rPr>
                <w:rFonts w:ascii="Arial" w:hAnsi="Arial" w:cs="Arial"/>
                <w:b/>
                <w:sz w:val="16"/>
              </w:rPr>
              <w:t>Comparador</w:t>
            </w:r>
          </w:p>
        </w:tc>
        <w:tc>
          <w:tcPr>
            <w:tcW w:w="992" w:type="dxa"/>
            <w:tcBorders>
              <w:top w:val="single" w:sz="4" w:space="0" w:color="auto"/>
              <w:left w:val="single" w:sz="4" w:space="0" w:color="auto"/>
              <w:bottom w:val="single" w:sz="4" w:space="0" w:color="auto"/>
              <w:right w:val="single" w:sz="4" w:space="0" w:color="auto"/>
            </w:tcBorders>
            <w:shd w:val="clear" w:color="auto" w:fill="E0E0E0"/>
            <w:hideMark/>
          </w:tcPr>
          <w:p w14:paraId="3DED4EEB" w14:textId="77777777" w:rsidR="005C2411" w:rsidRDefault="005C2411" w:rsidP="009574D3">
            <w:pPr>
              <w:rPr>
                <w:rFonts w:ascii="Arial" w:hAnsi="Arial" w:cs="Arial"/>
                <w:b/>
                <w:sz w:val="16"/>
                <w:lang w:val="es-ES_tradnl"/>
              </w:rPr>
            </w:pPr>
            <w:r>
              <w:rPr>
                <w:rFonts w:ascii="Arial" w:hAnsi="Arial" w:cs="Arial"/>
                <w:b/>
                <w:sz w:val="16"/>
                <w:lang w:val="es-ES_tradnl"/>
              </w:rPr>
              <w:t xml:space="preserve">Coste </w:t>
            </w:r>
          </w:p>
          <w:p w14:paraId="53F9572D" w14:textId="77777777" w:rsidR="005C2411" w:rsidRDefault="005C2411" w:rsidP="009574D3">
            <w:pPr>
              <w:rPr>
                <w:rFonts w:ascii="Arial" w:hAnsi="Arial" w:cs="Arial"/>
                <w:b/>
                <w:sz w:val="16"/>
                <w:lang w:val="es-ES_tradnl"/>
              </w:rPr>
            </w:pPr>
            <w:r>
              <w:rPr>
                <w:rFonts w:ascii="Arial" w:hAnsi="Arial" w:cs="Arial"/>
                <w:b/>
                <w:sz w:val="16"/>
                <w:lang w:val="es-ES_tradnl"/>
              </w:rPr>
              <w:t>Zolgensma</w:t>
            </w:r>
          </w:p>
        </w:tc>
        <w:tc>
          <w:tcPr>
            <w:tcW w:w="1134" w:type="dxa"/>
            <w:tcBorders>
              <w:top w:val="single" w:sz="4" w:space="0" w:color="auto"/>
              <w:left w:val="single" w:sz="4" w:space="0" w:color="auto"/>
              <w:bottom w:val="single" w:sz="4" w:space="0" w:color="auto"/>
              <w:right w:val="single" w:sz="4" w:space="0" w:color="auto"/>
            </w:tcBorders>
            <w:shd w:val="clear" w:color="auto" w:fill="E0E0E0"/>
          </w:tcPr>
          <w:p w14:paraId="1F922FF8" w14:textId="77777777" w:rsidR="005C2411" w:rsidRDefault="005C2411" w:rsidP="009574D3">
            <w:pPr>
              <w:rPr>
                <w:rFonts w:ascii="Arial" w:hAnsi="Arial" w:cs="Arial"/>
                <w:b/>
                <w:sz w:val="16"/>
                <w:lang w:val="es-ES_tradnl"/>
              </w:rPr>
            </w:pPr>
            <w:r>
              <w:rPr>
                <w:rFonts w:ascii="Arial" w:hAnsi="Arial" w:cs="Arial"/>
                <w:b/>
                <w:sz w:val="16"/>
                <w:lang w:val="es-ES_tradnl"/>
              </w:rPr>
              <w:t>Coste comparador</w:t>
            </w:r>
          </w:p>
        </w:tc>
        <w:tc>
          <w:tcPr>
            <w:tcW w:w="1417" w:type="dxa"/>
            <w:tcBorders>
              <w:top w:val="single" w:sz="4" w:space="0" w:color="auto"/>
              <w:left w:val="single" w:sz="4" w:space="0" w:color="auto"/>
              <w:bottom w:val="single" w:sz="4" w:space="0" w:color="auto"/>
              <w:right w:val="single" w:sz="4" w:space="0" w:color="auto"/>
            </w:tcBorders>
            <w:shd w:val="clear" w:color="auto" w:fill="E0E0E0"/>
            <w:hideMark/>
          </w:tcPr>
          <w:p w14:paraId="4646EFAC" w14:textId="77777777" w:rsidR="005C2411" w:rsidRDefault="005C2411" w:rsidP="009574D3">
            <w:pPr>
              <w:rPr>
                <w:rFonts w:ascii="Arial" w:hAnsi="Arial" w:cs="Arial"/>
                <w:b/>
                <w:sz w:val="16"/>
                <w:lang w:val="es-ES_tradnl"/>
              </w:rPr>
            </w:pPr>
            <w:r>
              <w:rPr>
                <w:rFonts w:ascii="Arial" w:hAnsi="Arial" w:cs="Arial"/>
                <w:b/>
                <w:sz w:val="16"/>
                <w:lang w:val="es-ES_tradnl"/>
              </w:rPr>
              <w:t>RCEI</w:t>
            </w:r>
          </w:p>
        </w:tc>
      </w:tr>
      <w:tr w:rsidR="001D639A" w14:paraId="0E2CD982" w14:textId="77777777" w:rsidTr="00AE0510">
        <w:trPr>
          <w:cantSplit/>
          <w:trHeight w:val="310"/>
        </w:trPr>
        <w:tc>
          <w:tcPr>
            <w:tcW w:w="9142" w:type="dxa"/>
            <w:gridSpan w:val="6"/>
            <w:tcBorders>
              <w:top w:val="single" w:sz="4" w:space="0" w:color="auto"/>
              <w:left w:val="single" w:sz="4" w:space="0" w:color="auto"/>
              <w:bottom w:val="single" w:sz="4" w:space="0" w:color="auto"/>
              <w:right w:val="single" w:sz="4" w:space="0" w:color="auto"/>
            </w:tcBorders>
            <w:vAlign w:val="center"/>
          </w:tcPr>
          <w:p w14:paraId="1A443C05" w14:textId="77777777" w:rsidR="001D639A" w:rsidRDefault="001D639A" w:rsidP="001D639A">
            <w:pPr>
              <w:rPr>
                <w:rFonts w:ascii="Arial" w:hAnsi="Arial" w:cs="Arial"/>
                <w:b/>
                <w:sz w:val="16"/>
                <w:lang w:val="es-ES_tradnl"/>
              </w:rPr>
            </w:pPr>
            <w:r w:rsidRPr="000B3B05">
              <w:rPr>
                <w:rFonts w:ascii="Arial" w:hAnsi="Arial" w:cs="Arial"/>
                <w:b/>
                <w:sz w:val="16"/>
                <w:lang w:val="es-ES_tradnl"/>
              </w:rPr>
              <w:t>Frente a mejor terapia de soporte</w:t>
            </w:r>
          </w:p>
          <w:p w14:paraId="6A53067D" w14:textId="79D23CA4" w:rsidR="005C2411" w:rsidRDefault="005C2411" w:rsidP="001D639A">
            <w:pPr>
              <w:rPr>
                <w:rFonts w:ascii="Arial" w:hAnsi="Arial" w:cs="Arial"/>
                <w:sz w:val="16"/>
              </w:rPr>
            </w:pPr>
          </w:p>
        </w:tc>
      </w:tr>
      <w:tr w:rsidR="00A35C6F" w14:paraId="5ED33BB7" w14:textId="77777777" w:rsidTr="00A35C6F">
        <w:trPr>
          <w:cantSplit/>
          <w:trHeight w:val="310"/>
        </w:trPr>
        <w:tc>
          <w:tcPr>
            <w:tcW w:w="3331" w:type="dxa"/>
            <w:vMerge w:val="restart"/>
            <w:tcBorders>
              <w:top w:val="single" w:sz="4" w:space="0" w:color="auto"/>
              <w:left w:val="single" w:sz="4" w:space="0" w:color="auto"/>
              <w:right w:val="single" w:sz="4" w:space="0" w:color="auto"/>
            </w:tcBorders>
            <w:vAlign w:val="center"/>
          </w:tcPr>
          <w:p w14:paraId="3AB01641" w14:textId="391DA1DB" w:rsidR="00A35C6F" w:rsidRDefault="00A35C6F" w:rsidP="00D37336">
            <w:pPr>
              <w:rPr>
                <w:rFonts w:ascii="Arial" w:hAnsi="Arial" w:cs="Arial"/>
                <w:sz w:val="16"/>
                <w:lang w:val="es-ES_tradnl"/>
              </w:rPr>
            </w:pPr>
            <w:r>
              <w:rPr>
                <w:rFonts w:ascii="Arial" w:hAnsi="Arial" w:cs="Arial"/>
                <w:sz w:val="16"/>
                <w:lang w:val="es-ES_tradnl"/>
              </w:rPr>
              <w:lastRenderedPageBreak/>
              <w:t>Caso base</w:t>
            </w:r>
            <w:r w:rsidRPr="00062E00">
              <w:rPr>
                <w:rFonts w:ascii="Arial" w:hAnsi="Arial" w:cs="Arial"/>
                <w:sz w:val="16"/>
                <w:vertAlign w:val="superscript"/>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14:paraId="105293A8" w14:textId="5AF8AF2A" w:rsidR="00A35C6F" w:rsidRDefault="00A35C6F" w:rsidP="00E606C3">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4AF757EA" w14:textId="416B8763" w:rsidR="00A35C6F" w:rsidRDefault="00A35C6F" w:rsidP="00E606C3">
            <w:pPr>
              <w:jc w:val="right"/>
              <w:rPr>
                <w:rFonts w:ascii="Arial" w:hAnsi="Arial" w:cs="Arial"/>
                <w:sz w:val="16"/>
                <w:lang w:val="es-ES_tradnl"/>
              </w:rPr>
            </w:pPr>
            <w:r>
              <w:rPr>
                <w:rFonts w:ascii="Arial" w:hAnsi="Arial" w:cs="Arial"/>
                <w:sz w:val="16"/>
                <w:lang w:val="es-ES_tradnl"/>
              </w:rPr>
              <w:t>0,46 AVAC</w:t>
            </w:r>
          </w:p>
        </w:tc>
        <w:tc>
          <w:tcPr>
            <w:tcW w:w="992" w:type="dxa"/>
            <w:vMerge w:val="restart"/>
            <w:tcBorders>
              <w:top w:val="single" w:sz="4" w:space="0" w:color="auto"/>
              <w:left w:val="single" w:sz="4" w:space="0" w:color="auto"/>
              <w:right w:val="single" w:sz="4" w:space="0" w:color="auto"/>
            </w:tcBorders>
            <w:vAlign w:val="center"/>
          </w:tcPr>
          <w:p w14:paraId="0DF49B94" w14:textId="47D7B4C7" w:rsidR="00A35C6F" w:rsidRDefault="00A35C6F" w:rsidP="00E606C3">
            <w:pPr>
              <w:jc w:val="right"/>
              <w:rPr>
                <w:rFonts w:ascii="Arial" w:hAnsi="Arial" w:cs="Arial"/>
                <w:sz w:val="16"/>
              </w:rPr>
            </w:pPr>
            <w:r w:rsidRPr="00062E00">
              <w:rPr>
                <w:rFonts w:ascii="Arial" w:hAnsi="Arial" w:cs="Arial"/>
                <w:sz w:val="16"/>
              </w:rPr>
              <w:t>1.</w:t>
            </w:r>
            <w:r>
              <w:rPr>
                <w:rFonts w:ascii="Arial" w:hAnsi="Arial" w:cs="Arial"/>
                <w:sz w:val="16"/>
              </w:rPr>
              <w:t>785.000</w:t>
            </w:r>
            <w:r w:rsidRPr="00062E00">
              <w:rPr>
                <w:rFonts w:ascii="Arial" w:hAnsi="Arial" w:cs="Arial"/>
                <w:sz w:val="16"/>
              </w:rPr>
              <w:t xml:space="preserve"> €</w:t>
            </w:r>
          </w:p>
        </w:tc>
        <w:tc>
          <w:tcPr>
            <w:tcW w:w="1134" w:type="dxa"/>
            <w:vMerge w:val="restart"/>
            <w:tcBorders>
              <w:top w:val="single" w:sz="4" w:space="0" w:color="auto"/>
              <w:left w:val="single" w:sz="4" w:space="0" w:color="auto"/>
              <w:right w:val="single" w:sz="4" w:space="0" w:color="auto"/>
            </w:tcBorders>
            <w:vAlign w:val="center"/>
          </w:tcPr>
          <w:p w14:paraId="7C0141FF" w14:textId="4543640A" w:rsidR="00A35C6F" w:rsidRDefault="00A35C6F" w:rsidP="00E606C3">
            <w:pPr>
              <w:jc w:val="right"/>
              <w:rPr>
                <w:rFonts w:ascii="Arial" w:hAnsi="Arial" w:cs="Arial"/>
                <w:sz w:val="16"/>
              </w:rPr>
            </w:pPr>
            <w:r>
              <w:rPr>
                <w:rFonts w:ascii="Arial" w:hAnsi="Arial" w:cs="Arial"/>
                <w:sz w:val="16"/>
              </w:rPr>
              <w:t>0 €</w:t>
            </w:r>
          </w:p>
        </w:tc>
        <w:tc>
          <w:tcPr>
            <w:tcW w:w="1417" w:type="dxa"/>
            <w:tcBorders>
              <w:top w:val="single" w:sz="4" w:space="0" w:color="auto"/>
              <w:left w:val="single" w:sz="4" w:space="0" w:color="auto"/>
              <w:bottom w:val="single" w:sz="4" w:space="0" w:color="auto"/>
              <w:right w:val="single" w:sz="4" w:space="0" w:color="auto"/>
            </w:tcBorders>
            <w:vAlign w:val="center"/>
          </w:tcPr>
          <w:p w14:paraId="574DCD8B" w14:textId="4DB65EBC" w:rsidR="00A35C6F" w:rsidRDefault="00A35C6F" w:rsidP="00E606C3">
            <w:pPr>
              <w:jc w:val="right"/>
              <w:rPr>
                <w:rFonts w:ascii="Arial" w:hAnsi="Arial" w:cs="Arial"/>
                <w:sz w:val="16"/>
              </w:rPr>
            </w:pPr>
            <w:r>
              <w:rPr>
                <w:rFonts w:ascii="Arial" w:hAnsi="Arial" w:cs="Arial"/>
                <w:sz w:val="16"/>
              </w:rPr>
              <w:t>151.656</w:t>
            </w:r>
            <w:r w:rsidRPr="00062E00">
              <w:rPr>
                <w:rFonts w:ascii="Arial" w:hAnsi="Arial" w:cs="Arial"/>
                <w:sz w:val="16"/>
              </w:rPr>
              <w:t xml:space="preserve"> €/AVAC</w:t>
            </w:r>
          </w:p>
        </w:tc>
      </w:tr>
      <w:tr w:rsidR="00A35C6F" w14:paraId="1C7B67ED"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408B592B" w14:textId="0ADD0F04" w:rsidR="00A35C6F" w:rsidRDefault="00A35C6F" w:rsidP="00D37336">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3CE88FE7" w14:textId="6740B102" w:rsidR="00A35C6F" w:rsidRDefault="00A35C6F" w:rsidP="00E606C3">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40E55D1F" w14:textId="061FAABA" w:rsidR="00A35C6F" w:rsidRDefault="00A35C6F" w:rsidP="00E606C3">
            <w:pPr>
              <w:jc w:val="right"/>
              <w:rPr>
                <w:rFonts w:ascii="Arial" w:hAnsi="Arial" w:cs="Arial"/>
                <w:sz w:val="16"/>
                <w:lang w:val="es-ES_tradnl"/>
              </w:rPr>
            </w:pPr>
            <w:r>
              <w:rPr>
                <w:rFonts w:ascii="Arial" w:hAnsi="Arial" w:cs="Arial"/>
                <w:sz w:val="16"/>
                <w:lang w:val="es-ES_tradnl"/>
              </w:rPr>
              <w:t>2,4 AV</w:t>
            </w:r>
          </w:p>
        </w:tc>
        <w:tc>
          <w:tcPr>
            <w:tcW w:w="992" w:type="dxa"/>
            <w:vMerge/>
            <w:tcBorders>
              <w:left w:val="single" w:sz="4" w:space="0" w:color="auto"/>
              <w:bottom w:val="single" w:sz="4" w:space="0" w:color="auto"/>
              <w:right w:val="single" w:sz="4" w:space="0" w:color="auto"/>
            </w:tcBorders>
            <w:vAlign w:val="center"/>
          </w:tcPr>
          <w:p w14:paraId="3A323DB0" w14:textId="2A42E7BB" w:rsidR="00A35C6F" w:rsidRDefault="00A35C6F" w:rsidP="00E606C3">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34755118" w14:textId="670AF416" w:rsidR="00A35C6F" w:rsidRDefault="00A35C6F" w:rsidP="00E606C3">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13B4DC7D" w14:textId="40692E19" w:rsidR="00A35C6F" w:rsidRDefault="00A35C6F" w:rsidP="00E606C3">
            <w:pPr>
              <w:jc w:val="right"/>
              <w:rPr>
                <w:rFonts w:ascii="Arial" w:hAnsi="Arial" w:cs="Arial"/>
                <w:sz w:val="16"/>
              </w:rPr>
            </w:pPr>
            <w:r w:rsidRPr="00062E00">
              <w:rPr>
                <w:rFonts w:ascii="Arial" w:hAnsi="Arial" w:cs="Arial"/>
                <w:sz w:val="16"/>
              </w:rPr>
              <w:t>1</w:t>
            </w:r>
            <w:r>
              <w:rPr>
                <w:rFonts w:ascii="Arial" w:hAnsi="Arial" w:cs="Arial"/>
                <w:sz w:val="16"/>
              </w:rPr>
              <w:t>13</w:t>
            </w:r>
            <w:r w:rsidRPr="00062E00">
              <w:rPr>
                <w:rFonts w:ascii="Arial" w:hAnsi="Arial" w:cs="Arial"/>
                <w:sz w:val="16"/>
              </w:rPr>
              <w:t>.</w:t>
            </w:r>
            <w:r>
              <w:rPr>
                <w:rFonts w:ascii="Arial" w:hAnsi="Arial" w:cs="Arial"/>
                <w:sz w:val="16"/>
              </w:rPr>
              <w:t>189</w:t>
            </w:r>
            <w:r w:rsidRPr="00062E00">
              <w:rPr>
                <w:rFonts w:ascii="Arial" w:hAnsi="Arial" w:cs="Arial"/>
                <w:sz w:val="16"/>
              </w:rPr>
              <w:t xml:space="preserve"> €/AV</w:t>
            </w:r>
          </w:p>
        </w:tc>
      </w:tr>
      <w:tr w:rsidR="00A35C6F" w14:paraId="132F8DE5" w14:textId="77777777" w:rsidTr="00A35C6F">
        <w:trPr>
          <w:cantSplit/>
          <w:trHeight w:val="310"/>
        </w:trPr>
        <w:tc>
          <w:tcPr>
            <w:tcW w:w="3331" w:type="dxa"/>
            <w:vMerge w:val="restart"/>
            <w:tcBorders>
              <w:top w:val="single" w:sz="4" w:space="0" w:color="auto"/>
              <w:left w:val="single" w:sz="4" w:space="0" w:color="auto"/>
              <w:right w:val="single" w:sz="4" w:space="0" w:color="auto"/>
            </w:tcBorders>
            <w:vAlign w:val="center"/>
          </w:tcPr>
          <w:p w14:paraId="2437E739" w14:textId="40D71A89" w:rsidR="00A35C6F" w:rsidRDefault="00A35C6F" w:rsidP="00D37336">
            <w:pPr>
              <w:rPr>
                <w:rFonts w:ascii="Arial" w:hAnsi="Arial" w:cs="Arial"/>
                <w:sz w:val="16"/>
                <w:lang w:val="es-ES_tradnl"/>
              </w:rPr>
            </w:pPr>
            <w:r>
              <w:rPr>
                <w:rFonts w:ascii="Arial" w:hAnsi="Arial" w:cs="Arial"/>
                <w:sz w:val="16"/>
                <w:lang w:val="es-ES_tradnl"/>
              </w:rPr>
              <w:t>Si un 33% de los tratados con Zolgensma reciben Nusinersen</w:t>
            </w:r>
            <w:r w:rsidRPr="00062E00">
              <w:rPr>
                <w:rFonts w:ascii="Arial" w:hAnsi="Arial" w:cs="Arial"/>
                <w:sz w:val="16"/>
                <w:vertAlign w:val="superscript"/>
                <w:lang w:val="es-ES_tradnl"/>
              </w:rPr>
              <w:t>2</w:t>
            </w:r>
          </w:p>
        </w:tc>
        <w:tc>
          <w:tcPr>
            <w:tcW w:w="1134" w:type="dxa"/>
            <w:tcBorders>
              <w:top w:val="single" w:sz="4" w:space="0" w:color="auto"/>
              <w:left w:val="single" w:sz="4" w:space="0" w:color="auto"/>
              <w:bottom w:val="single" w:sz="4" w:space="0" w:color="auto"/>
              <w:right w:val="single" w:sz="4" w:space="0" w:color="auto"/>
            </w:tcBorders>
            <w:vAlign w:val="center"/>
          </w:tcPr>
          <w:p w14:paraId="0FAE28E3" w14:textId="64A446A7" w:rsidR="00A35C6F" w:rsidRDefault="00A35C6F" w:rsidP="00E606C3">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27634244" w14:textId="4E36291E" w:rsidR="00A35C6F" w:rsidRDefault="00A35C6F" w:rsidP="00E606C3">
            <w:pPr>
              <w:jc w:val="right"/>
              <w:rPr>
                <w:rFonts w:ascii="Arial" w:hAnsi="Arial" w:cs="Arial"/>
                <w:sz w:val="16"/>
                <w:lang w:val="es-ES_tradnl"/>
              </w:rPr>
            </w:pPr>
            <w:r>
              <w:rPr>
                <w:rFonts w:ascii="Arial" w:hAnsi="Arial" w:cs="Arial"/>
                <w:sz w:val="16"/>
                <w:lang w:val="es-ES_tradnl"/>
              </w:rPr>
              <w:t>0,46 AVAC</w:t>
            </w:r>
          </w:p>
        </w:tc>
        <w:tc>
          <w:tcPr>
            <w:tcW w:w="992" w:type="dxa"/>
            <w:vMerge w:val="restart"/>
            <w:tcBorders>
              <w:top w:val="single" w:sz="4" w:space="0" w:color="auto"/>
              <w:left w:val="single" w:sz="4" w:space="0" w:color="auto"/>
              <w:right w:val="single" w:sz="4" w:space="0" w:color="auto"/>
            </w:tcBorders>
            <w:vAlign w:val="center"/>
          </w:tcPr>
          <w:p w14:paraId="25F1EE37" w14:textId="718F0E33" w:rsidR="00A35C6F" w:rsidRDefault="00A35C6F" w:rsidP="00E606C3">
            <w:pPr>
              <w:jc w:val="right"/>
              <w:rPr>
                <w:rFonts w:ascii="Arial" w:hAnsi="Arial" w:cs="Arial"/>
                <w:sz w:val="16"/>
              </w:rPr>
            </w:pPr>
            <w:r w:rsidRPr="00062E00">
              <w:rPr>
                <w:rFonts w:ascii="Arial" w:hAnsi="Arial" w:cs="Arial"/>
                <w:sz w:val="16"/>
              </w:rPr>
              <w:t>2.</w:t>
            </w:r>
            <w:r>
              <w:rPr>
                <w:rFonts w:ascii="Arial" w:hAnsi="Arial" w:cs="Arial"/>
                <w:sz w:val="16"/>
              </w:rPr>
              <w:t>336.529</w:t>
            </w:r>
            <w:r w:rsidRPr="00062E00">
              <w:rPr>
                <w:rFonts w:ascii="Arial" w:hAnsi="Arial" w:cs="Arial"/>
                <w:sz w:val="16"/>
              </w:rPr>
              <w:t xml:space="preserve"> €</w:t>
            </w:r>
          </w:p>
        </w:tc>
        <w:tc>
          <w:tcPr>
            <w:tcW w:w="1134" w:type="dxa"/>
            <w:vMerge w:val="restart"/>
            <w:tcBorders>
              <w:top w:val="single" w:sz="4" w:space="0" w:color="auto"/>
              <w:left w:val="single" w:sz="4" w:space="0" w:color="auto"/>
              <w:right w:val="single" w:sz="4" w:space="0" w:color="auto"/>
            </w:tcBorders>
            <w:vAlign w:val="center"/>
          </w:tcPr>
          <w:p w14:paraId="4D4C80B5" w14:textId="3697D87F" w:rsidR="00A35C6F" w:rsidRDefault="00A35C6F" w:rsidP="00E606C3">
            <w:pPr>
              <w:jc w:val="right"/>
              <w:rPr>
                <w:rFonts w:ascii="Arial" w:hAnsi="Arial" w:cs="Arial"/>
                <w:sz w:val="16"/>
              </w:rPr>
            </w:pPr>
            <w:r>
              <w:rPr>
                <w:rFonts w:ascii="Arial" w:hAnsi="Arial" w:cs="Arial"/>
                <w:sz w:val="16"/>
              </w:rPr>
              <w:t>0 €</w:t>
            </w:r>
          </w:p>
        </w:tc>
        <w:tc>
          <w:tcPr>
            <w:tcW w:w="1417" w:type="dxa"/>
            <w:tcBorders>
              <w:top w:val="single" w:sz="4" w:space="0" w:color="auto"/>
              <w:left w:val="single" w:sz="4" w:space="0" w:color="auto"/>
              <w:bottom w:val="single" w:sz="4" w:space="0" w:color="auto"/>
              <w:right w:val="single" w:sz="4" w:space="0" w:color="auto"/>
            </w:tcBorders>
            <w:vAlign w:val="center"/>
          </w:tcPr>
          <w:p w14:paraId="0AF27999" w14:textId="5130F9BE" w:rsidR="00A35C6F" w:rsidRDefault="00A35C6F" w:rsidP="00E606C3">
            <w:pPr>
              <w:jc w:val="right"/>
              <w:rPr>
                <w:rFonts w:ascii="Arial" w:hAnsi="Arial" w:cs="Arial"/>
                <w:sz w:val="16"/>
              </w:rPr>
            </w:pPr>
            <w:r>
              <w:rPr>
                <w:rFonts w:ascii="Arial" w:hAnsi="Arial" w:cs="Arial"/>
                <w:sz w:val="16"/>
              </w:rPr>
              <w:t>198.516</w:t>
            </w:r>
            <w:r w:rsidRPr="00062E00">
              <w:rPr>
                <w:rFonts w:ascii="Arial" w:hAnsi="Arial" w:cs="Arial"/>
                <w:sz w:val="16"/>
              </w:rPr>
              <w:t xml:space="preserve"> €/AVAC</w:t>
            </w:r>
          </w:p>
        </w:tc>
      </w:tr>
      <w:tr w:rsidR="00A35C6F" w14:paraId="59E3AB5B"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3086A108" w14:textId="76834D30" w:rsidR="00A35C6F" w:rsidRDefault="00A35C6F" w:rsidP="00D37336">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37DC707F" w14:textId="07BF7057" w:rsidR="00A35C6F" w:rsidRDefault="00A35C6F" w:rsidP="00E606C3">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1ED481A5" w14:textId="6004D190" w:rsidR="00A35C6F" w:rsidRDefault="00A35C6F" w:rsidP="00E606C3">
            <w:pPr>
              <w:jc w:val="right"/>
              <w:rPr>
                <w:rFonts w:ascii="Arial" w:hAnsi="Arial" w:cs="Arial"/>
                <w:sz w:val="16"/>
                <w:lang w:val="es-ES_tradnl"/>
              </w:rPr>
            </w:pPr>
            <w:r>
              <w:rPr>
                <w:rFonts w:ascii="Arial" w:hAnsi="Arial" w:cs="Arial"/>
                <w:sz w:val="16"/>
                <w:lang w:val="es-ES_tradnl"/>
              </w:rPr>
              <w:t>2,4 AV</w:t>
            </w:r>
          </w:p>
        </w:tc>
        <w:tc>
          <w:tcPr>
            <w:tcW w:w="992" w:type="dxa"/>
            <w:vMerge/>
            <w:tcBorders>
              <w:left w:val="single" w:sz="4" w:space="0" w:color="auto"/>
              <w:bottom w:val="single" w:sz="4" w:space="0" w:color="auto"/>
              <w:right w:val="single" w:sz="4" w:space="0" w:color="auto"/>
            </w:tcBorders>
            <w:vAlign w:val="center"/>
          </w:tcPr>
          <w:p w14:paraId="597E51AF" w14:textId="2F031E32" w:rsidR="00A35C6F" w:rsidRDefault="00A35C6F" w:rsidP="00E606C3">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5E108FFF" w14:textId="2410AE80" w:rsidR="00A35C6F" w:rsidRDefault="00A35C6F" w:rsidP="00E606C3">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3C711948" w14:textId="46358E97" w:rsidR="00A35C6F" w:rsidRDefault="00A35C6F" w:rsidP="00E606C3">
            <w:pPr>
              <w:jc w:val="right"/>
              <w:rPr>
                <w:rFonts w:ascii="Arial" w:hAnsi="Arial" w:cs="Arial"/>
                <w:sz w:val="16"/>
              </w:rPr>
            </w:pPr>
            <w:r>
              <w:rPr>
                <w:rFonts w:ascii="Arial" w:hAnsi="Arial" w:cs="Arial"/>
                <w:sz w:val="16"/>
              </w:rPr>
              <w:t>148.163</w:t>
            </w:r>
            <w:r w:rsidRPr="00062E00">
              <w:rPr>
                <w:rFonts w:ascii="Arial" w:hAnsi="Arial" w:cs="Arial"/>
                <w:sz w:val="16"/>
              </w:rPr>
              <w:t xml:space="preserve"> €/AV</w:t>
            </w:r>
          </w:p>
        </w:tc>
      </w:tr>
      <w:tr w:rsidR="00BF529B" w14:paraId="30A2AE35" w14:textId="77777777" w:rsidTr="00A35C6F">
        <w:trPr>
          <w:cantSplit/>
          <w:trHeight w:val="310"/>
        </w:trPr>
        <w:tc>
          <w:tcPr>
            <w:tcW w:w="3331" w:type="dxa"/>
            <w:vMerge w:val="restart"/>
            <w:tcBorders>
              <w:left w:val="single" w:sz="4" w:space="0" w:color="auto"/>
              <w:right w:val="single" w:sz="4" w:space="0" w:color="auto"/>
            </w:tcBorders>
            <w:vAlign w:val="center"/>
          </w:tcPr>
          <w:p w14:paraId="6F7604CC" w14:textId="0AB06A1F" w:rsidR="00BF529B" w:rsidRDefault="00BF529B" w:rsidP="00D37336">
            <w:pPr>
              <w:rPr>
                <w:rFonts w:ascii="Arial" w:hAnsi="Arial" w:cs="Arial"/>
                <w:sz w:val="16"/>
                <w:lang w:val="es-ES_tradnl"/>
              </w:rPr>
            </w:pPr>
            <w:r>
              <w:rPr>
                <w:rFonts w:ascii="Arial" w:hAnsi="Arial" w:cs="Arial"/>
                <w:sz w:val="16"/>
                <w:lang w:val="es-ES_tradnl"/>
              </w:rPr>
              <w:t>Si un 16% de los tratados con Zolgensma reciben Nusinersen</w:t>
            </w:r>
          </w:p>
        </w:tc>
        <w:tc>
          <w:tcPr>
            <w:tcW w:w="1134" w:type="dxa"/>
            <w:tcBorders>
              <w:top w:val="single" w:sz="4" w:space="0" w:color="auto"/>
              <w:left w:val="single" w:sz="4" w:space="0" w:color="auto"/>
              <w:bottom w:val="single" w:sz="4" w:space="0" w:color="auto"/>
              <w:right w:val="single" w:sz="4" w:space="0" w:color="auto"/>
            </w:tcBorders>
            <w:vAlign w:val="center"/>
          </w:tcPr>
          <w:p w14:paraId="1DA2F0BC" w14:textId="3FDC2603" w:rsidR="00BF529B" w:rsidRDefault="00BF529B" w:rsidP="00E606C3">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0EFA2D99" w14:textId="7BAB0E56" w:rsidR="00BF529B" w:rsidRDefault="00BF529B" w:rsidP="00E606C3">
            <w:pPr>
              <w:jc w:val="right"/>
              <w:rPr>
                <w:rFonts w:ascii="Arial" w:hAnsi="Arial" w:cs="Arial"/>
                <w:sz w:val="16"/>
                <w:lang w:val="es-ES_tradnl"/>
              </w:rPr>
            </w:pPr>
            <w:r>
              <w:rPr>
                <w:rFonts w:ascii="Arial" w:hAnsi="Arial" w:cs="Arial"/>
                <w:sz w:val="16"/>
                <w:lang w:val="es-ES_tradnl"/>
              </w:rPr>
              <w:t>0,46 AVAC</w:t>
            </w:r>
          </w:p>
        </w:tc>
        <w:tc>
          <w:tcPr>
            <w:tcW w:w="992" w:type="dxa"/>
            <w:vMerge w:val="restart"/>
            <w:tcBorders>
              <w:top w:val="single" w:sz="4" w:space="0" w:color="auto"/>
              <w:left w:val="single" w:sz="4" w:space="0" w:color="auto"/>
              <w:right w:val="single" w:sz="4" w:space="0" w:color="auto"/>
            </w:tcBorders>
            <w:vAlign w:val="center"/>
          </w:tcPr>
          <w:p w14:paraId="2EB3FD22" w14:textId="15C427D5" w:rsidR="00BF529B" w:rsidRPr="00062E00" w:rsidRDefault="00BF529B" w:rsidP="00E606C3">
            <w:pPr>
              <w:jc w:val="right"/>
              <w:rPr>
                <w:rFonts w:ascii="Arial" w:hAnsi="Arial" w:cs="Arial"/>
                <w:sz w:val="16"/>
              </w:rPr>
            </w:pPr>
            <w:r w:rsidRPr="00BF529B">
              <w:rPr>
                <w:rFonts w:ascii="Arial" w:hAnsi="Arial" w:cs="Arial"/>
                <w:sz w:val="16"/>
              </w:rPr>
              <w:t>2.052.408 €</w:t>
            </w:r>
          </w:p>
        </w:tc>
        <w:tc>
          <w:tcPr>
            <w:tcW w:w="1134" w:type="dxa"/>
            <w:vMerge w:val="restart"/>
            <w:tcBorders>
              <w:top w:val="single" w:sz="4" w:space="0" w:color="auto"/>
              <w:left w:val="single" w:sz="4" w:space="0" w:color="auto"/>
              <w:right w:val="single" w:sz="4" w:space="0" w:color="auto"/>
            </w:tcBorders>
            <w:vAlign w:val="center"/>
          </w:tcPr>
          <w:p w14:paraId="4A02BDD2" w14:textId="4E45E583" w:rsidR="00BF529B" w:rsidRDefault="00BF529B" w:rsidP="00E606C3">
            <w:pPr>
              <w:jc w:val="right"/>
              <w:rPr>
                <w:rFonts w:ascii="Arial" w:hAnsi="Arial" w:cs="Arial"/>
                <w:sz w:val="16"/>
              </w:rPr>
            </w:pPr>
            <w:r w:rsidRPr="00BF529B">
              <w:rPr>
                <w:rFonts w:ascii="Arial" w:hAnsi="Arial" w:cs="Arial"/>
                <w:sz w:val="16"/>
              </w:rPr>
              <w:t>0 €</w:t>
            </w:r>
          </w:p>
        </w:tc>
        <w:tc>
          <w:tcPr>
            <w:tcW w:w="1417" w:type="dxa"/>
            <w:tcBorders>
              <w:top w:val="single" w:sz="4" w:space="0" w:color="auto"/>
              <w:left w:val="single" w:sz="4" w:space="0" w:color="auto"/>
              <w:bottom w:val="single" w:sz="4" w:space="0" w:color="auto"/>
              <w:right w:val="single" w:sz="4" w:space="0" w:color="auto"/>
            </w:tcBorders>
            <w:vAlign w:val="center"/>
          </w:tcPr>
          <w:p w14:paraId="6638EB2B" w14:textId="4394161D" w:rsidR="00BF529B" w:rsidRDefault="00BB2579" w:rsidP="00E606C3">
            <w:pPr>
              <w:jc w:val="right"/>
              <w:rPr>
                <w:rFonts w:ascii="Arial" w:hAnsi="Arial" w:cs="Arial"/>
                <w:sz w:val="16"/>
              </w:rPr>
            </w:pPr>
            <w:r>
              <w:rPr>
                <w:rFonts w:ascii="Arial" w:hAnsi="Arial" w:cs="Arial"/>
                <w:sz w:val="16"/>
              </w:rPr>
              <w:t>174.376 €/AVAC</w:t>
            </w:r>
          </w:p>
        </w:tc>
      </w:tr>
      <w:tr w:rsidR="00BF529B" w14:paraId="2A428AEE"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3A504677" w14:textId="77777777" w:rsidR="00BF529B" w:rsidRDefault="00BF529B" w:rsidP="00D37336">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34AC2011" w14:textId="6C5203DB" w:rsidR="00BF529B" w:rsidRDefault="00BF529B" w:rsidP="00E606C3">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4A57080A" w14:textId="216AEA43" w:rsidR="00BF529B" w:rsidRDefault="00BF529B" w:rsidP="00E606C3">
            <w:pPr>
              <w:jc w:val="right"/>
              <w:rPr>
                <w:rFonts w:ascii="Arial" w:hAnsi="Arial" w:cs="Arial"/>
                <w:sz w:val="16"/>
                <w:lang w:val="es-ES_tradnl"/>
              </w:rPr>
            </w:pPr>
            <w:r>
              <w:rPr>
                <w:rFonts w:ascii="Arial" w:hAnsi="Arial" w:cs="Arial"/>
                <w:sz w:val="16"/>
                <w:lang w:val="es-ES_tradnl"/>
              </w:rPr>
              <w:t>2,4 AV</w:t>
            </w:r>
          </w:p>
        </w:tc>
        <w:tc>
          <w:tcPr>
            <w:tcW w:w="992" w:type="dxa"/>
            <w:vMerge/>
            <w:tcBorders>
              <w:left w:val="single" w:sz="4" w:space="0" w:color="auto"/>
              <w:bottom w:val="single" w:sz="4" w:space="0" w:color="auto"/>
              <w:right w:val="single" w:sz="4" w:space="0" w:color="auto"/>
            </w:tcBorders>
            <w:vAlign w:val="center"/>
          </w:tcPr>
          <w:p w14:paraId="07DC35A3" w14:textId="77777777" w:rsidR="00BF529B" w:rsidRPr="00062E00" w:rsidRDefault="00BF529B" w:rsidP="00E606C3">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26026510" w14:textId="77777777" w:rsidR="00BF529B" w:rsidRDefault="00BF529B" w:rsidP="00E606C3">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44EBEF27" w14:textId="207F2F43" w:rsidR="00BF529B" w:rsidRDefault="00BB2579" w:rsidP="00E606C3">
            <w:pPr>
              <w:jc w:val="right"/>
              <w:rPr>
                <w:rFonts w:ascii="Arial" w:hAnsi="Arial" w:cs="Arial"/>
                <w:sz w:val="16"/>
              </w:rPr>
            </w:pPr>
            <w:r>
              <w:rPr>
                <w:rFonts w:ascii="Arial" w:hAnsi="Arial" w:cs="Arial"/>
                <w:sz w:val="16"/>
              </w:rPr>
              <w:t>130.146 €/AV</w:t>
            </w:r>
          </w:p>
        </w:tc>
      </w:tr>
      <w:tr w:rsidR="00A35C6F" w14:paraId="74CEBAE1" w14:textId="77777777" w:rsidTr="00A35C6F">
        <w:trPr>
          <w:cantSplit/>
          <w:trHeight w:val="310"/>
        </w:trPr>
        <w:tc>
          <w:tcPr>
            <w:tcW w:w="3331" w:type="dxa"/>
            <w:vMerge w:val="restart"/>
            <w:tcBorders>
              <w:top w:val="single" w:sz="4" w:space="0" w:color="auto"/>
              <w:left w:val="single" w:sz="4" w:space="0" w:color="auto"/>
              <w:right w:val="single" w:sz="4" w:space="0" w:color="auto"/>
            </w:tcBorders>
            <w:vAlign w:val="center"/>
          </w:tcPr>
          <w:p w14:paraId="6A693CC9" w14:textId="1721DAA8" w:rsidR="00A35C6F" w:rsidRDefault="00A35C6F" w:rsidP="00D37336">
            <w:pPr>
              <w:rPr>
                <w:rFonts w:ascii="Arial" w:hAnsi="Arial" w:cs="Arial"/>
                <w:sz w:val="16"/>
                <w:lang w:val="es-ES_tradnl"/>
              </w:rPr>
            </w:pPr>
            <w:r w:rsidRPr="00062E00">
              <w:rPr>
                <w:rFonts w:ascii="Arial" w:hAnsi="Arial" w:cs="Arial"/>
                <w:sz w:val="16"/>
                <w:lang w:val="es-ES_tradnl"/>
              </w:rPr>
              <w:t>Incluyendo costes directos diferentes de los medicamentos</w:t>
            </w:r>
            <w:r w:rsidRPr="00062E00">
              <w:rPr>
                <w:rFonts w:ascii="Arial" w:hAnsi="Arial" w:cs="Arial"/>
                <w:sz w:val="16"/>
                <w:vertAlign w:val="superscript"/>
                <w:lang w:val="es-ES_tradnl"/>
              </w:rPr>
              <w:t>3</w:t>
            </w:r>
          </w:p>
        </w:tc>
        <w:tc>
          <w:tcPr>
            <w:tcW w:w="1134" w:type="dxa"/>
            <w:tcBorders>
              <w:top w:val="single" w:sz="4" w:space="0" w:color="auto"/>
              <w:left w:val="single" w:sz="4" w:space="0" w:color="auto"/>
              <w:bottom w:val="single" w:sz="4" w:space="0" w:color="auto"/>
              <w:right w:val="single" w:sz="4" w:space="0" w:color="auto"/>
            </w:tcBorders>
            <w:vAlign w:val="center"/>
          </w:tcPr>
          <w:p w14:paraId="624DE740" w14:textId="04967E99" w:rsidR="00A35C6F" w:rsidRDefault="00A35C6F" w:rsidP="00E606C3">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61AD623B" w14:textId="1C8371C6" w:rsidR="00A35C6F" w:rsidRDefault="00A35C6F" w:rsidP="00E606C3">
            <w:pPr>
              <w:jc w:val="right"/>
              <w:rPr>
                <w:rFonts w:ascii="Arial" w:hAnsi="Arial" w:cs="Arial"/>
                <w:sz w:val="16"/>
                <w:lang w:val="es-ES_tradnl"/>
              </w:rPr>
            </w:pPr>
            <w:r>
              <w:rPr>
                <w:rFonts w:ascii="Arial" w:hAnsi="Arial" w:cs="Arial"/>
                <w:sz w:val="16"/>
                <w:lang w:val="es-ES_tradnl"/>
              </w:rPr>
              <w:t>0,46 AVAC</w:t>
            </w:r>
          </w:p>
        </w:tc>
        <w:tc>
          <w:tcPr>
            <w:tcW w:w="992" w:type="dxa"/>
            <w:vMerge w:val="restart"/>
            <w:tcBorders>
              <w:top w:val="single" w:sz="4" w:space="0" w:color="auto"/>
              <w:left w:val="single" w:sz="4" w:space="0" w:color="auto"/>
              <w:right w:val="single" w:sz="4" w:space="0" w:color="auto"/>
            </w:tcBorders>
            <w:vAlign w:val="center"/>
          </w:tcPr>
          <w:p w14:paraId="539E656C" w14:textId="575F8A74" w:rsidR="00A35C6F" w:rsidRPr="00062E00" w:rsidRDefault="00A35C6F" w:rsidP="00E606C3">
            <w:pPr>
              <w:jc w:val="right"/>
              <w:rPr>
                <w:rFonts w:ascii="Arial" w:hAnsi="Arial" w:cs="Arial"/>
                <w:sz w:val="16"/>
              </w:rPr>
            </w:pPr>
            <w:r w:rsidRPr="00062E00">
              <w:rPr>
                <w:rFonts w:ascii="Arial" w:hAnsi="Arial" w:cs="Arial"/>
                <w:sz w:val="16"/>
                <w:lang w:val="es-ES_tradnl"/>
              </w:rPr>
              <w:t>3.</w:t>
            </w:r>
            <w:r>
              <w:rPr>
                <w:rFonts w:ascii="Arial" w:hAnsi="Arial" w:cs="Arial"/>
                <w:sz w:val="16"/>
                <w:lang w:val="es-ES_tradnl"/>
              </w:rPr>
              <w:t>205.350</w:t>
            </w:r>
            <w:r w:rsidRPr="00062E00">
              <w:rPr>
                <w:rFonts w:ascii="Arial" w:hAnsi="Arial" w:cs="Arial"/>
                <w:sz w:val="16"/>
                <w:lang w:val="es-ES_tradnl"/>
              </w:rPr>
              <w:t xml:space="preserve"> €</w:t>
            </w:r>
          </w:p>
        </w:tc>
        <w:tc>
          <w:tcPr>
            <w:tcW w:w="1134" w:type="dxa"/>
            <w:vMerge w:val="restart"/>
            <w:tcBorders>
              <w:top w:val="single" w:sz="4" w:space="0" w:color="auto"/>
              <w:left w:val="single" w:sz="4" w:space="0" w:color="auto"/>
              <w:right w:val="single" w:sz="4" w:space="0" w:color="auto"/>
            </w:tcBorders>
            <w:vAlign w:val="center"/>
          </w:tcPr>
          <w:p w14:paraId="7EA5C0F7" w14:textId="0F3C052A" w:rsidR="00A35C6F" w:rsidRDefault="00A35C6F" w:rsidP="00E606C3">
            <w:pPr>
              <w:jc w:val="right"/>
              <w:rPr>
                <w:rFonts w:ascii="Arial" w:hAnsi="Arial" w:cs="Arial"/>
                <w:sz w:val="16"/>
              </w:rPr>
            </w:pPr>
            <w:r>
              <w:rPr>
                <w:rFonts w:ascii="Arial" w:hAnsi="Arial" w:cs="Arial"/>
                <w:sz w:val="16"/>
              </w:rPr>
              <w:t>670.650 €</w:t>
            </w:r>
          </w:p>
        </w:tc>
        <w:tc>
          <w:tcPr>
            <w:tcW w:w="1417" w:type="dxa"/>
            <w:tcBorders>
              <w:top w:val="single" w:sz="4" w:space="0" w:color="auto"/>
              <w:left w:val="single" w:sz="4" w:space="0" w:color="auto"/>
              <w:bottom w:val="single" w:sz="4" w:space="0" w:color="auto"/>
              <w:right w:val="single" w:sz="4" w:space="0" w:color="auto"/>
            </w:tcBorders>
            <w:vAlign w:val="center"/>
          </w:tcPr>
          <w:p w14:paraId="37E8B0AD" w14:textId="42E1F8FD" w:rsidR="00A35C6F" w:rsidRDefault="00A35C6F" w:rsidP="00E606C3">
            <w:pPr>
              <w:jc w:val="right"/>
              <w:rPr>
                <w:rFonts w:ascii="Arial" w:hAnsi="Arial" w:cs="Arial"/>
                <w:sz w:val="16"/>
              </w:rPr>
            </w:pPr>
            <w:r>
              <w:rPr>
                <w:rFonts w:ascii="Arial" w:hAnsi="Arial" w:cs="Arial"/>
                <w:sz w:val="16"/>
              </w:rPr>
              <w:t>215.352 €/AVAC</w:t>
            </w:r>
          </w:p>
        </w:tc>
      </w:tr>
      <w:tr w:rsidR="00A35C6F" w14:paraId="3F5BF97F"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718F3F5E" w14:textId="119E56B7" w:rsidR="00A35C6F" w:rsidRDefault="00A35C6F" w:rsidP="00D37336">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1F7EFED3" w14:textId="79B089A0" w:rsidR="00A35C6F" w:rsidRDefault="00A35C6F" w:rsidP="00E606C3">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660299ED" w14:textId="049CB105" w:rsidR="00A35C6F" w:rsidRDefault="00A35C6F" w:rsidP="00E606C3">
            <w:pPr>
              <w:jc w:val="right"/>
              <w:rPr>
                <w:rFonts w:ascii="Arial" w:hAnsi="Arial" w:cs="Arial"/>
                <w:sz w:val="16"/>
                <w:lang w:val="es-ES_tradnl"/>
              </w:rPr>
            </w:pPr>
            <w:r>
              <w:rPr>
                <w:rFonts w:ascii="Arial" w:hAnsi="Arial" w:cs="Arial"/>
                <w:sz w:val="16"/>
                <w:lang w:val="es-ES_tradnl"/>
              </w:rPr>
              <w:t>2,4 AV</w:t>
            </w:r>
          </w:p>
        </w:tc>
        <w:tc>
          <w:tcPr>
            <w:tcW w:w="992" w:type="dxa"/>
            <w:vMerge/>
            <w:tcBorders>
              <w:left w:val="single" w:sz="4" w:space="0" w:color="auto"/>
              <w:bottom w:val="single" w:sz="4" w:space="0" w:color="auto"/>
              <w:right w:val="single" w:sz="4" w:space="0" w:color="auto"/>
            </w:tcBorders>
            <w:vAlign w:val="center"/>
          </w:tcPr>
          <w:p w14:paraId="0CD7F88F" w14:textId="23B20AF0" w:rsidR="00A35C6F" w:rsidRPr="00062E00" w:rsidRDefault="00A35C6F" w:rsidP="00E606C3">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54674929" w14:textId="021967DC" w:rsidR="00A35C6F" w:rsidRDefault="00A35C6F" w:rsidP="00E606C3">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196E811D" w14:textId="37DEFB00" w:rsidR="00A35C6F" w:rsidRDefault="00A35C6F" w:rsidP="00E606C3">
            <w:pPr>
              <w:jc w:val="right"/>
              <w:rPr>
                <w:rFonts w:ascii="Arial" w:hAnsi="Arial" w:cs="Arial"/>
                <w:sz w:val="16"/>
              </w:rPr>
            </w:pPr>
            <w:r>
              <w:rPr>
                <w:rFonts w:ascii="Arial" w:hAnsi="Arial" w:cs="Arial"/>
                <w:sz w:val="16"/>
              </w:rPr>
              <w:t>160.729 €/AV</w:t>
            </w:r>
          </w:p>
        </w:tc>
      </w:tr>
      <w:tr w:rsidR="00A35C6F" w14:paraId="2FAB1074" w14:textId="77777777" w:rsidTr="00A35C6F">
        <w:trPr>
          <w:cantSplit/>
          <w:trHeight w:val="310"/>
        </w:trPr>
        <w:tc>
          <w:tcPr>
            <w:tcW w:w="3331" w:type="dxa"/>
            <w:vMerge w:val="restart"/>
            <w:tcBorders>
              <w:top w:val="single" w:sz="4" w:space="0" w:color="auto"/>
              <w:left w:val="single" w:sz="4" w:space="0" w:color="auto"/>
              <w:right w:val="single" w:sz="4" w:space="0" w:color="auto"/>
            </w:tcBorders>
            <w:vAlign w:val="center"/>
          </w:tcPr>
          <w:p w14:paraId="4D001149" w14:textId="137C954C" w:rsidR="00A35C6F" w:rsidRDefault="00A35C6F" w:rsidP="004212EC">
            <w:pPr>
              <w:rPr>
                <w:rFonts w:ascii="Arial" w:hAnsi="Arial" w:cs="Arial"/>
                <w:sz w:val="16"/>
                <w:lang w:val="es-ES_tradnl"/>
              </w:rPr>
            </w:pPr>
            <w:r>
              <w:rPr>
                <w:rFonts w:ascii="Arial" w:hAnsi="Arial" w:cs="Arial"/>
                <w:sz w:val="16"/>
                <w:lang w:val="es-ES_tradnl"/>
              </w:rPr>
              <w:t>Si un 33% de los tratados con Zolgensma reciben Nusinersen</w:t>
            </w:r>
            <w:r w:rsidRPr="00062E00">
              <w:rPr>
                <w:rFonts w:ascii="Arial" w:hAnsi="Arial" w:cs="Arial"/>
                <w:sz w:val="16"/>
                <w:vertAlign w:val="superscript"/>
                <w:lang w:val="es-ES_tradnl"/>
              </w:rPr>
              <w:t>2</w:t>
            </w:r>
            <w:r>
              <w:rPr>
                <w:rFonts w:ascii="Arial" w:hAnsi="Arial" w:cs="Arial"/>
                <w:sz w:val="16"/>
                <w:vertAlign w:val="superscript"/>
                <w:lang w:val="es-ES_tradnl"/>
              </w:rPr>
              <w:t xml:space="preserve"> </w:t>
            </w:r>
            <w:r w:rsidRPr="00062E00">
              <w:rPr>
                <w:rFonts w:ascii="Arial" w:hAnsi="Arial" w:cs="Arial"/>
                <w:sz w:val="16"/>
                <w:lang w:val="es-ES_tradnl"/>
              </w:rPr>
              <w:t>+</w:t>
            </w:r>
            <w:r>
              <w:rPr>
                <w:rFonts w:ascii="Arial" w:hAnsi="Arial" w:cs="Arial"/>
                <w:sz w:val="16"/>
                <w:lang w:val="es-ES_tradnl"/>
              </w:rPr>
              <w:t xml:space="preserve"> </w:t>
            </w:r>
            <w:r w:rsidRPr="00062E00">
              <w:rPr>
                <w:rFonts w:ascii="Arial" w:hAnsi="Arial" w:cs="Arial"/>
                <w:sz w:val="16"/>
                <w:lang w:val="es-ES_tradnl"/>
              </w:rPr>
              <w:t>Incluyendo costes directos diferentes de los medicamentos</w:t>
            </w:r>
            <w:r w:rsidRPr="00062E00">
              <w:rPr>
                <w:rFonts w:ascii="Arial" w:hAnsi="Arial" w:cs="Arial"/>
                <w:sz w:val="16"/>
                <w:vertAlign w:val="superscript"/>
                <w:lang w:val="es-ES_tradnl"/>
              </w:rPr>
              <w:t>3</w:t>
            </w:r>
          </w:p>
        </w:tc>
        <w:tc>
          <w:tcPr>
            <w:tcW w:w="1134" w:type="dxa"/>
            <w:tcBorders>
              <w:top w:val="single" w:sz="4" w:space="0" w:color="auto"/>
              <w:left w:val="single" w:sz="4" w:space="0" w:color="auto"/>
              <w:bottom w:val="single" w:sz="4" w:space="0" w:color="auto"/>
              <w:right w:val="single" w:sz="4" w:space="0" w:color="auto"/>
            </w:tcBorders>
            <w:vAlign w:val="center"/>
          </w:tcPr>
          <w:p w14:paraId="16A4018D" w14:textId="373830BF" w:rsidR="00A35C6F" w:rsidRDefault="00A35C6F" w:rsidP="00E606C3">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2CDC4482" w14:textId="01B2E8EE" w:rsidR="00A35C6F" w:rsidRDefault="00A35C6F" w:rsidP="00E606C3">
            <w:pPr>
              <w:jc w:val="right"/>
              <w:rPr>
                <w:rFonts w:ascii="Arial" w:hAnsi="Arial" w:cs="Arial"/>
                <w:sz w:val="16"/>
                <w:lang w:val="es-ES_tradnl"/>
              </w:rPr>
            </w:pPr>
            <w:r>
              <w:rPr>
                <w:rFonts w:ascii="Arial" w:hAnsi="Arial" w:cs="Arial"/>
                <w:sz w:val="16"/>
                <w:lang w:val="es-ES_tradnl"/>
              </w:rPr>
              <w:t>0,46 AVAC</w:t>
            </w:r>
          </w:p>
        </w:tc>
        <w:tc>
          <w:tcPr>
            <w:tcW w:w="992" w:type="dxa"/>
            <w:vMerge w:val="restart"/>
            <w:tcBorders>
              <w:top w:val="single" w:sz="4" w:space="0" w:color="auto"/>
              <w:left w:val="single" w:sz="4" w:space="0" w:color="auto"/>
              <w:right w:val="single" w:sz="4" w:space="0" w:color="auto"/>
            </w:tcBorders>
            <w:vAlign w:val="center"/>
          </w:tcPr>
          <w:p w14:paraId="193CF13E" w14:textId="1AA663D0" w:rsidR="00A35C6F" w:rsidRPr="00062E00" w:rsidRDefault="00A35C6F" w:rsidP="00E606C3">
            <w:pPr>
              <w:jc w:val="right"/>
              <w:rPr>
                <w:rFonts w:ascii="Arial" w:hAnsi="Arial" w:cs="Arial"/>
                <w:sz w:val="16"/>
              </w:rPr>
            </w:pPr>
            <w:r>
              <w:rPr>
                <w:rFonts w:ascii="Arial" w:hAnsi="Arial" w:cs="Arial"/>
                <w:sz w:val="16"/>
              </w:rPr>
              <w:t>3.756.879</w:t>
            </w:r>
            <w:r w:rsidRPr="00062E00">
              <w:rPr>
                <w:rFonts w:ascii="Arial" w:hAnsi="Arial" w:cs="Arial"/>
                <w:sz w:val="16"/>
              </w:rPr>
              <w:t xml:space="preserve"> €</w:t>
            </w:r>
          </w:p>
        </w:tc>
        <w:tc>
          <w:tcPr>
            <w:tcW w:w="1134" w:type="dxa"/>
            <w:vMerge w:val="restart"/>
            <w:tcBorders>
              <w:top w:val="single" w:sz="4" w:space="0" w:color="auto"/>
              <w:left w:val="single" w:sz="4" w:space="0" w:color="auto"/>
              <w:right w:val="single" w:sz="4" w:space="0" w:color="auto"/>
            </w:tcBorders>
            <w:vAlign w:val="center"/>
          </w:tcPr>
          <w:p w14:paraId="51FF8BF9" w14:textId="200C4411" w:rsidR="00A35C6F" w:rsidRDefault="00A35C6F" w:rsidP="00E606C3">
            <w:pPr>
              <w:jc w:val="right"/>
              <w:rPr>
                <w:rFonts w:ascii="Arial" w:hAnsi="Arial" w:cs="Arial"/>
                <w:sz w:val="16"/>
              </w:rPr>
            </w:pPr>
            <w:r>
              <w:rPr>
                <w:rFonts w:ascii="Arial" w:hAnsi="Arial" w:cs="Arial"/>
                <w:sz w:val="16"/>
              </w:rPr>
              <w:t>670.650 €</w:t>
            </w:r>
          </w:p>
        </w:tc>
        <w:tc>
          <w:tcPr>
            <w:tcW w:w="1417" w:type="dxa"/>
            <w:tcBorders>
              <w:top w:val="single" w:sz="4" w:space="0" w:color="auto"/>
              <w:left w:val="single" w:sz="4" w:space="0" w:color="auto"/>
              <w:bottom w:val="single" w:sz="4" w:space="0" w:color="auto"/>
              <w:right w:val="single" w:sz="4" w:space="0" w:color="auto"/>
            </w:tcBorders>
            <w:vAlign w:val="center"/>
          </w:tcPr>
          <w:p w14:paraId="53A9AEFD" w14:textId="2B79AA51" w:rsidR="00A35C6F" w:rsidRDefault="00A35C6F" w:rsidP="00E606C3">
            <w:pPr>
              <w:jc w:val="right"/>
              <w:rPr>
                <w:rFonts w:ascii="Arial" w:hAnsi="Arial" w:cs="Arial"/>
                <w:sz w:val="16"/>
              </w:rPr>
            </w:pPr>
            <w:r>
              <w:rPr>
                <w:rFonts w:ascii="Arial" w:hAnsi="Arial" w:cs="Arial"/>
                <w:sz w:val="16"/>
              </w:rPr>
              <w:t>262.211 €/AVAC</w:t>
            </w:r>
          </w:p>
        </w:tc>
      </w:tr>
      <w:tr w:rsidR="00A35C6F" w14:paraId="2A479E41"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4FC5FC61" w14:textId="31E50B37" w:rsidR="00A35C6F" w:rsidRDefault="00A35C6F" w:rsidP="00D37336">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797006AD" w14:textId="479EA842" w:rsidR="00A35C6F" w:rsidRDefault="00A35C6F" w:rsidP="00E606C3">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59BD1B33" w14:textId="2CA9D5DB" w:rsidR="00A35C6F" w:rsidRDefault="00A35C6F" w:rsidP="00E606C3">
            <w:pPr>
              <w:jc w:val="right"/>
              <w:rPr>
                <w:rFonts w:ascii="Arial" w:hAnsi="Arial" w:cs="Arial"/>
                <w:sz w:val="16"/>
                <w:lang w:val="es-ES_tradnl"/>
              </w:rPr>
            </w:pPr>
            <w:r>
              <w:rPr>
                <w:rFonts w:ascii="Arial" w:hAnsi="Arial" w:cs="Arial"/>
                <w:sz w:val="16"/>
                <w:lang w:val="es-ES_tradnl"/>
              </w:rPr>
              <w:t>2,4 AV</w:t>
            </w:r>
          </w:p>
        </w:tc>
        <w:tc>
          <w:tcPr>
            <w:tcW w:w="992" w:type="dxa"/>
            <w:vMerge/>
            <w:tcBorders>
              <w:left w:val="single" w:sz="4" w:space="0" w:color="auto"/>
              <w:bottom w:val="single" w:sz="4" w:space="0" w:color="auto"/>
              <w:right w:val="single" w:sz="4" w:space="0" w:color="auto"/>
            </w:tcBorders>
            <w:vAlign w:val="center"/>
          </w:tcPr>
          <w:p w14:paraId="46C95336" w14:textId="62A00BA9" w:rsidR="00A35C6F" w:rsidRPr="00062E00" w:rsidRDefault="00A35C6F" w:rsidP="00E606C3">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348A16BC" w14:textId="3E767CD7" w:rsidR="00A35C6F" w:rsidRDefault="00A35C6F" w:rsidP="00E606C3">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3096F527" w14:textId="2A65AFE0" w:rsidR="00A35C6F" w:rsidRDefault="00A35C6F" w:rsidP="00E606C3">
            <w:pPr>
              <w:jc w:val="right"/>
              <w:rPr>
                <w:rFonts w:ascii="Arial" w:hAnsi="Arial" w:cs="Arial"/>
                <w:sz w:val="16"/>
              </w:rPr>
            </w:pPr>
            <w:r>
              <w:rPr>
                <w:rFonts w:ascii="Arial" w:hAnsi="Arial" w:cs="Arial"/>
                <w:sz w:val="16"/>
              </w:rPr>
              <w:t>195.702 €/AV</w:t>
            </w:r>
          </w:p>
        </w:tc>
      </w:tr>
      <w:tr w:rsidR="00B700CE" w14:paraId="3F263387" w14:textId="77777777" w:rsidTr="00A35C6F">
        <w:trPr>
          <w:cantSplit/>
          <w:trHeight w:val="310"/>
        </w:trPr>
        <w:tc>
          <w:tcPr>
            <w:tcW w:w="3331" w:type="dxa"/>
            <w:vMerge w:val="restart"/>
            <w:tcBorders>
              <w:left w:val="single" w:sz="4" w:space="0" w:color="auto"/>
              <w:right w:val="single" w:sz="4" w:space="0" w:color="auto"/>
            </w:tcBorders>
            <w:vAlign w:val="center"/>
          </w:tcPr>
          <w:p w14:paraId="00477D47" w14:textId="35A1D555" w:rsidR="00B700CE" w:rsidRDefault="00B700CE" w:rsidP="00D37336">
            <w:pPr>
              <w:rPr>
                <w:rFonts w:ascii="Arial" w:hAnsi="Arial" w:cs="Arial"/>
                <w:sz w:val="16"/>
                <w:lang w:val="es-ES_tradnl"/>
              </w:rPr>
            </w:pPr>
            <w:r>
              <w:rPr>
                <w:rFonts w:ascii="Arial" w:hAnsi="Arial" w:cs="Arial"/>
                <w:sz w:val="16"/>
                <w:lang w:val="es-ES_tradnl"/>
              </w:rPr>
              <w:t>Si un 16% de los tratados con Zolgensma reciben Nusinersen</w:t>
            </w:r>
            <w:r>
              <w:rPr>
                <w:rFonts w:ascii="Arial" w:hAnsi="Arial" w:cs="Arial"/>
                <w:sz w:val="16"/>
                <w:vertAlign w:val="superscript"/>
                <w:lang w:val="es-ES_tradnl"/>
              </w:rPr>
              <w:t xml:space="preserve"> </w:t>
            </w:r>
            <w:r w:rsidRPr="000B3B05">
              <w:rPr>
                <w:rFonts w:ascii="Arial" w:hAnsi="Arial" w:cs="Arial"/>
                <w:sz w:val="16"/>
                <w:lang w:val="es-ES_tradnl"/>
              </w:rPr>
              <w:t>+</w:t>
            </w:r>
            <w:r>
              <w:rPr>
                <w:rFonts w:ascii="Arial" w:hAnsi="Arial" w:cs="Arial"/>
                <w:sz w:val="16"/>
                <w:lang w:val="es-ES_tradnl"/>
              </w:rPr>
              <w:t xml:space="preserve"> </w:t>
            </w:r>
            <w:r w:rsidRPr="00062E00">
              <w:rPr>
                <w:rFonts w:ascii="Arial" w:hAnsi="Arial" w:cs="Arial"/>
                <w:sz w:val="16"/>
                <w:lang w:val="es-ES_tradnl"/>
              </w:rPr>
              <w:t>Incluyendo costes directos diferentes de los medicamentos</w:t>
            </w:r>
          </w:p>
        </w:tc>
        <w:tc>
          <w:tcPr>
            <w:tcW w:w="1134" w:type="dxa"/>
            <w:tcBorders>
              <w:top w:val="single" w:sz="4" w:space="0" w:color="auto"/>
              <w:left w:val="single" w:sz="4" w:space="0" w:color="auto"/>
              <w:bottom w:val="single" w:sz="4" w:space="0" w:color="auto"/>
              <w:right w:val="single" w:sz="4" w:space="0" w:color="auto"/>
            </w:tcBorders>
            <w:vAlign w:val="center"/>
          </w:tcPr>
          <w:p w14:paraId="519DBE18" w14:textId="7BA62074" w:rsidR="00B700CE" w:rsidRDefault="00B700CE" w:rsidP="00E606C3">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2B928C7E" w14:textId="2F37FFA6" w:rsidR="00B700CE" w:rsidRDefault="00B700CE" w:rsidP="00E606C3">
            <w:pPr>
              <w:jc w:val="right"/>
              <w:rPr>
                <w:rFonts w:ascii="Arial" w:hAnsi="Arial" w:cs="Arial"/>
                <w:sz w:val="16"/>
                <w:lang w:val="es-ES_tradnl"/>
              </w:rPr>
            </w:pPr>
            <w:r>
              <w:rPr>
                <w:rFonts w:ascii="Arial" w:hAnsi="Arial" w:cs="Arial"/>
                <w:sz w:val="16"/>
                <w:lang w:val="es-ES_tradnl"/>
              </w:rPr>
              <w:t>0,46 AVAC</w:t>
            </w:r>
          </w:p>
        </w:tc>
        <w:tc>
          <w:tcPr>
            <w:tcW w:w="992" w:type="dxa"/>
            <w:vMerge w:val="restart"/>
            <w:tcBorders>
              <w:top w:val="single" w:sz="4" w:space="0" w:color="auto"/>
              <w:left w:val="single" w:sz="4" w:space="0" w:color="auto"/>
              <w:right w:val="single" w:sz="4" w:space="0" w:color="auto"/>
            </w:tcBorders>
            <w:vAlign w:val="center"/>
          </w:tcPr>
          <w:p w14:paraId="3024839C" w14:textId="02525730" w:rsidR="00B700CE" w:rsidRDefault="00B700CE" w:rsidP="00E606C3">
            <w:pPr>
              <w:jc w:val="right"/>
              <w:rPr>
                <w:rFonts w:ascii="Arial" w:hAnsi="Arial" w:cs="Arial"/>
                <w:sz w:val="16"/>
              </w:rPr>
            </w:pPr>
            <w:r>
              <w:rPr>
                <w:rFonts w:ascii="Arial" w:hAnsi="Arial" w:cs="Arial"/>
                <w:sz w:val="16"/>
              </w:rPr>
              <w:t>3.472.758 €</w:t>
            </w:r>
          </w:p>
        </w:tc>
        <w:tc>
          <w:tcPr>
            <w:tcW w:w="1134" w:type="dxa"/>
            <w:vMerge w:val="restart"/>
            <w:tcBorders>
              <w:top w:val="single" w:sz="4" w:space="0" w:color="auto"/>
              <w:left w:val="single" w:sz="4" w:space="0" w:color="auto"/>
              <w:right w:val="single" w:sz="4" w:space="0" w:color="auto"/>
            </w:tcBorders>
            <w:vAlign w:val="center"/>
          </w:tcPr>
          <w:p w14:paraId="03D9B63E" w14:textId="7C9B3E0C" w:rsidR="00B700CE" w:rsidRDefault="00B700CE" w:rsidP="00E606C3">
            <w:pPr>
              <w:jc w:val="right"/>
              <w:rPr>
                <w:rFonts w:ascii="Arial" w:hAnsi="Arial" w:cs="Arial"/>
                <w:sz w:val="16"/>
              </w:rPr>
            </w:pPr>
            <w:r>
              <w:rPr>
                <w:rFonts w:ascii="Arial" w:hAnsi="Arial" w:cs="Arial"/>
                <w:sz w:val="16"/>
              </w:rPr>
              <w:t>670.650 €</w:t>
            </w:r>
          </w:p>
        </w:tc>
        <w:tc>
          <w:tcPr>
            <w:tcW w:w="1417" w:type="dxa"/>
            <w:tcBorders>
              <w:top w:val="single" w:sz="4" w:space="0" w:color="auto"/>
              <w:left w:val="single" w:sz="4" w:space="0" w:color="auto"/>
              <w:bottom w:val="single" w:sz="4" w:space="0" w:color="auto"/>
              <w:right w:val="single" w:sz="4" w:space="0" w:color="auto"/>
            </w:tcBorders>
            <w:vAlign w:val="center"/>
          </w:tcPr>
          <w:p w14:paraId="52310F56" w14:textId="7C996F3D" w:rsidR="00B700CE" w:rsidRDefault="00BB2579" w:rsidP="00E606C3">
            <w:pPr>
              <w:jc w:val="right"/>
              <w:rPr>
                <w:rFonts w:ascii="Arial" w:hAnsi="Arial" w:cs="Arial"/>
                <w:sz w:val="16"/>
              </w:rPr>
            </w:pPr>
            <w:r>
              <w:rPr>
                <w:rFonts w:ascii="Arial" w:hAnsi="Arial" w:cs="Arial"/>
                <w:sz w:val="16"/>
              </w:rPr>
              <w:t>238.072 €/AVAC</w:t>
            </w:r>
          </w:p>
        </w:tc>
      </w:tr>
      <w:tr w:rsidR="00B700CE" w14:paraId="3A2ED747" w14:textId="77777777" w:rsidTr="00A35C6F">
        <w:trPr>
          <w:cantSplit/>
          <w:trHeight w:val="310"/>
        </w:trPr>
        <w:tc>
          <w:tcPr>
            <w:tcW w:w="3331" w:type="dxa"/>
            <w:vMerge/>
            <w:tcBorders>
              <w:left w:val="single" w:sz="4" w:space="0" w:color="auto"/>
              <w:bottom w:val="single" w:sz="4" w:space="0" w:color="auto"/>
              <w:right w:val="single" w:sz="4" w:space="0" w:color="auto"/>
            </w:tcBorders>
            <w:vAlign w:val="center"/>
          </w:tcPr>
          <w:p w14:paraId="352D23BC" w14:textId="77777777" w:rsidR="00B700CE" w:rsidRDefault="00B700CE" w:rsidP="00D37336">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1FC0AED4" w14:textId="12574060" w:rsidR="00B700CE" w:rsidRDefault="00B700CE" w:rsidP="00E606C3">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3DFFB217" w14:textId="384D57C6" w:rsidR="00B700CE" w:rsidRDefault="00B700CE" w:rsidP="00E606C3">
            <w:pPr>
              <w:jc w:val="right"/>
              <w:rPr>
                <w:rFonts w:ascii="Arial" w:hAnsi="Arial" w:cs="Arial"/>
                <w:sz w:val="16"/>
                <w:lang w:val="es-ES_tradnl"/>
              </w:rPr>
            </w:pPr>
            <w:r>
              <w:rPr>
                <w:rFonts w:ascii="Arial" w:hAnsi="Arial" w:cs="Arial"/>
                <w:sz w:val="16"/>
                <w:lang w:val="es-ES_tradnl"/>
              </w:rPr>
              <w:t>2,4 AV</w:t>
            </w:r>
          </w:p>
        </w:tc>
        <w:tc>
          <w:tcPr>
            <w:tcW w:w="992" w:type="dxa"/>
            <w:vMerge/>
            <w:tcBorders>
              <w:left w:val="single" w:sz="4" w:space="0" w:color="auto"/>
              <w:bottom w:val="single" w:sz="4" w:space="0" w:color="auto"/>
              <w:right w:val="single" w:sz="4" w:space="0" w:color="auto"/>
            </w:tcBorders>
            <w:vAlign w:val="center"/>
          </w:tcPr>
          <w:p w14:paraId="155FE33E" w14:textId="77777777" w:rsidR="00B700CE" w:rsidRDefault="00B700CE" w:rsidP="00E606C3">
            <w:pPr>
              <w:jc w:val="right"/>
              <w:rPr>
                <w:rFonts w:ascii="Arial" w:hAnsi="Arial" w:cs="Arial"/>
                <w:sz w:val="16"/>
              </w:rPr>
            </w:pPr>
          </w:p>
        </w:tc>
        <w:tc>
          <w:tcPr>
            <w:tcW w:w="1134" w:type="dxa"/>
            <w:vMerge/>
            <w:tcBorders>
              <w:left w:val="single" w:sz="4" w:space="0" w:color="auto"/>
              <w:bottom w:val="single" w:sz="4" w:space="0" w:color="auto"/>
              <w:right w:val="single" w:sz="4" w:space="0" w:color="auto"/>
            </w:tcBorders>
            <w:vAlign w:val="center"/>
          </w:tcPr>
          <w:p w14:paraId="1A9D6E8F" w14:textId="77777777" w:rsidR="00B700CE" w:rsidRDefault="00B700CE" w:rsidP="00E606C3">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4A71DCC" w14:textId="1B02C6DA" w:rsidR="00B700CE" w:rsidRDefault="00BB2579" w:rsidP="00E606C3">
            <w:pPr>
              <w:jc w:val="right"/>
              <w:rPr>
                <w:rFonts w:ascii="Arial" w:hAnsi="Arial" w:cs="Arial"/>
                <w:sz w:val="16"/>
              </w:rPr>
            </w:pPr>
            <w:r>
              <w:rPr>
                <w:rFonts w:ascii="Arial" w:hAnsi="Arial" w:cs="Arial"/>
                <w:sz w:val="16"/>
              </w:rPr>
              <w:t>177.685 €/AVAC</w:t>
            </w:r>
          </w:p>
        </w:tc>
      </w:tr>
      <w:tr w:rsidR="00B700CE" w14:paraId="7FA78B33" w14:textId="77777777" w:rsidTr="00B700CE">
        <w:trPr>
          <w:cantSplit/>
          <w:trHeight w:val="532"/>
        </w:trPr>
        <w:tc>
          <w:tcPr>
            <w:tcW w:w="3331" w:type="dxa"/>
            <w:vMerge w:val="restart"/>
            <w:tcBorders>
              <w:top w:val="single" w:sz="4" w:space="0" w:color="auto"/>
              <w:left w:val="single" w:sz="4" w:space="0" w:color="auto"/>
              <w:right w:val="single" w:sz="4" w:space="0" w:color="auto"/>
            </w:tcBorders>
            <w:vAlign w:val="center"/>
          </w:tcPr>
          <w:p w14:paraId="01C125C4" w14:textId="08CE0D31" w:rsidR="00B700CE" w:rsidRDefault="00B700CE" w:rsidP="00AE0510">
            <w:pPr>
              <w:rPr>
                <w:rFonts w:ascii="Arial" w:hAnsi="Arial" w:cs="Arial"/>
                <w:sz w:val="16"/>
                <w:lang w:val="es-ES_tradnl"/>
              </w:rPr>
            </w:pPr>
            <w:r>
              <w:rPr>
                <w:rFonts w:ascii="Arial" w:hAnsi="Arial" w:cs="Arial"/>
                <w:sz w:val="16"/>
                <w:lang w:val="es-ES_tradnl"/>
              </w:rPr>
              <w:t>Si un 33% de los tratados con Zolgensma reciben Nusinersen</w:t>
            </w:r>
            <w:r w:rsidRPr="00062E00">
              <w:rPr>
                <w:rFonts w:ascii="Arial" w:hAnsi="Arial" w:cs="Arial"/>
                <w:sz w:val="16"/>
                <w:vertAlign w:val="superscript"/>
                <w:lang w:val="es-ES_tradnl"/>
              </w:rPr>
              <w:t>2</w:t>
            </w:r>
            <w:r>
              <w:rPr>
                <w:rFonts w:ascii="Arial" w:hAnsi="Arial" w:cs="Arial"/>
                <w:sz w:val="16"/>
                <w:vertAlign w:val="superscript"/>
                <w:lang w:val="es-ES_tradnl"/>
              </w:rPr>
              <w:t xml:space="preserve"> </w:t>
            </w:r>
            <w:r w:rsidRPr="00062E00">
              <w:rPr>
                <w:rFonts w:ascii="Arial" w:hAnsi="Arial" w:cs="Arial"/>
                <w:sz w:val="16"/>
                <w:lang w:val="es-ES_tradnl"/>
              </w:rPr>
              <w:t>+</w:t>
            </w:r>
            <w:r>
              <w:rPr>
                <w:rFonts w:ascii="Arial" w:hAnsi="Arial" w:cs="Arial"/>
                <w:sz w:val="16"/>
                <w:lang w:val="es-ES_tradnl"/>
              </w:rPr>
              <w:t xml:space="preserve"> </w:t>
            </w:r>
            <w:r w:rsidRPr="00062E00">
              <w:rPr>
                <w:rFonts w:ascii="Arial" w:hAnsi="Arial" w:cs="Arial"/>
                <w:sz w:val="16"/>
                <w:lang w:val="es-ES_tradnl"/>
              </w:rPr>
              <w:t>Incluyendo costes directos diferentes de los medicamentos</w:t>
            </w:r>
            <w:r w:rsidRPr="00062E00">
              <w:rPr>
                <w:rFonts w:ascii="Arial" w:hAnsi="Arial" w:cs="Arial"/>
                <w:sz w:val="16"/>
                <w:vertAlign w:val="superscript"/>
                <w:lang w:val="es-ES_tradnl"/>
              </w:rPr>
              <w:t>3</w:t>
            </w:r>
            <w:r>
              <w:rPr>
                <w:rFonts w:ascii="Arial" w:hAnsi="Arial" w:cs="Arial"/>
                <w:sz w:val="16"/>
                <w:lang w:val="es-ES_tradnl"/>
              </w:rPr>
              <w:t>, suponiendo que estos costes son un 20% menores que en EEUU</w:t>
            </w:r>
          </w:p>
        </w:tc>
        <w:tc>
          <w:tcPr>
            <w:tcW w:w="1134" w:type="dxa"/>
            <w:tcBorders>
              <w:top w:val="single" w:sz="4" w:space="0" w:color="auto"/>
              <w:left w:val="single" w:sz="4" w:space="0" w:color="auto"/>
              <w:bottom w:val="single" w:sz="4" w:space="0" w:color="auto"/>
              <w:right w:val="single" w:sz="4" w:space="0" w:color="auto"/>
            </w:tcBorders>
            <w:vAlign w:val="center"/>
          </w:tcPr>
          <w:p w14:paraId="69D272F8" w14:textId="00E5D336" w:rsidR="00B700CE" w:rsidRDefault="00B700CE" w:rsidP="00E606C3">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499178B9" w14:textId="0BE47CF6" w:rsidR="00B700CE" w:rsidRDefault="00B700CE" w:rsidP="00E606C3">
            <w:pPr>
              <w:jc w:val="right"/>
              <w:rPr>
                <w:rFonts w:ascii="Arial" w:hAnsi="Arial" w:cs="Arial"/>
                <w:sz w:val="16"/>
                <w:lang w:val="es-ES_tradnl"/>
              </w:rPr>
            </w:pPr>
            <w:r>
              <w:rPr>
                <w:rFonts w:ascii="Arial" w:hAnsi="Arial" w:cs="Arial"/>
                <w:sz w:val="16"/>
                <w:lang w:val="es-ES_tradnl"/>
              </w:rPr>
              <w:t>0,46 AVAC</w:t>
            </w:r>
          </w:p>
        </w:tc>
        <w:tc>
          <w:tcPr>
            <w:tcW w:w="992" w:type="dxa"/>
            <w:vMerge w:val="restart"/>
            <w:tcBorders>
              <w:top w:val="single" w:sz="4" w:space="0" w:color="auto"/>
              <w:left w:val="single" w:sz="4" w:space="0" w:color="auto"/>
              <w:right w:val="single" w:sz="4" w:space="0" w:color="auto"/>
            </w:tcBorders>
            <w:vAlign w:val="center"/>
          </w:tcPr>
          <w:p w14:paraId="6CD13FE0" w14:textId="49CF4D52" w:rsidR="00B700CE" w:rsidRDefault="00B700CE" w:rsidP="00E606C3">
            <w:pPr>
              <w:jc w:val="right"/>
              <w:rPr>
                <w:rFonts w:ascii="Arial" w:hAnsi="Arial" w:cs="Arial"/>
                <w:sz w:val="16"/>
              </w:rPr>
            </w:pPr>
            <w:r>
              <w:rPr>
                <w:rFonts w:ascii="Arial" w:hAnsi="Arial" w:cs="Arial"/>
                <w:sz w:val="16"/>
              </w:rPr>
              <w:t>3.472.879 €</w:t>
            </w:r>
          </w:p>
        </w:tc>
        <w:tc>
          <w:tcPr>
            <w:tcW w:w="1134" w:type="dxa"/>
            <w:vMerge w:val="restart"/>
            <w:tcBorders>
              <w:top w:val="single" w:sz="4" w:space="0" w:color="auto"/>
              <w:left w:val="single" w:sz="4" w:space="0" w:color="auto"/>
              <w:right w:val="single" w:sz="4" w:space="0" w:color="auto"/>
            </w:tcBorders>
            <w:vAlign w:val="center"/>
          </w:tcPr>
          <w:p w14:paraId="328C5914" w14:textId="1F0CD592" w:rsidR="00B700CE" w:rsidRDefault="00B700CE" w:rsidP="00E606C3">
            <w:pPr>
              <w:jc w:val="right"/>
              <w:rPr>
                <w:rFonts w:ascii="Arial" w:hAnsi="Arial" w:cs="Arial"/>
                <w:sz w:val="16"/>
              </w:rPr>
            </w:pPr>
            <w:r>
              <w:rPr>
                <w:rFonts w:ascii="Arial" w:hAnsi="Arial" w:cs="Arial"/>
                <w:sz w:val="16"/>
              </w:rPr>
              <w:t>536.520 €</w:t>
            </w:r>
          </w:p>
        </w:tc>
        <w:tc>
          <w:tcPr>
            <w:tcW w:w="1417" w:type="dxa"/>
            <w:tcBorders>
              <w:top w:val="single" w:sz="4" w:space="0" w:color="auto"/>
              <w:left w:val="single" w:sz="4" w:space="0" w:color="auto"/>
              <w:bottom w:val="single" w:sz="4" w:space="0" w:color="auto"/>
              <w:right w:val="single" w:sz="4" w:space="0" w:color="auto"/>
            </w:tcBorders>
            <w:vAlign w:val="center"/>
          </w:tcPr>
          <w:p w14:paraId="4D4232E6" w14:textId="6077DE0B" w:rsidR="00B700CE" w:rsidRDefault="00B700CE" w:rsidP="00E606C3">
            <w:pPr>
              <w:jc w:val="right"/>
              <w:rPr>
                <w:rFonts w:ascii="Arial" w:hAnsi="Arial" w:cs="Arial"/>
                <w:sz w:val="16"/>
              </w:rPr>
            </w:pPr>
            <w:r>
              <w:rPr>
                <w:rFonts w:ascii="Arial" w:hAnsi="Arial" w:cs="Arial"/>
                <w:sz w:val="16"/>
              </w:rPr>
              <w:t>249.478 €/AVAC</w:t>
            </w:r>
          </w:p>
        </w:tc>
      </w:tr>
      <w:tr w:rsidR="00B700CE" w14:paraId="40550795" w14:textId="77777777" w:rsidTr="00B700CE">
        <w:trPr>
          <w:cantSplit/>
          <w:trHeight w:val="310"/>
        </w:trPr>
        <w:tc>
          <w:tcPr>
            <w:tcW w:w="3331" w:type="dxa"/>
            <w:vMerge/>
            <w:tcBorders>
              <w:left w:val="single" w:sz="4" w:space="0" w:color="auto"/>
              <w:right w:val="single" w:sz="4" w:space="0" w:color="auto"/>
            </w:tcBorders>
            <w:vAlign w:val="center"/>
          </w:tcPr>
          <w:p w14:paraId="0179B0E5" w14:textId="77777777" w:rsidR="00B700CE" w:rsidRDefault="00B700CE" w:rsidP="00AE0510">
            <w:pPr>
              <w:rPr>
                <w:rFonts w:ascii="Arial" w:hAnsi="Arial" w:cs="Arial"/>
                <w:sz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3483F6B1" w14:textId="567BE975" w:rsidR="00B700CE" w:rsidRDefault="00B700CE" w:rsidP="00E606C3">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bottom w:val="single" w:sz="4" w:space="0" w:color="auto"/>
              <w:right w:val="single" w:sz="4" w:space="0" w:color="auto"/>
            </w:tcBorders>
            <w:vAlign w:val="center"/>
          </w:tcPr>
          <w:p w14:paraId="459BB24D" w14:textId="6AB81AAC" w:rsidR="00B700CE" w:rsidRDefault="00B700CE" w:rsidP="00E606C3">
            <w:pPr>
              <w:jc w:val="right"/>
              <w:rPr>
                <w:rFonts w:ascii="Arial" w:hAnsi="Arial" w:cs="Arial"/>
                <w:sz w:val="16"/>
                <w:lang w:val="es-ES_tradnl"/>
              </w:rPr>
            </w:pPr>
            <w:r>
              <w:rPr>
                <w:rFonts w:ascii="Arial" w:hAnsi="Arial" w:cs="Arial"/>
                <w:sz w:val="16"/>
                <w:lang w:val="es-ES_tradnl"/>
              </w:rPr>
              <w:t>2,4 AV</w:t>
            </w:r>
          </w:p>
        </w:tc>
        <w:tc>
          <w:tcPr>
            <w:tcW w:w="992" w:type="dxa"/>
            <w:vMerge/>
            <w:tcBorders>
              <w:left w:val="single" w:sz="4" w:space="0" w:color="auto"/>
              <w:right w:val="single" w:sz="4" w:space="0" w:color="auto"/>
            </w:tcBorders>
            <w:vAlign w:val="center"/>
          </w:tcPr>
          <w:p w14:paraId="01141CB0" w14:textId="77777777" w:rsidR="00B700CE" w:rsidRDefault="00B700CE" w:rsidP="00E606C3">
            <w:pPr>
              <w:jc w:val="right"/>
              <w:rPr>
                <w:rFonts w:ascii="Arial" w:hAnsi="Arial" w:cs="Arial"/>
                <w:sz w:val="16"/>
              </w:rPr>
            </w:pPr>
          </w:p>
        </w:tc>
        <w:tc>
          <w:tcPr>
            <w:tcW w:w="1134" w:type="dxa"/>
            <w:vMerge/>
            <w:tcBorders>
              <w:left w:val="single" w:sz="4" w:space="0" w:color="auto"/>
              <w:right w:val="single" w:sz="4" w:space="0" w:color="auto"/>
            </w:tcBorders>
            <w:vAlign w:val="center"/>
          </w:tcPr>
          <w:p w14:paraId="7B9D4C86" w14:textId="77777777" w:rsidR="00B700CE" w:rsidRDefault="00B700CE" w:rsidP="00E606C3">
            <w:pPr>
              <w:jc w:val="right"/>
              <w:rPr>
                <w:rFonts w:ascii="Arial" w:hAnsi="Arial" w:cs="Arial"/>
                <w:sz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5C8DA08C" w14:textId="5451145B" w:rsidR="00B700CE" w:rsidRDefault="00BB2579" w:rsidP="00E606C3">
            <w:pPr>
              <w:jc w:val="right"/>
              <w:rPr>
                <w:rFonts w:ascii="Arial" w:hAnsi="Arial" w:cs="Arial"/>
                <w:sz w:val="16"/>
              </w:rPr>
            </w:pPr>
            <w:r>
              <w:rPr>
                <w:rFonts w:ascii="Arial" w:hAnsi="Arial" w:cs="Arial"/>
                <w:sz w:val="16"/>
              </w:rPr>
              <w:t>186.199 €/AV</w:t>
            </w:r>
          </w:p>
        </w:tc>
      </w:tr>
      <w:tr w:rsidR="00B700CE" w14:paraId="6BF46331" w14:textId="77777777" w:rsidTr="00B700CE">
        <w:trPr>
          <w:cantSplit/>
          <w:trHeight w:val="445"/>
        </w:trPr>
        <w:tc>
          <w:tcPr>
            <w:tcW w:w="3331" w:type="dxa"/>
            <w:vMerge w:val="restart"/>
            <w:tcBorders>
              <w:left w:val="single" w:sz="4" w:space="0" w:color="auto"/>
              <w:right w:val="single" w:sz="4" w:space="0" w:color="auto"/>
            </w:tcBorders>
            <w:vAlign w:val="center"/>
          </w:tcPr>
          <w:p w14:paraId="607191AF" w14:textId="7A52BFDF" w:rsidR="00B700CE" w:rsidRDefault="00B700CE" w:rsidP="00B700CE">
            <w:pPr>
              <w:rPr>
                <w:rFonts w:ascii="Arial" w:hAnsi="Arial" w:cs="Arial"/>
                <w:sz w:val="16"/>
                <w:lang w:val="es-ES_tradnl"/>
              </w:rPr>
            </w:pPr>
            <w:r>
              <w:rPr>
                <w:rFonts w:ascii="Arial" w:hAnsi="Arial" w:cs="Arial"/>
                <w:sz w:val="16"/>
                <w:lang w:val="es-ES_tradnl"/>
              </w:rPr>
              <w:t>Si un 16% de los tratados con Zolgensma reciben Nusinersen</w:t>
            </w:r>
            <w:r>
              <w:rPr>
                <w:rFonts w:ascii="Arial" w:hAnsi="Arial" w:cs="Arial"/>
                <w:sz w:val="16"/>
                <w:vertAlign w:val="superscript"/>
                <w:lang w:val="es-ES_tradnl"/>
              </w:rPr>
              <w:t xml:space="preserve"> </w:t>
            </w:r>
            <w:r w:rsidRPr="00062E00">
              <w:rPr>
                <w:rFonts w:ascii="Arial" w:hAnsi="Arial" w:cs="Arial"/>
                <w:sz w:val="16"/>
                <w:lang w:val="es-ES_tradnl"/>
              </w:rPr>
              <w:t>+</w:t>
            </w:r>
            <w:r>
              <w:rPr>
                <w:rFonts w:ascii="Arial" w:hAnsi="Arial" w:cs="Arial"/>
                <w:sz w:val="16"/>
                <w:lang w:val="es-ES_tradnl"/>
              </w:rPr>
              <w:t xml:space="preserve"> </w:t>
            </w:r>
            <w:r w:rsidRPr="00062E00">
              <w:rPr>
                <w:rFonts w:ascii="Arial" w:hAnsi="Arial" w:cs="Arial"/>
                <w:sz w:val="16"/>
                <w:lang w:val="es-ES_tradnl"/>
              </w:rPr>
              <w:t>Incluyendo costes directos diferentes de los medicamentos</w:t>
            </w:r>
            <w:r>
              <w:rPr>
                <w:rFonts w:ascii="Arial" w:hAnsi="Arial" w:cs="Arial"/>
                <w:sz w:val="16"/>
                <w:lang w:val="es-ES_tradnl"/>
              </w:rPr>
              <w:t>, suponiendo que estos costes son un 20% menores que en EEUU</w:t>
            </w:r>
          </w:p>
        </w:tc>
        <w:tc>
          <w:tcPr>
            <w:tcW w:w="1134" w:type="dxa"/>
            <w:tcBorders>
              <w:top w:val="single" w:sz="4" w:space="0" w:color="auto"/>
              <w:left w:val="single" w:sz="4" w:space="0" w:color="auto"/>
              <w:bottom w:val="single" w:sz="4" w:space="0" w:color="auto"/>
              <w:right w:val="single" w:sz="4" w:space="0" w:color="auto"/>
            </w:tcBorders>
            <w:vAlign w:val="center"/>
          </w:tcPr>
          <w:p w14:paraId="7FEEC1C2" w14:textId="69035ABD" w:rsidR="00B700CE" w:rsidRDefault="00B700CE" w:rsidP="00E606C3">
            <w:pPr>
              <w:jc w:val="right"/>
              <w:rPr>
                <w:rFonts w:ascii="Arial" w:hAnsi="Arial" w:cs="Arial"/>
                <w:sz w:val="16"/>
                <w:lang w:val="es-ES_tradnl"/>
              </w:rPr>
            </w:pPr>
            <w:r>
              <w:rPr>
                <w:rFonts w:ascii="Arial" w:hAnsi="Arial" w:cs="Arial"/>
                <w:sz w:val="16"/>
                <w:lang w:val="es-ES_tradnl"/>
              </w:rPr>
              <w:t>12,23 AVAC</w:t>
            </w:r>
          </w:p>
        </w:tc>
        <w:tc>
          <w:tcPr>
            <w:tcW w:w="1134" w:type="dxa"/>
            <w:tcBorders>
              <w:top w:val="single" w:sz="4" w:space="0" w:color="auto"/>
              <w:left w:val="single" w:sz="4" w:space="0" w:color="auto"/>
              <w:bottom w:val="single" w:sz="4" w:space="0" w:color="auto"/>
              <w:right w:val="single" w:sz="4" w:space="0" w:color="auto"/>
            </w:tcBorders>
            <w:vAlign w:val="center"/>
          </w:tcPr>
          <w:p w14:paraId="058C31DB" w14:textId="40BCF50E" w:rsidR="00B700CE" w:rsidRDefault="00B700CE" w:rsidP="00E606C3">
            <w:pPr>
              <w:jc w:val="right"/>
              <w:rPr>
                <w:rFonts w:ascii="Arial" w:hAnsi="Arial" w:cs="Arial"/>
                <w:sz w:val="16"/>
                <w:lang w:val="es-ES_tradnl"/>
              </w:rPr>
            </w:pPr>
            <w:r>
              <w:rPr>
                <w:rFonts w:ascii="Arial" w:hAnsi="Arial" w:cs="Arial"/>
                <w:sz w:val="16"/>
                <w:lang w:val="es-ES_tradnl"/>
              </w:rPr>
              <w:t>0,46 AVAC</w:t>
            </w:r>
          </w:p>
        </w:tc>
        <w:tc>
          <w:tcPr>
            <w:tcW w:w="992" w:type="dxa"/>
            <w:vMerge w:val="restart"/>
            <w:tcBorders>
              <w:left w:val="single" w:sz="4" w:space="0" w:color="auto"/>
              <w:right w:val="single" w:sz="4" w:space="0" w:color="auto"/>
            </w:tcBorders>
            <w:vAlign w:val="center"/>
          </w:tcPr>
          <w:p w14:paraId="6E615421" w14:textId="7B725A6D" w:rsidR="00B700CE" w:rsidRDefault="00B700CE" w:rsidP="00E606C3">
            <w:pPr>
              <w:jc w:val="right"/>
              <w:rPr>
                <w:rFonts w:ascii="Arial" w:hAnsi="Arial" w:cs="Arial"/>
                <w:sz w:val="16"/>
              </w:rPr>
            </w:pPr>
            <w:r>
              <w:rPr>
                <w:rFonts w:ascii="Arial" w:hAnsi="Arial" w:cs="Arial"/>
                <w:sz w:val="16"/>
              </w:rPr>
              <w:t>3.188.688 €</w:t>
            </w:r>
          </w:p>
        </w:tc>
        <w:tc>
          <w:tcPr>
            <w:tcW w:w="1134" w:type="dxa"/>
            <w:vMerge w:val="restart"/>
            <w:tcBorders>
              <w:left w:val="single" w:sz="4" w:space="0" w:color="auto"/>
              <w:right w:val="single" w:sz="4" w:space="0" w:color="auto"/>
            </w:tcBorders>
            <w:vAlign w:val="center"/>
          </w:tcPr>
          <w:p w14:paraId="26E57152" w14:textId="03CE461F" w:rsidR="00B700CE" w:rsidRDefault="00B700CE" w:rsidP="00E606C3">
            <w:pPr>
              <w:jc w:val="right"/>
              <w:rPr>
                <w:rFonts w:ascii="Arial" w:hAnsi="Arial" w:cs="Arial"/>
                <w:sz w:val="16"/>
              </w:rPr>
            </w:pPr>
            <w:r w:rsidRPr="00B700CE">
              <w:rPr>
                <w:rFonts w:ascii="Arial" w:hAnsi="Arial" w:cs="Arial"/>
                <w:sz w:val="16"/>
              </w:rPr>
              <w:t>536.520 €</w:t>
            </w:r>
          </w:p>
        </w:tc>
        <w:tc>
          <w:tcPr>
            <w:tcW w:w="1417" w:type="dxa"/>
            <w:tcBorders>
              <w:top w:val="single" w:sz="4" w:space="0" w:color="auto"/>
              <w:left w:val="single" w:sz="4" w:space="0" w:color="auto"/>
              <w:bottom w:val="single" w:sz="4" w:space="0" w:color="auto"/>
              <w:right w:val="single" w:sz="4" w:space="0" w:color="auto"/>
            </w:tcBorders>
            <w:vAlign w:val="center"/>
          </w:tcPr>
          <w:p w14:paraId="4B393007" w14:textId="7D57349C" w:rsidR="00B700CE" w:rsidRDefault="00BB2579" w:rsidP="00E606C3">
            <w:pPr>
              <w:jc w:val="right"/>
              <w:rPr>
                <w:rFonts w:ascii="Arial" w:hAnsi="Arial" w:cs="Arial"/>
                <w:sz w:val="16"/>
              </w:rPr>
            </w:pPr>
            <w:r>
              <w:rPr>
                <w:rFonts w:ascii="Arial" w:hAnsi="Arial" w:cs="Arial"/>
                <w:sz w:val="16"/>
              </w:rPr>
              <w:t>225.332 €/AVAC</w:t>
            </w:r>
          </w:p>
        </w:tc>
      </w:tr>
      <w:tr w:rsidR="00B700CE" w14:paraId="73713549" w14:textId="77777777" w:rsidTr="00A35C6F">
        <w:trPr>
          <w:cantSplit/>
          <w:trHeight w:val="310"/>
        </w:trPr>
        <w:tc>
          <w:tcPr>
            <w:tcW w:w="3331" w:type="dxa"/>
            <w:vMerge/>
            <w:tcBorders>
              <w:left w:val="single" w:sz="4" w:space="0" w:color="auto"/>
              <w:right w:val="single" w:sz="4" w:space="0" w:color="auto"/>
            </w:tcBorders>
            <w:vAlign w:val="center"/>
          </w:tcPr>
          <w:p w14:paraId="5BFD12F0" w14:textId="77777777" w:rsidR="00B700CE" w:rsidRDefault="00B700CE" w:rsidP="00B700CE">
            <w:pPr>
              <w:rPr>
                <w:rFonts w:ascii="Arial" w:hAnsi="Arial" w:cs="Arial"/>
                <w:sz w:val="16"/>
                <w:lang w:val="es-ES_tradnl"/>
              </w:rPr>
            </w:pPr>
          </w:p>
        </w:tc>
        <w:tc>
          <w:tcPr>
            <w:tcW w:w="1134" w:type="dxa"/>
            <w:tcBorders>
              <w:top w:val="single" w:sz="4" w:space="0" w:color="auto"/>
              <w:left w:val="single" w:sz="4" w:space="0" w:color="auto"/>
              <w:right w:val="single" w:sz="4" w:space="0" w:color="auto"/>
            </w:tcBorders>
            <w:vAlign w:val="center"/>
          </w:tcPr>
          <w:p w14:paraId="16CC6A77" w14:textId="2C11DF3F" w:rsidR="00B700CE" w:rsidRDefault="00B700CE" w:rsidP="00E606C3">
            <w:pPr>
              <w:jc w:val="right"/>
              <w:rPr>
                <w:rFonts w:ascii="Arial" w:hAnsi="Arial" w:cs="Arial"/>
                <w:sz w:val="16"/>
                <w:lang w:val="es-ES_tradnl"/>
              </w:rPr>
            </w:pPr>
            <w:r>
              <w:rPr>
                <w:rFonts w:ascii="Arial" w:hAnsi="Arial" w:cs="Arial"/>
                <w:sz w:val="16"/>
                <w:lang w:val="es-ES_tradnl"/>
              </w:rPr>
              <w:t>18,17 AV</w:t>
            </w:r>
          </w:p>
        </w:tc>
        <w:tc>
          <w:tcPr>
            <w:tcW w:w="1134" w:type="dxa"/>
            <w:tcBorders>
              <w:top w:val="single" w:sz="4" w:space="0" w:color="auto"/>
              <w:left w:val="single" w:sz="4" w:space="0" w:color="auto"/>
              <w:right w:val="single" w:sz="4" w:space="0" w:color="auto"/>
            </w:tcBorders>
            <w:vAlign w:val="center"/>
          </w:tcPr>
          <w:p w14:paraId="3B1D1293" w14:textId="44AE4077" w:rsidR="00B700CE" w:rsidRDefault="00B700CE" w:rsidP="00E606C3">
            <w:pPr>
              <w:jc w:val="right"/>
              <w:rPr>
                <w:rFonts w:ascii="Arial" w:hAnsi="Arial" w:cs="Arial"/>
                <w:sz w:val="16"/>
                <w:lang w:val="es-ES_tradnl"/>
              </w:rPr>
            </w:pPr>
            <w:r>
              <w:rPr>
                <w:rFonts w:ascii="Arial" w:hAnsi="Arial" w:cs="Arial"/>
                <w:sz w:val="16"/>
                <w:lang w:val="es-ES_tradnl"/>
              </w:rPr>
              <w:t>2,4 AV</w:t>
            </w:r>
          </w:p>
        </w:tc>
        <w:tc>
          <w:tcPr>
            <w:tcW w:w="992" w:type="dxa"/>
            <w:vMerge/>
            <w:tcBorders>
              <w:left w:val="single" w:sz="4" w:space="0" w:color="auto"/>
              <w:right w:val="single" w:sz="4" w:space="0" w:color="auto"/>
            </w:tcBorders>
            <w:vAlign w:val="center"/>
          </w:tcPr>
          <w:p w14:paraId="655E65D8" w14:textId="77777777" w:rsidR="00B700CE" w:rsidRDefault="00B700CE" w:rsidP="00E606C3">
            <w:pPr>
              <w:jc w:val="right"/>
              <w:rPr>
                <w:rFonts w:ascii="Arial" w:hAnsi="Arial" w:cs="Arial"/>
                <w:sz w:val="16"/>
              </w:rPr>
            </w:pPr>
          </w:p>
        </w:tc>
        <w:tc>
          <w:tcPr>
            <w:tcW w:w="1134" w:type="dxa"/>
            <w:vMerge/>
            <w:tcBorders>
              <w:left w:val="single" w:sz="4" w:space="0" w:color="auto"/>
              <w:right w:val="single" w:sz="4" w:space="0" w:color="auto"/>
            </w:tcBorders>
            <w:vAlign w:val="center"/>
          </w:tcPr>
          <w:p w14:paraId="71760481" w14:textId="77777777" w:rsidR="00B700CE" w:rsidRDefault="00B700CE" w:rsidP="00E606C3">
            <w:pPr>
              <w:jc w:val="right"/>
              <w:rPr>
                <w:rFonts w:ascii="Arial" w:hAnsi="Arial" w:cs="Arial"/>
                <w:sz w:val="16"/>
              </w:rPr>
            </w:pPr>
          </w:p>
        </w:tc>
        <w:tc>
          <w:tcPr>
            <w:tcW w:w="1417" w:type="dxa"/>
            <w:tcBorders>
              <w:top w:val="single" w:sz="4" w:space="0" w:color="auto"/>
              <w:left w:val="single" w:sz="4" w:space="0" w:color="auto"/>
              <w:right w:val="single" w:sz="4" w:space="0" w:color="auto"/>
            </w:tcBorders>
            <w:vAlign w:val="center"/>
          </w:tcPr>
          <w:p w14:paraId="5797BE6D" w14:textId="01BA6548" w:rsidR="00B700CE" w:rsidRDefault="00BB2579" w:rsidP="00E606C3">
            <w:pPr>
              <w:jc w:val="right"/>
              <w:rPr>
                <w:rFonts w:ascii="Arial" w:hAnsi="Arial" w:cs="Arial"/>
                <w:sz w:val="16"/>
              </w:rPr>
            </w:pPr>
            <w:r>
              <w:rPr>
                <w:rFonts w:ascii="Arial" w:hAnsi="Arial" w:cs="Arial"/>
                <w:sz w:val="16"/>
              </w:rPr>
              <w:t>168.178 €/AV</w:t>
            </w:r>
          </w:p>
        </w:tc>
      </w:tr>
    </w:tbl>
    <w:p w14:paraId="2EA02B84" w14:textId="07D0F189" w:rsidR="003E7AFF" w:rsidRPr="00AE0510" w:rsidRDefault="00DE0053" w:rsidP="003E7AFF">
      <w:pPr>
        <w:pStyle w:val="Encabezado"/>
        <w:tabs>
          <w:tab w:val="left" w:pos="708"/>
        </w:tabs>
        <w:jc w:val="both"/>
        <w:rPr>
          <w:rFonts w:ascii="Arial" w:hAnsi="Arial" w:cs="Arial"/>
          <w:sz w:val="14"/>
        </w:rPr>
      </w:pPr>
      <w:r w:rsidRPr="00AE0510">
        <w:rPr>
          <w:rFonts w:ascii="Arial" w:hAnsi="Arial" w:cs="Arial"/>
          <w:sz w:val="14"/>
          <w:vertAlign w:val="superscript"/>
        </w:rPr>
        <w:t xml:space="preserve">1 </w:t>
      </w:r>
      <w:r w:rsidRPr="00AE0510">
        <w:rPr>
          <w:rFonts w:ascii="Arial" w:hAnsi="Arial" w:cs="Arial"/>
          <w:sz w:val="14"/>
        </w:rPr>
        <w:t>AV y AVAC obtenidos de ICER y costes exclusivamente de los medicamentos</w:t>
      </w:r>
    </w:p>
    <w:p w14:paraId="75CED308" w14:textId="4269D756" w:rsidR="00DE0053" w:rsidRPr="00AE0510" w:rsidRDefault="00DE0053" w:rsidP="003E7AFF">
      <w:pPr>
        <w:pStyle w:val="Encabezado"/>
        <w:tabs>
          <w:tab w:val="left" w:pos="708"/>
        </w:tabs>
        <w:jc w:val="both"/>
        <w:rPr>
          <w:rFonts w:ascii="Arial" w:hAnsi="Arial" w:cs="Arial"/>
          <w:color w:val="000000"/>
          <w:sz w:val="14"/>
          <w:szCs w:val="20"/>
        </w:rPr>
      </w:pPr>
      <w:r w:rsidRPr="00AE0510">
        <w:rPr>
          <w:rFonts w:ascii="Arial" w:hAnsi="Arial" w:cs="Arial"/>
          <w:sz w:val="14"/>
          <w:vertAlign w:val="superscript"/>
        </w:rPr>
        <w:t xml:space="preserve">2 </w:t>
      </w:r>
      <w:r w:rsidRPr="00AE0510">
        <w:rPr>
          <w:rFonts w:ascii="Arial" w:hAnsi="Arial" w:cs="Arial"/>
          <w:sz w:val="14"/>
          <w:szCs w:val="20"/>
        </w:rPr>
        <w:t>Si el 33% de los pacientes</w:t>
      </w:r>
      <w:r w:rsidRPr="00AE0510">
        <w:rPr>
          <w:rFonts w:ascii="Arial" w:hAnsi="Arial" w:cs="Arial"/>
          <w:sz w:val="18"/>
        </w:rPr>
        <w:t xml:space="preserve"> </w:t>
      </w:r>
      <w:r w:rsidRPr="00AE0510">
        <w:rPr>
          <w:rFonts w:ascii="Arial" w:hAnsi="Arial" w:cs="Arial"/>
          <w:sz w:val="14"/>
          <w:szCs w:val="20"/>
        </w:rPr>
        <w:t>que han recibido</w:t>
      </w:r>
      <w:r w:rsidRPr="00AE0510">
        <w:rPr>
          <w:rFonts w:ascii="Arial" w:hAnsi="Arial" w:cs="Arial"/>
          <w:sz w:val="18"/>
        </w:rPr>
        <w:t xml:space="preserve"> </w:t>
      </w:r>
      <w:r w:rsidR="00482C21">
        <w:rPr>
          <w:rFonts w:ascii="Arial" w:hAnsi="Arial" w:cs="Arial"/>
          <w:color w:val="000000"/>
          <w:sz w:val="14"/>
          <w:szCs w:val="20"/>
        </w:rPr>
        <w:t>onasemnogén</w:t>
      </w:r>
      <w:r w:rsidRPr="00AE0510">
        <w:rPr>
          <w:rFonts w:ascii="Arial" w:hAnsi="Arial" w:cs="Arial"/>
          <w:color w:val="000000"/>
          <w:sz w:val="14"/>
          <w:szCs w:val="20"/>
        </w:rPr>
        <w:t xml:space="preserve"> abeparvocec</w:t>
      </w:r>
      <w:r w:rsidRPr="00AE0510">
        <w:rPr>
          <w:rFonts w:ascii="Arial" w:hAnsi="Arial" w:cs="Arial"/>
          <w:sz w:val="14"/>
          <w:szCs w:val="20"/>
        </w:rPr>
        <w:t xml:space="preserve"> reciben </w:t>
      </w:r>
      <w:r w:rsidRPr="00AE0510">
        <w:rPr>
          <w:rFonts w:ascii="Arial" w:hAnsi="Arial" w:cs="Arial"/>
          <w:color w:val="000000"/>
          <w:sz w:val="14"/>
          <w:szCs w:val="20"/>
        </w:rPr>
        <w:t>nusinersen como se estima en la valuación económica d</w:t>
      </w:r>
      <w:r w:rsidR="00D516BC">
        <w:rPr>
          <w:rFonts w:ascii="Arial" w:hAnsi="Arial" w:cs="Arial"/>
          <w:color w:val="000000"/>
          <w:sz w:val="14"/>
          <w:szCs w:val="20"/>
        </w:rPr>
        <w:t>el ICER, de la cual hemos extraí</w:t>
      </w:r>
      <w:r w:rsidRPr="00AE0510">
        <w:rPr>
          <w:rFonts w:ascii="Arial" w:hAnsi="Arial" w:cs="Arial"/>
          <w:color w:val="000000"/>
          <w:sz w:val="14"/>
          <w:szCs w:val="20"/>
        </w:rPr>
        <w:t xml:space="preserve">do los resultados de AV y AVAC, el coste de los pacientes que reciben </w:t>
      </w:r>
      <w:r w:rsidR="00482C21">
        <w:rPr>
          <w:rFonts w:ascii="Arial" w:hAnsi="Arial" w:cs="Arial"/>
          <w:color w:val="000000"/>
          <w:sz w:val="14"/>
          <w:szCs w:val="16"/>
        </w:rPr>
        <w:t>onasemnogén</w:t>
      </w:r>
      <w:r w:rsidR="00F5167C" w:rsidRPr="00AE0510">
        <w:rPr>
          <w:rFonts w:ascii="Arial" w:hAnsi="Arial" w:cs="Arial"/>
          <w:color w:val="000000"/>
          <w:sz w:val="14"/>
          <w:szCs w:val="16"/>
        </w:rPr>
        <w:t xml:space="preserve"> abeparvocec</w:t>
      </w:r>
      <w:r w:rsidR="00F5167C" w:rsidRPr="00AE0510" w:rsidDel="00F5167C">
        <w:rPr>
          <w:rFonts w:ascii="Arial" w:hAnsi="Arial" w:cs="Arial"/>
          <w:color w:val="000000"/>
          <w:sz w:val="14"/>
          <w:szCs w:val="20"/>
        </w:rPr>
        <w:t xml:space="preserve"> </w:t>
      </w:r>
      <w:r w:rsidRPr="00AE0510">
        <w:rPr>
          <w:rFonts w:ascii="Arial" w:hAnsi="Arial" w:cs="Arial"/>
          <w:color w:val="000000"/>
          <w:sz w:val="14"/>
          <w:szCs w:val="20"/>
        </w:rPr>
        <w:t xml:space="preserve">sería de 1.785.000 + 0,33 </w:t>
      </w:r>
      <w:r w:rsidR="00E606C3">
        <w:rPr>
          <w:rFonts w:ascii="Arial" w:hAnsi="Arial" w:cs="Arial"/>
          <w:color w:val="000000"/>
          <w:sz w:val="14"/>
          <w:szCs w:val="20"/>
        </w:rPr>
        <w:t>x1</w:t>
      </w:r>
      <w:r w:rsidR="00D516BC">
        <w:rPr>
          <w:rFonts w:ascii="Arial" w:hAnsi="Arial" w:cs="Arial"/>
          <w:color w:val="000000"/>
          <w:sz w:val="14"/>
          <w:szCs w:val="20"/>
        </w:rPr>
        <w:t>.671.300</w:t>
      </w:r>
      <w:r w:rsidRPr="00AE0510">
        <w:rPr>
          <w:rFonts w:ascii="Arial" w:hAnsi="Arial" w:cs="Arial"/>
          <w:color w:val="000000"/>
          <w:sz w:val="14"/>
          <w:szCs w:val="20"/>
        </w:rPr>
        <w:t>= 2.</w:t>
      </w:r>
      <w:r w:rsidR="00D516BC">
        <w:rPr>
          <w:rFonts w:ascii="Arial" w:hAnsi="Arial" w:cs="Arial"/>
          <w:color w:val="000000"/>
          <w:sz w:val="14"/>
          <w:szCs w:val="20"/>
        </w:rPr>
        <w:t>336.529</w:t>
      </w:r>
      <w:r w:rsidRPr="00AE0510">
        <w:rPr>
          <w:rFonts w:ascii="Arial" w:hAnsi="Arial" w:cs="Arial"/>
          <w:color w:val="000000"/>
          <w:sz w:val="14"/>
          <w:szCs w:val="20"/>
        </w:rPr>
        <w:t xml:space="preserve"> €</w:t>
      </w:r>
    </w:p>
    <w:p w14:paraId="7EDD779A" w14:textId="7EEE0C28" w:rsidR="00F60DC9" w:rsidRPr="00AE0510" w:rsidRDefault="00F60DC9" w:rsidP="003E7AFF">
      <w:pPr>
        <w:pStyle w:val="Encabezado"/>
        <w:tabs>
          <w:tab w:val="left" w:pos="708"/>
        </w:tabs>
        <w:jc w:val="both"/>
        <w:rPr>
          <w:rFonts w:ascii="Arial" w:hAnsi="Arial" w:cs="Arial"/>
          <w:sz w:val="10"/>
        </w:rPr>
      </w:pPr>
      <w:r w:rsidRPr="00AE0510">
        <w:rPr>
          <w:rFonts w:ascii="Arial" w:hAnsi="Arial" w:cs="Arial"/>
          <w:color w:val="000000"/>
          <w:sz w:val="14"/>
          <w:szCs w:val="20"/>
          <w:vertAlign w:val="superscript"/>
        </w:rPr>
        <w:t>3</w:t>
      </w:r>
      <w:r w:rsidRPr="00AE0510">
        <w:rPr>
          <w:rFonts w:ascii="Arial" w:hAnsi="Arial" w:cs="Arial"/>
          <w:color w:val="000000"/>
          <w:sz w:val="14"/>
          <w:szCs w:val="20"/>
        </w:rPr>
        <w:t xml:space="preserve"> Costes diferentes de los medicamentos obtenidos de la evaluación económica del ICER, 1.671.00</w:t>
      </w:r>
      <w:r w:rsidR="00F560D3" w:rsidRPr="00AE0510">
        <w:rPr>
          <w:rFonts w:ascii="Arial" w:hAnsi="Arial" w:cs="Arial"/>
          <w:color w:val="000000"/>
          <w:sz w:val="14"/>
          <w:szCs w:val="20"/>
        </w:rPr>
        <w:t>0</w:t>
      </w:r>
      <w:r w:rsidRPr="00AE0510">
        <w:rPr>
          <w:rFonts w:ascii="Arial" w:hAnsi="Arial" w:cs="Arial"/>
          <w:color w:val="000000"/>
          <w:sz w:val="14"/>
          <w:szCs w:val="20"/>
        </w:rPr>
        <w:t>$ (1</w:t>
      </w:r>
      <w:r w:rsidR="00F560D3" w:rsidRPr="00AE0510">
        <w:rPr>
          <w:rFonts w:ascii="Arial" w:hAnsi="Arial" w:cs="Arial"/>
          <w:color w:val="000000"/>
          <w:sz w:val="14"/>
          <w:szCs w:val="20"/>
        </w:rPr>
        <w:t>.</w:t>
      </w:r>
      <w:r w:rsidRPr="00AE0510">
        <w:rPr>
          <w:rFonts w:ascii="Arial" w:hAnsi="Arial" w:cs="Arial"/>
          <w:color w:val="000000"/>
          <w:sz w:val="14"/>
          <w:szCs w:val="20"/>
        </w:rPr>
        <w:t xml:space="preserve">420.350€) para </w:t>
      </w:r>
      <w:r w:rsidR="00482C21">
        <w:rPr>
          <w:rFonts w:ascii="Arial" w:hAnsi="Arial" w:cs="Arial"/>
          <w:color w:val="000000"/>
          <w:sz w:val="14"/>
          <w:szCs w:val="16"/>
        </w:rPr>
        <w:t>onasemnogén</w:t>
      </w:r>
      <w:r w:rsidR="00F5167C" w:rsidRPr="00AE0510">
        <w:rPr>
          <w:rFonts w:ascii="Arial" w:hAnsi="Arial" w:cs="Arial"/>
          <w:color w:val="000000"/>
          <w:sz w:val="14"/>
          <w:szCs w:val="16"/>
        </w:rPr>
        <w:t xml:space="preserve"> abeparvocec</w:t>
      </w:r>
      <w:r w:rsidRPr="00AE0510">
        <w:rPr>
          <w:rFonts w:ascii="Arial" w:hAnsi="Arial" w:cs="Arial"/>
          <w:color w:val="000000"/>
          <w:sz w:val="14"/>
          <w:szCs w:val="20"/>
        </w:rPr>
        <w:t>, 1.653.000</w:t>
      </w:r>
      <w:r w:rsidR="00F560D3" w:rsidRPr="00AE0510">
        <w:rPr>
          <w:rFonts w:ascii="Arial" w:hAnsi="Arial" w:cs="Arial"/>
          <w:color w:val="000000"/>
          <w:sz w:val="14"/>
          <w:szCs w:val="20"/>
        </w:rPr>
        <w:t>$ (1.405.050€) para nusinersen y 789.000$ (670.650€) para la mejor terapia de soporte.</w:t>
      </w:r>
      <w:r w:rsidRPr="00AE0510">
        <w:rPr>
          <w:rFonts w:ascii="Arial" w:hAnsi="Arial" w:cs="Arial"/>
          <w:color w:val="000000"/>
          <w:sz w:val="14"/>
          <w:szCs w:val="20"/>
        </w:rPr>
        <w:t xml:space="preserve"> </w:t>
      </w:r>
      <w:r w:rsidR="00AA7309" w:rsidRPr="00AE0510">
        <w:rPr>
          <w:rFonts w:ascii="Arial" w:hAnsi="Arial" w:cs="Arial"/>
          <w:color w:val="000000"/>
          <w:sz w:val="14"/>
          <w:szCs w:val="20"/>
        </w:rPr>
        <w:t xml:space="preserve">Estos costes de nusinersen no se han considerado en el 33% de los pacientes que recibiendo </w:t>
      </w:r>
      <w:r w:rsidR="00482C21">
        <w:rPr>
          <w:rFonts w:ascii="Arial" w:hAnsi="Arial" w:cs="Arial"/>
          <w:color w:val="000000"/>
          <w:sz w:val="14"/>
          <w:szCs w:val="16"/>
        </w:rPr>
        <w:t>onasemnogén</w:t>
      </w:r>
      <w:r w:rsidR="00F5167C" w:rsidRPr="00AE0510">
        <w:rPr>
          <w:rFonts w:ascii="Arial" w:hAnsi="Arial" w:cs="Arial"/>
          <w:color w:val="000000"/>
          <w:sz w:val="14"/>
          <w:szCs w:val="16"/>
        </w:rPr>
        <w:t xml:space="preserve"> abeparvocec</w:t>
      </w:r>
      <w:r w:rsidR="00F5167C" w:rsidRPr="00AE0510" w:rsidDel="00F5167C">
        <w:rPr>
          <w:rFonts w:ascii="Arial" w:hAnsi="Arial" w:cs="Arial"/>
          <w:color w:val="000000"/>
          <w:sz w:val="14"/>
          <w:szCs w:val="20"/>
        </w:rPr>
        <w:t xml:space="preserve"> </w:t>
      </w:r>
      <w:r w:rsidR="00AA7309" w:rsidRPr="00AE0510">
        <w:rPr>
          <w:rFonts w:ascii="Arial" w:hAnsi="Arial" w:cs="Arial"/>
          <w:color w:val="000000"/>
          <w:sz w:val="14"/>
          <w:szCs w:val="20"/>
        </w:rPr>
        <w:t xml:space="preserve"> también reciben nusinersen, cuando se ha valorado este escenario. </w:t>
      </w:r>
    </w:p>
    <w:p w14:paraId="077D75E0" w14:textId="3624C14B" w:rsidR="00E606C3" w:rsidRPr="00E606C3" w:rsidRDefault="003E7AFF" w:rsidP="003E7AFF">
      <w:pPr>
        <w:pStyle w:val="Encabezado"/>
        <w:tabs>
          <w:tab w:val="left" w:pos="708"/>
        </w:tabs>
        <w:jc w:val="both"/>
        <w:rPr>
          <w:rFonts w:ascii="Arial" w:hAnsi="Arial" w:cs="Arial"/>
          <w:color w:val="000000"/>
          <w:sz w:val="20"/>
          <w:szCs w:val="20"/>
        </w:rPr>
      </w:pPr>
      <w:r>
        <w:rPr>
          <w:rFonts w:ascii="Arial" w:hAnsi="Arial" w:cs="Arial"/>
          <w:color w:val="000000"/>
          <w:sz w:val="20"/>
          <w:szCs w:val="20"/>
        </w:rPr>
        <w:t xml:space="preserve"> </w:t>
      </w:r>
    </w:p>
    <w:p w14:paraId="102FF81A" w14:textId="71060FDF" w:rsidR="0060785D" w:rsidRPr="007C62DA" w:rsidRDefault="0060785D" w:rsidP="001F6887">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7C62DA">
        <w:rPr>
          <w:rFonts w:ascii="Arial" w:hAnsi="Arial" w:cs="Arial"/>
          <w:b/>
          <w:bCs/>
          <w:sz w:val="20"/>
          <w:szCs w:val="20"/>
        </w:rPr>
        <w:t>7.4. Estimación del impacto presupuestario y de los beneficios esperados en salud</w:t>
      </w:r>
    </w:p>
    <w:p w14:paraId="1B4DC1A2" w14:textId="77777777" w:rsidR="0060785D" w:rsidRPr="007C62DA" w:rsidRDefault="0060785D" w:rsidP="001F6887">
      <w:pPr>
        <w:jc w:val="both"/>
        <w:rPr>
          <w:rFonts w:ascii="Arial" w:hAnsi="Arial" w:cs="Arial"/>
          <w:sz w:val="20"/>
          <w:szCs w:val="20"/>
        </w:rPr>
      </w:pPr>
    </w:p>
    <w:p w14:paraId="110A2292" w14:textId="7750C798" w:rsidR="0060785D" w:rsidRPr="007C62DA" w:rsidRDefault="0060785D" w:rsidP="001F6887">
      <w:pPr>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sidRPr="007C62DA">
        <w:rPr>
          <w:rFonts w:ascii="Arial" w:hAnsi="Arial" w:cs="Arial"/>
          <w:b/>
          <w:bCs/>
          <w:sz w:val="20"/>
          <w:szCs w:val="20"/>
        </w:rPr>
        <w:t>7.4.1. Estimación de la población diana</w:t>
      </w:r>
    </w:p>
    <w:p w14:paraId="4CDCEFCA" w14:textId="77777777" w:rsidR="0060785D" w:rsidRDefault="0060785D" w:rsidP="001F6887">
      <w:pPr>
        <w:rPr>
          <w:rFonts w:ascii="Arial" w:hAnsi="Arial" w:cs="Arial"/>
          <w:sz w:val="18"/>
          <w:szCs w:val="18"/>
        </w:rPr>
      </w:pPr>
    </w:p>
    <w:tbl>
      <w:tblPr>
        <w:tblW w:w="894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662"/>
        <w:gridCol w:w="1278"/>
      </w:tblGrid>
      <w:tr w:rsidR="003A0794" w:rsidRPr="007C62DA" w14:paraId="5E2C955B" w14:textId="77777777" w:rsidTr="00AE0510">
        <w:trPr>
          <w:trHeight w:val="351"/>
        </w:trPr>
        <w:tc>
          <w:tcPr>
            <w:tcW w:w="8940" w:type="dxa"/>
            <w:gridSpan w:val="2"/>
            <w:shd w:val="clear" w:color="auto" w:fill="CCFFCC"/>
            <w:vAlign w:val="center"/>
            <w:hideMark/>
          </w:tcPr>
          <w:p w14:paraId="79A586AD" w14:textId="77777777" w:rsidR="003A0794" w:rsidRPr="007C62DA" w:rsidRDefault="003A0794" w:rsidP="003429EA">
            <w:pPr>
              <w:rPr>
                <w:rFonts w:ascii="Arial" w:hAnsi="Arial" w:cs="Arial"/>
                <w:b/>
                <w:bCs/>
                <w:sz w:val="20"/>
                <w:szCs w:val="20"/>
              </w:rPr>
            </w:pPr>
            <w:r w:rsidRPr="007C62DA">
              <w:rPr>
                <w:rFonts w:ascii="Arial" w:hAnsi="Arial" w:cs="Arial"/>
                <w:b/>
                <w:bCs/>
                <w:sz w:val="20"/>
                <w:szCs w:val="20"/>
              </w:rPr>
              <w:t xml:space="preserve">Tabla 7.4.1.1. Estimación de la población diana en tratamientos de duración limitada.       </w:t>
            </w:r>
          </w:p>
        </w:tc>
      </w:tr>
      <w:tr w:rsidR="003A0794" w:rsidRPr="007C62DA" w14:paraId="68215342" w14:textId="77777777" w:rsidTr="003D6562">
        <w:trPr>
          <w:trHeight w:val="249"/>
        </w:trPr>
        <w:tc>
          <w:tcPr>
            <w:tcW w:w="8940" w:type="dxa"/>
            <w:gridSpan w:val="2"/>
            <w:vAlign w:val="center"/>
            <w:hideMark/>
          </w:tcPr>
          <w:p w14:paraId="6F6A9D4C" w14:textId="77777777" w:rsidR="003A0794" w:rsidRPr="007C62DA" w:rsidRDefault="003A0794" w:rsidP="003429EA">
            <w:pPr>
              <w:rPr>
                <w:rFonts w:ascii="Arial" w:hAnsi="Arial" w:cs="Arial"/>
                <w:b/>
                <w:bCs/>
                <w:sz w:val="16"/>
                <w:szCs w:val="16"/>
              </w:rPr>
            </w:pPr>
            <w:r w:rsidRPr="007C62DA">
              <w:rPr>
                <w:rFonts w:ascii="Arial" w:hAnsi="Arial" w:cs="Arial"/>
                <w:b/>
                <w:bCs/>
                <w:sz w:val="16"/>
                <w:szCs w:val="16"/>
              </w:rPr>
              <w:t xml:space="preserve">Fármaco e indicación: </w:t>
            </w:r>
            <w:r w:rsidRPr="00237A4C">
              <w:rPr>
                <w:rFonts w:ascii="Arial" w:hAnsi="Arial" w:cs="Arial"/>
                <w:bCs/>
                <w:sz w:val="16"/>
                <w:szCs w:val="18"/>
              </w:rPr>
              <w:t>Onasemnogén abeparvovec en AME</w:t>
            </w:r>
          </w:p>
        </w:tc>
      </w:tr>
      <w:tr w:rsidR="003A0794" w:rsidRPr="007C62DA" w14:paraId="20D33F37" w14:textId="77777777" w:rsidTr="003D6562">
        <w:trPr>
          <w:trHeight w:val="219"/>
        </w:trPr>
        <w:tc>
          <w:tcPr>
            <w:tcW w:w="8940" w:type="dxa"/>
            <w:gridSpan w:val="2"/>
            <w:vAlign w:val="center"/>
            <w:hideMark/>
          </w:tcPr>
          <w:p w14:paraId="6184057C" w14:textId="77777777" w:rsidR="003A0794" w:rsidRPr="007C62DA" w:rsidRDefault="003A0794" w:rsidP="003429EA">
            <w:pPr>
              <w:rPr>
                <w:rFonts w:ascii="Arial" w:hAnsi="Arial" w:cs="Arial"/>
                <w:sz w:val="16"/>
                <w:szCs w:val="16"/>
              </w:rPr>
            </w:pPr>
            <w:r w:rsidRPr="007C62DA">
              <w:rPr>
                <w:rFonts w:ascii="Arial" w:hAnsi="Arial" w:cs="Arial"/>
                <w:b/>
                <w:bCs/>
                <w:sz w:val="16"/>
                <w:szCs w:val="16"/>
              </w:rPr>
              <w:t>Escenario</w:t>
            </w:r>
            <w:r w:rsidRPr="007C62DA">
              <w:rPr>
                <w:rFonts w:ascii="Arial" w:hAnsi="Arial" w:cs="Arial"/>
                <w:sz w:val="16"/>
                <w:szCs w:val="16"/>
              </w:rPr>
              <w:t xml:space="preserve">: </w:t>
            </w:r>
            <w:r w:rsidRPr="00237A4C">
              <w:rPr>
                <w:rFonts w:ascii="Arial" w:hAnsi="Arial" w:cs="Arial"/>
                <w:b/>
                <w:sz w:val="16"/>
                <w:szCs w:val="16"/>
              </w:rPr>
              <w:t>AME tipo I</w:t>
            </w:r>
          </w:p>
        </w:tc>
      </w:tr>
      <w:tr w:rsidR="003A0794" w:rsidRPr="007C62DA" w14:paraId="4ABF9417" w14:textId="77777777" w:rsidTr="005C2411">
        <w:trPr>
          <w:trHeight w:val="314"/>
        </w:trPr>
        <w:tc>
          <w:tcPr>
            <w:tcW w:w="8940" w:type="dxa"/>
            <w:gridSpan w:val="2"/>
            <w:vAlign w:val="center"/>
            <w:hideMark/>
          </w:tcPr>
          <w:p w14:paraId="632CDA4C" w14:textId="77777777" w:rsidR="003A0794" w:rsidRPr="007C62DA" w:rsidRDefault="003A0794" w:rsidP="003429EA">
            <w:pPr>
              <w:rPr>
                <w:rFonts w:ascii="Arial" w:hAnsi="Arial" w:cs="Arial"/>
                <w:sz w:val="16"/>
                <w:szCs w:val="16"/>
              </w:rPr>
            </w:pPr>
            <w:r w:rsidRPr="007C62DA">
              <w:rPr>
                <w:rFonts w:ascii="Arial" w:hAnsi="Arial" w:cs="Arial"/>
                <w:b/>
                <w:bCs/>
                <w:sz w:val="16"/>
                <w:szCs w:val="16"/>
              </w:rPr>
              <w:t>Ámbito y horizonte temporal</w:t>
            </w:r>
            <w:r w:rsidRPr="007C62DA">
              <w:rPr>
                <w:rFonts w:ascii="Arial" w:hAnsi="Arial" w:cs="Arial"/>
                <w:sz w:val="16"/>
                <w:szCs w:val="16"/>
              </w:rPr>
              <w:t>: Ámbito estatal (España). Anual</w:t>
            </w:r>
          </w:p>
        </w:tc>
      </w:tr>
      <w:tr w:rsidR="003A0794" w:rsidRPr="007C62DA" w14:paraId="65B839B3" w14:textId="77777777" w:rsidTr="003D6562">
        <w:trPr>
          <w:trHeight w:val="410"/>
        </w:trPr>
        <w:tc>
          <w:tcPr>
            <w:tcW w:w="8940" w:type="dxa"/>
            <w:gridSpan w:val="2"/>
            <w:vAlign w:val="center"/>
            <w:hideMark/>
          </w:tcPr>
          <w:p w14:paraId="32A10136" w14:textId="6DC1BF76" w:rsidR="003A0794" w:rsidRPr="004134BE" w:rsidRDefault="003A0794" w:rsidP="004134BE">
            <w:pPr>
              <w:jc w:val="both"/>
              <w:rPr>
                <w:rFonts w:ascii="Arial" w:hAnsi="Arial" w:cs="Arial"/>
                <w:sz w:val="16"/>
                <w:szCs w:val="16"/>
              </w:rPr>
            </w:pPr>
            <w:r w:rsidRPr="007C62DA">
              <w:rPr>
                <w:rFonts w:ascii="Arial" w:hAnsi="Arial" w:cs="Arial"/>
                <w:b/>
                <w:bCs/>
                <w:sz w:val="16"/>
                <w:szCs w:val="16"/>
              </w:rPr>
              <w:t>Estimación:</w:t>
            </w:r>
            <w:r w:rsidRPr="007C62DA">
              <w:rPr>
                <w:rFonts w:ascii="Arial" w:hAnsi="Arial" w:cs="Arial"/>
                <w:sz w:val="16"/>
                <w:szCs w:val="16"/>
              </w:rPr>
              <w:t xml:space="preserve"> Se extraen los datos de la población de referencia (</w:t>
            </w:r>
            <w:r w:rsidR="004134BE">
              <w:rPr>
                <w:rFonts w:ascii="Arial" w:hAnsi="Arial" w:cs="Arial"/>
                <w:sz w:val="16"/>
                <w:szCs w:val="16"/>
              </w:rPr>
              <w:t>recién nacidos vivos en 2019</w:t>
            </w:r>
            <w:r w:rsidRPr="007C62DA">
              <w:rPr>
                <w:rFonts w:ascii="Arial" w:hAnsi="Arial" w:cs="Arial"/>
                <w:sz w:val="16"/>
                <w:szCs w:val="16"/>
              </w:rPr>
              <w:t xml:space="preserve">) </w:t>
            </w:r>
            <w:r w:rsidR="004134BE">
              <w:rPr>
                <w:rFonts w:ascii="Arial" w:hAnsi="Arial" w:cs="Arial"/>
                <w:sz w:val="16"/>
                <w:szCs w:val="16"/>
              </w:rPr>
              <w:t>INE</w:t>
            </w:r>
            <w:r w:rsidRPr="007C62DA">
              <w:rPr>
                <w:rFonts w:ascii="Arial" w:hAnsi="Arial" w:cs="Arial"/>
                <w:sz w:val="16"/>
                <w:szCs w:val="16"/>
              </w:rPr>
              <w:t xml:space="preserve"> (1), realizándose una estimación con la incidencia de la enfermedad</w:t>
            </w:r>
            <w:r w:rsidR="00F5167C">
              <w:rPr>
                <w:rFonts w:ascii="Arial" w:hAnsi="Arial" w:cs="Arial"/>
                <w:sz w:val="16"/>
                <w:szCs w:val="16"/>
              </w:rPr>
              <w:t xml:space="preserve"> </w:t>
            </w:r>
            <w:r w:rsidR="004134BE">
              <w:rPr>
                <w:rFonts w:ascii="Arial" w:hAnsi="Arial" w:cs="Arial"/>
                <w:sz w:val="16"/>
                <w:szCs w:val="16"/>
              </w:rPr>
              <w:t>(2)</w:t>
            </w:r>
          </w:p>
        </w:tc>
      </w:tr>
      <w:tr w:rsidR="003A0794" w:rsidRPr="007C62DA" w14:paraId="64EE63B8" w14:textId="77777777" w:rsidTr="005C2411">
        <w:trPr>
          <w:trHeight w:val="282"/>
        </w:trPr>
        <w:tc>
          <w:tcPr>
            <w:tcW w:w="7662" w:type="dxa"/>
            <w:shd w:val="clear" w:color="auto" w:fill="D9D9D9"/>
            <w:vAlign w:val="center"/>
            <w:hideMark/>
          </w:tcPr>
          <w:p w14:paraId="678A73FF" w14:textId="77777777" w:rsidR="003A0794" w:rsidRPr="007C62DA" w:rsidRDefault="003A0794" w:rsidP="003429EA">
            <w:pPr>
              <w:rPr>
                <w:rFonts w:ascii="Arial" w:hAnsi="Arial" w:cs="Arial"/>
                <w:b/>
                <w:bCs/>
                <w:sz w:val="16"/>
                <w:szCs w:val="16"/>
              </w:rPr>
            </w:pPr>
            <w:r w:rsidRPr="007C62DA">
              <w:rPr>
                <w:rFonts w:ascii="Arial" w:hAnsi="Arial" w:cs="Arial"/>
                <w:b/>
                <w:bCs/>
                <w:sz w:val="16"/>
                <w:szCs w:val="16"/>
              </w:rPr>
              <w:t>Ámbito</w:t>
            </w:r>
          </w:p>
        </w:tc>
        <w:tc>
          <w:tcPr>
            <w:tcW w:w="1278" w:type="dxa"/>
            <w:shd w:val="clear" w:color="auto" w:fill="D9D9D9"/>
            <w:vAlign w:val="center"/>
            <w:hideMark/>
          </w:tcPr>
          <w:p w14:paraId="4590F406" w14:textId="77777777" w:rsidR="003A0794" w:rsidRPr="007C62DA" w:rsidRDefault="003A0794" w:rsidP="003429EA">
            <w:pPr>
              <w:ind w:hanging="125"/>
              <w:jc w:val="center"/>
              <w:rPr>
                <w:rFonts w:ascii="Arial" w:hAnsi="Arial" w:cs="Arial"/>
                <w:sz w:val="16"/>
                <w:szCs w:val="16"/>
              </w:rPr>
            </w:pPr>
            <w:r w:rsidRPr="007C62DA">
              <w:rPr>
                <w:rFonts w:ascii="Arial" w:hAnsi="Arial" w:cs="Arial"/>
                <w:sz w:val="16"/>
                <w:szCs w:val="16"/>
              </w:rPr>
              <w:t>España</w:t>
            </w:r>
          </w:p>
        </w:tc>
      </w:tr>
      <w:tr w:rsidR="003A0794" w:rsidRPr="007C62DA" w14:paraId="2BE6D6E3" w14:textId="77777777" w:rsidTr="005C2411">
        <w:trPr>
          <w:trHeight w:val="307"/>
        </w:trPr>
        <w:tc>
          <w:tcPr>
            <w:tcW w:w="7662" w:type="dxa"/>
            <w:vAlign w:val="center"/>
            <w:hideMark/>
          </w:tcPr>
          <w:p w14:paraId="28746602" w14:textId="3FA69772" w:rsidR="003A0794" w:rsidRPr="007C62DA" w:rsidRDefault="003A0794" w:rsidP="003A0794">
            <w:pPr>
              <w:rPr>
                <w:rFonts w:ascii="Arial" w:hAnsi="Arial" w:cs="Arial"/>
                <w:b/>
                <w:bCs/>
                <w:sz w:val="16"/>
                <w:szCs w:val="16"/>
              </w:rPr>
            </w:pPr>
            <w:r w:rsidRPr="007C62DA">
              <w:rPr>
                <w:rFonts w:ascii="Arial" w:hAnsi="Arial" w:cs="Arial"/>
                <w:b/>
                <w:bCs/>
                <w:sz w:val="16"/>
                <w:szCs w:val="16"/>
              </w:rPr>
              <w:t xml:space="preserve">0. Población de referencia </w:t>
            </w:r>
            <w:r>
              <w:rPr>
                <w:rFonts w:ascii="Arial" w:hAnsi="Arial" w:cs="Arial"/>
                <w:b/>
                <w:bCs/>
                <w:sz w:val="16"/>
                <w:szCs w:val="16"/>
              </w:rPr>
              <w:t>recién nacidos vivos en España en 2019</w:t>
            </w:r>
          </w:p>
        </w:tc>
        <w:tc>
          <w:tcPr>
            <w:tcW w:w="1278" w:type="dxa"/>
            <w:vAlign w:val="center"/>
            <w:hideMark/>
          </w:tcPr>
          <w:p w14:paraId="147A1E3D" w14:textId="1879E041" w:rsidR="003A0794" w:rsidRPr="007C62DA" w:rsidRDefault="003A0794" w:rsidP="003429EA">
            <w:pPr>
              <w:ind w:hanging="125"/>
              <w:jc w:val="center"/>
              <w:rPr>
                <w:rFonts w:ascii="Arial" w:hAnsi="Arial" w:cs="Arial"/>
                <w:sz w:val="16"/>
                <w:szCs w:val="16"/>
              </w:rPr>
            </w:pPr>
            <w:r w:rsidRPr="003A0794">
              <w:rPr>
                <w:rFonts w:ascii="Arial" w:hAnsi="Arial" w:cs="Arial"/>
                <w:sz w:val="16"/>
                <w:szCs w:val="16"/>
              </w:rPr>
              <w:t>359.770</w:t>
            </w:r>
          </w:p>
        </w:tc>
      </w:tr>
      <w:tr w:rsidR="003A0794" w:rsidRPr="007C62DA" w14:paraId="3EA4DC1E" w14:textId="77777777" w:rsidTr="005C2411">
        <w:trPr>
          <w:trHeight w:val="307"/>
        </w:trPr>
        <w:tc>
          <w:tcPr>
            <w:tcW w:w="7662" w:type="dxa"/>
            <w:vAlign w:val="center"/>
            <w:hideMark/>
          </w:tcPr>
          <w:p w14:paraId="51CE9C4E" w14:textId="77777777" w:rsidR="003A0794" w:rsidRPr="007C62DA" w:rsidRDefault="003A0794" w:rsidP="003429EA">
            <w:pPr>
              <w:rPr>
                <w:rFonts w:ascii="Arial" w:hAnsi="Arial" w:cs="Arial"/>
                <w:sz w:val="16"/>
                <w:szCs w:val="16"/>
              </w:rPr>
            </w:pPr>
            <w:r w:rsidRPr="007C62DA">
              <w:rPr>
                <w:rFonts w:ascii="Arial" w:hAnsi="Arial" w:cs="Arial"/>
                <w:b/>
                <w:bCs/>
                <w:sz w:val="16"/>
                <w:szCs w:val="16"/>
              </w:rPr>
              <w:t>A.</w:t>
            </w:r>
            <w:r w:rsidRPr="007C62DA">
              <w:rPr>
                <w:rFonts w:ascii="Arial" w:hAnsi="Arial" w:cs="Arial"/>
                <w:sz w:val="16"/>
                <w:szCs w:val="16"/>
              </w:rPr>
              <w:t xml:space="preserve"> Incidencia AME: 1/10.000 nacidos vivos</w:t>
            </w:r>
          </w:p>
        </w:tc>
        <w:tc>
          <w:tcPr>
            <w:tcW w:w="1278" w:type="dxa"/>
            <w:vAlign w:val="center"/>
            <w:hideMark/>
          </w:tcPr>
          <w:p w14:paraId="7E4F2E01" w14:textId="2273A3AA" w:rsidR="003A0794" w:rsidRPr="007C62DA" w:rsidRDefault="003A0794" w:rsidP="003429EA">
            <w:pPr>
              <w:ind w:hanging="125"/>
              <w:jc w:val="center"/>
              <w:rPr>
                <w:rFonts w:ascii="Arial" w:hAnsi="Arial" w:cs="Arial"/>
                <w:sz w:val="16"/>
                <w:szCs w:val="16"/>
              </w:rPr>
            </w:pPr>
            <w:r>
              <w:rPr>
                <w:rFonts w:ascii="Arial" w:hAnsi="Arial" w:cs="Arial"/>
                <w:sz w:val="16"/>
                <w:szCs w:val="16"/>
              </w:rPr>
              <w:t>36</w:t>
            </w:r>
          </w:p>
        </w:tc>
      </w:tr>
      <w:tr w:rsidR="003A0794" w:rsidRPr="007C62DA" w14:paraId="4DB65B1B" w14:textId="77777777" w:rsidTr="005C2411">
        <w:trPr>
          <w:trHeight w:val="307"/>
        </w:trPr>
        <w:tc>
          <w:tcPr>
            <w:tcW w:w="7662" w:type="dxa"/>
            <w:vAlign w:val="center"/>
            <w:hideMark/>
          </w:tcPr>
          <w:p w14:paraId="559D3933" w14:textId="77777777" w:rsidR="003A0794" w:rsidRPr="007C62DA" w:rsidRDefault="003A0794" w:rsidP="003429EA">
            <w:pPr>
              <w:rPr>
                <w:rFonts w:ascii="Arial" w:hAnsi="Arial" w:cs="Arial"/>
                <w:b/>
                <w:bCs/>
                <w:sz w:val="16"/>
                <w:szCs w:val="16"/>
              </w:rPr>
            </w:pPr>
            <w:r w:rsidRPr="007C62DA">
              <w:rPr>
                <w:rFonts w:ascii="Arial" w:hAnsi="Arial" w:cs="Arial"/>
                <w:b/>
                <w:bCs/>
                <w:sz w:val="16"/>
                <w:szCs w:val="16"/>
              </w:rPr>
              <w:t xml:space="preserve">B. </w:t>
            </w:r>
            <w:r w:rsidRPr="007C62DA">
              <w:rPr>
                <w:rFonts w:ascii="Arial" w:hAnsi="Arial" w:cs="Arial"/>
                <w:sz w:val="16"/>
                <w:szCs w:val="16"/>
              </w:rPr>
              <w:t>Pacientes con AME tipo I o infantil (50%-60%)</w:t>
            </w:r>
          </w:p>
        </w:tc>
        <w:tc>
          <w:tcPr>
            <w:tcW w:w="1278" w:type="dxa"/>
            <w:vAlign w:val="center"/>
            <w:hideMark/>
          </w:tcPr>
          <w:p w14:paraId="0BA82C40" w14:textId="4E9317F4" w:rsidR="003A0794" w:rsidRPr="007C62DA" w:rsidRDefault="003A0794" w:rsidP="003429EA">
            <w:pPr>
              <w:ind w:hanging="125"/>
              <w:jc w:val="center"/>
              <w:rPr>
                <w:rFonts w:ascii="Arial" w:hAnsi="Arial" w:cs="Arial"/>
                <w:sz w:val="16"/>
                <w:szCs w:val="16"/>
              </w:rPr>
            </w:pPr>
            <w:r>
              <w:rPr>
                <w:rFonts w:ascii="Arial" w:hAnsi="Arial" w:cs="Arial"/>
                <w:sz w:val="16"/>
                <w:szCs w:val="16"/>
              </w:rPr>
              <w:t>18-22</w:t>
            </w:r>
          </w:p>
        </w:tc>
      </w:tr>
      <w:tr w:rsidR="003A0794" w:rsidRPr="007C62DA" w14:paraId="46612463" w14:textId="77777777" w:rsidTr="005C2411">
        <w:trPr>
          <w:trHeight w:val="307"/>
        </w:trPr>
        <w:tc>
          <w:tcPr>
            <w:tcW w:w="7662" w:type="dxa"/>
            <w:vAlign w:val="center"/>
            <w:hideMark/>
          </w:tcPr>
          <w:p w14:paraId="67D1FC10" w14:textId="77777777" w:rsidR="003A0794" w:rsidRPr="007C62DA" w:rsidRDefault="003A0794" w:rsidP="003429EA">
            <w:pPr>
              <w:rPr>
                <w:rFonts w:ascii="Arial" w:hAnsi="Arial" w:cs="Arial"/>
                <w:b/>
                <w:bCs/>
                <w:sz w:val="16"/>
                <w:szCs w:val="16"/>
              </w:rPr>
            </w:pPr>
            <w:r w:rsidRPr="007C62DA">
              <w:rPr>
                <w:rFonts w:ascii="Arial" w:hAnsi="Arial" w:cs="Arial"/>
                <w:b/>
                <w:bCs/>
                <w:sz w:val="16"/>
                <w:szCs w:val="16"/>
              </w:rPr>
              <w:t>C.</w:t>
            </w:r>
            <w:r w:rsidRPr="007C62DA">
              <w:rPr>
                <w:rFonts w:ascii="Arial" w:hAnsi="Arial" w:cs="Arial"/>
                <w:sz w:val="16"/>
                <w:szCs w:val="16"/>
              </w:rPr>
              <w:t xml:space="preserve"> </w:t>
            </w:r>
            <w:r w:rsidRPr="007C62DA">
              <w:rPr>
                <w:rFonts w:ascii="Arial" w:hAnsi="Arial" w:cs="Arial"/>
                <w:b/>
                <w:bCs/>
                <w:sz w:val="16"/>
                <w:szCs w:val="16"/>
              </w:rPr>
              <w:t>POBLACION DIANA</w:t>
            </w:r>
          </w:p>
        </w:tc>
        <w:tc>
          <w:tcPr>
            <w:tcW w:w="1278" w:type="dxa"/>
            <w:vAlign w:val="center"/>
            <w:hideMark/>
          </w:tcPr>
          <w:p w14:paraId="7DBFE92B" w14:textId="7C0ACF11" w:rsidR="003A0794" w:rsidRPr="007C62DA" w:rsidRDefault="003A0794" w:rsidP="003429EA">
            <w:pPr>
              <w:ind w:hanging="125"/>
              <w:jc w:val="center"/>
              <w:rPr>
                <w:rFonts w:ascii="Arial" w:hAnsi="Arial" w:cs="Arial"/>
                <w:b/>
                <w:bCs/>
                <w:sz w:val="16"/>
                <w:szCs w:val="16"/>
              </w:rPr>
            </w:pPr>
            <w:r>
              <w:rPr>
                <w:rFonts w:ascii="Arial" w:hAnsi="Arial" w:cs="Arial"/>
                <w:b/>
                <w:bCs/>
                <w:sz w:val="16"/>
                <w:szCs w:val="16"/>
              </w:rPr>
              <w:t>18-22</w:t>
            </w:r>
          </w:p>
        </w:tc>
      </w:tr>
      <w:tr w:rsidR="00534AD3" w:rsidRPr="007C62DA" w14:paraId="615F1BBF" w14:textId="77777777" w:rsidTr="003D6562">
        <w:trPr>
          <w:trHeight w:val="1202"/>
        </w:trPr>
        <w:tc>
          <w:tcPr>
            <w:tcW w:w="8940" w:type="dxa"/>
            <w:gridSpan w:val="2"/>
            <w:shd w:val="clear" w:color="auto" w:fill="D9D9D9"/>
            <w:vAlign w:val="center"/>
            <w:hideMark/>
          </w:tcPr>
          <w:p w14:paraId="25CF7B8C" w14:textId="77777777" w:rsidR="00534AD3" w:rsidRPr="007C62DA" w:rsidRDefault="00534AD3" w:rsidP="003429EA">
            <w:pPr>
              <w:rPr>
                <w:rFonts w:ascii="Arial" w:hAnsi="Arial" w:cs="Arial"/>
                <w:b/>
                <w:bCs/>
                <w:sz w:val="16"/>
                <w:szCs w:val="16"/>
              </w:rPr>
            </w:pPr>
            <w:r w:rsidRPr="007C62DA">
              <w:rPr>
                <w:rFonts w:ascii="Arial" w:hAnsi="Arial" w:cs="Arial"/>
                <w:b/>
                <w:bCs/>
                <w:sz w:val="16"/>
                <w:szCs w:val="16"/>
              </w:rPr>
              <w:t>Referencias:</w:t>
            </w:r>
          </w:p>
          <w:p w14:paraId="23C36D39" w14:textId="77777777" w:rsidR="00534AD3" w:rsidRPr="007C62DA" w:rsidRDefault="00534AD3" w:rsidP="003A0794">
            <w:pPr>
              <w:rPr>
                <w:rFonts w:ascii="Arial" w:hAnsi="Arial" w:cs="Arial"/>
                <w:sz w:val="16"/>
                <w:szCs w:val="16"/>
              </w:rPr>
            </w:pPr>
            <w:r w:rsidRPr="007C62DA">
              <w:rPr>
                <w:rFonts w:ascii="Arial" w:hAnsi="Arial" w:cs="Arial"/>
                <w:sz w:val="16"/>
                <w:szCs w:val="16"/>
              </w:rPr>
              <w:t xml:space="preserve">(1) </w:t>
            </w:r>
            <w:r>
              <w:rPr>
                <w:rFonts w:ascii="Arial" w:hAnsi="Arial" w:cs="Arial"/>
                <w:sz w:val="16"/>
                <w:szCs w:val="16"/>
              </w:rPr>
              <w:t>INE</w:t>
            </w:r>
            <w:r w:rsidRPr="007C62DA">
              <w:rPr>
                <w:rFonts w:ascii="Arial" w:hAnsi="Arial" w:cs="Arial"/>
                <w:sz w:val="16"/>
                <w:szCs w:val="16"/>
              </w:rPr>
              <w:t xml:space="preserve"> Disponible en</w:t>
            </w:r>
            <w:r>
              <w:rPr>
                <w:rFonts w:ascii="Arial" w:hAnsi="Arial" w:cs="Arial"/>
                <w:sz w:val="16"/>
                <w:szCs w:val="16"/>
              </w:rPr>
              <w:t xml:space="preserve">: </w:t>
            </w:r>
            <w:hyperlink r:id="rId14" w:history="1">
              <w:r w:rsidRPr="0081701F">
                <w:rPr>
                  <w:rStyle w:val="Hipervnculo"/>
                  <w:rFonts w:ascii="Arial" w:hAnsi="Arial" w:cs="Arial"/>
                  <w:sz w:val="16"/>
                  <w:szCs w:val="16"/>
                </w:rPr>
                <w:t>https://www.ine.es/dyngs/INEbase/es/operacion.htm?c=Estadistica_C&amp;cid=1254736177007&amp;menu=ultiDatos&amp;idp=1254735573002</w:t>
              </w:r>
            </w:hyperlink>
          </w:p>
          <w:p w14:paraId="18C53A6D" w14:textId="1B41E280" w:rsidR="00534AD3" w:rsidRPr="007C62DA" w:rsidRDefault="00534AD3" w:rsidP="003A0794">
            <w:pPr>
              <w:jc w:val="both"/>
              <w:rPr>
                <w:rFonts w:ascii="Arial" w:hAnsi="Arial" w:cs="Arial"/>
                <w:b/>
                <w:bCs/>
                <w:sz w:val="16"/>
                <w:szCs w:val="16"/>
              </w:rPr>
            </w:pPr>
            <w:r w:rsidRPr="007C62DA">
              <w:rPr>
                <w:rFonts w:ascii="Arial" w:hAnsi="Arial" w:cs="Arial"/>
                <w:sz w:val="16"/>
                <w:szCs w:val="16"/>
              </w:rPr>
              <w:t>(2) Agencia Española de Medicamentos y productos Sanitarios. Informe de Posicionamiento Terapéutico de nusinersen (Spinraza®) en atrofia muscular espinal. 2018</w:t>
            </w:r>
          </w:p>
        </w:tc>
      </w:tr>
    </w:tbl>
    <w:p w14:paraId="6FBE001E" w14:textId="77777777" w:rsidR="003A0794" w:rsidRDefault="003A0794" w:rsidP="001F6887">
      <w:pPr>
        <w:rPr>
          <w:rFonts w:ascii="Arial" w:hAnsi="Arial" w:cs="Arial"/>
          <w:sz w:val="18"/>
          <w:szCs w:val="18"/>
        </w:rPr>
      </w:pPr>
    </w:p>
    <w:tbl>
      <w:tblPr>
        <w:tblW w:w="892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70"/>
        <w:gridCol w:w="1157"/>
      </w:tblGrid>
      <w:tr w:rsidR="004134BE" w:rsidRPr="007C62DA" w14:paraId="661A87CD" w14:textId="77777777" w:rsidTr="00AE0510">
        <w:trPr>
          <w:trHeight w:val="340"/>
        </w:trPr>
        <w:tc>
          <w:tcPr>
            <w:tcW w:w="8927" w:type="dxa"/>
            <w:gridSpan w:val="2"/>
            <w:shd w:val="clear" w:color="auto" w:fill="CCFFCC"/>
            <w:vAlign w:val="center"/>
            <w:hideMark/>
          </w:tcPr>
          <w:p w14:paraId="0DD2ABEE" w14:textId="2B7B2475" w:rsidR="004134BE" w:rsidRPr="007C62DA" w:rsidRDefault="004134BE" w:rsidP="004134BE">
            <w:pPr>
              <w:rPr>
                <w:rFonts w:ascii="Arial" w:hAnsi="Arial" w:cs="Arial"/>
                <w:b/>
                <w:bCs/>
                <w:sz w:val="20"/>
                <w:szCs w:val="20"/>
              </w:rPr>
            </w:pPr>
            <w:r w:rsidRPr="007C62DA">
              <w:rPr>
                <w:rFonts w:ascii="Arial" w:hAnsi="Arial" w:cs="Arial"/>
                <w:b/>
                <w:bCs/>
                <w:sz w:val="20"/>
                <w:szCs w:val="20"/>
              </w:rPr>
              <w:t>Tabla 7.4.1.</w:t>
            </w:r>
            <w:r>
              <w:rPr>
                <w:rFonts w:ascii="Arial" w:hAnsi="Arial" w:cs="Arial"/>
                <w:b/>
                <w:bCs/>
                <w:sz w:val="20"/>
                <w:szCs w:val="20"/>
              </w:rPr>
              <w:t>2</w:t>
            </w:r>
            <w:r w:rsidRPr="007C62DA">
              <w:rPr>
                <w:rFonts w:ascii="Arial" w:hAnsi="Arial" w:cs="Arial"/>
                <w:b/>
                <w:bCs/>
                <w:sz w:val="20"/>
                <w:szCs w:val="20"/>
              </w:rPr>
              <w:t xml:space="preserve">. Estimación de la población diana en tratamientos de duración limitada.       </w:t>
            </w:r>
          </w:p>
        </w:tc>
      </w:tr>
      <w:tr w:rsidR="004134BE" w:rsidRPr="007C62DA" w14:paraId="6BCFCF75" w14:textId="77777777" w:rsidTr="003D6562">
        <w:trPr>
          <w:trHeight w:val="241"/>
        </w:trPr>
        <w:tc>
          <w:tcPr>
            <w:tcW w:w="8927" w:type="dxa"/>
            <w:gridSpan w:val="2"/>
            <w:vAlign w:val="center"/>
            <w:hideMark/>
          </w:tcPr>
          <w:p w14:paraId="22D8A21C" w14:textId="77777777" w:rsidR="004134BE" w:rsidRPr="007C62DA" w:rsidRDefault="004134BE" w:rsidP="003429EA">
            <w:pPr>
              <w:rPr>
                <w:rFonts w:ascii="Arial" w:hAnsi="Arial" w:cs="Arial"/>
                <w:b/>
                <w:bCs/>
                <w:sz w:val="16"/>
                <w:szCs w:val="16"/>
              </w:rPr>
            </w:pPr>
            <w:r w:rsidRPr="007C62DA">
              <w:rPr>
                <w:rFonts w:ascii="Arial" w:hAnsi="Arial" w:cs="Arial"/>
                <w:b/>
                <w:bCs/>
                <w:sz w:val="16"/>
                <w:szCs w:val="16"/>
              </w:rPr>
              <w:t xml:space="preserve">Fármaco e indicación: </w:t>
            </w:r>
            <w:r w:rsidRPr="00237A4C">
              <w:rPr>
                <w:rFonts w:ascii="Arial" w:hAnsi="Arial" w:cs="Arial"/>
                <w:bCs/>
                <w:sz w:val="16"/>
                <w:szCs w:val="18"/>
              </w:rPr>
              <w:t>Onasemnogén abeparvovec en AME</w:t>
            </w:r>
          </w:p>
        </w:tc>
      </w:tr>
      <w:tr w:rsidR="004134BE" w:rsidRPr="007C62DA" w14:paraId="7B52DB36" w14:textId="77777777" w:rsidTr="003D6562">
        <w:trPr>
          <w:trHeight w:val="213"/>
        </w:trPr>
        <w:tc>
          <w:tcPr>
            <w:tcW w:w="8927" w:type="dxa"/>
            <w:gridSpan w:val="2"/>
            <w:vAlign w:val="center"/>
            <w:hideMark/>
          </w:tcPr>
          <w:p w14:paraId="1E5699B1" w14:textId="72D5691E" w:rsidR="004134BE" w:rsidRPr="007C62DA" w:rsidRDefault="004134BE" w:rsidP="008D27F1">
            <w:pPr>
              <w:rPr>
                <w:rFonts w:ascii="Arial" w:hAnsi="Arial" w:cs="Arial"/>
                <w:sz w:val="16"/>
                <w:szCs w:val="16"/>
              </w:rPr>
            </w:pPr>
            <w:r w:rsidRPr="007C62DA">
              <w:rPr>
                <w:rFonts w:ascii="Arial" w:hAnsi="Arial" w:cs="Arial"/>
                <w:b/>
                <w:bCs/>
                <w:sz w:val="16"/>
                <w:szCs w:val="16"/>
              </w:rPr>
              <w:t>Escenario</w:t>
            </w:r>
            <w:r w:rsidRPr="007C62DA">
              <w:rPr>
                <w:rFonts w:ascii="Arial" w:hAnsi="Arial" w:cs="Arial"/>
                <w:sz w:val="16"/>
                <w:szCs w:val="16"/>
              </w:rPr>
              <w:t xml:space="preserve">: </w:t>
            </w:r>
            <w:r w:rsidRPr="00237A4C">
              <w:rPr>
                <w:rFonts w:ascii="Arial" w:hAnsi="Arial" w:cs="Arial"/>
                <w:b/>
                <w:sz w:val="16"/>
                <w:szCs w:val="16"/>
              </w:rPr>
              <w:t xml:space="preserve">AME </w:t>
            </w:r>
            <w:r w:rsidR="008D27F1">
              <w:rPr>
                <w:rFonts w:ascii="Arial" w:hAnsi="Arial" w:cs="Arial"/>
                <w:b/>
                <w:sz w:val="16"/>
                <w:szCs w:val="16"/>
              </w:rPr>
              <w:t>(presintomáticos)</w:t>
            </w:r>
            <w:r w:rsidRPr="00237A4C">
              <w:rPr>
                <w:rFonts w:ascii="Arial" w:hAnsi="Arial" w:cs="Arial"/>
                <w:b/>
                <w:sz w:val="16"/>
                <w:szCs w:val="16"/>
              </w:rPr>
              <w:t xml:space="preserve"> con </w:t>
            </w:r>
            <w:r w:rsidR="008D27F1">
              <w:rPr>
                <w:rFonts w:ascii="Arial" w:hAnsi="Arial" w:cs="Arial"/>
                <w:b/>
                <w:sz w:val="16"/>
                <w:szCs w:val="16"/>
              </w:rPr>
              <w:t xml:space="preserve">hasta </w:t>
            </w:r>
            <w:r w:rsidRPr="00237A4C">
              <w:rPr>
                <w:rFonts w:ascii="Arial" w:hAnsi="Arial" w:cs="Arial"/>
                <w:b/>
                <w:sz w:val="16"/>
                <w:szCs w:val="16"/>
              </w:rPr>
              <w:t>3 copias del gen SMN2</w:t>
            </w:r>
          </w:p>
        </w:tc>
      </w:tr>
      <w:tr w:rsidR="004134BE" w:rsidRPr="007C62DA" w14:paraId="77A37BF8" w14:textId="77777777" w:rsidTr="003D6562">
        <w:trPr>
          <w:trHeight w:val="411"/>
        </w:trPr>
        <w:tc>
          <w:tcPr>
            <w:tcW w:w="8927" w:type="dxa"/>
            <w:gridSpan w:val="2"/>
            <w:vAlign w:val="center"/>
            <w:hideMark/>
          </w:tcPr>
          <w:p w14:paraId="34B0A47F" w14:textId="77777777" w:rsidR="004134BE" w:rsidRPr="007C62DA" w:rsidRDefault="004134BE" w:rsidP="003429EA">
            <w:pPr>
              <w:rPr>
                <w:rFonts w:ascii="Arial" w:hAnsi="Arial" w:cs="Arial"/>
                <w:sz w:val="16"/>
                <w:szCs w:val="16"/>
              </w:rPr>
            </w:pPr>
            <w:r w:rsidRPr="007C62DA">
              <w:rPr>
                <w:rFonts w:ascii="Arial" w:hAnsi="Arial" w:cs="Arial"/>
                <w:b/>
                <w:bCs/>
                <w:sz w:val="16"/>
                <w:szCs w:val="16"/>
              </w:rPr>
              <w:lastRenderedPageBreak/>
              <w:t>Ámbito y horizonte temporal</w:t>
            </w:r>
            <w:r w:rsidRPr="007C62DA">
              <w:rPr>
                <w:rFonts w:ascii="Arial" w:hAnsi="Arial" w:cs="Arial"/>
                <w:sz w:val="16"/>
                <w:szCs w:val="16"/>
              </w:rPr>
              <w:t>: Ámbito estatal (España). Anual</w:t>
            </w:r>
          </w:p>
        </w:tc>
      </w:tr>
      <w:tr w:rsidR="004134BE" w:rsidRPr="007C62DA" w14:paraId="50CCD791" w14:textId="77777777" w:rsidTr="003D6562">
        <w:trPr>
          <w:trHeight w:val="397"/>
        </w:trPr>
        <w:tc>
          <w:tcPr>
            <w:tcW w:w="8927" w:type="dxa"/>
            <w:gridSpan w:val="2"/>
            <w:vAlign w:val="center"/>
            <w:hideMark/>
          </w:tcPr>
          <w:p w14:paraId="55D7BF25" w14:textId="3CDAF7B2" w:rsidR="004134BE" w:rsidRPr="007C62DA" w:rsidRDefault="004134BE" w:rsidP="003429EA">
            <w:pPr>
              <w:rPr>
                <w:rFonts w:ascii="Arial" w:hAnsi="Arial" w:cs="Arial"/>
                <w:sz w:val="16"/>
                <w:szCs w:val="16"/>
                <w:vertAlign w:val="superscript"/>
              </w:rPr>
            </w:pPr>
            <w:r w:rsidRPr="007C62DA">
              <w:rPr>
                <w:rFonts w:ascii="Arial" w:hAnsi="Arial" w:cs="Arial"/>
                <w:b/>
                <w:bCs/>
                <w:sz w:val="16"/>
                <w:szCs w:val="16"/>
              </w:rPr>
              <w:t>Estimación:</w:t>
            </w:r>
            <w:r w:rsidRPr="007C62DA">
              <w:rPr>
                <w:rFonts w:ascii="Arial" w:hAnsi="Arial" w:cs="Arial"/>
                <w:sz w:val="16"/>
                <w:szCs w:val="16"/>
              </w:rPr>
              <w:t xml:space="preserve"> Se extraen los datos de la población de referencia (</w:t>
            </w:r>
            <w:r>
              <w:rPr>
                <w:rFonts w:ascii="Arial" w:hAnsi="Arial" w:cs="Arial"/>
                <w:sz w:val="16"/>
                <w:szCs w:val="16"/>
              </w:rPr>
              <w:t>recién nacidos vivos en 2019</w:t>
            </w:r>
            <w:r w:rsidRPr="007C62DA">
              <w:rPr>
                <w:rFonts w:ascii="Arial" w:hAnsi="Arial" w:cs="Arial"/>
                <w:sz w:val="16"/>
                <w:szCs w:val="16"/>
              </w:rPr>
              <w:t xml:space="preserve">) </w:t>
            </w:r>
            <w:r>
              <w:rPr>
                <w:rFonts w:ascii="Arial" w:hAnsi="Arial" w:cs="Arial"/>
                <w:sz w:val="16"/>
                <w:szCs w:val="16"/>
              </w:rPr>
              <w:t>INE</w:t>
            </w:r>
            <w:r w:rsidRPr="007C62DA">
              <w:rPr>
                <w:rFonts w:ascii="Arial" w:hAnsi="Arial" w:cs="Arial"/>
                <w:sz w:val="16"/>
                <w:szCs w:val="16"/>
              </w:rPr>
              <w:t xml:space="preserve"> (1), realizándose una estimación con la incidencia de la enfermedad</w:t>
            </w:r>
            <w:r w:rsidR="00F5167C">
              <w:rPr>
                <w:rFonts w:ascii="Arial" w:hAnsi="Arial" w:cs="Arial"/>
                <w:sz w:val="16"/>
                <w:szCs w:val="16"/>
              </w:rPr>
              <w:t xml:space="preserve"> </w:t>
            </w:r>
            <w:r>
              <w:rPr>
                <w:rFonts w:ascii="Arial" w:hAnsi="Arial" w:cs="Arial"/>
                <w:sz w:val="16"/>
                <w:szCs w:val="16"/>
              </w:rPr>
              <w:t>(2)</w:t>
            </w:r>
          </w:p>
        </w:tc>
      </w:tr>
      <w:tr w:rsidR="004134BE" w:rsidRPr="007C62DA" w14:paraId="7ACD4E5E" w14:textId="77777777" w:rsidTr="003D6562">
        <w:trPr>
          <w:trHeight w:val="411"/>
        </w:trPr>
        <w:tc>
          <w:tcPr>
            <w:tcW w:w="7770" w:type="dxa"/>
            <w:shd w:val="clear" w:color="auto" w:fill="D9D9D9"/>
            <w:vAlign w:val="center"/>
            <w:hideMark/>
          </w:tcPr>
          <w:p w14:paraId="5D76A972" w14:textId="77777777" w:rsidR="004134BE" w:rsidRPr="007C62DA" w:rsidRDefault="004134BE" w:rsidP="003429EA">
            <w:pPr>
              <w:rPr>
                <w:rFonts w:ascii="Arial" w:hAnsi="Arial" w:cs="Arial"/>
                <w:b/>
                <w:bCs/>
                <w:sz w:val="16"/>
                <w:szCs w:val="16"/>
              </w:rPr>
            </w:pPr>
            <w:r w:rsidRPr="007C62DA">
              <w:rPr>
                <w:rFonts w:ascii="Arial" w:hAnsi="Arial" w:cs="Arial"/>
                <w:b/>
                <w:bCs/>
                <w:sz w:val="16"/>
                <w:szCs w:val="16"/>
              </w:rPr>
              <w:t>Ámbito</w:t>
            </w:r>
          </w:p>
        </w:tc>
        <w:tc>
          <w:tcPr>
            <w:tcW w:w="1157" w:type="dxa"/>
            <w:shd w:val="clear" w:color="auto" w:fill="D9D9D9"/>
            <w:vAlign w:val="center"/>
            <w:hideMark/>
          </w:tcPr>
          <w:p w14:paraId="2C4F571A" w14:textId="77777777" w:rsidR="004134BE" w:rsidRPr="007C62DA" w:rsidRDefault="004134BE" w:rsidP="003429EA">
            <w:pPr>
              <w:ind w:hanging="125"/>
              <w:jc w:val="center"/>
              <w:rPr>
                <w:rFonts w:ascii="Arial" w:hAnsi="Arial" w:cs="Arial"/>
                <w:sz w:val="16"/>
                <w:szCs w:val="16"/>
              </w:rPr>
            </w:pPr>
            <w:r w:rsidRPr="007C62DA">
              <w:rPr>
                <w:rFonts w:ascii="Arial" w:hAnsi="Arial" w:cs="Arial"/>
                <w:sz w:val="16"/>
                <w:szCs w:val="16"/>
              </w:rPr>
              <w:t>España</w:t>
            </w:r>
          </w:p>
        </w:tc>
      </w:tr>
      <w:tr w:rsidR="004134BE" w:rsidRPr="007C62DA" w14:paraId="748116A7" w14:textId="77777777" w:rsidTr="005C2411">
        <w:trPr>
          <w:trHeight w:val="371"/>
        </w:trPr>
        <w:tc>
          <w:tcPr>
            <w:tcW w:w="7770" w:type="dxa"/>
            <w:vAlign w:val="center"/>
            <w:hideMark/>
          </w:tcPr>
          <w:p w14:paraId="314468C1" w14:textId="77777777" w:rsidR="004134BE" w:rsidRPr="007C62DA" w:rsidRDefault="004134BE" w:rsidP="003429EA">
            <w:pPr>
              <w:rPr>
                <w:rFonts w:ascii="Arial" w:hAnsi="Arial" w:cs="Arial"/>
                <w:b/>
                <w:bCs/>
                <w:sz w:val="16"/>
                <w:szCs w:val="16"/>
              </w:rPr>
            </w:pPr>
            <w:r w:rsidRPr="007C62DA">
              <w:rPr>
                <w:rFonts w:ascii="Arial" w:hAnsi="Arial" w:cs="Arial"/>
                <w:b/>
                <w:bCs/>
                <w:sz w:val="16"/>
                <w:szCs w:val="16"/>
              </w:rPr>
              <w:t xml:space="preserve">0. Población de referencia </w:t>
            </w:r>
            <w:r>
              <w:rPr>
                <w:rFonts w:ascii="Arial" w:hAnsi="Arial" w:cs="Arial"/>
                <w:b/>
                <w:bCs/>
                <w:sz w:val="16"/>
                <w:szCs w:val="16"/>
              </w:rPr>
              <w:t>recién nacidos vivos en España en 2019</w:t>
            </w:r>
          </w:p>
        </w:tc>
        <w:tc>
          <w:tcPr>
            <w:tcW w:w="1157" w:type="dxa"/>
            <w:vAlign w:val="center"/>
            <w:hideMark/>
          </w:tcPr>
          <w:p w14:paraId="287390A7" w14:textId="77777777" w:rsidR="004134BE" w:rsidRPr="007C62DA" w:rsidRDefault="004134BE" w:rsidP="003429EA">
            <w:pPr>
              <w:ind w:hanging="125"/>
              <w:jc w:val="center"/>
              <w:rPr>
                <w:rFonts w:ascii="Arial" w:hAnsi="Arial" w:cs="Arial"/>
                <w:sz w:val="16"/>
                <w:szCs w:val="16"/>
              </w:rPr>
            </w:pPr>
            <w:r w:rsidRPr="003A0794">
              <w:rPr>
                <w:rFonts w:ascii="Arial" w:hAnsi="Arial" w:cs="Arial"/>
                <w:sz w:val="16"/>
                <w:szCs w:val="16"/>
              </w:rPr>
              <w:t>359.770</w:t>
            </w:r>
          </w:p>
        </w:tc>
      </w:tr>
      <w:tr w:rsidR="004134BE" w:rsidRPr="007C62DA" w14:paraId="2BE9880F" w14:textId="77777777" w:rsidTr="005C2411">
        <w:trPr>
          <w:trHeight w:val="371"/>
        </w:trPr>
        <w:tc>
          <w:tcPr>
            <w:tcW w:w="7770" w:type="dxa"/>
            <w:vAlign w:val="center"/>
            <w:hideMark/>
          </w:tcPr>
          <w:p w14:paraId="174F0985" w14:textId="77777777" w:rsidR="004134BE" w:rsidRPr="007C62DA" w:rsidRDefault="004134BE" w:rsidP="003429EA">
            <w:pPr>
              <w:rPr>
                <w:rFonts w:ascii="Arial" w:hAnsi="Arial" w:cs="Arial"/>
                <w:sz w:val="16"/>
                <w:szCs w:val="16"/>
              </w:rPr>
            </w:pPr>
            <w:r w:rsidRPr="007C62DA">
              <w:rPr>
                <w:rFonts w:ascii="Arial" w:hAnsi="Arial" w:cs="Arial"/>
                <w:b/>
                <w:bCs/>
                <w:sz w:val="16"/>
                <w:szCs w:val="16"/>
              </w:rPr>
              <w:t>A.</w:t>
            </w:r>
            <w:r w:rsidRPr="007C62DA">
              <w:rPr>
                <w:rFonts w:ascii="Arial" w:hAnsi="Arial" w:cs="Arial"/>
                <w:sz w:val="16"/>
                <w:szCs w:val="16"/>
              </w:rPr>
              <w:t xml:space="preserve"> Incidencia AME: 1/10.000 nacidos vivos</w:t>
            </w:r>
          </w:p>
        </w:tc>
        <w:tc>
          <w:tcPr>
            <w:tcW w:w="1157" w:type="dxa"/>
            <w:vAlign w:val="center"/>
            <w:hideMark/>
          </w:tcPr>
          <w:p w14:paraId="4E2CE8BD" w14:textId="77777777" w:rsidR="004134BE" w:rsidRPr="007C62DA" w:rsidRDefault="004134BE" w:rsidP="003429EA">
            <w:pPr>
              <w:ind w:hanging="125"/>
              <w:jc w:val="center"/>
              <w:rPr>
                <w:rFonts w:ascii="Arial" w:hAnsi="Arial" w:cs="Arial"/>
                <w:sz w:val="16"/>
                <w:szCs w:val="16"/>
              </w:rPr>
            </w:pPr>
            <w:r>
              <w:rPr>
                <w:rFonts w:ascii="Arial" w:hAnsi="Arial" w:cs="Arial"/>
                <w:sz w:val="16"/>
                <w:szCs w:val="16"/>
              </w:rPr>
              <w:t>36</w:t>
            </w:r>
          </w:p>
        </w:tc>
      </w:tr>
      <w:tr w:rsidR="004134BE" w:rsidRPr="007C62DA" w14:paraId="770E4705" w14:textId="77777777" w:rsidTr="005C2411">
        <w:trPr>
          <w:trHeight w:val="371"/>
        </w:trPr>
        <w:tc>
          <w:tcPr>
            <w:tcW w:w="7770" w:type="dxa"/>
            <w:vAlign w:val="center"/>
            <w:hideMark/>
          </w:tcPr>
          <w:p w14:paraId="3915626B" w14:textId="729F60D2" w:rsidR="004134BE" w:rsidRPr="007C62DA" w:rsidRDefault="004134BE" w:rsidP="004134BE">
            <w:pPr>
              <w:rPr>
                <w:rFonts w:ascii="Arial" w:hAnsi="Arial" w:cs="Arial"/>
                <w:b/>
                <w:bCs/>
                <w:sz w:val="16"/>
                <w:szCs w:val="16"/>
              </w:rPr>
            </w:pPr>
            <w:r w:rsidRPr="007C62DA">
              <w:rPr>
                <w:rFonts w:ascii="Arial" w:hAnsi="Arial" w:cs="Arial"/>
                <w:b/>
                <w:bCs/>
                <w:sz w:val="16"/>
                <w:szCs w:val="16"/>
              </w:rPr>
              <w:t xml:space="preserve">B. </w:t>
            </w:r>
            <w:r w:rsidRPr="007C62DA">
              <w:rPr>
                <w:rFonts w:ascii="Arial" w:hAnsi="Arial" w:cs="Arial"/>
                <w:sz w:val="16"/>
                <w:szCs w:val="16"/>
              </w:rPr>
              <w:t xml:space="preserve">Pacientes con AME tipo </w:t>
            </w:r>
            <w:r>
              <w:rPr>
                <w:rFonts w:ascii="Arial" w:hAnsi="Arial" w:cs="Arial"/>
                <w:sz w:val="16"/>
                <w:szCs w:val="16"/>
              </w:rPr>
              <w:t>II (30%)</w:t>
            </w:r>
            <w:r w:rsidR="008D27F1">
              <w:rPr>
                <w:rFonts w:ascii="Arial" w:hAnsi="Arial" w:cs="Arial"/>
                <w:sz w:val="16"/>
                <w:szCs w:val="16"/>
              </w:rPr>
              <w:t>: 2-3 copias SMN2</w:t>
            </w:r>
          </w:p>
        </w:tc>
        <w:tc>
          <w:tcPr>
            <w:tcW w:w="1157" w:type="dxa"/>
            <w:vAlign w:val="center"/>
            <w:hideMark/>
          </w:tcPr>
          <w:p w14:paraId="046D7AD7" w14:textId="150708CA" w:rsidR="004134BE" w:rsidRPr="007C62DA" w:rsidRDefault="004134BE" w:rsidP="003429EA">
            <w:pPr>
              <w:ind w:hanging="125"/>
              <w:jc w:val="center"/>
              <w:rPr>
                <w:rFonts w:ascii="Arial" w:hAnsi="Arial" w:cs="Arial"/>
                <w:sz w:val="16"/>
                <w:szCs w:val="16"/>
              </w:rPr>
            </w:pPr>
            <w:r>
              <w:rPr>
                <w:rFonts w:ascii="Arial" w:hAnsi="Arial" w:cs="Arial"/>
                <w:sz w:val="16"/>
                <w:szCs w:val="16"/>
              </w:rPr>
              <w:t>11</w:t>
            </w:r>
          </w:p>
        </w:tc>
      </w:tr>
      <w:tr w:rsidR="004134BE" w:rsidRPr="007C62DA" w14:paraId="19640C94" w14:textId="77777777" w:rsidTr="005C2411">
        <w:trPr>
          <w:trHeight w:val="371"/>
        </w:trPr>
        <w:tc>
          <w:tcPr>
            <w:tcW w:w="7770" w:type="dxa"/>
            <w:vAlign w:val="center"/>
          </w:tcPr>
          <w:p w14:paraId="502BF303" w14:textId="6EEB90E4" w:rsidR="004134BE" w:rsidRPr="007C62DA" w:rsidRDefault="004134BE" w:rsidP="008D27F1">
            <w:pPr>
              <w:rPr>
                <w:rFonts w:ascii="Arial" w:hAnsi="Arial" w:cs="Arial"/>
                <w:b/>
                <w:bCs/>
                <w:sz w:val="16"/>
                <w:szCs w:val="16"/>
              </w:rPr>
            </w:pPr>
            <w:r>
              <w:rPr>
                <w:rFonts w:ascii="Arial" w:hAnsi="Arial" w:cs="Arial"/>
                <w:b/>
                <w:bCs/>
                <w:sz w:val="16"/>
                <w:szCs w:val="16"/>
              </w:rPr>
              <w:t xml:space="preserve">C. </w:t>
            </w:r>
            <w:r w:rsidRPr="004134BE">
              <w:rPr>
                <w:rFonts w:ascii="Arial" w:hAnsi="Arial" w:cs="Arial"/>
                <w:bCs/>
                <w:sz w:val="16"/>
                <w:szCs w:val="16"/>
              </w:rPr>
              <w:t xml:space="preserve">Pacientes con </w:t>
            </w:r>
            <w:r w:rsidR="008D27F1">
              <w:rPr>
                <w:rFonts w:ascii="Arial" w:hAnsi="Arial" w:cs="Arial"/>
                <w:bCs/>
                <w:sz w:val="16"/>
                <w:szCs w:val="16"/>
              </w:rPr>
              <w:t>AME tipo III</w:t>
            </w:r>
            <w:r w:rsidRPr="004134BE">
              <w:rPr>
                <w:rFonts w:ascii="Arial" w:hAnsi="Arial" w:cs="Arial"/>
                <w:bCs/>
                <w:sz w:val="16"/>
                <w:szCs w:val="16"/>
              </w:rPr>
              <w:t xml:space="preserve"> </w:t>
            </w:r>
            <w:r w:rsidR="008D27F1">
              <w:rPr>
                <w:rFonts w:ascii="Arial" w:hAnsi="Arial" w:cs="Arial"/>
                <w:bCs/>
                <w:sz w:val="16"/>
                <w:szCs w:val="16"/>
              </w:rPr>
              <w:t>(10%-20%): la mitad aproximadamente con 3 copias de SMN2</w:t>
            </w:r>
          </w:p>
        </w:tc>
        <w:tc>
          <w:tcPr>
            <w:tcW w:w="1157" w:type="dxa"/>
            <w:vAlign w:val="center"/>
          </w:tcPr>
          <w:p w14:paraId="41168E76" w14:textId="7E569756" w:rsidR="004134BE" w:rsidRDefault="008D27F1" w:rsidP="003429EA">
            <w:pPr>
              <w:ind w:hanging="125"/>
              <w:jc w:val="center"/>
              <w:rPr>
                <w:rFonts w:ascii="Arial" w:hAnsi="Arial" w:cs="Arial"/>
                <w:sz w:val="16"/>
                <w:szCs w:val="16"/>
              </w:rPr>
            </w:pPr>
            <w:r>
              <w:rPr>
                <w:rFonts w:ascii="Arial" w:hAnsi="Arial" w:cs="Arial"/>
                <w:sz w:val="16"/>
                <w:szCs w:val="16"/>
              </w:rPr>
              <w:t>3</w:t>
            </w:r>
          </w:p>
        </w:tc>
      </w:tr>
      <w:tr w:rsidR="004134BE" w:rsidRPr="007C62DA" w14:paraId="26EF5123" w14:textId="77777777" w:rsidTr="005C2411">
        <w:trPr>
          <w:trHeight w:val="371"/>
        </w:trPr>
        <w:tc>
          <w:tcPr>
            <w:tcW w:w="7770" w:type="dxa"/>
            <w:vAlign w:val="center"/>
            <w:hideMark/>
          </w:tcPr>
          <w:p w14:paraId="79C77E81" w14:textId="790CEAFA" w:rsidR="004134BE" w:rsidRPr="007C62DA" w:rsidRDefault="004134BE" w:rsidP="003429EA">
            <w:pPr>
              <w:rPr>
                <w:rFonts w:ascii="Arial" w:hAnsi="Arial" w:cs="Arial"/>
                <w:b/>
                <w:bCs/>
                <w:sz w:val="16"/>
                <w:szCs w:val="16"/>
              </w:rPr>
            </w:pPr>
            <w:r>
              <w:rPr>
                <w:rFonts w:ascii="Arial" w:hAnsi="Arial" w:cs="Arial"/>
                <w:b/>
                <w:bCs/>
                <w:sz w:val="16"/>
                <w:szCs w:val="16"/>
              </w:rPr>
              <w:t>D</w:t>
            </w:r>
            <w:r w:rsidRPr="007C62DA">
              <w:rPr>
                <w:rFonts w:ascii="Arial" w:hAnsi="Arial" w:cs="Arial"/>
                <w:b/>
                <w:bCs/>
                <w:sz w:val="16"/>
                <w:szCs w:val="16"/>
              </w:rPr>
              <w:t>.</w:t>
            </w:r>
            <w:r w:rsidRPr="007C62DA">
              <w:rPr>
                <w:rFonts w:ascii="Arial" w:hAnsi="Arial" w:cs="Arial"/>
                <w:sz w:val="16"/>
                <w:szCs w:val="16"/>
              </w:rPr>
              <w:t xml:space="preserve"> </w:t>
            </w:r>
            <w:r w:rsidRPr="007C62DA">
              <w:rPr>
                <w:rFonts w:ascii="Arial" w:hAnsi="Arial" w:cs="Arial"/>
                <w:b/>
                <w:bCs/>
                <w:sz w:val="16"/>
                <w:szCs w:val="16"/>
              </w:rPr>
              <w:t>POBLACION DIANA</w:t>
            </w:r>
          </w:p>
        </w:tc>
        <w:tc>
          <w:tcPr>
            <w:tcW w:w="1157" w:type="dxa"/>
            <w:vAlign w:val="center"/>
            <w:hideMark/>
          </w:tcPr>
          <w:p w14:paraId="754D0615" w14:textId="1504FDD9" w:rsidR="004134BE" w:rsidRPr="007C62DA" w:rsidRDefault="008D27F1" w:rsidP="003429EA">
            <w:pPr>
              <w:ind w:hanging="125"/>
              <w:jc w:val="center"/>
              <w:rPr>
                <w:rFonts w:ascii="Arial" w:hAnsi="Arial" w:cs="Arial"/>
                <w:b/>
                <w:bCs/>
                <w:sz w:val="16"/>
                <w:szCs w:val="16"/>
              </w:rPr>
            </w:pPr>
            <w:r>
              <w:rPr>
                <w:rFonts w:ascii="Arial" w:hAnsi="Arial" w:cs="Arial"/>
                <w:b/>
                <w:bCs/>
                <w:sz w:val="16"/>
                <w:szCs w:val="16"/>
              </w:rPr>
              <w:t>14</w:t>
            </w:r>
          </w:p>
        </w:tc>
      </w:tr>
      <w:tr w:rsidR="00534AD3" w:rsidRPr="007C62DA" w14:paraId="4BA89BEB" w14:textId="77777777" w:rsidTr="003D6562">
        <w:trPr>
          <w:trHeight w:val="1224"/>
        </w:trPr>
        <w:tc>
          <w:tcPr>
            <w:tcW w:w="8927" w:type="dxa"/>
            <w:gridSpan w:val="2"/>
            <w:shd w:val="clear" w:color="auto" w:fill="D9D9D9"/>
            <w:vAlign w:val="center"/>
            <w:hideMark/>
          </w:tcPr>
          <w:p w14:paraId="772736D8" w14:textId="77777777" w:rsidR="00534AD3" w:rsidRPr="007C62DA" w:rsidRDefault="00534AD3" w:rsidP="003429EA">
            <w:pPr>
              <w:rPr>
                <w:rFonts w:ascii="Arial" w:hAnsi="Arial" w:cs="Arial"/>
                <w:b/>
                <w:bCs/>
                <w:sz w:val="16"/>
                <w:szCs w:val="16"/>
              </w:rPr>
            </w:pPr>
            <w:r w:rsidRPr="007C62DA">
              <w:rPr>
                <w:rFonts w:ascii="Arial" w:hAnsi="Arial" w:cs="Arial"/>
                <w:b/>
                <w:bCs/>
                <w:sz w:val="16"/>
                <w:szCs w:val="16"/>
              </w:rPr>
              <w:t>Referencias:</w:t>
            </w:r>
          </w:p>
          <w:p w14:paraId="366FF1CF" w14:textId="77777777" w:rsidR="00534AD3" w:rsidRPr="007C62DA" w:rsidRDefault="00534AD3" w:rsidP="003429EA">
            <w:pPr>
              <w:rPr>
                <w:rFonts w:ascii="Arial" w:hAnsi="Arial" w:cs="Arial"/>
                <w:sz w:val="16"/>
                <w:szCs w:val="16"/>
              </w:rPr>
            </w:pPr>
            <w:r w:rsidRPr="007C62DA">
              <w:rPr>
                <w:rFonts w:ascii="Arial" w:hAnsi="Arial" w:cs="Arial"/>
                <w:sz w:val="16"/>
                <w:szCs w:val="16"/>
              </w:rPr>
              <w:t xml:space="preserve">(1) </w:t>
            </w:r>
            <w:r>
              <w:rPr>
                <w:rFonts w:ascii="Arial" w:hAnsi="Arial" w:cs="Arial"/>
                <w:sz w:val="16"/>
                <w:szCs w:val="16"/>
              </w:rPr>
              <w:t>INE</w:t>
            </w:r>
            <w:r w:rsidRPr="007C62DA">
              <w:rPr>
                <w:rFonts w:ascii="Arial" w:hAnsi="Arial" w:cs="Arial"/>
                <w:sz w:val="16"/>
                <w:szCs w:val="16"/>
              </w:rPr>
              <w:t xml:space="preserve"> Disponible en </w:t>
            </w:r>
            <w:hyperlink r:id="rId15" w:history="1">
              <w:r w:rsidRPr="0081701F">
                <w:rPr>
                  <w:rStyle w:val="Hipervnculo"/>
                  <w:rFonts w:ascii="Arial" w:hAnsi="Arial" w:cs="Arial"/>
                  <w:sz w:val="16"/>
                  <w:szCs w:val="16"/>
                </w:rPr>
                <w:t>https://www.ine.es/dyngs/INEbase/es/operacion.htm?c=Estadistica_C&amp;cid=1254736177007&amp;menu=ultiDatos&amp;idp=1254735573002</w:t>
              </w:r>
            </w:hyperlink>
          </w:p>
          <w:p w14:paraId="460868C8" w14:textId="7F9C570E" w:rsidR="00534AD3" w:rsidRPr="007C62DA" w:rsidRDefault="00534AD3" w:rsidP="003429EA">
            <w:pPr>
              <w:jc w:val="both"/>
              <w:rPr>
                <w:rFonts w:ascii="Arial" w:hAnsi="Arial" w:cs="Arial"/>
                <w:sz w:val="16"/>
                <w:szCs w:val="16"/>
              </w:rPr>
            </w:pPr>
            <w:r w:rsidRPr="007C62DA">
              <w:rPr>
                <w:rFonts w:ascii="Arial" w:hAnsi="Arial" w:cs="Arial"/>
                <w:sz w:val="16"/>
                <w:szCs w:val="16"/>
              </w:rPr>
              <w:t>(2) Agencia Española de Medicamentos y productos Sanitarios. Informe de Posicionamiento Terapéutico de nusinersen (Spinraza®) en atrofia muscular espinal. 2018</w:t>
            </w:r>
          </w:p>
        </w:tc>
      </w:tr>
    </w:tbl>
    <w:p w14:paraId="28AA1B74" w14:textId="77777777" w:rsidR="0060785D" w:rsidRDefault="0060785D" w:rsidP="001F6887">
      <w:pPr>
        <w:pStyle w:val="Encabezado"/>
        <w:tabs>
          <w:tab w:val="left" w:pos="708"/>
        </w:tabs>
        <w:rPr>
          <w:rFonts w:ascii="Arial" w:hAnsi="Arial" w:cs="Arial"/>
        </w:rPr>
      </w:pPr>
    </w:p>
    <w:p w14:paraId="61C827AA" w14:textId="77777777" w:rsidR="00690F11" w:rsidRDefault="004134BE" w:rsidP="004134BE">
      <w:pPr>
        <w:jc w:val="both"/>
        <w:rPr>
          <w:rFonts w:ascii="Arial" w:hAnsi="Arial" w:cs="Arial"/>
          <w:sz w:val="20"/>
          <w:szCs w:val="20"/>
        </w:rPr>
      </w:pPr>
      <w:r>
        <w:rPr>
          <w:rFonts w:ascii="Arial" w:hAnsi="Arial" w:cs="Arial"/>
          <w:sz w:val="20"/>
          <w:szCs w:val="20"/>
        </w:rPr>
        <w:t>La población diana anual de candidatos a tratamiento con o</w:t>
      </w:r>
      <w:r w:rsidRPr="004134BE">
        <w:rPr>
          <w:rFonts w:ascii="Arial" w:hAnsi="Arial" w:cs="Arial"/>
          <w:sz w:val="20"/>
          <w:szCs w:val="20"/>
        </w:rPr>
        <w:t>nasemnogén abeparvovec</w:t>
      </w:r>
      <w:r>
        <w:rPr>
          <w:rFonts w:ascii="Arial" w:hAnsi="Arial" w:cs="Arial"/>
          <w:sz w:val="20"/>
          <w:szCs w:val="20"/>
        </w:rPr>
        <w:t xml:space="preserve">, en pacientes con AME tipo I, se estima que es de </w:t>
      </w:r>
      <w:r w:rsidRPr="00534AD3">
        <w:rPr>
          <w:rFonts w:ascii="Arial" w:hAnsi="Arial" w:cs="Arial"/>
          <w:b/>
          <w:sz w:val="20"/>
          <w:szCs w:val="20"/>
        </w:rPr>
        <w:t>18-22 pacientes</w:t>
      </w:r>
      <w:r>
        <w:rPr>
          <w:rFonts w:ascii="Arial" w:hAnsi="Arial" w:cs="Arial"/>
          <w:sz w:val="20"/>
          <w:szCs w:val="20"/>
        </w:rPr>
        <w:t xml:space="preserve"> en el ámbito estatal</w:t>
      </w:r>
      <w:r w:rsidR="00534AD3">
        <w:rPr>
          <w:rFonts w:ascii="Arial" w:hAnsi="Arial" w:cs="Arial"/>
          <w:sz w:val="20"/>
          <w:szCs w:val="20"/>
        </w:rPr>
        <w:t xml:space="preserve">. </w:t>
      </w:r>
    </w:p>
    <w:p w14:paraId="50F6AFD7" w14:textId="77777777" w:rsidR="00690F11" w:rsidRDefault="00690F11" w:rsidP="004134BE">
      <w:pPr>
        <w:jc w:val="both"/>
        <w:rPr>
          <w:rFonts w:ascii="Arial" w:hAnsi="Arial" w:cs="Arial"/>
          <w:sz w:val="20"/>
          <w:szCs w:val="20"/>
        </w:rPr>
      </w:pPr>
    </w:p>
    <w:p w14:paraId="32B6E43E" w14:textId="78BBBD46" w:rsidR="004134BE" w:rsidRDefault="00534AD3" w:rsidP="004134BE">
      <w:pPr>
        <w:jc w:val="both"/>
      </w:pPr>
      <w:r>
        <w:rPr>
          <w:rFonts w:ascii="Arial" w:hAnsi="Arial" w:cs="Arial"/>
          <w:sz w:val="20"/>
          <w:szCs w:val="20"/>
        </w:rPr>
        <w:t xml:space="preserve">Si también se trataran a todos los pacientes </w:t>
      </w:r>
      <w:r w:rsidR="008D27F1">
        <w:rPr>
          <w:rFonts w:ascii="Arial" w:hAnsi="Arial" w:cs="Arial"/>
          <w:sz w:val="20"/>
          <w:szCs w:val="20"/>
        </w:rPr>
        <w:t xml:space="preserve">presintomáticos </w:t>
      </w:r>
      <w:r>
        <w:rPr>
          <w:rFonts w:ascii="Arial" w:hAnsi="Arial" w:cs="Arial"/>
          <w:sz w:val="20"/>
          <w:szCs w:val="20"/>
        </w:rPr>
        <w:t xml:space="preserve">con AME </w:t>
      </w:r>
      <w:r w:rsidR="008D27F1">
        <w:rPr>
          <w:rFonts w:ascii="Arial" w:hAnsi="Arial" w:cs="Arial"/>
          <w:sz w:val="20"/>
          <w:szCs w:val="20"/>
        </w:rPr>
        <w:t>y hasta</w:t>
      </w:r>
      <w:r>
        <w:rPr>
          <w:rFonts w:ascii="Arial" w:hAnsi="Arial" w:cs="Arial"/>
          <w:sz w:val="20"/>
          <w:szCs w:val="20"/>
        </w:rPr>
        <w:t xml:space="preserve"> tres copias de SMN2 habría que añadir </w:t>
      </w:r>
      <w:r w:rsidRPr="00534AD3">
        <w:rPr>
          <w:rFonts w:ascii="Arial" w:hAnsi="Arial" w:cs="Arial"/>
          <w:b/>
          <w:sz w:val="20"/>
          <w:szCs w:val="20"/>
        </w:rPr>
        <w:t xml:space="preserve">otros </w:t>
      </w:r>
      <w:r w:rsidR="008D27F1">
        <w:rPr>
          <w:rFonts w:ascii="Arial" w:hAnsi="Arial" w:cs="Arial"/>
          <w:b/>
          <w:sz w:val="20"/>
          <w:szCs w:val="20"/>
        </w:rPr>
        <w:t>14</w:t>
      </w:r>
      <w:r w:rsidRPr="00534AD3">
        <w:rPr>
          <w:rFonts w:ascii="Arial" w:hAnsi="Arial" w:cs="Arial"/>
          <w:b/>
          <w:sz w:val="20"/>
          <w:szCs w:val="20"/>
        </w:rPr>
        <w:t xml:space="preserve"> pacientes</w:t>
      </w:r>
      <w:r>
        <w:rPr>
          <w:rFonts w:ascii="Arial" w:hAnsi="Arial" w:cs="Arial"/>
          <w:sz w:val="20"/>
          <w:szCs w:val="20"/>
        </w:rPr>
        <w:t xml:space="preserve"> más anuales.</w:t>
      </w:r>
    </w:p>
    <w:p w14:paraId="708DA054" w14:textId="77777777" w:rsidR="00690F11" w:rsidRDefault="00690F11" w:rsidP="001F6887">
      <w:pPr>
        <w:pStyle w:val="Encabezado"/>
        <w:tabs>
          <w:tab w:val="left" w:pos="708"/>
        </w:tabs>
        <w:rPr>
          <w:rFonts w:ascii="Arial" w:hAnsi="Arial" w:cs="Arial"/>
        </w:rPr>
      </w:pPr>
    </w:p>
    <w:p w14:paraId="2F1B2BE9" w14:textId="77777777" w:rsidR="005C2411" w:rsidRDefault="005C2411" w:rsidP="001F6887">
      <w:pPr>
        <w:pStyle w:val="Encabezado"/>
        <w:tabs>
          <w:tab w:val="left" w:pos="708"/>
        </w:tabs>
        <w:rPr>
          <w:rFonts w:ascii="Arial" w:hAnsi="Arial" w:cs="Arial"/>
        </w:rPr>
      </w:pPr>
    </w:p>
    <w:p w14:paraId="20EC054A" w14:textId="446F8F55" w:rsidR="0060785D" w:rsidRPr="007C62DA" w:rsidRDefault="0060785D" w:rsidP="001F6887">
      <w:pPr>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sidRPr="007C62DA">
        <w:rPr>
          <w:rFonts w:ascii="Arial" w:hAnsi="Arial" w:cs="Arial"/>
          <w:b/>
          <w:bCs/>
          <w:sz w:val="20"/>
          <w:szCs w:val="20"/>
        </w:rPr>
        <w:t>7.4.2 Estudios publicados de impacto presupuestario</w:t>
      </w:r>
    </w:p>
    <w:p w14:paraId="4D274BBC" w14:textId="77777777" w:rsidR="007C62DA" w:rsidRDefault="007C62DA" w:rsidP="001F6887">
      <w:pPr>
        <w:rPr>
          <w:rFonts w:ascii="Arial" w:hAnsi="Arial" w:cs="Arial"/>
          <w:sz w:val="20"/>
          <w:szCs w:val="20"/>
        </w:rPr>
      </w:pPr>
    </w:p>
    <w:p w14:paraId="19939AB0" w14:textId="3FD22A93" w:rsidR="0060785D" w:rsidRDefault="0060785D" w:rsidP="001F6887">
      <w:pPr>
        <w:rPr>
          <w:rFonts w:ascii="Arial" w:hAnsi="Arial" w:cs="Arial"/>
          <w:sz w:val="20"/>
          <w:szCs w:val="20"/>
        </w:rPr>
      </w:pPr>
      <w:r w:rsidRPr="007C62DA">
        <w:rPr>
          <w:rFonts w:ascii="Arial" w:hAnsi="Arial" w:cs="Arial"/>
          <w:sz w:val="20"/>
          <w:szCs w:val="20"/>
        </w:rPr>
        <w:t>No se han encontrado estudios de impact</w:t>
      </w:r>
      <w:r w:rsidR="00237A4C">
        <w:rPr>
          <w:rFonts w:ascii="Arial" w:hAnsi="Arial" w:cs="Arial"/>
          <w:sz w:val="20"/>
          <w:szCs w:val="20"/>
        </w:rPr>
        <w:t>o presupuestario para o</w:t>
      </w:r>
      <w:r w:rsidR="00237A4C" w:rsidRPr="004134BE">
        <w:rPr>
          <w:rFonts w:ascii="Arial" w:hAnsi="Arial" w:cs="Arial"/>
          <w:sz w:val="20"/>
          <w:szCs w:val="20"/>
        </w:rPr>
        <w:t>nasemnogén abeparvovec</w:t>
      </w:r>
      <w:r w:rsidR="00534AD3">
        <w:rPr>
          <w:rFonts w:ascii="Arial" w:hAnsi="Arial" w:cs="Arial"/>
          <w:sz w:val="20"/>
          <w:szCs w:val="20"/>
        </w:rPr>
        <w:t>.</w:t>
      </w:r>
    </w:p>
    <w:p w14:paraId="02B51CF0" w14:textId="77777777" w:rsidR="003A0794" w:rsidRDefault="003A0794" w:rsidP="001F6887">
      <w:pPr>
        <w:rPr>
          <w:rFonts w:ascii="Arial" w:hAnsi="Arial" w:cs="Arial"/>
          <w:sz w:val="20"/>
          <w:szCs w:val="20"/>
        </w:rPr>
      </w:pPr>
    </w:p>
    <w:p w14:paraId="283D5E94" w14:textId="77777777" w:rsidR="005C2411" w:rsidRDefault="005C2411" w:rsidP="001F6887">
      <w:pPr>
        <w:rPr>
          <w:rFonts w:ascii="Arial" w:hAnsi="Arial" w:cs="Arial"/>
          <w:sz w:val="20"/>
          <w:szCs w:val="20"/>
        </w:rPr>
      </w:pPr>
    </w:p>
    <w:p w14:paraId="3996BB18" w14:textId="06DA9A95" w:rsidR="0060785D" w:rsidRPr="007C62DA" w:rsidRDefault="0060785D" w:rsidP="001F6887">
      <w:pPr>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sidRPr="007C62DA">
        <w:rPr>
          <w:rFonts w:ascii="Arial" w:hAnsi="Arial" w:cs="Arial"/>
          <w:b/>
          <w:bCs/>
          <w:sz w:val="20"/>
          <w:szCs w:val="20"/>
        </w:rPr>
        <w:t>7.4.3. Estimación propia de impacto presupuestario y beneficios en salud a nivel estatal</w:t>
      </w:r>
    </w:p>
    <w:p w14:paraId="77915611" w14:textId="77777777" w:rsidR="007C62DA" w:rsidRDefault="007C62DA" w:rsidP="001F6887">
      <w:pPr>
        <w:jc w:val="both"/>
        <w:rPr>
          <w:rFonts w:ascii="Arial" w:hAnsi="Arial" w:cs="Arial"/>
          <w:sz w:val="20"/>
          <w:szCs w:val="20"/>
        </w:rPr>
      </w:pPr>
    </w:p>
    <w:p w14:paraId="66945292" w14:textId="0DA86E2E" w:rsidR="0060785D" w:rsidRPr="007C62DA" w:rsidRDefault="0060785D" w:rsidP="001F6887">
      <w:pPr>
        <w:jc w:val="both"/>
        <w:rPr>
          <w:rFonts w:ascii="Arial" w:hAnsi="Arial" w:cs="Arial"/>
          <w:sz w:val="20"/>
          <w:szCs w:val="20"/>
        </w:rPr>
      </w:pPr>
      <w:r w:rsidRPr="007C62DA">
        <w:rPr>
          <w:rFonts w:ascii="Arial" w:hAnsi="Arial" w:cs="Arial"/>
          <w:sz w:val="20"/>
          <w:szCs w:val="20"/>
        </w:rPr>
        <w:t xml:space="preserve">Al no disponer de un ensayo clínico comparativo no se </w:t>
      </w:r>
      <w:r w:rsidRPr="007C62DA">
        <w:rPr>
          <w:rFonts w:ascii="Arial" w:hAnsi="Arial" w:cs="Arial"/>
          <w:sz w:val="20"/>
          <w:szCs w:val="20"/>
        </w:rPr>
        <w:tab/>
        <w:t xml:space="preserve">ha podido establecer ninguna ratio de coste eficacia incremental (RCEI), por lo que se presentan los datos de respuesta al tratamiento del ensayo clínico pivotal y se calculan los pacientes que presentarán </w:t>
      </w:r>
      <w:r w:rsidR="00DB27DA" w:rsidRPr="007C62DA">
        <w:rPr>
          <w:rFonts w:ascii="Arial" w:hAnsi="Arial" w:cs="Arial"/>
          <w:sz w:val="20"/>
          <w:szCs w:val="20"/>
        </w:rPr>
        <w:t>supervivencia libre de eventos</w:t>
      </w:r>
      <w:r w:rsidRPr="007C62DA">
        <w:rPr>
          <w:rFonts w:ascii="Arial" w:hAnsi="Arial" w:cs="Arial"/>
          <w:sz w:val="20"/>
          <w:szCs w:val="20"/>
        </w:rPr>
        <w:t xml:space="preserve"> al año.</w:t>
      </w:r>
    </w:p>
    <w:p w14:paraId="58165679" w14:textId="77777777" w:rsidR="007C62DA" w:rsidRDefault="007C62DA" w:rsidP="001F6887">
      <w:pPr>
        <w:rPr>
          <w:rFonts w:ascii="Arial" w:hAnsi="Arial" w:cs="Arial"/>
          <w:b/>
          <w:bCs/>
          <w:sz w:val="20"/>
          <w:szCs w:val="20"/>
          <w:u w:val="single"/>
        </w:rPr>
      </w:pPr>
    </w:p>
    <w:p w14:paraId="6330967C" w14:textId="77777777" w:rsidR="0060785D" w:rsidRDefault="0060785D" w:rsidP="001F6887">
      <w:pPr>
        <w:rPr>
          <w:rFonts w:ascii="Arial" w:hAnsi="Arial" w:cs="Arial"/>
          <w:b/>
          <w:bCs/>
          <w:sz w:val="20"/>
          <w:szCs w:val="20"/>
          <w:u w:val="single"/>
        </w:rPr>
      </w:pPr>
      <w:r w:rsidRPr="007C62DA">
        <w:rPr>
          <w:rFonts w:ascii="Arial" w:hAnsi="Arial" w:cs="Arial"/>
          <w:b/>
          <w:bCs/>
          <w:sz w:val="20"/>
          <w:szCs w:val="20"/>
          <w:u w:val="single"/>
        </w:rPr>
        <w:t>Análisis basal</w:t>
      </w:r>
    </w:p>
    <w:p w14:paraId="6C003F7D" w14:textId="77777777" w:rsidR="007C62DA" w:rsidRPr="007C62DA" w:rsidRDefault="007C62DA" w:rsidP="001F6887">
      <w:pPr>
        <w:rPr>
          <w:rFonts w:ascii="Arial" w:hAnsi="Arial" w:cs="Arial"/>
          <w:b/>
          <w:bCs/>
          <w:sz w:val="20"/>
          <w:szCs w:val="20"/>
          <w:u w:val="single"/>
        </w:rPr>
      </w:pPr>
    </w:p>
    <w:tbl>
      <w:tblPr>
        <w:tblW w:w="8820" w:type="dxa"/>
        <w:tblInd w:w="-68" w:type="dxa"/>
        <w:tblLayout w:type="fixed"/>
        <w:tblCellMar>
          <w:left w:w="70" w:type="dxa"/>
          <w:right w:w="70" w:type="dxa"/>
        </w:tblCellMar>
        <w:tblLook w:val="00A0" w:firstRow="1" w:lastRow="0" w:firstColumn="1" w:lastColumn="0" w:noHBand="0" w:noVBand="0"/>
      </w:tblPr>
      <w:tblGrid>
        <w:gridCol w:w="991"/>
        <w:gridCol w:w="992"/>
        <w:gridCol w:w="2413"/>
        <w:gridCol w:w="1349"/>
        <w:gridCol w:w="3063"/>
        <w:gridCol w:w="12"/>
      </w:tblGrid>
      <w:tr w:rsidR="0060785D" w:rsidRPr="007C62DA" w14:paraId="4C8932D7" w14:textId="77777777" w:rsidTr="00AE0510">
        <w:trPr>
          <w:trHeight w:val="600"/>
        </w:trPr>
        <w:tc>
          <w:tcPr>
            <w:tcW w:w="8820" w:type="dxa"/>
            <w:gridSpan w:val="6"/>
            <w:tcBorders>
              <w:top w:val="single" w:sz="4" w:space="0" w:color="auto"/>
              <w:left w:val="single" w:sz="4" w:space="0" w:color="auto"/>
              <w:bottom w:val="single" w:sz="4" w:space="0" w:color="auto"/>
              <w:right w:val="single" w:sz="4" w:space="0" w:color="auto"/>
            </w:tcBorders>
            <w:shd w:val="clear" w:color="auto" w:fill="CCFFCC"/>
            <w:vAlign w:val="center"/>
            <w:hideMark/>
          </w:tcPr>
          <w:p w14:paraId="5A09FF04" w14:textId="0C6F7503" w:rsidR="0060785D" w:rsidRPr="007C62DA" w:rsidRDefault="0060785D" w:rsidP="00690F11">
            <w:pPr>
              <w:rPr>
                <w:rFonts w:ascii="Arial" w:hAnsi="Arial" w:cs="Arial"/>
                <w:b/>
                <w:bCs/>
                <w:sz w:val="20"/>
                <w:szCs w:val="20"/>
              </w:rPr>
            </w:pPr>
            <w:r w:rsidRPr="007C62DA">
              <w:rPr>
                <w:rFonts w:ascii="Arial" w:hAnsi="Arial" w:cs="Arial"/>
                <w:b/>
                <w:bCs/>
                <w:sz w:val="20"/>
                <w:szCs w:val="20"/>
              </w:rPr>
              <w:t xml:space="preserve">Tabla 7.4.3.1.1. Estimación propia de impacto presupuestario y beneficios en salud estatales anuales en el caso de variables de eficacia </w:t>
            </w:r>
            <w:r w:rsidR="00073F23" w:rsidRPr="00690F11">
              <w:rPr>
                <w:rFonts w:ascii="Arial" w:hAnsi="Arial" w:cs="Arial"/>
                <w:b/>
                <w:bCs/>
                <w:sz w:val="20"/>
                <w:szCs w:val="20"/>
              </w:rPr>
              <w:t>binarias</w:t>
            </w:r>
            <w:r w:rsidRPr="00690F11">
              <w:rPr>
                <w:rFonts w:ascii="Arial" w:hAnsi="Arial" w:cs="Arial"/>
                <w:b/>
                <w:bCs/>
                <w:sz w:val="20"/>
                <w:szCs w:val="20"/>
              </w:rPr>
              <w:t xml:space="preserve">.    </w:t>
            </w:r>
          </w:p>
        </w:tc>
      </w:tr>
      <w:tr w:rsidR="0060785D" w:rsidRPr="007C62DA" w14:paraId="5AAD051A" w14:textId="77777777" w:rsidTr="00EC7620">
        <w:trPr>
          <w:trHeight w:val="255"/>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46703BA5" w14:textId="64DA2069" w:rsidR="0060785D" w:rsidRPr="007C62DA" w:rsidRDefault="0060785D" w:rsidP="00765109">
            <w:pPr>
              <w:rPr>
                <w:rFonts w:ascii="Arial" w:hAnsi="Arial" w:cs="Arial"/>
                <w:b/>
                <w:bCs/>
                <w:sz w:val="16"/>
                <w:szCs w:val="16"/>
              </w:rPr>
            </w:pPr>
            <w:r w:rsidRPr="007C62DA">
              <w:rPr>
                <w:rFonts w:ascii="Arial" w:hAnsi="Arial" w:cs="Arial"/>
                <w:b/>
                <w:bCs/>
                <w:sz w:val="16"/>
                <w:szCs w:val="16"/>
              </w:rPr>
              <w:t xml:space="preserve">Medicamento e indicación: </w:t>
            </w:r>
            <w:r w:rsidR="00F4517D" w:rsidRPr="007C62DA">
              <w:rPr>
                <w:rFonts w:ascii="Arial" w:hAnsi="Arial" w:cs="Arial"/>
                <w:sz w:val="16"/>
                <w:szCs w:val="16"/>
              </w:rPr>
              <w:t xml:space="preserve">Onasemnogén abeparvovec en </w:t>
            </w:r>
            <w:r w:rsidR="00F4517D" w:rsidRPr="003D4E59">
              <w:rPr>
                <w:rFonts w:ascii="Arial" w:hAnsi="Arial" w:cs="Arial"/>
                <w:b/>
                <w:sz w:val="16"/>
                <w:szCs w:val="16"/>
              </w:rPr>
              <w:t>AME</w:t>
            </w:r>
            <w:r w:rsidR="00237A4C" w:rsidRPr="003D4E59">
              <w:rPr>
                <w:rFonts w:ascii="Arial" w:hAnsi="Arial" w:cs="Arial"/>
                <w:b/>
                <w:sz w:val="16"/>
                <w:szCs w:val="16"/>
              </w:rPr>
              <w:t xml:space="preserve"> tipo </w:t>
            </w:r>
            <w:r w:rsidR="00765109" w:rsidRPr="003D4E59">
              <w:rPr>
                <w:rFonts w:ascii="Arial" w:hAnsi="Arial" w:cs="Arial"/>
                <w:b/>
                <w:sz w:val="16"/>
                <w:szCs w:val="16"/>
              </w:rPr>
              <w:t>I</w:t>
            </w:r>
          </w:p>
        </w:tc>
      </w:tr>
      <w:tr w:rsidR="0060785D" w:rsidRPr="007C62DA" w14:paraId="18783685" w14:textId="77777777" w:rsidTr="00EC7620">
        <w:trPr>
          <w:trHeight w:val="255"/>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3AA9A052" w14:textId="0A4B21B6" w:rsidR="0060785D" w:rsidRPr="007C62DA" w:rsidRDefault="0060785D" w:rsidP="001F6887">
            <w:pPr>
              <w:rPr>
                <w:rFonts w:ascii="Arial" w:hAnsi="Arial" w:cs="Arial"/>
                <w:b/>
                <w:bCs/>
                <w:sz w:val="16"/>
                <w:szCs w:val="16"/>
              </w:rPr>
            </w:pPr>
            <w:r w:rsidRPr="007C62DA">
              <w:rPr>
                <w:rFonts w:ascii="Arial" w:hAnsi="Arial" w:cs="Arial"/>
                <w:b/>
                <w:bCs/>
                <w:sz w:val="16"/>
                <w:szCs w:val="16"/>
              </w:rPr>
              <w:t xml:space="preserve">Variable evaluada y comparador: </w:t>
            </w:r>
            <w:r w:rsidR="00F4517D" w:rsidRPr="007C62DA">
              <w:rPr>
                <w:rFonts w:ascii="Arial" w:hAnsi="Arial" w:cs="Arial"/>
                <w:sz w:val="16"/>
                <w:szCs w:val="16"/>
              </w:rPr>
              <w:t>Supervivencia libre de eventos</w:t>
            </w:r>
            <w:r w:rsidRPr="007C62DA">
              <w:rPr>
                <w:rFonts w:ascii="Arial" w:hAnsi="Arial" w:cs="Arial"/>
                <w:sz w:val="16"/>
                <w:szCs w:val="16"/>
              </w:rPr>
              <w:t>. No existe comparador (ensayo no controlado)</w:t>
            </w:r>
          </w:p>
        </w:tc>
      </w:tr>
      <w:tr w:rsidR="0060785D" w:rsidRPr="007C62DA" w14:paraId="0E2C206C" w14:textId="77777777" w:rsidTr="00EC7620">
        <w:trPr>
          <w:trHeight w:val="255"/>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56D03FCB" w14:textId="77777777" w:rsidR="0060785D" w:rsidRPr="007C62DA" w:rsidRDefault="0060785D" w:rsidP="001F6887">
            <w:pPr>
              <w:rPr>
                <w:rFonts w:ascii="Arial" w:hAnsi="Arial" w:cs="Arial"/>
                <w:b/>
                <w:bCs/>
                <w:sz w:val="16"/>
                <w:szCs w:val="16"/>
              </w:rPr>
            </w:pPr>
            <w:r w:rsidRPr="007C62DA">
              <w:rPr>
                <w:rFonts w:ascii="Arial" w:hAnsi="Arial" w:cs="Arial"/>
                <w:b/>
                <w:bCs/>
                <w:sz w:val="16"/>
                <w:szCs w:val="16"/>
              </w:rPr>
              <w:t xml:space="preserve">Escenario y ámbito: </w:t>
            </w:r>
            <w:r w:rsidRPr="007C62DA">
              <w:rPr>
                <w:rFonts w:ascii="Arial" w:hAnsi="Arial" w:cs="Arial"/>
                <w:sz w:val="16"/>
                <w:szCs w:val="16"/>
              </w:rPr>
              <w:t>Ámbito estatal (España)</w:t>
            </w:r>
          </w:p>
        </w:tc>
      </w:tr>
      <w:tr w:rsidR="0060785D" w:rsidRPr="007C62DA" w14:paraId="25350E0F" w14:textId="77777777" w:rsidTr="00EC7620">
        <w:trPr>
          <w:trHeight w:val="660"/>
        </w:trPr>
        <w:tc>
          <w:tcPr>
            <w:tcW w:w="991" w:type="dxa"/>
            <w:vMerge w:val="restart"/>
            <w:tcBorders>
              <w:top w:val="nil"/>
              <w:left w:val="single" w:sz="4" w:space="0" w:color="auto"/>
              <w:bottom w:val="single" w:sz="4" w:space="0" w:color="000000"/>
              <w:right w:val="single" w:sz="4" w:space="0" w:color="auto"/>
            </w:tcBorders>
            <w:shd w:val="clear" w:color="auto" w:fill="D9D9D9"/>
            <w:vAlign w:val="center"/>
            <w:hideMark/>
          </w:tcPr>
          <w:p w14:paraId="4DE48243" w14:textId="77777777" w:rsidR="0060785D" w:rsidRPr="007C62DA" w:rsidRDefault="0060785D" w:rsidP="001F6887">
            <w:pPr>
              <w:jc w:val="center"/>
              <w:rPr>
                <w:rFonts w:ascii="Arial" w:hAnsi="Arial" w:cs="Arial"/>
                <w:sz w:val="16"/>
                <w:szCs w:val="16"/>
              </w:rPr>
            </w:pPr>
            <w:r w:rsidRPr="007C62DA">
              <w:rPr>
                <w:rFonts w:ascii="Arial" w:hAnsi="Arial" w:cs="Arial"/>
                <w:sz w:val="16"/>
                <w:szCs w:val="16"/>
              </w:rPr>
              <w:t>Nº anual de pacientes</w:t>
            </w:r>
          </w:p>
        </w:tc>
        <w:tc>
          <w:tcPr>
            <w:tcW w:w="992" w:type="dxa"/>
            <w:vMerge w:val="restart"/>
            <w:tcBorders>
              <w:top w:val="nil"/>
              <w:left w:val="single" w:sz="4" w:space="0" w:color="auto"/>
              <w:bottom w:val="single" w:sz="4" w:space="0" w:color="000000"/>
              <w:right w:val="single" w:sz="4" w:space="0" w:color="auto"/>
            </w:tcBorders>
            <w:shd w:val="clear" w:color="auto" w:fill="D9D9D9"/>
            <w:vAlign w:val="center"/>
            <w:hideMark/>
          </w:tcPr>
          <w:p w14:paraId="52661290" w14:textId="7CB81DEB" w:rsidR="0060785D" w:rsidRPr="007C62DA" w:rsidRDefault="0060785D" w:rsidP="00237A4C">
            <w:pPr>
              <w:jc w:val="center"/>
              <w:rPr>
                <w:rFonts w:ascii="Arial" w:hAnsi="Arial" w:cs="Arial"/>
                <w:sz w:val="16"/>
                <w:szCs w:val="16"/>
              </w:rPr>
            </w:pPr>
            <w:r w:rsidRPr="007C62DA">
              <w:rPr>
                <w:rFonts w:ascii="Arial" w:hAnsi="Arial" w:cs="Arial"/>
                <w:sz w:val="16"/>
                <w:szCs w:val="16"/>
              </w:rPr>
              <w:t>Coste por paciente</w:t>
            </w:r>
          </w:p>
        </w:tc>
        <w:tc>
          <w:tcPr>
            <w:tcW w:w="2413" w:type="dxa"/>
            <w:tcBorders>
              <w:top w:val="single" w:sz="4" w:space="0" w:color="auto"/>
              <w:left w:val="nil"/>
              <w:bottom w:val="single" w:sz="4" w:space="0" w:color="auto"/>
              <w:right w:val="single" w:sz="4" w:space="0" w:color="auto"/>
            </w:tcBorders>
            <w:shd w:val="clear" w:color="auto" w:fill="D9D9D9"/>
            <w:vAlign w:val="center"/>
            <w:hideMark/>
          </w:tcPr>
          <w:p w14:paraId="30E3106E" w14:textId="1AE9B585" w:rsidR="0060785D" w:rsidRPr="007C62DA" w:rsidRDefault="0060785D" w:rsidP="001F6887">
            <w:pPr>
              <w:jc w:val="center"/>
              <w:rPr>
                <w:rFonts w:ascii="Arial" w:hAnsi="Arial" w:cs="Arial"/>
                <w:sz w:val="16"/>
                <w:szCs w:val="16"/>
              </w:rPr>
            </w:pPr>
            <w:r w:rsidRPr="007C62DA">
              <w:rPr>
                <w:rFonts w:ascii="Arial" w:hAnsi="Arial" w:cs="Arial"/>
                <w:sz w:val="16"/>
                <w:szCs w:val="16"/>
              </w:rPr>
              <w:t xml:space="preserve">% de </w:t>
            </w:r>
            <w:r w:rsidR="00EC7620" w:rsidRPr="007C62DA">
              <w:rPr>
                <w:rFonts w:ascii="Arial" w:hAnsi="Arial" w:cs="Arial"/>
                <w:sz w:val="16"/>
                <w:szCs w:val="16"/>
              </w:rPr>
              <w:t>supervivencia libre de eventos</w:t>
            </w:r>
            <w:r w:rsidRPr="007C62DA">
              <w:rPr>
                <w:rFonts w:ascii="Arial" w:hAnsi="Arial" w:cs="Arial"/>
                <w:sz w:val="16"/>
                <w:szCs w:val="16"/>
              </w:rPr>
              <w:t>*</w:t>
            </w:r>
          </w:p>
        </w:tc>
        <w:tc>
          <w:tcPr>
            <w:tcW w:w="1349" w:type="dxa"/>
            <w:vMerge w:val="restart"/>
            <w:tcBorders>
              <w:top w:val="nil"/>
              <w:left w:val="single" w:sz="4" w:space="0" w:color="auto"/>
              <w:bottom w:val="single" w:sz="4" w:space="0" w:color="000000"/>
              <w:right w:val="single" w:sz="4" w:space="0" w:color="auto"/>
            </w:tcBorders>
            <w:shd w:val="clear" w:color="auto" w:fill="D9D9D9"/>
            <w:vAlign w:val="center"/>
            <w:hideMark/>
          </w:tcPr>
          <w:p w14:paraId="11FA17F1" w14:textId="77777777" w:rsidR="0060785D" w:rsidRPr="007C62DA" w:rsidRDefault="0060785D" w:rsidP="001F6887">
            <w:pPr>
              <w:jc w:val="center"/>
              <w:rPr>
                <w:rFonts w:ascii="Arial" w:hAnsi="Arial" w:cs="Arial"/>
                <w:sz w:val="16"/>
                <w:szCs w:val="16"/>
              </w:rPr>
            </w:pPr>
            <w:r w:rsidRPr="007C62DA">
              <w:rPr>
                <w:rFonts w:ascii="Arial" w:hAnsi="Arial" w:cs="Arial"/>
                <w:sz w:val="16"/>
                <w:szCs w:val="16"/>
              </w:rPr>
              <w:t>Impacto económico anual</w:t>
            </w:r>
          </w:p>
        </w:tc>
        <w:tc>
          <w:tcPr>
            <w:tcW w:w="3075" w:type="dxa"/>
            <w:gridSpan w:val="2"/>
            <w:tcBorders>
              <w:top w:val="single" w:sz="4" w:space="0" w:color="auto"/>
              <w:left w:val="nil"/>
              <w:bottom w:val="nil"/>
              <w:right w:val="single" w:sz="4" w:space="0" w:color="000000"/>
            </w:tcBorders>
            <w:shd w:val="clear" w:color="auto" w:fill="D9D9D9"/>
            <w:vAlign w:val="center"/>
            <w:hideMark/>
          </w:tcPr>
          <w:p w14:paraId="42753312" w14:textId="11979D07" w:rsidR="0060785D" w:rsidRPr="007C62DA" w:rsidRDefault="0060785D" w:rsidP="001F6887">
            <w:pPr>
              <w:jc w:val="center"/>
              <w:rPr>
                <w:rFonts w:ascii="Arial" w:hAnsi="Arial" w:cs="Arial"/>
                <w:sz w:val="16"/>
                <w:szCs w:val="16"/>
              </w:rPr>
            </w:pPr>
            <w:r w:rsidRPr="007C62DA">
              <w:rPr>
                <w:rFonts w:ascii="Arial" w:hAnsi="Arial" w:cs="Arial"/>
                <w:sz w:val="16"/>
                <w:szCs w:val="16"/>
              </w:rPr>
              <w:t xml:space="preserve">Pacientes con </w:t>
            </w:r>
            <w:r w:rsidR="00EC7620" w:rsidRPr="007C62DA">
              <w:rPr>
                <w:rFonts w:ascii="Arial" w:hAnsi="Arial" w:cs="Arial"/>
                <w:sz w:val="16"/>
                <w:szCs w:val="16"/>
              </w:rPr>
              <w:t>supervivencia libre de eventos</w:t>
            </w:r>
            <w:r w:rsidR="00DB27DA" w:rsidRPr="007C62DA">
              <w:rPr>
                <w:rFonts w:ascii="Arial" w:hAnsi="Arial" w:cs="Arial"/>
                <w:sz w:val="16"/>
                <w:szCs w:val="16"/>
              </w:rPr>
              <w:t>*</w:t>
            </w:r>
          </w:p>
        </w:tc>
      </w:tr>
      <w:tr w:rsidR="00EC7620" w:rsidRPr="007C62DA" w14:paraId="58ECE2AA" w14:textId="77777777" w:rsidTr="003D4E59">
        <w:trPr>
          <w:trHeight w:val="311"/>
        </w:trPr>
        <w:tc>
          <w:tcPr>
            <w:tcW w:w="991" w:type="dxa"/>
            <w:vMerge/>
            <w:tcBorders>
              <w:top w:val="nil"/>
              <w:left w:val="single" w:sz="4" w:space="0" w:color="auto"/>
              <w:bottom w:val="single" w:sz="4" w:space="0" w:color="000000"/>
              <w:right w:val="single" w:sz="4" w:space="0" w:color="auto"/>
            </w:tcBorders>
            <w:vAlign w:val="center"/>
            <w:hideMark/>
          </w:tcPr>
          <w:p w14:paraId="7F692B17" w14:textId="77777777" w:rsidR="00EC7620" w:rsidRPr="007C62DA" w:rsidRDefault="00EC7620" w:rsidP="001F6887">
            <w:pPr>
              <w:jc w:val="center"/>
              <w:rPr>
                <w:rFonts w:ascii="Arial" w:hAnsi="Arial" w:cs="Arial"/>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00A702CD" w14:textId="77777777" w:rsidR="00EC7620" w:rsidRPr="007C62DA" w:rsidRDefault="00EC7620" w:rsidP="001F6887">
            <w:pPr>
              <w:jc w:val="center"/>
              <w:rPr>
                <w:rFonts w:ascii="Arial" w:hAnsi="Arial" w:cs="Arial"/>
                <w:sz w:val="16"/>
                <w:szCs w:val="16"/>
              </w:rPr>
            </w:pPr>
          </w:p>
        </w:tc>
        <w:tc>
          <w:tcPr>
            <w:tcW w:w="2413" w:type="dxa"/>
            <w:tcBorders>
              <w:top w:val="nil"/>
              <w:left w:val="nil"/>
              <w:bottom w:val="single" w:sz="4" w:space="0" w:color="auto"/>
              <w:right w:val="single" w:sz="4" w:space="0" w:color="000000"/>
            </w:tcBorders>
            <w:shd w:val="clear" w:color="auto" w:fill="D9D9D9"/>
            <w:vAlign w:val="center"/>
            <w:hideMark/>
          </w:tcPr>
          <w:p w14:paraId="397F2C6F" w14:textId="10E793CF" w:rsidR="00EC7620" w:rsidRPr="007C62DA" w:rsidRDefault="00EC7620" w:rsidP="001F6887">
            <w:pPr>
              <w:jc w:val="center"/>
              <w:rPr>
                <w:rFonts w:ascii="Arial" w:hAnsi="Arial" w:cs="Arial"/>
                <w:sz w:val="16"/>
                <w:szCs w:val="16"/>
              </w:rPr>
            </w:pPr>
            <w:r w:rsidRPr="007C62DA">
              <w:rPr>
                <w:rFonts w:ascii="Arial" w:hAnsi="Arial" w:cs="Arial"/>
                <w:sz w:val="16"/>
                <w:szCs w:val="16"/>
              </w:rPr>
              <w:t>Valor</w:t>
            </w:r>
          </w:p>
        </w:tc>
        <w:tc>
          <w:tcPr>
            <w:tcW w:w="1349" w:type="dxa"/>
            <w:vMerge/>
            <w:tcBorders>
              <w:top w:val="nil"/>
              <w:left w:val="single" w:sz="4" w:space="0" w:color="auto"/>
              <w:bottom w:val="single" w:sz="4" w:space="0" w:color="000000"/>
              <w:right w:val="single" w:sz="4" w:space="0" w:color="auto"/>
            </w:tcBorders>
            <w:vAlign w:val="center"/>
            <w:hideMark/>
          </w:tcPr>
          <w:p w14:paraId="5ED872BB" w14:textId="77777777" w:rsidR="00EC7620" w:rsidRPr="007C62DA" w:rsidRDefault="00EC7620" w:rsidP="001F6887">
            <w:pPr>
              <w:jc w:val="center"/>
              <w:rPr>
                <w:rFonts w:ascii="Arial" w:hAnsi="Arial" w:cs="Arial"/>
                <w:sz w:val="16"/>
                <w:szCs w:val="16"/>
              </w:rPr>
            </w:pPr>
          </w:p>
        </w:tc>
        <w:tc>
          <w:tcPr>
            <w:tcW w:w="3075" w:type="dxa"/>
            <w:gridSpan w:val="2"/>
            <w:tcBorders>
              <w:top w:val="single" w:sz="4" w:space="0" w:color="auto"/>
              <w:left w:val="nil"/>
              <w:bottom w:val="single" w:sz="4" w:space="0" w:color="auto"/>
              <w:right w:val="single" w:sz="4" w:space="0" w:color="000000"/>
            </w:tcBorders>
            <w:shd w:val="clear" w:color="auto" w:fill="D9D9D9"/>
            <w:vAlign w:val="center"/>
            <w:hideMark/>
          </w:tcPr>
          <w:p w14:paraId="5CE85AB6" w14:textId="2AF5CDA1" w:rsidR="00EC7620" w:rsidRPr="007C62DA" w:rsidRDefault="00EC7620" w:rsidP="001F6887">
            <w:pPr>
              <w:jc w:val="center"/>
              <w:rPr>
                <w:rFonts w:ascii="Arial" w:hAnsi="Arial" w:cs="Arial"/>
                <w:sz w:val="16"/>
                <w:szCs w:val="16"/>
              </w:rPr>
            </w:pPr>
            <w:r w:rsidRPr="007C62DA">
              <w:rPr>
                <w:rFonts w:ascii="Arial" w:hAnsi="Arial" w:cs="Arial"/>
                <w:sz w:val="16"/>
                <w:szCs w:val="16"/>
              </w:rPr>
              <w:t>Valor</w:t>
            </w:r>
          </w:p>
        </w:tc>
      </w:tr>
      <w:tr w:rsidR="00EC7620" w:rsidRPr="007C62DA" w14:paraId="5D5F5A1F" w14:textId="77777777" w:rsidTr="00EC7620">
        <w:trPr>
          <w:gridAfter w:val="1"/>
          <w:wAfter w:w="12" w:type="dxa"/>
          <w:trHeight w:val="375"/>
        </w:trPr>
        <w:tc>
          <w:tcPr>
            <w:tcW w:w="991" w:type="dxa"/>
            <w:tcBorders>
              <w:top w:val="nil"/>
              <w:left w:val="single" w:sz="4" w:space="0" w:color="auto"/>
              <w:bottom w:val="single" w:sz="4" w:space="0" w:color="auto"/>
              <w:right w:val="single" w:sz="4" w:space="0" w:color="auto"/>
            </w:tcBorders>
            <w:shd w:val="clear" w:color="auto" w:fill="FFFFFF"/>
            <w:vAlign w:val="center"/>
            <w:hideMark/>
          </w:tcPr>
          <w:p w14:paraId="12C078D7" w14:textId="1C09ED77" w:rsidR="00EC7620" w:rsidRPr="007C62DA" w:rsidRDefault="00534AD3" w:rsidP="001F6887">
            <w:pPr>
              <w:jc w:val="center"/>
              <w:rPr>
                <w:rFonts w:ascii="Arial" w:hAnsi="Arial" w:cs="Arial"/>
                <w:sz w:val="16"/>
                <w:szCs w:val="16"/>
              </w:rPr>
            </w:pPr>
            <w:r>
              <w:rPr>
                <w:rFonts w:ascii="Arial" w:hAnsi="Arial" w:cs="Arial"/>
                <w:sz w:val="16"/>
                <w:szCs w:val="16"/>
              </w:rPr>
              <w:t>18-22</w:t>
            </w:r>
          </w:p>
        </w:tc>
        <w:tc>
          <w:tcPr>
            <w:tcW w:w="992" w:type="dxa"/>
            <w:tcBorders>
              <w:top w:val="nil"/>
              <w:left w:val="nil"/>
              <w:bottom w:val="single" w:sz="4" w:space="0" w:color="auto"/>
              <w:right w:val="single" w:sz="4" w:space="0" w:color="auto"/>
            </w:tcBorders>
            <w:shd w:val="clear" w:color="auto" w:fill="FFFFFF"/>
            <w:vAlign w:val="center"/>
            <w:hideMark/>
          </w:tcPr>
          <w:p w14:paraId="7CE884DA" w14:textId="6DB7386A" w:rsidR="00EC7620" w:rsidRPr="007C62DA" w:rsidRDefault="00EC7620" w:rsidP="001F6887">
            <w:pPr>
              <w:jc w:val="center"/>
              <w:rPr>
                <w:rFonts w:ascii="Arial" w:hAnsi="Arial" w:cs="Arial"/>
                <w:sz w:val="16"/>
                <w:szCs w:val="16"/>
              </w:rPr>
            </w:pPr>
            <w:r w:rsidRPr="007C62DA">
              <w:rPr>
                <w:rFonts w:ascii="Arial" w:hAnsi="Arial" w:cs="Arial"/>
                <w:sz w:val="16"/>
                <w:szCs w:val="16"/>
              </w:rPr>
              <w:t>1.785.000 €</w:t>
            </w:r>
          </w:p>
        </w:tc>
        <w:tc>
          <w:tcPr>
            <w:tcW w:w="2413" w:type="dxa"/>
            <w:tcBorders>
              <w:top w:val="nil"/>
              <w:left w:val="nil"/>
              <w:bottom w:val="single" w:sz="4" w:space="0" w:color="auto"/>
              <w:right w:val="single" w:sz="4" w:space="0" w:color="auto"/>
            </w:tcBorders>
            <w:shd w:val="clear" w:color="auto" w:fill="FFFFFF"/>
            <w:vAlign w:val="center"/>
            <w:hideMark/>
          </w:tcPr>
          <w:p w14:paraId="156768E8" w14:textId="44277E0A" w:rsidR="00EC7620" w:rsidRPr="007C62DA" w:rsidRDefault="00EC7620" w:rsidP="001F6887">
            <w:pPr>
              <w:jc w:val="center"/>
              <w:rPr>
                <w:rFonts w:ascii="Arial" w:hAnsi="Arial" w:cs="Arial"/>
                <w:sz w:val="16"/>
                <w:szCs w:val="16"/>
              </w:rPr>
            </w:pPr>
            <w:r w:rsidRPr="007C62DA">
              <w:rPr>
                <w:rFonts w:ascii="Arial" w:hAnsi="Arial" w:cs="Arial"/>
                <w:sz w:val="16"/>
                <w:szCs w:val="16"/>
              </w:rPr>
              <w:t>90,9%</w:t>
            </w:r>
          </w:p>
        </w:tc>
        <w:tc>
          <w:tcPr>
            <w:tcW w:w="1349" w:type="dxa"/>
            <w:tcBorders>
              <w:top w:val="nil"/>
              <w:left w:val="nil"/>
              <w:bottom w:val="single" w:sz="4" w:space="0" w:color="auto"/>
              <w:right w:val="single" w:sz="4" w:space="0" w:color="auto"/>
            </w:tcBorders>
            <w:shd w:val="clear" w:color="auto" w:fill="FFFFFF"/>
            <w:vAlign w:val="center"/>
            <w:hideMark/>
          </w:tcPr>
          <w:p w14:paraId="133FCDB9" w14:textId="77777777" w:rsidR="00EC7620" w:rsidRDefault="00534AD3" w:rsidP="001F6887">
            <w:pPr>
              <w:jc w:val="center"/>
              <w:rPr>
                <w:rFonts w:ascii="Arial" w:hAnsi="Arial" w:cs="Arial"/>
                <w:sz w:val="16"/>
                <w:szCs w:val="16"/>
              </w:rPr>
            </w:pPr>
            <w:r>
              <w:rPr>
                <w:rFonts w:ascii="Arial" w:hAnsi="Arial" w:cs="Arial"/>
                <w:sz w:val="16"/>
                <w:szCs w:val="16"/>
              </w:rPr>
              <w:t>32.130.000</w:t>
            </w:r>
            <w:r w:rsidR="00EC7620" w:rsidRPr="007C62DA">
              <w:rPr>
                <w:rFonts w:ascii="Arial" w:hAnsi="Arial" w:cs="Arial"/>
                <w:sz w:val="16"/>
                <w:szCs w:val="16"/>
              </w:rPr>
              <w:t xml:space="preserve"> €</w:t>
            </w:r>
            <w:r>
              <w:rPr>
                <w:rFonts w:ascii="Arial" w:hAnsi="Arial" w:cs="Arial"/>
                <w:sz w:val="16"/>
                <w:szCs w:val="16"/>
              </w:rPr>
              <w:t xml:space="preserve"> </w:t>
            </w:r>
          </w:p>
          <w:p w14:paraId="3B304574" w14:textId="654BCA2B" w:rsidR="00534AD3" w:rsidRPr="007C62DA" w:rsidRDefault="00534AD3" w:rsidP="001F6887">
            <w:pPr>
              <w:jc w:val="center"/>
              <w:rPr>
                <w:rFonts w:ascii="Arial" w:hAnsi="Arial" w:cs="Arial"/>
                <w:sz w:val="16"/>
                <w:szCs w:val="16"/>
              </w:rPr>
            </w:pPr>
            <w:r>
              <w:rPr>
                <w:rFonts w:ascii="Arial" w:hAnsi="Arial" w:cs="Arial"/>
                <w:sz w:val="16"/>
                <w:szCs w:val="16"/>
              </w:rPr>
              <w:t>39.270.000 €</w:t>
            </w:r>
          </w:p>
        </w:tc>
        <w:tc>
          <w:tcPr>
            <w:tcW w:w="3063" w:type="dxa"/>
            <w:tcBorders>
              <w:top w:val="nil"/>
              <w:left w:val="nil"/>
              <w:bottom w:val="single" w:sz="4" w:space="0" w:color="auto"/>
              <w:right w:val="single" w:sz="4" w:space="0" w:color="auto"/>
            </w:tcBorders>
            <w:shd w:val="clear" w:color="auto" w:fill="FFFFFF"/>
            <w:vAlign w:val="center"/>
            <w:hideMark/>
          </w:tcPr>
          <w:p w14:paraId="4F7BD9CD" w14:textId="431BB16C" w:rsidR="00EC7620" w:rsidRPr="007C62DA" w:rsidRDefault="00534AD3" w:rsidP="001F6887">
            <w:pPr>
              <w:jc w:val="center"/>
              <w:rPr>
                <w:rFonts w:ascii="Arial" w:hAnsi="Arial" w:cs="Arial"/>
                <w:sz w:val="16"/>
                <w:szCs w:val="16"/>
              </w:rPr>
            </w:pPr>
            <w:r>
              <w:rPr>
                <w:rFonts w:ascii="Arial" w:hAnsi="Arial" w:cs="Arial"/>
                <w:sz w:val="16"/>
                <w:szCs w:val="16"/>
              </w:rPr>
              <w:t>16-20</w:t>
            </w:r>
            <w:r w:rsidR="00EC7620" w:rsidRPr="007C62DA">
              <w:rPr>
                <w:rFonts w:ascii="Arial" w:hAnsi="Arial" w:cs="Arial"/>
                <w:sz w:val="16"/>
                <w:szCs w:val="16"/>
              </w:rPr>
              <w:t xml:space="preserve"> pac/año</w:t>
            </w:r>
          </w:p>
        </w:tc>
      </w:tr>
      <w:tr w:rsidR="0060785D" w:rsidRPr="007C62DA" w14:paraId="6949EDED" w14:textId="77777777" w:rsidTr="00534AD3">
        <w:trPr>
          <w:trHeight w:val="297"/>
        </w:trPr>
        <w:tc>
          <w:tcPr>
            <w:tcW w:w="8820"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2E11507F" w14:textId="262C36E5" w:rsidR="0060785D" w:rsidRPr="007C62DA" w:rsidRDefault="0060785D" w:rsidP="002A7150">
            <w:pPr>
              <w:rPr>
                <w:rFonts w:ascii="Arial" w:hAnsi="Arial" w:cs="Arial"/>
                <w:sz w:val="16"/>
                <w:szCs w:val="16"/>
              </w:rPr>
            </w:pPr>
            <w:r w:rsidRPr="007C62DA">
              <w:rPr>
                <w:rFonts w:ascii="Arial" w:hAnsi="Arial" w:cs="Arial"/>
                <w:sz w:val="16"/>
                <w:szCs w:val="16"/>
              </w:rPr>
              <w:t xml:space="preserve">*Se utilizan los valores </w:t>
            </w:r>
            <w:r w:rsidR="00EC7620" w:rsidRPr="007C62DA">
              <w:rPr>
                <w:rFonts w:ascii="Arial" w:hAnsi="Arial" w:cs="Arial"/>
                <w:sz w:val="16"/>
                <w:szCs w:val="16"/>
              </w:rPr>
              <w:t>d</w:t>
            </w:r>
            <w:r w:rsidR="003D4E59">
              <w:rPr>
                <w:rFonts w:ascii="Arial" w:hAnsi="Arial" w:cs="Arial"/>
                <w:sz w:val="16"/>
                <w:szCs w:val="16"/>
              </w:rPr>
              <w:t>el ensayo STR1VE a los 1</w:t>
            </w:r>
            <w:r w:rsidR="002A7150">
              <w:rPr>
                <w:rFonts w:ascii="Arial" w:hAnsi="Arial" w:cs="Arial"/>
                <w:sz w:val="16"/>
                <w:szCs w:val="16"/>
              </w:rPr>
              <w:t>4</w:t>
            </w:r>
            <w:r w:rsidR="003D4E59">
              <w:rPr>
                <w:rFonts w:ascii="Arial" w:hAnsi="Arial" w:cs="Arial"/>
                <w:sz w:val="16"/>
                <w:szCs w:val="16"/>
              </w:rPr>
              <w:t xml:space="preserve"> meses.</w:t>
            </w:r>
          </w:p>
        </w:tc>
      </w:tr>
    </w:tbl>
    <w:p w14:paraId="54399C7A" w14:textId="77777777" w:rsidR="0060785D" w:rsidRPr="007C62DA" w:rsidRDefault="0060785D" w:rsidP="001F6887">
      <w:pPr>
        <w:rPr>
          <w:rFonts w:ascii="Arial" w:hAnsi="Arial" w:cs="Arial"/>
          <w:sz w:val="20"/>
          <w:szCs w:val="20"/>
        </w:rPr>
      </w:pPr>
    </w:p>
    <w:p w14:paraId="1C3EC232" w14:textId="0C48A9BD" w:rsidR="00765109" w:rsidRDefault="0060785D" w:rsidP="00534AD3">
      <w:pPr>
        <w:jc w:val="both"/>
        <w:rPr>
          <w:rFonts w:ascii="Arial" w:hAnsi="Arial" w:cs="Arial"/>
          <w:sz w:val="20"/>
          <w:szCs w:val="20"/>
        </w:rPr>
      </w:pPr>
      <w:r w:rsidRPr="00765109">
        <w:rPr>
          <w:rFonts w:ascii="Arial" w:hAnsi="Arial" w:cs="Arial"/>
          <w:sz w:val="20"/>
          <w:szCs w:val="20"/>
        </w:rPr>
        <w:t>Se estima que durante un año ser</w:t>
      </w:r>
      <w:r w:rsidR="00DB27DA" w:rsidRPr="00765109">
        <w:rPr>
          <w:rFonts w:ascii="Arial" w:hAnsi="Arial" w:cs="Arial"/>
          <w:sz w:val="20"/>
          <w:szCs w:val="20"/>
        </w:rPr>
        <w:t>ía</w:t>
      </w:r>
      <w:r w:rsidRPr="00765109">
        <w:rPr>
          <w:rFonts w:ascii="Arial" w:hAnsi="Arial" w:cs="Arial"/>
          <w:sz w:val="20"/>
          <w:szCs w:val="20"/>
        </w:rPr>
        <w:t xml:space="preserve">n tratados </w:t>
      </w:r>
      <w:r w:rsidR="00534AD3" w:rsidRPr="00765109">
        <w:rPr>
          <w:rFonts w:ascii="Arial" w:hAnsi="Arial" w:cs="Arial"/>
          <w:sz w:val="20"/>
          <w:szCs w:val="20"/>
        </w:rPr>
        <w:t>entre 18 y 22</w:t>
      </w:r>
      <w:r w:rsidRPr="00765109">
        <w:rPr>
          <w:rFonts w:ascii="Arial" w:hAnsi="Arial" w:cs="Arial"/>
          <w:sz w:val="20"/>
          <w:szCs w:val="20"/>
        </w:rPr>
        <w:t xml:space="preserve"> pacientes </w:t>
      </w:r>
      <w:r w:rsidR="00765109" w:rsidRPr="00765109">
        <w:rPr>
          <w:rFonts w:ascii="Arial" w:hAnsi="Arial" w:cs="Arial"/>
          <w:sz w:val="20"/>
          <w:szCs w:val="20"/>
        </w:rPr>
        <w:t xml:space="preserve">con AME tipo I </w:t>
      </w:r>
      <w:r w:rsidRPr="00765109">
        <w:rPr>
          <w:rFonts w:ascii="Arial" w:hAnsi="Arial" w:cs="Arial"/>
          <w:sz w:val="20"/>
          <w:szCs w:val="20"/>
        </w:rPr>
        <w:t>con el fármaco. El coste para el Sistema Nac</w:t>
      </w:r>
      <w:r w:rsidR="00765109">
        <w:rPr>
          <w:rFonts w:ascii="Arial" w:hAnsi="Arial" w:cs="Arial"/>
          <w:sz w:val="20"/>
          <w:szCs w:val="20"/>
        </w:rPr>
        <w:t xml:space="preserve">ional de Salud, suponiendo que actualmente no se estuvieran tratando </w:t>
      </w:r>
      <w:r w:rsidR="00765109">
        <w:rPr>
          <w:rFonts w:ascii="Arial" w:hAnsi="Arial" w:cs="Arial"/>
          <w:sz w:val="20"/>
          <w:szCs w:val="20"/>
        </w:rPr>
        <w:lastRenderedPageBreak/>
        <w:t xml:space="preserve">estos pacientes con ningún otro fármaco, </w:t>
      </w:r>
      <w:r w:rsidR="00534AD3" w:rsidRPr="00765109">
        <w:rPr>
          <w:rFonts w:ascii="Arial" w:hAnsi="Arial" w:cs="Arial"/>
          <w:sz w:val="20"/>
          <w:szCs w:val="20"/>
        </w:rPr>
        <w:t>se situaría entre 32.130.000 € y 39.270.000 €</w:t>
      </w:r>
      <w:r w:rsidRPr="00765109">
        <w:rPr>
          <w:rFonts w:ascii="Arial" w:hAnsi="Arial" w:cs="Arial"/>
          <w:sz w:val="20"/>
          <w:szCs w:val="20"/>
        </w:rPr>
        <w:t>. El beneficio global que se obtendr</w:t>
      </w:r>
      <w:r w:rsidR="00EC7620" w:rsidRPr="00765109">
        <w:rPr>
          <w:rFonts w:ascii="Arial" w:hAnsi="Arial" w:cs="Arial"/>
          <w:sz w:val="20"/>
          <w:szCs w:val="20"/>
        </w:rPr>
        <w:t>ía</w:t>
      </w:r>
      <w:r w:rsidRPr="00765109">
        <w:rPr>
          <w:rFonts w:ascii="Arial" w:hAnsi="Arial" w:cs="Arial"/>
          <w:sz w:val="20"/>
          <w:szCs w:val="20"/>
        </w:rPr>
        <w:t xml:space="preserve"> </w:t>
      </w:r>
      <w:r w:rsidR="00765109">
        <w:rPr>
          <w:rFonts w:ascii="Arial" w:hAnsi="Arial" w:cs="Arial"/>
          <w:sz w:val="20"/>
          <w:szCs w:val="20"/>
        </w:rPr>
        <w:t>estaría</w:t>
      </w:r>
      <w:r w:rsidR="00EC7620" w:rsidRPr="00765109">
        <w:rPr>
          <w:rFonts w:ascii="Arial" w:hAnsi="Arial" w:cs="Arial"/>
          <w:sz w:val="20"/>
          <w:szCs w:val="20"/>
        </w:rPr>
        <w:t xml:space="preserve"> </w:t>
      </w:r>
      <w:r w:rsidR="00534AD3" w:rsidRPr="00765109">
        <w:rPr>
          <w:rFonts w:ascii="Arial" w:hAnsi="Arial" w:cs="Arial"/>
          <w:sz w:val="20"/>
          <w:szCs w:val="20"/>
        </w:rPr>
        <w:t>entre 16 y 20</w:t>
      </w:r>
      <w:r w:rsidR="00EC7620" w:rsidRPr="00765109">
        <w:rPr>
          <w:rFonts w:ascii="Arial" w:hAnsi="Arial" w:cs="Arial"/>
          <w:sz w:val="20"/>
          <w:szCs w:val="20"/>
        </w:rPr>
        <w:t xml:space="preserve"> pacientes con supervivencia libre de eventos (ni muerte ni ventilación permanente)</w:t>
      </w:r>
      <w:r w:rsidR="005A0852" w:rsidRPr="00765109">
        <w:rPr>
          <w:rFonts w:ascii="Arial" w:hAnsi="Arial" w:cs="Arial"/>
          <w:sz w:val="20"/>
          <w:szCs w:val="20"/>
        </w:rPr>
        <w:t xml:space="preserve"> a los 1</w:t>
      </w:r>
      <w:r w:rsidR="007D5379">
        <w:rPr>
          <w:rFonts w:ascii="Arial" w:hAnsi="Arial" w:cs="Arial"/>
          <w:sz w:val="20"/>
          <w:szCs w:val="20"/>
        </w:rPr>
        <w:t>4</w:t>
      </w:r>
      <w:r w:rsidR="00765109">
        <w:rPr>
          <w:rFonts w:ascii="Arial" w:hAnsi="Arial" w:cs="Arial"/>
          <w:sz w:val="20"/>
          <w:szCs w:val="20"/>
        </w:rPr>
        <w:t xml:space="preserve"> meses de edad. </w:t>
      </w:r>
      <w:r w:rsidRPr="00765109">
        <w:rPr>
          <w:rFonts w:ascii="Arial" w:hAnsi="Arial" w:cs="Arial"/>
          <w:sz w:val="20"/>
          <w:szCs w:val="20"/>
        </w:rPr>
        <w:t xml:space="preserve"> </w:t>
      </w:r>
    </w:p>
    <w:p w14:paraId="30EE2800" w14:textId="77777777" w:rsidR="00765109" w:rsidRDefault="00765109" w:rsidP="00534AD3">
      <w:pPr>
        <w:jc w:val="both"/>
        <w:rPr>
          <w:rFonts w:ascii="Arial" w:hAnsi="Arial" w:cs="Arial"/>
          <w:sz w:val="20"/>
          <w:szCs w:val="20"/>
        </w:rPr>
      </w:pPr>
    </w:p>
    <w:p w14:paraId="4134C611" w14:textId="234B95B1" w:rsidR="0060785D" w:rsidRDefault="00765109" w:rsidP="00534AD3">
      <w:pPr>
        <w:jc w:val="both"/>
        <w:rPr>
          <w:rFonts w:ascii="Arial" w:hAnsi="Arial" w:cs="Arial"/>
          <w:sz w:val="20"/>
          <w:szCs w:val="20"/>
        </w:rPr>
      </w:pPr>
      <w:r>
        <w:rPr>
          <w:rFonts w:ascii="Arial" w:hAnsi="Arial" w:cs="Arial"/>
          <w:sz w:val="20"/>
          <w:szCs w:val="20"/>
        </w:rPr>
        <w:t>Si suponemos que estos pacientes se tratarían igualmente con nusinersen, en lugar de con o</w:t>
      </w:r>
      <w:r w:rsidRPr="004134BE">
        <w:rPr>
          <w:rFonts w:ascii="Arial" w:hAnsi="Arial" w:cs="Arial"/>
          <w:sz w:val="20"/>
          <w:szCs w:val="20"/>
        </w:rPr>
        <w:t>nasemnogén abeparvovec</w:t>
      </w:r>
      <w:r>
        <w:rPr>
          <w:rFonts w:ascii="Arial" w:hAnsi="Arial" w:cs="Arial"/>
          <w:sz w:val="20"/>
          <w:szCs w:val="20"/>
        </w:rPr>
        <w:t>, el impacto presupuestario del primer año estaría entre 25,44 y 31,1 millones de euros</w:t>
      </w:r>
      <w:r w:rsidR="003D4E59">
        <w:rPr>
          <w:rFonts w:ascii="Arial" w:hAnsi="Arial" w:cs="Arial"/>
          <w:sz w:val="20"/>
          <w:szCs w:val="20"/>
        </w:rPr>
        <w:t>, al descontar el coste de nusinersen (6 dosis el primer año).</w:t>
      </w:r>
    </w:p>
    <w:p w14:paraId="2DC6B5C1" w14:textId="77777777" w:rsidR="00C9267A" w:rsidRDefault="00C9267A" w:rsidP="00534AD3">
      <w:pPr>
        <w:jc w:val="both"/>
        <w:rPr>
          <w:rFonts w:ascii="Arial" w:hAnsi="Arial" w:cs="Arial"/>
          <w:sz w:val="20"/>
          <w:szCs w:val="20"/>
        </w:rPr>
      </w:pPr>
    </w:p>
    <w:tbl>
      <w:tblPr>
        <w:tblW w:w="8820" w:type="dxa"/>
        <w:tblInd w:w="-68" w:type="dxa"/>
        <w:tblLayout w:type="fixed"/>
        <w:tblCellMar>
          <w:left w:w="70" w:type="dxa"/>
          <w:right w:w="70" w:type="dxa"/>
        </w:tblCellMar>
        <w:tblLook w:val="00A0" w:firstRow="1" w:lastRow="0" w:firstColumn="1" w:lastColumn="0" w:noHBand="0" w:noVBand="0"/>
      </w:tblPr>
      <w:tblGrid>
        <w:gridCol w:w="991"/>
        <w:gridCol w:w="992"/>
        <w:gridCol w:w="2413"/>
        <w:gridCol w:w="1349"/>
        <w:gridCol w:w="3063"/>
        <w:gridCol w:w="12"/>
      </w:tblGrid>
      <w:tr w:rsidR="00C9267A" w:rsidRPr="007C62DA" w14:paraId="7899BDC2" w14:textId="77777777" w:rsidTr="00AE0510">
        <w:trPr>
          <w:trHeight w:val="600"/>
        </w:trPr>
        <w:tc>
          <w:tcPr>
            <w:tcW w:w="8820" w:type="dxa"/>
            <w:gridSpan w:val="6"/>
            <w:tcBorders>
              <w:top w:val="single" w:sz="4" w:space="0" w:color="auto"/>
              <w:left w:val="single" w:sz="4" w:space="0" w:color="auto"/>
              <w:bottom w:val="single" w:sz="4" w:space="0" w:color="auto"/>
              <w:right w:val="single" w:sz="4" w:space="0" w:color="auto"/>
            </w:tcBorders>
            <w:shd w:val="clear" w:color="auto" w:fill="CCFFCC"/>
            <w:vAlign w:val="center"/>
            <w:hideMark/>
          </w:tcPr>
          <w:p w14:paraId="5AAEA26B" w14:textId="7193418C" w:rsidR="00C9267A" w:rsidRPr="007C62DA" w:rsidRDefault="00C9267A" w:rsidP="00DD3E10">
            <w:pPr>
              <w:rPr>
                <w:rFonts w:ascii="Arial" w:hAnsi="Arial" w:cs="Arial"/>
                <w:b/>
                <w:bCs/>
                <w:sz w:val="20"/>
                <w:szCs w:val="20"/>
              </w:rPr>
            </w:pPr>
            <w:r w:rsidRPr="007C62DA">
              <w:rPr>
                <w:rFonts w:ascii="Arial" w:hAnsi="Arial" w:cs="Arial"/>
                <w:b/>
                <w:bCs/>
                <w:sz w:val="20"/>
                <w:szCs w:val="20"/>
              </w:rPr>
              <w:t>Tabla 7.4.3.1.</w:t>
            </w:r>
            <w:r>
              <w:rPr>
                <w:rFonts w:ascii="Arial" w:hAnsi="Arial" w:cs="Arial"/>
                <w:b/>
                <w:bCs/>
                <w:sz w:val="20"/>
                <w:szCs w:val="20"/>
              </w:rPr>
              <w:t>2</w:t>
            </w:r>
            <w:r w:rsidRPr="007C62DA">
              <w:rPr>
                <w:rFonts w:ascii="Arial" w:hAnsi="Arial" w:cs="Arial"/>
                <w:b/>
                <w:bCs/>
                <w:sz w:val="20"/>
                <w:szCs w:val="20"/>
              </w:rPr>
              <w:t xml:space="preserve">. Estimación propia de impacto presupuestario y beneficios en salud estatales anuales en el caso de variables de eficacia continuas.    </w:t>
            </w:r>
          </w:p>
        </w:tc>
      </w:tr>
      <w:tr w:rsidR="00C9267A" w:rsidRPr="007C62DA" w14:paraId="687FE03D" w14:textId="77777777" w:rsidTr="00DD3E10">
        <w:trPr>
          <w:trHeight w:val="255"/>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3D11A1FB" w14:textId="77777777" w:rsidR="00C9267A" w:rsidRPr="007C62DA" w:rsidRDefault="00C9267A" w:rsidP="00DD3E10">
            <w:pPr>
              <w:rPr>
                <w:rFonts w:ascii="Arial" w:hAnsi="Arial" w:cs="Arial"/>
                <w:b/>
                <w:bCs/>
                <w:sz w:val="16"/>
                <w:szCs w:val="16"/>
              </w:rPr>
            </w:pPr>
            <w:r w:rsidRPr="007C62DA">
              <w:rPr>
                <w:rFonts w:ascii="Arial" w:hAnsi="Arial" w:cs="Arial"/>
                <w:b/>
                <w:bCs/>
                <w:sz w:val="16"/>
                <w:szCs w:val="16"/>
              </w:rPr>
              <w:t xml:space="preserve">Medicamento e indicación: </w:t>
            </w:r>
            <w:r w:rsidRPr="007C62DA">
              <w:rPr>
                <w:rFonts w:ascii="Arial" w:hAnsi="Arial" w:cs="Arial"/>
                <w:sz w:val="16"/>
                <w:szCs w:val="16"/>
              </w:rPr>
              <w:t xml:space="preserve">Onasemnogén abeparvovec en </w:t>
            </w:r>
            <w:r w:rsidRPr="00237A4C">
              <w:rPr>
                <w:rFonts w:ascii="Arial" w:hAnsi="Arial" w:cs="Arial"/>
                <w:b/>
                <w:sz w:val="16"/>
                <w:szCs w:val="16"/>
              </w:rPr>
              <w:t xml:space="preserve">AME tipo </w:t>
            </w:r>
            <w:r>
              <w:rPr>
                <w:rFonts w:ascii="Arial" w:hAnsi="Arial" w:cs="Arial"/>
                <w:b/>
                <w:sz w:val="16"/>
                <w:szCs w:val="16"/>
              </w:rPr>
              <w:t>I</w:t>
            </w:r>
          </w:p>
        </w:tc>
      </w:tr>
      <w:tr w:rsidR="00C9267A" w:rsidRPr="007C62DA" w14:paraId="4F506073" w14:textId="77777777" w:rsidTr="00DD3E10">
        <w:trPr>
          <w:trHeight w:val="255"/>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0CCA7DFF" w14:textId="668275A2" w:rsidR="00C9267A" w:rsidRPr="007C62DA" w:rsidRDefault="00C9267A" w:rsidP="00DD3E10">
            <w:pPr>
              <w:rPr>
                <w:rFonts w:ascii="Arial" w:hAnsi="Arial" w:cs="Arial"/>
                <w:b/>
                <w:bCs/>
                <w:sz w:val="16"/>
                <w:szCs w:val="16"/>
              </w:rPr>
            </w:pPr>
            <w:r w:rsidRPr="007C62DA">
              <w:rPr>
                <w:rFonts w:ascii="Arial" w:hAnsi="Arial" w:cs="Arial"/>
                <w:b/>
                <w:bCs/>
                <w:sz w:val="16"/>
                <w:szCs w:val="16"/>
              </w:rPr>
              <w:t xml:space="preserve">Variable evaluada y comparador: </w:t>
            </w:r>
            <w:r>
              <w:rPr>
                <w:rFonts w:ascii="Arial" w:hAnsi="Arial" w:cs="Arial"/>
                <w:sz w:val="16"/>
                <w:szCs w:val="16"/>
              </w:rPr>
              <w:t>AVAC, nusinersen</w:t>
            </w:r>
            <w:r w:rsidR="00A35C6F">
              <w:rPr>
                <w:rFonts w:ascii="Arial" w:hAnsi="Arial" w:cs="Arial"/>
                <w:sz w:val="16"/>
                <w:szCs w:val="16"/>
              </w:rPr>
              <w:t xml:space="preserve"> (con 15% de descuento)</w:t>
            </w:r>
          </w:p>
        </w:tc>
      </w:tr>
      <w:tr w:rsidR="00C9267A" w:rsidRPr="007C62DA" w14:paraId="29DAD82F" w14:textId="77777777" w:rsidTr="00DD3E10">
        <w:trPr>
          <w:trHeight w:val="255"/>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5990FA30" w14:textId="77777777" w:rsidR="00C9267A" w:rsidRPr="007C62DA" w:rsidRDefault="00C9267A" w:rsidP="00DD3E10">
            <w:pPr>
              <w:rPr>
                <w:rFonts w:ascii="Arial" w:hAnsi="Arial" w:cs="Arial"/>
                <w:b/>
                <w:bCs/>
                <w:sz w:val="16"/>
                <w:szCs w:val="16"/>
              </w:rPr>
            </w:pPr>
            <w:r w:rsidRPr="007C62DA">
              <w:rPr>
                <w:rFonts w:ascii="Arial" w:hAnsi="Arial" w:cs="Arial"/>
                <w:b/>
                <w:bCs/>
                <w:sz w:val="16"/>
                <w:szCs w:val="16"/>
              </w:rPr>
              <w:t xml:space="preserve">Escenario y ámbito: </w:t>
            </w:r>
            <w:r w:rsidRPr="007C62DA">
              <w:rPr>
                <w:rFonts w:ascii="Arial" w:hAnsi="Arial" w:cs="Arial"/>
                <w:sz w:val="16"/>
                <w:szCs w:val="16"/>
              </w:rPr>
              <w:t>Ámbito estatal (España)</w:t>
            </w:r>
          </w:p>
        </w:tc>
      </w:tr>
      <w:tr w:rsidR="00C9267A" w:rsidRPr="007C62DA" w14:paraId="53C9B859" w14:textId="77777777" w:rsidTr="00DD3E10">
        <w:trPr>
          <w:trHeight w:val="660"/>
        </w:trPr>
        <w:tc>
          <w:tcPr>
            <w:tcW w:w="991" w:type="dxa"/>
            <w:vMerge w:val="restart"/>
            <w:tcBorders>
              <w:top w:val="nil"/>
              <w:left w:val="single" w:sz="4" w:space="0" w:color="auto"/>
              <w:bottom w:val="single" w:sz="4" w:space="0" w:color="000000"/>
              <w:right w:val="single" w:sz="4" w:space="0" w:color="auto"/>
            </w:tcBorders>
            <w:shd w:val="clear" w:color="auto" w:fill="D9D9D9"/>
            <w:vAlign w:val="center"/>
            <w:hideMark/>
          </w:tcPr>
          <w:p w14:paraId="4BA44742" w14:textId="77777777" w:rsidR="00C9267A" w:rsidRPr="007C62DA" w:rsidRDefault="00C9267A" w:rsidP="00DD3E10">
            <w:pPr>
              <w:jc w:val="center"/>
              <w:rPr>
                <w:rFonts w:ascii="Arial" w:hAnsi="Arial" w:cs="Arial"/>
                <w:sz w:val="16"/>
                <w:szCs w:val="16"/>
              </w:rPr>
            </w:pPr>
            <w:r w:rsidRPr="007C62DA">
              <w:rPr>
                <w:rFonts w:ascii="Arial" w:hAnsi="Arial" w:cs="Arial"/>
                <w:sz w:val="16"/>
                <w:szCs w:val="16"/>
              </w:rPr>
              <w:t>Nº anual de pacientes</w:t>
            </w:r>
          </w:p>
        </w:tc>
        <w:tc>
          <w:tcPr>
            <w:tcW w:w="992" w:type="dxa"/>
            <w:vMerge w:val="restart"/>
            <w:tcBorders>
              <w:top w:val="nil"/>
              <w:left w:val="single" w:sz="4" w:space="0" w:color="auto"/>
              <w:bottom w:val="single" w:sz="4" w:space="0" w:color="000000"/>
              <w:right w:val="single" w:sz="4" w:space="0" w:color="auto"/>
            </w:tcBorders>
            <w:shd w:val="clear" w:color="auto" w:fill="D9D9D9"/>
            <w:vAlign w:val="center"/>
            <w:hideMark/>
          </w:tcPr>
          <w:p w14:paraId="784E940D" w14:textId="77777777" w:rsidR="00C9267A" w:rsidRDefault="00C9267A" w:rsidP="00DD3E10">
            <w:pPr>
              <w:jc w:val="center"/>
              <w:rPr>
                <w:rFonts w:ascii="Arial" w:hAnsi="Arial" w:cs="Arial"/>
                <w:sz w:val="16"/>
                <w:szCs w:val="16"/>
              </w:rPr>
            </w:pPr>
            <w:r w:rsidRPr="007C62DA">
              <w:rPr>
                <w:rFonts w:ascii="Arial" w:hAnsi="Arial" w:cs="Arial"/>
                <w:sz w:val="16"/>
                <w:szCs w:val="16"/>
              </w:rPr>
              <w:t>Coste</w:t>
            </w:r>
            <w:r>
              <w:rPr>
                <w:rFonts w:ascii="Arial" w:hAnsi="Arial" w:cs="Arial"/>
                <w:sz w:val="16"/>
                <w:szCs w:val="16"/>
              </w:rPr>
              <w:t xml:space="preserve"> incremental</w:t>
            </w:r>
            <w:r w:rsidRPr="007C62DA">
              <w:rPr>
                <w:rFonts w:ascii="Arial" w:hAnsi="Arial" w:cs="Arial"/>
                <w:sz w:val="16"/>
                <w:szCs w:val="16"/>
              </w:rPr>
              <w:t xml:space="preserve"> por paciente</w:t>
            </w:r>
            <w:r>
              <w:rPr>
                <w:rFonts w:ascii="Arial" w:hAnsi="Arial" w:cs="Arial"/>
                <w:sz w:val="16"/>
                <w:szCs w:val="16"/>
              </w:rPr>
              <w:t xml:space="preserve"> </w:t>
            </w:r>
          </w:p>
          <w:p w14:paraId="7992B832" w14:textId="77777777" w:rsidR="00C9267A" w:rsidRPr="007C62DA" w:rsidRDefault="00C9267A" w:rsidP="00DD3E10">
            <w:pPr>
              <w:jc w:val="center"/>
              <w:rPr>
                <w:rFonts w:ascii="Arial" w:hAnsi="Arial" w:cs="Arial"/>
                <w:sz w:val="16"/>
                <w:szCs w:val="16"/>
              </w:rPr>
            </w:pPr>
            <w:r>
              <w:rPr>
                <w:rFonts w:ascii="Arial" w:hAnsi="Arial" w:cs="Arial"/>
                <w:sz w:val="16"/>
                <w:szCs w:val="16"/>
              </w:rPr>
              <w:t>(8 años)</w:t>
            </w:r>
          </w:p>
        </w:tc>
        <w:tc>
          <w:tcPr>
            <w:tcW w:w="2413" w:type="dxa"/>
            <w:tcBorders>
              <w:top w:val="single" w:sz="4" w:space="0" w:color="auto"/>
              <w:left w:val="nil"/>
              <w:bottom w:val="single" w:sz="4" w:space="0" w:color="auto"/>
              <w:right w:val="single" w:sz="4" w:space="0" w:color="auto"/>
            </w:tcBorders>
            <w:shd w:val="clear" w:color="auto" w:fill="D9D9D9"/>
            <w:vAlign w:val="center"/>
            <w:hideMark/>
          </w:tcPr>
          <w:p w14:paraId="0CB15193" w14:textId="77777777" w:rsidR="00C9267A" w:rsidRPr="007C62DA" w:rsidRDefault="00C9267A" w:rsidP="00DD3E10">
            <w:pPr>
              <w:jc w:val="center"/>
              <w:rPr>
                <w:rFonts w:ascii="Arial" w:hAnsi="Arial" w:cs="Arial"/>
                <w:sz w:val="16"/>
                <w:szCs w:val="16"/>
              </w:rPr>
            </w:pPr>
            <w:r>
              <w:rPr>
                <w:rFonts w:ascii="Arial" w:hAnsi="Arial" w:cs="Arial"/>
                <w:sz w:val="16"/>
                <w:szCs w:val="16"/>
              </w:rPr>
              <w:t>AVAC ganados</w:t>
            </w:r>
          </w:p>
        </w:tc>
        <w:tc>
          <w:tcPr>
            <w:tcW w:w="1349" w:type="dxa"/>
            <w:vMerge w:val="restart"/>
            <w:tcBorders>
              <w:top w:val="nil"/>
              <w:left w:val="single" w:sz="4" w:space="0" w:color="auto"/>
              <w:bottom w:val="single" w:sz="4" w:space="0" w:color="000000"/>
              <w:right w:val="single" w:sz="4" w:space="0" w:color="auto"/>
            </w:tcBorders>
            <w:shd w:val="clear" w:color="auto" w:fill="D9D9D9"/>
            <w:vAlign w:val="center"/>
            <w:hideMark/>
          </w:tcPr>
          <w:p w14:paraId="09932E2D" w14:textId="77777777" w:rsidR="00C9267A" w:rsidRPr="007C62DA" w:rsidRDefault="00C9267A" w:rsidP="00DD3E10">
            <w:pPr>
              <w:jc w:val="center"/>
              <w:rPr>
                <w:rFonts w:ascii="Arial" w:hAnsi="Arial" w:cs="Arial"/>
                <w:sz w:val="16"/>
                <w:szCs w:val="16"/>
              </w:rPr>
            </w:pPr>
            <w:r w:rsidRPr="007C62DA">
              <w:rPr>
                <w:rFonts w:ascii="Arial" w:hAnsi="Arial" w:cs="Arial"/>
                <w:sz w:val="16"/>
                <w:szCs w:val="16"/>
              </w:rPr>
              <w:t>Impacto económico anual</w:t>
            </w:r>
          </w:p>
        </w:tc>
        <w:tc>
          <w:tcPr>
            <w:tcW w:w="3075" w:type="dxa"/>
            <w:gridSpan w:val="2"/>
            <w:tcBorders>
              <w:top w:val="single" w:sz="4" w:space="0" w:color="auto"/>
              <w:left w:val="nil"/>
              <w:bottom w:val="nil"/>
              <w:right w:val="single" w:sz="4" w:space="0" w:color="000000"/>
            </w:tcBorders>
            <w:shd w:val="clear" w:color="auto" w:fill="D9D9D9"/>
            <w:vAlign w:val="center"/>
            <w:hideMark/>
          </w:tcPr>
          <w:p w14:paraId="6E5F298B" w14:textId="77777777" w:rsidR="00C9267A" w:rsidRPr="007C62DA" w:rsidRDefault="00C9267A" w:rsidP="00DD3E10">
            <w:pPr>
              <w:jc w:val="center"/>
              <w:rPr>
                <w:rFonts w:ascii="Arial" w:hAnsi="Arial" w:cs="Arial"/>
                <w:sz w:val="16"/>
                <w:szCs w:val="16"/>
              </w:rPr>
            </w:pPr>
            <w:r>
              <w:rPr>
                <w:rFonts w:ascii="Arial" w:hAnsi="Arial" w:cs="Arial"/>
                <w:sz w:val="16"/>
                <w:szCs w:val="16"/>
              </w:rPr>
              <w:t>AVAC ganados</w:t>
            </w:r>
          </w:p>
        </w:tc>
      </w:tr>
      <w:tr w:rsidR="00C9267A" w:rsidRPr="007C62DA" w14:paraId="00575ADB" w14:textId="77777777" w:rsidTr="00DD3E10">
        <w:trPr>
          <w:trHeight w:val="338"/>
        </w:trPr>
        <w:tc>
          <w:tcPr>
            <w:tcW w:w="991" w:type="dxa"/>
            <w:vMerge/>
            <w:tcBorders>
              <w:top w:val="nil"/>
              <w:left w:val="single" w:sz="4" w:space="0" w:color="auto"/>
              <w:bottom w:val="single" w:sz="4" w:space="0" w:color="000000"/>
              <w:right w:val="single" w:sz="4" w:space="0" w:color="auto"/>
            </w:tcBorders>
            <w:vAlign w:val="center"/>
            <w:hideMark/>
          </w:tcPr>
          <w:p w14:paraId="7CB21C19" w14:textId="77777777" w:rsidR="00C9267A" w:rsidRPr="007C62DA" w:rsidRDefault="00C9267A" w:rsidP="00DD3E10">
            <w:pPr>
              <w:jc w:val="center"/>
              <w:rPr>
                <w:rFonts w:ascii="Arial" w:hAnsi="Arial" w:cs="Arial"/>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57ECEF41" w14:textId="77777777" w:rsidR="00C9267A" w:rsidRPr="007C62DA" w:rsidRDefault="00C9267A" w:rsidP="00DD3E10">
            <w:pPr>
              <w:jc w:val="center"/>
              <w:rPr>
                <w:rFonts w:ascii="Arial" w:hAnsi="Arial" w:cs="Arial"/>
                <w:sz w:val="16"/>
                <w:szCs w:val="16"/>
              </w:rPr>
            </w:pPr>
          </w:p>
        </w:tc>
        <w:tc>
          <w:tcPr>
            <w:tcW w:w="2413" w:type="dxa"/>
            <w:tcBorders>
              <w:top w:val="nil"/>
              <w:left w:val="nil"/>
              <w:bottom w:val="single" w:sz="4" w:space="0" w:color="auto"/>
              <w:right w:val="single" w:sz="4" w:space="0" w:color="000000"/>
            </w:tcBorders>
            <w:shd w:val="clear" w:color="auto" w:fill="D9D9D9"/>
            <w:vAlign w:val="center"/>
            <w:hideMark/>
          </w:tcPr>
          <w:p w14:paraId="37A37A57" w14:textId="77777777" w:rsidR="00C9267A" w:rsidRPr="007C62DA" w:rsidRDefault="00C9267A" w:rsidP="00DD3E10">
            <w:pPr>
              <w:jc w:val="center"/>
              <w:rPr>
                <w:rFonts w:ascii="Arial" w:hAnsi="Arial" w:cs="Arial"/>
                <w:sz w:val="16"/>
                <w:szCs w:val="16"/>
              </w:rPr>
            </w:pPr>
            <w:r w:rsidRPr="007C62DA">
              <w:rPr>
                <w:rFonts w:ascii="Arial" w:hAnsi="Arial" w:cs="Arial"/>
                <w:sz w:val="16"/>
                <w:szCs w:val="16"/>
              </w:rPr>
              <w:t>Valor</w:t>
            </w:r>
          </w:p>
        </w:tc>
        <w:tc>
          <w:tcPr>
            <w:tcW w:w="1349" w:type="dxa"/>
            <w:vMerge/>
            <w:tcBorders>
              <w:top w:val="nil"/>
              <w:left w:val="single" w:sz="4" w:space="0" w:color="auto"/>
              <w:bottom w:val="single" w:sz="4" w:space="0" w:color="000000"/>
              <w:right w:val="single" w:sz="4" w:space="0" w:color="auto"/>
            </w:tcBorders>
            <w:vAlign w:val="center"/>
            <w:hideMark/>
          </w:tcPr>
          <w:p w14:paraId="15991A66" w14:textId="77777777" w:rsidR="00C9267A" w:rsidRPr="007C62DA" w:rsidRDefault="00C9267A" w:rsidP="00DD3E10">
            <w:pPr>
              <w:jc w:val="center"/>
              <w:rPr>
                <w:rFonts w:ascii="Arial" w:hAnsi="Arial" w:cs="Arial"/>
                <w:sz w:val="16"/>
                <w:szCs w:val="16"/>
              </w:rPr>
            </w:pPr>
          </w:p>
        </w:tc>
        <w:tc>
          <w:tcPr>
            <w:tcW w:w="3075" w:type="dxa"/>
            <w:gridSpan w:val="2"/>
            <w:tcBorders>
              <w:top w:val="single" w:sz="4" w:space="0" w:color="auto"/>
              <w:left w:val="nil"/>
              <w:bottom w:val="single" w:sz="4" w:space="0" w:color="auto"/>
              <w:right w:val="single" w:sz="4" w:space="0" w:color="000000"/>
            </w:tcBorders>
            <w:shd w:val="clear" w:color="auto" w:fill="D9D9D9"/>
            <w:vAlign w:val="center"/>
            <w:hideMark/>
          </w:tcPr>
          <w:p w14:paraId="2D9676C6" w14:textId="77777777" w:rsidR="00C9267A" w:rsidRPr="007C62DA" w:rsidRDefault="00C9267A" w:rsidP="00DD3E10">
            <w:pPr>
              <w:jc w:val="center"/>
              <w:rPr>
                <w:rFonts w:ascii="Arial" w:hAnsi="Arial" w:cs="Arial"/>
                <w:sz w:val="16"/>
                <w:szCs w:val="16"/>
              </w:rPr>
            </w:pPr>
            <w:r w:rsidRPr="007C62DA">
              <w:rPr>
                <w:rFonts w:ascii="Arial" w:hAnsi="Arial" w:cs="Arial"/>
                <w:sz w:val="16"/>
                <w:szCs w:val="16"/>
              </w:rPr>
              <w:t>Valor</w:t>
            </w:r>
          </w:p>
        </w:tc>
      </w:tr>
      <w:tr w:rsidR="00C9267A" w:rsidRPr="007C62DA" w14:paraId="5CBD4C90" w14:textId="77777777" w:rsidTr="00DD3E10">
        <w:trPr>
          <w:gridAfter w:val="1"/>
          <w:wAfter w:w="12" w:type="dxa"/>
          <w:trHeight w:val="375"/>
        </w:trPr>
        <w:tc>
          <w:tcPr>
            <w:tcW w:w="991" w:type="dxa"/>
            <w:tcBorders>
              <w:top w:val="nil"/>
              <w:left w:val="single" w:sz="4" w:space="0" w:color="auto"/>
              <w:bottom w:val="single" w:sz="4" w:space="0" w:color="auto"/>
              <w:right w:val="single" w:sz="4" w:space="0" w:color="auto"/>
            </w:tcBorders>
            <w:shd w:val="clear" w:color="auto" w:fill="FFFFFF"/>
            <w:vAlign w:val="center"/>
            <w:hideMark/>
          </w:tcPr>
          <w:p w14:paraId="32453DA1" w14:textId="77777777" w:rsidR="00C9267A" w:rsidRPr="007C62DA" w:rsidRDefault="00C9267A" w:rsidP="00DD3E10">
            <w:pPr>
              <w:jc w:val="center"/>
              <w:rPr>
                <w:rFonts w:ascii="Arial" w:hAnsi="Arial" w:cs="Arial"/>
                <w:sz w:val="16"/>
                <w:szCs w:val="16"/>
              </w:rPr>
            </w:pPr>
            <w:r>
              <w:rPr>
                <w:rFonts w:ascii="Arial" w:hAnsi="Arial" w:cs="Arial"/>
                <w:sz w:val="16"/>
                <w:szCs w:val="16"/>
              </w:rPr>
              <w:t>18-22</w:t>
            </w:r>
          </w:p>
        </w:tc>
        <w:tc>
          <w:tcPr>
            <w:tcW w:w="992" w:type="dxa"/>
            <w:tcBorders>
              <w:top w:val="nil"/>
              <w:left w:val="nil"/>
              <w:bottom w:val="single" w:sz="4" w:space="0" w:color="auto"/>
              <w:right w:val="single" w:sz="4" w:space="0" w:color="auto"/>
            </w:tcBorders>
            <w:shd w:val="clear" w:color="auto" w:fill="FFFFFF"/>
            <w:vAlign w:val="center"/>
            <w:hideMark/>
          </w:tcPr>
          <w:p w14:paraId="255A1A90" w14:textId="2A85AAC7" w:rsidR="00C9267A" w:rsidRPr="007C62DA" w:rsidRDefault="007A2E00" w:rsidP="00DD3E10">
            <w:pPr>
              <w:jc w:val="center"/>
              <w:rPr>
                <w:rFonts w:ascii="Arial" w:hAnsi="Arial" w:cs="Arial"/>
                <w:sz w:val="16"/>
                <w:szCs w:val="16"/>
              </w:rPr>
            </w:pPr>
            <w:r>
              <w:rPr>
                <w:rFonts w:ascii="Arial" w:hAnsi="Arial" w:cs="Arial"/>
                <w:sz w:val="16"/>
                <w:szCs w:val="16"/>
              </w:rPr>
              <w:t>113.700</w:t>
            </w:r>
            <w:r w:rsidR="00C9267A" w:rsidRPr="007C62DA">
              <w:rPr>
                <w:rFonts w:ascii="Arial" w:hAnsi="Arial" w:cs="Arial"/>
                <w:sz w:val="16"/>
                <w:szCs w:val="16"/>
              </w:rPr>
              <w:t xml:space="preserve"> €</w:t>
            </w:r>
          </w:p>
        </w:tc>
        <w:tc>
          <w:tcPr>
            <w:tcW w:w="2413" w:type="dxa"/>
            <w:tcBorders>
              <w:top w:val="nil"/>
              <w:left w:val="nil"/>
              <w:bottom w:val="single" w:sz="4" w:space="0" w:color="auto"/>
              <w:right w:val="single" w:sz="4" w:space="0" w:color="auto"/>
            </w:tcBorders>
            <w:shd w:val="clear" w:color="auto" w:fill="FFFFFF"/>
            <w:vAlign w:val="center"/>
            <w:hideMark/>
          </w:tcPr>
          <w:p w14:paraId="0CB9DCB5" w14:textId="77777777" w:rsidR="00C9267A" w:rsidRPr="007C62DA" w:rsidRDefault="00C9267A" w:rsidP="00DD3E10">
            <w:pPr>
              <w:jc w:val="center"/>
              <w:rPr>
                <w:rFonts w:ascii="Arial" w:hAnsi="Arial" w:cs="Arial"/>
                <w:sz w:val="16"/>
                <w:szCs w:val="16"/>
              </w:rPr>
            </w:pPr>
            <w:r>
              <w:rPr>
                <w:rFonts w:ascii="Arial" w:hAnsi="Arial" w:cs="Arial"/>
                <w:sz w:val="16"/>
                <w:szCs w:val="16"/>
              </w:rPr>
              <w:t>8,99</w:t>
            </w:r>
          </w:p>
        </w:tc>
        <w:tc>
          <w:tcPr>
            <w:tcW w:w="1349" w:type="dxa"/>
            <w:tcBorders>
              <w:top w:val="nil"/>
              <w:left w:val="nil"/>
              <w:bottom w:val="single" w:sz="4" w:space="0" w:color="auto"/>
              <w:right w:val="single" w:sz="4" w:space="0" w:color="auto"/>
            </w:tcBorders>
            <w:shd w:val="clear" w:color="auto" w:fill="FFFFFF"/>
            <w:vAlign w:val="center"/>
            <w:hideMark/>
          </w:tcPr>
          <w:p w14:paraId="68131363" w14:textId="77777777" w:rsidR="007A2E00" w:rsidRDefault="007A2E00" w:rsidP="007A2E00">
            <w:pPr>
              <w:jc w:val="center"/>
              <w:rPr>
                <w:rFonts w:ascii="Arial" w:hAnsi="Arial" w:cs="Arial"/>
                <w:sz w:val="16"/>
                <w:szCs w:val="16"/>
              </w:rPr>
            </w:pPr>
            <w:r>
              <w:rPr>
                <w:rFonts w:ascii="Arial" w:hAnsi="Arial" w:cs="Arial"/>
                <w:sz w:val="16"/>
                <w:szCs w:val="16"/>
              </w:rPr>
              <w:t>2.046.600 €</w:t>
            </w:r>
          </w:p>
          <w:p w14:paraId="3DB44F86" w14:textId="3EDBA3EB" w:rsidR="00C9267A" w:rsidRPr="007C62DA" w:rsidRDefault="007A2E00" w:rsidP="007A2E00">
            <w:pPr>
              <w:jc w:val="center"/>
              <w:rPr>
                <w:rFonts w:ascii="Arial" w:hAnsi="Arial" w:cs="Arial"/>
                <w:sz w:val="16"/>
                <w:szCs w:val="16"/>
              </w:rPr>
            </w:pPr>
            <w:r>
              <w:rPr>
                <w:rFonts w:ascii="Arial" w:hAnsi="Arial" w:cs="Arial"/>
                <w:sz w:val="16"/>
                <w:szCs w:val="16"/>
              </w:rPr>
              <w:t>2.501.400 €</w:t>
            </w:r>
          </w:p>
        </w:tc>
        <w:tc>
          <w:tcPr>
            <w:tcW w:w="3063" w:type="dxa"/>
            <w:tcBorders>
              <w:top w:val="nil"/>
              <w:left w:val="nil"/>
              <w:bottom w:val="single" w:sz="4" w:space="0" w:color="auto"/>
              <w:right w:val="single" w:sz="4" w:space="0" w:color="auto"/>
            </w:tcBorders>
            <w:shd w:val="clear" w:color="auto" w:fill="FFFFFF"/>
            <w:vAlign w:val="center"/>
            <w:hideMark/>
          </w:tcPr>
          <w:p w14:paraId="495BAB09" w14:textId="77777777" w:rsidR="00C9267A" w:rsidRPr="007C62DA" w:rsidRDefault="00C9267A" w:rsidP="00DD3E10">
            <w:pPr>
              <w:jc w:val="center"/>
              <w:rPr>
                <w:rFonts w:ascii="Arial" w:hAnsi="Arial" w:cs="Arial"/>
                <w:sz w:val="16"/>
                <w:szCs w:val="16"/>
              </w:rPr>
            </w:pPr>
            <w:r>
              <w:rPr>
                <w:rFonts w:ascii="Arial" w:hAnsi="Arial" w:cs="Arial"/>
                <w:sz w:val="16"/>
                <w:szCs w:val="16"/>
              </w:rPr>
              <w:t>161,82 – 197,78</w:t>
            </w:r>
          </w:p>
        </w:tc>
      </w:tr>
      <w:tr w:rsidR="00C9267A" w:rsidRPr="007C62DA" w14:paraId="5AA214F3" w14:textId="77777777" w:rsidTr="00DD3E10">
        <w:trPr>
          <w:trHeight w:val="297"/>
        </w:trPr>
        <w:tc>
          <w:tcPr>
            <w:tcW w:w="8820"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652F1769" w14:textId="77777777" w:rsidR="00C9267A" w:rsidRPr="007C62DA" w:rsidRDefault="00C9267A" w:rsidP="00DD3E10">
            <w:pPr>
              <w:rPr>
                <w:rFonts w:ascii="Arial" w:hAnsi="Arial" w:cs="Arial"/>
                <w:sz w:val="16"/>
                <w:szCs w:val="16"/>
              </w:rPr>
            </w:pPr>
            <w:r w:rsidRPr="007C62DA">
              <w:rPr>
                <w:rFonts w:ascii="Arial" w:hAnsi="Arial" w:cs="Arial"/>
                <w:sz w:val="16"/>
                <w:szCs w:val="16"/>
              </w:rPr>
              <w:t xml:space="preserve">*Se utilizan los valores </w:t>
            </w:r>
            <w:r>
              <w:rPr>
                <w:rFonts w:ascii="Arial" w:hAnsi="Arial" w:cs="Arial"/>
                <w:sz w:val="16"/>
                <w:szCs w:val="16"/>
              </w:rPr>
              <w:t>de la evaluación económica del ICER</w:t>
            </w:r>
          </w:p>
        </w:tc>
      </w:tr>
    </w:tbl>
    <w:p w14:paraId="170A8725" w14:textId="77777777" w:rsidR="00C9267A" w:rsidRDefault="00C9267A" w:rsidP="00C9267A">
      <w:pPr>
        <w:jc w:val="both"/>
        <w:rPr>
          <w:rFonts w:ascii="Arial" w:hAnsi="Arial" w:cs="Arial"/>
          <w:sz w:val="20"/>
          <w:szCs w:val="20"/>
        </w:rPr>
      </w:pPr>
    </w:p>
    <w:p w14:paraId="533CF11B" w14:textId="77777777" w:rsidR="007A2E00" w:rsidRDefault="007A2E00" w:rsidP="007A2E00">
      <w:pPr>
        <w:jc w:val="both"/>
        <w:rPr>
          <w:rFonts w:ascii="Arial" w:hAnsi="Arial" w:cs="Arial"/>
          <w:sz w:val="20"/>
          <w:szCs w:val="20"/>
        </w:rPr>
      </w:pPr>
      <w:r w:rsidRPr="00765109">
        <w:rPr>
          <w:rFonts w:ascii="Arial" w:hAnsi="Arial" w:cs="Arial"/>
          <w:sz w:val="20"/>
          <w:szCs w:val="20"/>
        </w:rPr>
        <w:t>Se estima que durante un año serían tratados entre 18 y 22 pacientes con AME tipo I con el fármaco. El coste para el Sistema Nac</w:t>
      </w:r>
      <w:r>
        <w:rPr>
          <w:rFonts w:ascii="Arial" w:hAnsi="Arial" w:cs="Arial"/>
          <w:sz w:val="20"/>
          <w:szCs w:val="20"/>
        </w:rPr>
        <w:t xml:space="preserve">ional de Salud, de estos pacientes durante los próximos 8 años, </w:t>
      </w:r>
      <w:r w:rsidRPr="00765109">
        <w:rPr>
          <w:rFonts w:ascii="Arial" w:hAnsi="Arial" w:cs="Arial"/>
          <w:sz w:val="20"/>
          <w:szCs w:val="20"/>
        </w:rPr>
        <w:t xml:space="preserve">se situaría entre </w:t>
      </w:r>
      <w:r>
        <w:rPr>
          <w:rFonts w:ascii="Arial" w:hAnsi="Arial" w:cs="Arial"/>
          <w:sz w:val="20"/>
          <w:szCs w:val="20"/>
        </w:rPr>
        <w:t>2.046.600</w:t>
      </w:r>
      <w:r w:rsidRPr="00765109">
        <w:rPr>
          <w:rFonts w:ascii="Arial" w:hAnsi="Arial" w:cs="Arial"/>
          <w:sz w:val="20"/>
          <w:szCs w:val="20"/>
        </w:rPr>
        <w:t xml:space="preserve"> €</w:t>
      </w:r>
      <w:r>
        <w:rPr>
          <w:rFonts w:ascii="Arial" w:hAnsi="Arial" w:cs="Arial"/>
          <w:sz w:val="20"/>
          <w:szCs w:val="20"/>
        </w:rPr>
        <w:t xml:space="preserve"> y 2.501.400 €</w:t>
      </w:r>
      <w:r w:rsidRPr="00765109">
        <w:rPr>
          <w:rFonts w:ascii="Arial" w:hAnsi="Arial" w:cs="Arial"/>
          <w:sz w:val="20"/>
          <w:szCs w:val="20"/>
        </w:rPr>
        <w:t xml:space="preserve">. El beneficio global que se obtendría </w:t>
      </w:r>
      <w:r>
        <w:rPr>
          <w:rFonts w:ascii="Arial" w:hAnsi="Arial" w:cs="Arial"/>
          <w:sz w:val="20"/>
          <w:szCs w:val="20"/>
        </w:rPr>
        <w:t>estaría</w:t>
      </w:r>
      <w:r w:rsidRPr="00765109">
        <w:rPr>
          <w:rFonts w:ascii="Arial" w:hAnsi="Arial" w:cs="Arial"/>
          <w:sz w:val="20"/>
          <w:szCs w:val="20"/>
        </w:rPr>
        <w:t xml:space="preserve"> entre </w:t>
      </w:r>
      <w:r>
        <w:rPr>
          <w:rFonts w:ascii="Arial" w:hAnsi="Arial" w:cs="Arial"/>
          <w:sz w:val="20"/>
          <w:szCs w:val="20"/>
        </w:rPr>
        <w:t xml:space="preserve">161,82 y 197,78 AVAC ganados. </w:t>
      </w:r>
      <w:r w:rsidRPr="00765109">
        <w:rPr>
          <w:rFonts w:ascii="Arial" w:hAnsi="Arial" w:cs="Arial"/>
          <w:sz w:val="20"/>
          <w:szCs w:val="20"/>
        </w:rPr>
        <w:t xml:space="preserve"> </w:t>
      </w:r>
    </w:p>
    <w:p w14:paraId="7E0C1E15" w14:textId="5D1B8C7D" w:rsidR="00EC7274" w:rsidRDefault="00EC7274">
      <w:pPr>
        <w:rPr>
          <w:rFonts w:ascii="Arial" w:hAnsi="Arial" w:cs="Arial"/>
          <w:sz w:val="20"/>
          <w:szCs w:val="20"/>
        </w:rPr>
      </w:pPr>
    </w:p>
    <w:tbl>
      <w:tblPr>
        <w:tblW w:w="8820" w:type="dxa"/>
        <w:tblInd w:w="-68" w:type="dxa"/>
        <w:tblLayout w:type="fixed"/>
        <w:tblCellMar>
          <w:left w:w="70" w:type="dxa"/>
          <w:right w:w="70" w:type="dxa"/>
        </w:tblCellMar>
        <w:tblLook w:val="00A0" w:firstRow="1" w:lastRow="0" w:firstColumn="1" w:lastColumn="0" w:noHBand="0" w:noVBand="0"/>
      </w:tblPr>
      <w:tblGrid>
        <w:gridCol w:w="991"/>
        <w:gridCol w:w="992"/>
        <w:gridCol w:w="2413"/>
        <w:gridCol w:w="1349"/>
        <w:gridCol w:w="3063"/>
        <w:gridCol w:w="12"/>
      </w:tblGrid>
      <w:tr w:rsidR="003D4E59" w:rsidRPr="002C5BC4" w14:paraId="19671D41" w14:textId="77777777" w:rsidTr="00AE0510">
        <w:trPr>
          <w:trHeight w:val="462"/>
        </w:trPr>
        <w:tc>
          <w:tcPr>
            <w:tcW w:w="8820" w:type="dxa"/>
            <w:gridSpan w:val="6"/>
            <w:tcBorders>
              <w:top w:val="single" w:sz="4" w:space="0" w:color="auto"/>
              <w:left w:val="single" w:sz="4" w:space="0" w:color="auto"/>
              <w:bottom w:val="single" w:sz="4" w:space="0" w:color="auto"/>
              <w:right w:val="single" w:sz="4" w:space="0" w:color="auto"/>
            </w:tcBorders>
            <w:shd w:val="clear" w:color="auto" w:fill="CCFFCC"/>
            <w:vAlign w:val="center"/>
            <w:hideMark/>
          </w:tcPr>
          <w:p w14:paraId="3FF79DA2" w14:textId="04E97D8B" w:rsidR="003D4E59" w:rsidRPr="002C5BC4" w:rsidRDefault="003D4E59" w:rsidP="00690F11">
            <w:pPr>
              <w:rPr>
                <w:rFonts w:ascii="Arial" w:hAnsi="Arial" w:cs="Arial"/>
                <w:b/>
                <w:bCs/>
                <w:sz w:val="18"/>
                <w:szCs w:val="20"/>
              </w:rPr>
            </w:pPr>
            <w:r w:rsidRPr="002C5BC4">
              <w:rPr>
                <w:rFonts w:ascii="Arial" w:hAnsi="Arial" w:cs="Arial"/>
                <w:b/>
                <w:bCs/>
                <w:sz w:val="18"/>
                <w:szCs w:val="20"/>
              </w:rPr>
              <w:t>Tabla 7.4.3.1.</w:t>
            </w:r>
            <w:r w:rsidR="00C9267A" w:rsidRPr="002C5BC4">
              <w:rPr>
                <w:rFonts w:ascii="Arial" w:hAnsi="Arial" w:cs="Arial"/>
                <w:b/>
                <w:bCs/>
                <w:sz w:val="18"/>
                <w:szCs w:val="20"/>
              </w:rPr>
              <w:t>3</w:t>
            </w:r>
            <w:r w:rsidRPr="002C5BC4">
              <w:rPr>
                <w:rFonts w:ascii="Arial" w:hAnsi="Arial" w:cs="Arial"/>
                <w:b/>
                <w:bCs/>
                <w:sz w:val="18"/>
                <w:szCs w:val="20"/>
              </w:rPr>
              <w:t xml:space="preserve">. Estimación propia de impacto presupuestario y beneficios en salud estatales anuales en el caso de variables de eficacia </w:t>
            </w:r>
            <w:r w:rsidR="00073F23" w:rsidRPr="00690F11">
              <w:rPr>
                <w:rFonts w:ascii="Arial" w:hAnsi="Arial" w:cs="Arial"/>
                <w:b/>
                <w:bCs/>
                <w:sz w:val="18"/>
                <w:szCs w:val="20"/>
              </w:rPr>
              <w:t>binarias</w:t>
            </w:r>
            <w:r w:rsidRPr="00690F11">
              <w:rPr>
                <w:rFonts w:ascii="Arial" w:hAnsi="Arial" w:cs="Arial"/>
                <w:b/>
                <w:bCs/>
                <w:sz w:val="18"/>
                <w:szCs w:val="20"/>
              </w:rPr>
              <w:t>.</w:t>
            </w:r>
          </w:p>
        </w:tc>
      </w:tr>
      <w:tr w:rsidR="003D4E59" w:rsidRPr="007C62DA" w14:paraId="00024C00" w14:textId="77777777" w:rsidTr="00DD3E10">
        <w:trPr>
          <w:trHeight w:val="255"/>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23DA1271" w14:textId="4344A5EA" w:rsidR="003D4E59" w:rsidRPr="007C62DA" w:rsidRDefault="003D4E59" w:rsidP="008D27F1">
            <w:pPr>
              <w:rPr>
                <w:rFonts w:ascii="Arial" w:hAnsi="Arial" w:cs="Arial"/>
                <w:b/>
                <w:bCs/>
                <w:sz w:val="16"/>
                <w:szCs w:val="16"/>
              </w:rPr>
            </w:pPr>
            <w:r w:rsidRPr="007C62DA">
              <w:rPr>
                <w:rFonts w:ascii="Arial" w:hAnsi="Arial" w:cs="Arial"/>
                <w:b/>
                <w:bCs/>
                <w:sz w:val="16"/>
                <w:szCs w:val="16"/>
              </w:rPr>
              <w:t xml:space="preserve">Medicamento e indicación: </w:t>
            </w:r>
            <w:r w:rsidRPr="007C62DA">
              <w:rPr>
                <w:rFonts w:ascii="Arial" w:hAnsi="Arial" w:cs="Arial"/>
                <w:sz w:val="16"/>
                <w:szCs w:val="16"/>
              </w:rPr>
              <w:t xml:space="preserve">Onasemnogén abeparvovec en </w:t>
            </w:r>
            <w:r w:rsidR="008D27F1">
              <w:rPr>
                <w:rFonts w:ascii="Arial" w:hAnsi="Arial" w:cs="Arial"/>
                <w:sz w:val="16"/>
                <w:szCs w:val="16"/>
              </w:rPr>
              <w:t xml:space="preserve">pacientes presintomáticos  con </w:t>
            </w:r>
            <w:r w:rsidRPr="00237A4C">
              <w:rPr>
                <w:rFonts w:ascii="Arial" w:hAnsi="Arial" w:cs="Arial"/>
                <w:b/>
                <w:sz w:val="16"/>
                <w:szCs w:val="16"/>
              </w:rPr>
              <w:t xml:space="preserve">AME </w:t>
            </w:r>
            <w:r w:rsidR="008D27F1">
              <w:rPr>
                <w:rFonts w:ascii="Arial" w:hAnsi="Arial" w:cs="Arial"/>
                <w:b/>
                <w:sz w:val="16"/>
                <w:szCs w:val="16"/>
              </w:rPr>
              <w:t>y</w:t>
            </w:r>
            <w:r w:rsidRPr="00237A4C">
              <w:rPr>
                <w:rFonts w:ascii="Arial" w:hAnsi="Arial" w:cs="Arial"/>
                <w:b/>
                <w:sz w:val="16"/>
                <w:szCs w:val="16"/>
              </w:rPr>
              <w:t xml:space="preserve"> </w:t>
            </w:r>
            <w:r w:rsidR="008D27F1">
              <w:rPr>
                <w:rFonts w:ascii="Arial" w:hAnsi="Arial" w:cs="Arial"/>
                <w:b/>
                <w:sz w:val="16"/>
                <w:szCs w:val="16"/>
              </w:rPr>
              <w:t xml:space="preserve">hasta </w:t>
            </w:r>
            <w:r w:rsidRPr="00237A4C">
              <w:rPr>
                <w:rFonts w:ascii="Arial" w:hAnsi="Arial" w:cs="Arial"/>
                <w:b/>
                <w:sz w:val="16"/>
                <w:szCs w:val="16"/>
              </w:rPr>
              <w:t>3 copias del gen SMN2</w:t>
            </w:r>
          </w:p>
        </w:tc>
      </w:tr>
      <w:tr w:rsidR="003D4E59" w:rsidRPr="007C62DA" w14:paraId="39A7E7F3" w14:textId="77777777" w:rsidTr="00DD3E10">
        <w:trPr>
          <w:trHeight w:val="255"/>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732A5265" w14:textId="77777777" w:rsidR="003D4E59" w:rsidRPr="007C62DA" w:rsidRDefault="003D4E59" w:rsidP="00DD3E10">
            <w:pPr>
              <w:rPr>
                <w:rFonts w:ascii="Arial" w:hAnsi="Arial" w:cs="Arial"/>
                <w:b/>
                <w:bCs/>
                <w:sz w:val="16"/>
                <w:szCs w:val="16"/>
              </w:rPr>
            </w:pPr>
            <w:r w:rsidRPr="007C62DA">
              <w:rPr>
                <w:rFonts w:ascii="Arial" w:hAnsi="Arial" w:cs="Arial"/>
                <w:b/>
                <w:bCs/>
                <w:sz w:val="16"/>
                <w:szCs w:val="16"/>
              </w:rPr>
              <w:t xml:space="preserve">Variable evaluada y comparador: </w:t>
            </w:r>
            <w:r w:rsidRPr="007C62DA">
              <w:rPr>
                <w:rFonts w:ascii="Arial" w:hAnsi="Arial" w:cs="Arial"/>
                <w:sz w:val="16"/>
                <w:szCs w:val="16"/>
              </w:rPr>
              <w:t>Supervivencia libre de eventos. No existe comparador (ensayo no controlado)</w:t>
            </w:r>
          </w:p>
        </w:tc>
      </w:tr>
      <w:tr w:rsidR="003D4E59" w:rsidRPr="007C62DA" w14:paraId="605A18F7" w14:textId="77777777" w:rsidTr="00DD3E10">
        <w:trPr>
          <w:trHeight w:val="255"/>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797A3542" w14:textId="77777777" w:rsidR="003D4E59" w:rsidRPr="007C62DA" w:rsidRDefault="003D4E59" w:rsidP="00DD3E10">
            <w:pPr>
              <w:rPr>
                <w:rFonts w:ascii="Arial" w:hAnsi="Arial" w:cs="Arial"/>
                <w:b/>
                <w:bCs/>
                <w:sz w:val="16"/>
                <w:szCs w:val="16"/>
              </w:rPr>
            </w:pPr>
            <w:r w:rsidRPr="007C62DA">
              <w:rPr>
                <w:rFonts w:ascii="Arial" w:hAnsi="Arial" w:cs="Arial"/>
                <w:b/>
                <w:bCs/>
                <w:sz w:val="16"/>
                <w:szCs w:val="16"/>
              </w:rPr>
              <w:t xml:space="preserve">Escenario y ámbito: </w:t>
            </w:r>
            <w:r w:rsidRPr="007C62DA">
              <w:rPr>
                <w:rFonts w:ascii="Arial" w:hAnsi="Arial" w:cs="Arial"/>
                <w:sz w:val="16"/>
                <w:szCs w:val="16"/>
              </w:rPr>
              <w:t>Ámbito estatal (España)</w:t>
            </w:r>
          </w:p>
        </w:tc>
      </w:tr>
      <w:tr w:rsidR="003D4E59" w:rsidRPr="007C62DA" w14:paraId="6264BADB" w14:textId="77777777" w:rsidTr="00DD3E10">
        <w:trPr>
          <w:trHeight w:val="660"/>
        </w:trPr>
        <w:tc>
          <w:tcPr>
            <w:tcW w:w="991" w:type="dxa"/>
            <w:vMerge w:val="restart"/>
            <w:tcBorders>
              <w:top w:val="nil"/>
              <w:left w:val="single" w:sz="4" w:space="0" w:color="auto"/>
              <w:bottom w:val="single" w:sz="4" w:space="0" w:color="000000"/>
              <w:right w:val="single" w:sz="4" w:space="0" w:color="auto"/>
            </w:tcBorders>
            <w:shd w:val="clear" w:color="auto" w:fill="D9D9D9"/>
            <w:vAlign w:val="center"/>
            <w:hideMark/>
          </w:tcPr>
          <w:p w14:paraId="7B7C9C76" w14:textId="77777777" w:rsidR="003D4E59" w:rsidRPr="007C62DA" w:rsidRDefault="003D4E59" w:rsidP="00DD3E10">
            <w:pPr>
              <w:jc w:val="center"/>
              <w:rPr>
                <w:rFonts w:ascii="Arial" w:hAnsi="Arial" w:cs="Arial"/>
                <w:sz w:val="16"/>
                <w:szCs w:val="16"/>
              </w:rPr>
            </w:pPr>
            <w:r w:rsidRPr="007C62DA">
              <w:rPr>
                <w:rFonts w:ascii="Arial" w:hAnsi="Arial" w:cs="Arial"/>
                <w:sz w:val="16"/>
                <w:szCs w:val="16"/>
              </w:rPr>
              <w:t>Nº anual de pacientes</w:t>
            </w:r>
          </w:p>
        </w:tc>
        <w:tc>
          <w:tcPr>
            <w:tcW w:w="992" w:type="dxa"/>
            <w:vMerge w:val="restart"/>
            <w:tcBorders>
              <w:top w:val="nil"/>
              <w:left w:val="single" w:sz="4" w:space="0" w:color="auto"/>
              <w:bottom w:val="single" w:sz="4" w:space="0" w:color="000000"/>
              <w:right w:val="single" w:sz="4" w:space="0" w:color="auto"/>
            </w:tcBorders>
            <w:shd w:val="clear" w:color="auto" w:fill="D9D9D9"/>
            <w:vAlign w:val="center"/>
            <w:hideMark/>
          </w:tcPr>
          <w:p w14:paraId="768B47CF" w14:textId="77777777" w:rsidR="003D4E59" w:rsidRPr="007C62DA" w:rsidRDefault="003D4E59" w:rsidP="00DD3E10">
            <w:pPr>
              <w:jc w:val="center"/>
              <w:rPr>
                <w:rFonts w:ascii="Arial" w:hAnsi="Arial" w:cs="Arial"/>
                <w:sz w:val="16"/>
                <w:szCs w:val="16"/>
              </w:rPr>
            </w:pPr>
            <w:r w:rsidRPr="007C62DA">
              <w:rPr>
                <w:rFonts w:ascii="Arial" w:hAnsi="Arial" w:cs="Arial"/>
                <w:sz w:val="16"/>
                <w:szCs w:val="16"/>
              </w:rPr>
              <w:t>Coste por paciente</w:t>
            </w:r>
          </w:p>
        </w:tc>
        <w:tc>
          <w:tcPr>
            <w:tcW w:w="2413" w:type="dxa"/>
            <w:tcBorders>
              <w:top w:val="single" w:sz="4" w:space="0" w:color="auto"/>
              <w:left w:val="nil"/>
              <w:bottom w:val="single" w:sz="4" w:space="0" w:color="auto"/>
              <w:right w:val="single" w:sz="4" w:space="0" w:color="auto"/>
            </w:tcBorders>
            <w:shd w:val="clear" w:color="auto" w:fill="D9D9D9"/>
            <w:vAlign w:val="center"/>
            <w:hideMark/>
          </w:tcPr>
          <w:p w14:paraId="584ED499" w14:textId="77777777" w:rsidR="003D4E59" w:rsidRPr="007C62DA" w:rsidRDefault="003D4E59" w:rsidP="00DD3E10">
            <w:pPr>
              <w:jc w:val="center"/>
              <w:rPr>
                <w:rFonts w:ascii="Arial" w:hAnsi="Arial" w:cs="Arial"/>
                <w:sz w:val="16"/>
                <w:szCs w:val="16"/>
              </w:rPr>
            </w:pPr>
            <w:r w:rsidRPr="007C62DA">
              <w:rPr>
                <w:rFonts w:ascii="Arial" w:hAnsi="Arial" w:cs="Arial"/>
                <w:sz w:val="16"/>
                <w:szCs w:val="16"/>
              </w:rPr>
              <w:t>% de supervivencia libre de eventos*</w:t>
            </w:r>
          </w:p>
        </w:tc>
        <w:tc>
          <w:tcPr>
            <w:tcW w:w="1349" w:type="dxa"/>
            <w:vMerge w:val="restart"/>
            <w:tcBorders>
              <w:top w:val="nil"/>
              <w:left w:val="single" w:sz="4" w:space="0" w:color="auto"/>
              <w:bottom w:val="single" w:sz="4" w:space="0" w:color="000000"/>
              <w:right w:val="single" w:sz="4" w:space="0" w:color="auto"/>
            </w:tcBorders>
            <w:shd w:val="clear" w:color="auto" w:fill="D9D9D9"/>
            <w:vAlign w:val="center"/>
            <w:hideMark/>
          </w:tcPr>
          <w:p w14:paraId="633EC9EC" w14:textId="77777777" w:rsidR="003D4E59" w:rsidRPr="007C62DA" w:rsidRDefault="003D4E59" w:rsidP="00DD3E10">
            <w:pPr>
              <w:jc w:val="center"/>
              <w:rPr>
                <w:rFonts w:ascii="Arial" w:hAnsi="Arial" w:cs="Arial"/>
                <w:sz w:val="16"/>
                <w:szCs w:val="16"/>
              </w:rPr>
            </w:pPr>
            <w:r w:rsidRPr="007C62DA">
              <w:rPr>
                <w:rFonts w:ascii="Arial" w:hAnsi="Arial" w:cs="Arial"/>
                <w:sz w:val="16"/>
                <w:szCs w:val="16"/>
              </w:rPr>
              <w:t>Impacto económico anual</w:t>
            </w:r>
          </w:p>
        </w:tc>
        <w:tc>
          <w:tcPr>
            <w:tcW w:w="3075" w:type="dxa"/>
            <w:gridSpan w:val="2"/>
            <w:tcBorders>
              <w:top w:val="single" w:sz="4" w:space="0" w:color="auto"/>
              <w:left w:val="nil"/>
              <w:bottom w:val="nil"/>
              <w:right w:val="single" w:sz="4" w:space="0" w:color="000000"/>
            </w:tcBorders>
            <w:shd w:val="clear" w:color="auto" w:fill="D9D9D9"/>
            <w:vAlign w:val="center"/>
            <w:hideMark/>
          </w:tcPr>
          <w:p w14:paraId="7AD5427D" w14:textId="77777777" w:rsidR="003D4E59" w:rsidRPr="007C62DA" w:rsidRDefault="003D4E59" w:rsidP="00DD3E10">
            <w:pPr>
              <w:jc w:val="center"/>
              <w:rPr>
                <w:rFonts w:ascii="Arial" w:hAnsi="Arial" w:cs="Arial"/>
                <w:sz w:val="16"/>
                <w:szCs w:val="16"/>
              </w:rPr>
            </w:pPr>
            <w:r w:rsidRPr="007C62DA">
              <w:rPr>
                <w:rFonts w:ascii="Arial" w:hAnsi="Arial" w:cs="Arial"/>
                <w:sz w:val="16"/>
                <w:szCs w:val="16"/>
              </w:rPr>
              <w:t>Pacientes con supervivencia libre de eventos*</w:t>
            </w:r>
          </w:p>
        </w:tc>
      </w:tr>
      <w:tr w:rsidR="003D4E59" w:rsidRPr="007C62DA" w14:paraId="01DC224D" w14:textId="77777777" w:rsidTr="003D4E59">
        <w:trPr>
          <w:trHeight w:val="338"/>
        </w:trPr>
        <w:tc>
          <w:tcPr>
            <w:tcW w:w="991" w:type="dxa"/>
            <w:vMerge/>
            <w:tcBorders>
              <w:top w:val="nil"/>
              <w:left w:val="single" w:sz="4" w:space="0" w:color="auto"/>
              <w:bottom w:val="single" w:sz="4" w:space="0" w:color="000000"/>
              <w:right w:val="single" w:sz="4" w:space="0" w:color="auto"/>
            </w:tcBorders>
            <w:vAlign w:val="center"/>
            <w:hideMark/>
          </w:tcPr>
          <w:p w14:paraId="4D6150BB" w14:textId="77777777" w:rsidR="003D4E59" w:rsidRPr="007C62DA" w:rsidRDefault="003D4E59" w:rsidP="00DD3E10">
            <w:pPr>
              <w:jc w:val="center"/>
              <w:rPr>
                <w:rFonts w:ascii="Arial" w:hAnsi="Arial" w:cs="Arial"/>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2962E25D" w14:textId="77777777" w:rsidR="003D4E59" w:rsidRPr="007C62DA" w:rsidRDefault="003D4E59" w:rsidP="00DD3E10">
            <w:pPr>
              <w:jc w:val="center"/>
              <w:rPr>
                <w:rFonts w:ascii="Arial" w:hAnsi="Arial" w:cs="Arial"/>
                <w:sz w:val="16"/>
                <w:szCs w:val="16"/>
              </w:rPr>
            </w:pPr>
          </w:p>
        </w:tc>
        <w:tc>
          <w:tcPr>
            <w:tcW w:w="2413" w:type="dxa"/>
            <w:tcBorders>
              <w:top w:val="nil"/>
              <w:left w:val="nil"/>
              <w:bottom w:val="single" w:sz="4" w:space="0" w:color="auto"/>
              <w:right w:val="single" w:sz="4" w:space="0" w:color="000000"/>
            </w:tcBorders>
            <w:shd w:val="clear" w:color="auto" w:fill="D9D9D9"/>
            <w:vAlign w:val="center"/>
            <w:hideMark/>
          </w:tcPr>
          <w:p w14:paraId="5192C7C0" w14:textId="77777777" w:rsidR="003D4E59" w:rsidRPr="007C62DA" w:rsidRDefault="003D4E59" w:rsidP="00DD3E10">
            <w:pPr>
              <w:jc w:val="center"/>
              <w:rPr>
                <w:rFonts w:ascii="Arial" w:hAnsi="Arial" w:cs="Arial"/>
                <w:sz w:val="16"/>
                <w:szCs w:val="16"/>
              </w:rPr>
            </w:pPr>
            <w:r w:rsidRPr="007C62DA">
              <w:rPr>
                <w:rFonts w:ascii="Arial" w:hAnsi="Arial" w:cs="Arial"/>
                <w:sz w:val="16"/>
                <w:szCs w:val="16"/>
              </w:rPr>
              <w:t>Valor</w:t>
            </w:r>
          </w:p>
        </w:tc>
        <w:tc>
          <w:tcPr>
            <w:tcW w:w="1349" w:type="dxa"/>
            <w:vMerge/>
            <w:tcBorders>
              <w:top w:val="nil"/>
              <w:left w:val="single" w:sz="4" w:space="0" w:color="auto"/>
              <w:bottom w:val="single" w:sz="4" w:space="0" w:color="000000"/>
              <w:right w:val="single" w:sz="4" w:space="0" w:color="auto"/>
            </w:tcBorders>
            <w:vAlign w:val="center"/>
            <w:hideMark/>
          </w:tcPr>
          <w:p w14:paraId="0705F2E9" w14:textId="77777777" w:rsidR="003D4E59" w:rsidRPr="007C62DA" w:rsidRDefault="003D4E59" w:rsidP="00DD3E10">
            <w:pPr>
              <w:jc w:val="center"/>
              <w:rPr>
                <w:rFonts w:ascii="Arial" w:hAnsi="Arial" w:cs="Arial"/>
                <w:sz w:val="16"/>
                <w:szCs w:val="16"/>
              </w:rPr>
            </w:pPr>
          </w:p>
        </w:tc>
        <w:tc>
          <w:tcPr>
            <w:tcW w:w="3075" w:type="dxa"/>
            <w:gridSpan w:val="2"/>
            <w:tcBorders>
              <w:top w:val="single" w:sz="4" w:space="0" w:color="auto"/>
              <w:left w:val="nil"/>
              <w:bottom w:val="single" w:sz="4" w:space="0" w:color="auto"/>
              <w:right w:val="single" w:sz="4" w:space="0" w:color="000000"/>
            </w:tcBorders>
            <w:shd w:val="clear" w:color="auto" w:fill="D9D9D9"/>
            <w:vAlign w:val="center"/>
            <w:hideMark/>
          </w:tcPr>
          <w:p w14:paraId="0A44862D" w14:textId="77777777" w:rsidR="003D4E59" w:rsidRPr="007C62DA" w:rsidRDefault="003D4E59" w:rsidP="00DD3E10">
            <w:pPr>
              <w:jc w:val="center"/>
              <w:rPr>
                <w:rFonts w:ascii="Arial" w:hAnsi="Arial" w:cs="Arial"/>
                <w:sz w:val="16"/>
                <w:szCs w:val="16"/>
              </w:rPr>
            </w:pPr>
            <w:r w:rsidRPr="007C62DA">
              <w:rPr>
                <w:rFonts w:ascii="Arial" w:hAnsi="Arial" w:cs="Arial"/>
                <w:sz w:val="16"/>
                <w:szCs w:val="16"/>
              </w:rPr>
              <w:t>Valor</w:t>
            </w:r>
          </w:p>
        </w:tc>
      </w:tr>
      <w:tr w:rsidR="003D4E59" w:rsidRPr="007C62DA" w14:paraId="49D94EFA" w14:textId="77777777" w:rsidTr="00DD3E10">
        <w:trPr>
          <w:gridAfter w:val="1"/>
          <w:wAfter w:w="12" w:type="dxa"/>
          <w:trHeight w:val="375"/>
        </w:trPr>
        <w:tc>
          <w:tcPr>
            <w:tcW w:w="991" w:type="dxa"/>
            <w:tcBorders>
              <w:top w:val="nil"/>
              <w:left w:val="single" w:sz="4" w:space="0" w:color="auto"/>
              <w:bottom w:val="single" w:sz="4" w:space="0" w:color="auto"/>
              <w:right w:val="single" w:sz="4" w:space="0" w:color="auto"/>
            </w:tcBorders>
            <w:shd w:val="clear" w:color="auto" w:fill="FFFFFF"/>
            <w:vAlign w:val="center"/>
            <w:hideMark/>
          </w:tcPr>
          <w:p w14:paraId="751C8F0E" w14:textId="32558203" w:rsidR="003D4E59" w:rsidRPr="007C62DA" w:rsidRDefault="008D27F1" w:rsidP="00DD3E10">
            <w:pPr>
              <w:jc w:val="center"/>
              <w:rPr>
                <w:rFonts w:ascii="Arial" w:hAnsi="Arial" w:cs="Arial"/>
                <w:sz w:val="16"/>
                <w:szCs w:val="16"/>
              </w:rPr>
            </w:pPr>
            <w:r>
              <w:rPr>
                <w:rFonts w:ascii="Arial" w:hAnsi="Arial" w:cs="Arial"/>
                <w:sz w:val="16"/>
                <w:szCs w:val="16"/>
              </w:rPr>
              <w:t>14</w:t>
            </w:r>
          </w:p>
        </w:tc>
        <w:tc>
          <w:tcPr>
            <w:tcW w:w="992" w:type="dxa"/>
            <w:tcBorders>
              <w:top w:val="nil"/>
              <w:left w:val="nil"/>
              <w:bottom w:val="single" w:sz="4" w:space="0" w:color="auto"/>
              <w:right w:val="single" w:sz="4" w:space="0" w:color="auto"/>
            </w:tcBorders>
            <w:shd w:val="clear" w:color="auto" w:fill="FFFFFF"/>
            <w:vAlign w:val="center"/>
            <w:hideMark/>
          </w:tcPr>
          <w:p w14:paraId="63A8F6EF" w14:textId="77777777" w:rsidR="003D4E59" w:rsidRPr="007C62DA" w:rsidRDefault="003D4E59" w:rsidP="00DD3E10">
            <w:pPr>
              <w:jc w:val="center"/>
              <w:rPr>
                <w:rFonts w:ascii="Arial" w:hAnsi="Arial" w:cs="Arial"/>
                <w:sz w:val="16"/>
                <w:szCs w:val="16"/>
              </w:rPr>
            </w:pPr>
            <w:r w:rsidRPr="007C62DA">
              <w:rPr>
                <w:rFonts w:ascii="Arial" w:hAnsi="Arial" w:cs="Arial"/>
                <w:sz w:val="16"/>
                <w:szCs w:val="16"/>
              </w:rPr>
              <w:t>1.785.000 €</w:t>
            </w:r>
          </w:p>
        </w:tc>
        <w:tc>
          <w:tcPr>
            <w:tcW w:w="2413" w:type="dxa"/>
            <w:tcBorders>
              <w:top w:val="nil"/>
              <w:left w:val="nil"/>
              <w:bottom w:val="single" w:sz="4" w:space="0" w:color="auto"/>
              <w:right w:val="single" w:sz="4" w:space="0" w:color="auto"/>
            </w:tcBorders>
            <w:shd w:val="clear" w:color="auto" w:fill="FFFFFF"/>
            <w:vAlign w:val="center"/>
            <w:hideMark/>
          </w:tcPr>
          <w:p w14:paraId="6416207D" w14:textId="7BD50E88" w:rsidR="003D4E59" w:rsidRPr="007C62DA" w:rsidRDefault="003D4E59" w:rsidP="00DD3E10">
            <w:pPr>
              <w:jc w:val="center"/>
              <w:rPr>
                <w:rFonts w:ascii="Arial" w:hAnsi="Arial" w:cs="Arial"/>
                <w:sz w:val="16"/>
                <w:szCs w:val="16"/>
              </w:rPr>
            </w:pPr>
            <w:r>
              <w:rPr>
                <w:rFonts w:ascii="Arial" w:hAnsi="Arial" w:cs="Arial"/>
                <w:sz w:val="16"/>
                <w:szCs w:val="16"/>
              </w:rPr>
              <w:t>100</w:t>
            </w:r>
            <w:r w:rsidRPr="007C62DA">
              <w:rPr>
                <w:rFonts w:ascii="Arial" w:hAnsi="Arial" w:cs="Arial"/>
                <w:sz w:val="16"/>
                <w:szCs w:val="16"/>
              </w:rPr>
              <w:t>%</w:t>
            </w:r>
          </w:p>
        </w:tc>
        <w:tc>
          <w:tcPr>
            <w:tcW w:w="1349" w:type="dxa"/>
            <w:tcBorders>
              <w:top w:val="nil"/>
              <w:left w:val="nil"/>
              <w:bottom w:val="single" w:sz="4" w:space="0" w:color="auto"/>
              <w:right w:val="single" w:sz="4" w:space="0" w:color="auto"/>
            </w:tcBorders>
            <w:shd w:val="clear" w:color="auto" w:fill="FFFFFF"/>
            <w:vAlign w:val="center"/>
            <w:hideMark/>
          </w:tcPr>
          <w:p w14:paraId="73D46594" w14:textId="0CEB8451" w:rsidR="003D4E59" w:rsidRPr="007C62DA" w:rsidRDefault="008D27F1" w:rsidP="00DD3E10">
            <w:pPr>
              <w:jc w:val="center"/>
              <w:rPr>
                <w:rFonts w:ascii="Arial" w:hAnsi="Arial" w:cs="Arial"/>
                <w:sz w:val="16"/>
                <w:szCs w:val="16"/>
              </w:rPr>
            </w:pPr>
            <w:r>
              <w:rPr>
                <w:rFonts w:ascii="Arial" w:hAnsi="Arial" w:cs="Arial"/>
                <w:sz w:val="16"/>
                <w:szCs w:val="16"/>
              </w:rPr>
              <w:t>24.990.000</w:t>
            </w:r>
            <w:r w:rsidR="003D4E59">
              <w:rPr>
                <w:rFonts w:ascii="Arial" w:hAnsi="Arial" w:cs="Arial"/>
                <w:sz w:val="16"/>
                <w:szCs w:val="16"/>
              </w:rPr>
              <w:t xml:space="preserve"> €</w:t>
            </w:r>
          </w:p>
        </w:tc>
        <w:tc>
          <w:tcPr>
            <w:tcW w:w="3063" w:type="dxa"/>
            <w:tcBorders>
              <w:top w:val="nil"/>
              <w:left w:val="nil"/>
              <w:bottom w:val="single" w:sz="4" w:space="0" w:color="auto"/>
              <w:right w:val="single" w:sz="4" w:space="0" w:color="auto"/>
            </w:tcBorders>
            <w:shd w:val="clear" w:color="auto" w:fill="FFFFFF"/>
            <w:vAlign w:val="center"/>
            <w:hideMark/>
          </w:tcPr>
          <w:p w14:paraId="3649D767" w14:textId="253AE760" w:rsidR="003D4E59" w:rsidRPr="007C62DA" w:rsidRDefault="008D27F1" w:rsidP="00DD3E10">
            <w:pPr>
              <w:jc w:val="center"/>
              <w:rPr>
                <w:rFonts w:ascii="Arial" w:hAnsi="Arial" w:cs="Arial"/>
                <w:sz w:val="16"/>
                <w:szCs w:val="16"/>
              </w:rPr>
            </w:pPr>
            <w:r>
              <w:rPr>
                <w:rFonts w:ascii="Arial" w:hAnsi="Arial" w:cs="Arial"/>
                <w:sz w:val="16"/>
                <w:szCs w:val="16"/>
              </w:rPr>
              <w:t>14</w:t>
            </w:r>
            <w:r w:rsidR="003D4E59" w:rsidRPr="007C62DA">
              <w:rPr>
                <w:rFonts w:ascii="Arial" w:hAnsi="Arial" w:cs="Arial"/>
                <w:sz w:val="16"/>
                <w:szCs w:val="16"/>
              </w:rPr>
              <w:t xml:space="preserve"> pac/año</w:t>
            </w:r>
          </w:p>
        </w:tc>
      </w:tr>
      <w:tr w:rsidR="003D4E59" w:rsidRPr="007C62DA" w14:paraId="11A985C0" w14:textId="77777777" w:rsidTr="00DD3E10">
        <w:trPr>
          <w:trHeight w:val="297"/>
        </w:trPr>
        <w:tc>
          <w:tcPr>
            <w:tcW w:w="8820"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30B7AE61" w14:textId="7972D774" w:rsidR="003D4E59" w:rsidRPr="007C62DA" w:rsidRDefault="003D4E59" w:rsidP="003D4E59">
            <w:pPr>
              <w:rPr>
                <w:rFonts w:ascii="Arial" w:hAnsi="Arial" w:cs="Arial"/>
                <w:sz w:val="16"/>
                <w:szCs w:val="16"/>
              </w:rPr>
            </w:pPr>
            <w:r w:rsidRPr="007C62DA">
              <w:rPr>
                <w:rFonts w:ascii="Arial" w:hAnsi="Arial" w:cs="Arial"/>
                <w:sz w:val="16"/>
                <w:szCs w:val="16"/>
              </w:rPr>
              <w:t>*Se utilizan los valores del ensayo S</w:t>
            </w:r>
            <w:r>
              <w:rPr>
                <w:rFonts w:ascii="Arial" w:hAnsi="Arial" w:cs="Arial"/>
                <w:sz w:val="16"/>
                <w:szCs w:val="16"/>
              </w:rPr>
              <w:t>P</w:t>
            </w:r>
            <w:r w:rsidRPr="007C62DA">
              <w:rPr>
                <w:rFonts w:ascii="Arial" w:hAnsi="Arial" w:cs="Arial"/>
                <w:sz w:val="16"/>
                <w:szCs w:val="16"/>
              </w:rPr>
              <w:t>R1</w:t>
            </w:r>
            <w:r>
              <w:rPr>
                <w:rFonts w:ascii="Arial" w:hAnsi="Arial" w:cs="Arial"/>
                <w:sz w:val="16"/>
                <w:szCs w:val="16"/>
              </w:rPr>
              <w:t>NT</w:t>
            </w:r>
            <w:r w:rsidRPr="007C62DA">
              <w:rPr>
                <w:rFonts w:ascii="Arial" w:hAnsi="Arial" w:cs="Arial"/>
                <w:sz w:val="16"/>
                <w:szCs w:val="16"/>
              </w:rPr>
              <w:t xml:space="preserve"> a los </w:t>
            </w:r>
            <w:r>
              <w:rPr>
                <w:rFonts w:ascii="Arial" w:hAnsi="Arial" w:cs="Arial"/>
                <w:sz w:val="16"/>
                <w:szCs w:val="16"/>
              </w:rPr>
              <w:t>8,74</w:t>
            </w:r>
            <w:r w:rsidRPr="007C62DA">
              <w:rPr>
                <w:rFonts w:ascii="Arial" w:hAnsi="Arial" w:cs="Arial"/>
                <w:sz w:val="16"/>
                <w:szCs w:val="16"/>
              </w:rPr>
              <w:t xml:space="preserve"> meses de seguimiento</w:t>
            </w:r>
          </w:p>
        </w:tc>
      </w:tr>
    </w:tbl>
    <w:p w14:paraId="572BF9BB" w14:textId="77777777" w:rsidR="00497CBD" w:rsidRDefault="00497CBD" w:rsidP="00497CBD">
      <w:pPr>
        <w:jc w:val="both"/>
        <w:rPr>
          <w:rFonts w:ascii="Arial" w:hAnsi="Arial" w:cs="Arial"/>
          <w:sz w:val="20"/>
          <w:szCs w:val="20"/>
        </w:rPr>
      </w:pPr>
    </w:p>
    <w:p w14:paraId="09FD582A" w14:textId="07D343FF" w:rsidR="00497CBD" w:rsidRDefault="00497CBD" w:rsidP="00497CBD">
      <w:pPr>
        <w:jc w:val="both"/>
        <w:rPr>
          <w:rFonts w:ascii="Arial" w:hAnsi="Arial" w:cs="Arial"/>
          <w:sz w:val="20"/>
          <w:szCs w:val="20"/>
        </w:rPr>
      </w:pPr>
      <w:r w:rsidRPr="00765109">
        <w:rPr>
          <w:rFonts w:ascii="Arial" w:hAnsi="Arial" w:cs="Arial"/>
          <w:sz w:val="20"/>
          <w:szCs w:val="20"/>
        </w:rPr>
        <w:t xml:space="preserve">Se estima que durante un año serían tratados entre </w:t>
      </w:r>
      <w:r w:rsidR="008D27F1">
        <w:rPr>
          <w:rFonts w:ascii="Arial" w:hAnsi="Arial" w:cs="Arial"/>
          <w:sz w:val="20"/>
          <w:szCs w:val="20"/>
        </w:rPr>
        <w:t>14</w:t>
      </w:r>
      <w:r w:rsidRPr="00765109">
        <w:rPr>
          <w:rFonts w:ascii="Arial" w:hAnsi="Arial" w:cs="Arial"/>
          <w:sz w:val="20"/>
          <w:szCs w:val="20"/>
        </w:rPr>
        <w:t xml:space="preserve"> pacientes </w:t>
      </w:r>
      <w:r w:rsidR="008D27F1">
        <w:rPr>
          <w:rFonts w:ascii="Arial" w:hAnsi="Arial" w:cs="Arial"/>
          <w:sz w:val="20"/>
          <w:szCs w:val="20"/>
        </w:rPr>
        <w:t xml:space="preserve">presintomáticos </w:t>
      </w:r>
      <w:r w:rsidRPr="00765109">
        <w:rPr>
          <w:rFonts w:ascii="Arial" w:hAnsi="Arial" w:cs="Arial"/>
          <w:sz w:val="20"/>
          <w:szCs w:val="20"/>
        </w:rPr>
        <w:t xml:space="preserve">con AME </w:t>
      </w:r>
      <w:r>
        <w:rPr>
          <w:rFonts w:ascii="Arial" w:hAnsi="Arial" w:cs="Arial"/>
          <w:sz w:val="20"/>
          <w:szCs w:val="20"/>
        </w:rPr>
        <w:t xml:space="preserve">y </w:t>
      </w:r>
      <w:r w:rsidR="008D27F1">
        <w:rPr>
          <w:rFonts w:ascii="Arial" w:hAnsi="Arial" w:cs="Arial"/>
          <w:sz w:val="20"/>
          <w:szCs w:val="20"/>
        </w:rPr>
        <w:t xml:space="preserve">hasta </w:t>
      </w:r>
      <w:r>
        <w:rPr>
          <w:rFonts w:ascii="Arial" w:hAnsi="Arial" w:cs="Arial"/>
          <w:sz w:val="20"/>
          <w:szCs w:val="20"/>
        </w:rPr>
        <w:t>tres copias del gen SMN2</w:t>
      </w:r>
      <w:r w:rsidRPr="00765109">
        <w:rPr>
          <w:rFonts w:ascii="Arial" w:hAnsi="Arial" w:cs="Arial"/>
          <w:sz w:val="20"/>
          <w:szCs w:val="20"/>
        </w:rPr>
        <w:t xml:space="preserve"> con el fármaco. El coste para el Sistema Nac</w:t>
      </w:r>
      <w:r>
        <w:rPr>
          <w:rFonts w:ascii="Arial" w:hAnsi="Arial" w:cs="Arial"/>
          <w:sz w:val="20"/>
          <w:szCs w:val="20"/>
        </w:rPr>
        <w:t xml:space="preserve">ional de Salud, suponiendo que actualmente no se estuvieran tratando estos pacientes con ningún otro fármaco, sería de </w:t>
      </w:r>
      <w:r w:rsidR="008D27F1" w:rsidRPr="008D27F1">
        <w:rPr>
          <w:rFonts w:ascii="Arial" w:hAnsi="Arial" w:cs="Arial"/>
          <w:sz w:val="20"/>
          <w:szCs w:val="20"/>
        </w:rPr>
        <w:t>24.990.000 €</w:t>
      </w:r>
      <w:r w:rsidRPr="00765109">
        <w:rPr>
          <w:rFonts w:ascii="Arial" w:hAnsi="Arial" w:cs="Arial"/>
          <w:sz w:val="20"/>
          <w:szCs w:val="20"/>
        </w:rPr>
        <w:t xml:space="preserve">. El beneficio global que </w:t>
      </w:r>
      <w:r>
        <w:rPr>
          <w:rFonts w:ascii="Arial" w:hAnsi="Arial" w:cs="Arial"/>
          <w:sz w:val="20"/>
          <w:szCs w:val="20"/>
        </w:rPr>
        <w:t>lo</w:t>
      </w:r>
      <w:r w:rsidRPr="00765109">
        <w:rPr>
          <w:rFonts w:ascii="Arial" w:hAnsi="Arial" w:cs="Arial"/>
          <w:sz w:val="20"/>
          <w:szCs w:val="20"/>
        </w:rPr>
        <w:t xml:space="preserve"> obtendría</w:t>
      </w:r>
      <w:r>
        <w:rPr>
          <w:rFonts w:ascii="Arial" w:hAnsi="Arial" w:cs="Arial"/>
          <w:sz w:val="20"/>
          <w:szCs w:val="20"/>
        </w:rPr>
        <w:t>n</w:t>
      </w:r>
      <w:r w:rsidRPr="00765109">
        <w:rPr>
          <w:rFonts w:ascii="Arial" w:hAnsi="Arial" w:cs="Arial"/>
          <w:sz w:val="20"/>
          <w:szCs w:val="20"/>
        </w:rPr>
        <w:t xml:space="preserve"> </w:t>
      </w:r>
      <w:r>
        <w:rPr>
          <w:rFonts w:ascii="Arial" w:hAnsi="Arial" w:cs="Arial"/>
          <w:sz w:val="20"/>
          <w:szCs w:val="20"/>
        </w:rPr>
        <w:t xml:space="preserve">los </w:t>
      </w:r>
      <w:r w:rsidR="008D27F1">
        <w:rPr>
          <w:rFonts w:ascii="Arial" w:hAnsi="Arial" w:cs="Arial"/>
          <w:sz w:val="20"/>
          <w:szCs w:val="20"/>
        </w:rPr>
        <w:t>14</w:t>
      </w:r>
      <w:r w:rsidRPr="00765109">
        <w:rPr>
          <w:rFonts w:ascii="Arial" w:hAnsi="Arial" w:cs="Arial"/>
          <w:sz w:val="20"/>
          <w:szCs w:val="20"/>
        </w:rPr>
        <w:t xml:space="preserve"> pacientes</w:t>
      </w:r>
      <w:r>
        <w:rPr>
          <w:rFonts w:ascii="Arial" w:hAnsi="Arial" w:cs="Arial"/>
          <w:sz w:val="20"/>
          <w:szCs w:val="20"/>
        </w:rPr>
        <w:t>, que mantendrían la</w:t>
      </w:r>
      <w:r w:rsidRPr="00765109">
        <w:rPr>
          <w:rFonts w:ascii="Arial" w:hAnsi="Arial" w:cs="Arial"/>
          <w:sz w:val="20"/>
          <w:szCs w:val="20"/>
        </w:rPr>
        <w:t xml:space="preserve"> supervivencia libre de eventos (ni muerte ni ventilación permanente) a los </w:t>
      </w:r>
      <w:r>
        <w:rPr>
          <w:rFonts w:ascii="Arial" w:hAnsi="Arial" w:cs="Arial"/>
          <w:sz w:val="20"/>
          <w:szCs w:val="20"/>
        </w:rPr>
        <w:t xml:space="preserve">8,74 meses tras la administración del fármaco. Al no tener estudios comparativos, desconocemos el beneficio incremental que se obtendría frente al tratamiento con nusinersen. En esta comparación, el impacto presupuestario sería de </w:t>
      </w:r>
      <w:r w:rsidR="00DB7EDB">
        <w:rPr>
          <w:rFonts w:ascii="Arial" w:hAnsi="Arial" w:cs="Arial"/>
          <w:sz w:val="20"/>
          <w:szCs w:val="20"/>
        </w:rPr>
        <w:t>19,79</w:t>
      </w:r>
      <w:r>
        <w:rPr>
          <w:rFonts w:ascii="Arial" w:hAnsi="Arial" w:cs="Arial"/>
          <w:sz w:val="20"/>
          <w:szCs w:val="20"/>
        </w:rPr>
        <w:t xml:space="preserve"> millones de eur</w:t>
      </w:r>
      <w:r w:rsidR="007A2E00">
        <w:rPr>
          <w:rFonts w:ascii="Arial" w:hAnsi="Arial" w:cs="Arial"/>
          <w:sz w:val="20"/>
          <w:szCs w:val="20"/>
        </w:rPr>
        <w:t>os para este grupo de pacientes el primer año, aunque es de esperar un menor impacto a largo plazo al no utilizarse nusinersen en estos pacientes.</w:t>
      </w:r>
    </w:p>
    <w:p w14:paraId="4070497C" w14:textId="77777777" w:rsidR="005C2411" w:rsidRDefault="005C2411" w:rsidP="00534AD3">
      <w:pPr>
        <w:jc w:val="both"/>
        <w:rPr>
          <w:rFonts w:ascii="Arial" w:hAnsi="Arial" w:cs="Arial"/>
          <w:sz w:val="20"/>
          <w:szCs w:val="20"/>
        </w:rPr>
      </w:pPr>
    </w:p>
    <w:p w14:paraId="209F5A89" w14:textId="77777777" w:rsidR="0060785D" w:rsidRDefault="0060785D" w:rsidP="001F6887">
      <w:pPr>
        <w:jc w:val="both"/>
        <w:rPr>
          <w:rFonts w:ascii="Arial" w:hAnsi="Arial" w:cs="Arial"/>
          <w:b/>
          <w:bCs/>
          <w:sz w:val="20"/>
          <w:szCs w:val="20"/>
          <w:u w:val="single"/>
        </w:rPr>
      </w:pPr>
      <w:r w:rsidRPr="007C62DA">
        <w:rPr>
          <w:rFonts w:ascii="Arial" w:hAnsi="Arial" w:cs="Arial"/>
          <w:b/>
          <w:bCs/>
          <w:sz w:val="20"/>
          <w:szCs w:val="20"/>
          <w:u w:val="single"/>
        </w:rPr>
        <w:t>Análisis de sensibilidad</w:t>
      </w:r>
    </w:p>
    <w:p w14:paraId="24C8F9E3" w14:textId="77777777" w:rsidR="007C62DA" w:rsidRDefault="007C62DA" w:rsidP="001F6887">
      <w:pPr>
        <w:jc w:val="both"/>
        <w:rPr>
          <w:rFonts w:ascii="Arial" w:hAnsi="Arial" w:cs="Arial"/>
          <w:b/>
          <w:bCs/>
          <w:sz w:val="20"/>
          <w:szCs w:val="20"/>
          <w:u w:val="single"/>
        </w:rPr>
      </w:pPr>
    </w:p>
    <w:p w14:paraId="7DBF455A" w14:textId="6469E7AF" w:rsidR="002C5BC4" w:rsidRDefault="002C5BC4" w:rsidP="002C5BC4">
      <w:pPr>
        <w:jc w:val="both"/>
        <w:rPr>
          <w:rFonts w:ascii="Arial" w:hAnsi="Arial" w:cs="Arial"/>
          <w:bCs/>
          <w:sz w:val="20"/>
          <w:szCs w:val="20"/>
        </w:rPr>
      </w:pPr>
      <w:r w:rsidRPr="00510290">
        <w:rPr>
          <w:rFonts w:ascii="Arial" w:hAnsi="Arial" w:cs="Arial"/>
          <w:bCs/>
          <w:sz w:val="20"/>
          <w:szCs w:val="20"/>
        </w:rPr>
        <w:t>Actualmente</w:t>
      </w:r>
      <w:r>
        <w:rPr>
          <w:rFonts w:ascii="Arial" w:hAnsi="Arial" w:cs="Arial"/>
          <w:bCs/>
          <w:sz w:val="20"/>
          <w:szCs w:val="20"/>
        </w:rPr>
        <w:t>, o</w:t>
      </w:r>
      <w:r w:rsidRPr="00510290">
        <w:rPr>
          <w:rFonts w:ascii="Arial" w:hAnsi="Arial" w:cs="Arial"/>
          <w:bCs/>
          <w:sz w:val="20"/>
          <w:szCs w:val="20"/>
        </w:rPr>
        <w:t>nasemnogén abeparvovec</w:t>
      </w:r>
      <w:r>
        <w:rPr>
          <w:rFonts w:ascii="Arial" w:hAnsi="Arial" w:cs="Arial"/>
          <w:bCs/>
          <w:sz w:val="20"/>
          <w:szCs w:val="20"/>
        </w:rPr>
        <w:t xml:space="preserve"> no tiene precio en España. Se han realizado los cálculos utilizando el coste en EEUU con el cambio de $ a €. La comparación con nusinersen es complicada, debido a que en un caso la dosis administrada es única y en otro el tratamiento es indefinido. Por lo tanto, para el cálculo del coste del tratamiento completo debemos aplicar un horizonte temporal que sería la media de años en los que se administra nusinersen. Aunque este dato no lo tenemos, </w:t>
      </w:r>
      <w:r>
        <w:rPr>
          <w:rFonts w:ascii="Arial" w:hAnsi="Arial" w:cs="Arial"/>
          <w:bCs/>
          <w:sz w:val="20"/>
          <w:szCs w:val="20"/>
        </w:rPr>
        <w:lastRenderedPageBreak/>
        <w:t>según el informe del ICER, los años de vida asignados a los pacientes con AME tipo I que reciben nusinersen son 7,64. Por lo tanto, asumimos que los pacientes recibirán nusinersen entre 7 y 8 años. Realizamos análisis de sensibilidad aplicando u</w:t>
      </w:r>
      <w:r w:rsidR="00E606C3">
        <w:rPr>
          <w:rFonts w:ascii="Arial" w:hAnsi="Arial" w:cs="Arial"/>
          <w:bCs/>
          <w:sz w:val="20"/>
          <w:szCs w:val="20"/>
        </w:rPr>
        <w:t>n</w:t>
      </w:r>
      <w:r>
        <w:rPr>
          <w:rFonts w:ascii="Arial" w:hAnsi="Arial" w:cs="Arial"/>
          <w:bCs/>
          <w:sz w:val="20"/>
          <w:szCs w:val="20"/>
        </w:rPr>
        <w:t xml:space="preserve"> coste de o</w:t>
      </w:r>
      <w:r w:rsidRPr="002C5BC4">
        <w:rPr>
          <w:rFonts w:ascii="Arial" w:hAnsi="Arial" w:cs="Arial"/>
          <w:bCs/>
          <w:sz w:val="20"/>
          <w:szCs w:val="20"/>
        </w:rPr>
        <w:t>nasemnogén abeparvovec</w:t>
      </w:r>
      <w:r>
        <w:rPr>
          <w:rFonts w:ascii="Arial" w:hAnsi="Arial" w:cs="Arial"/>
          <w:bCs/>
          <w:sz w:val="20"/>
          <w:szCs w:val="20"/>
        </w:rPr>
        <w:t xml:space="preserve"> similar al de nusinersen en este periodo de tiempo.</w:t>
      </w:r>
    </w:p>
    <w:p w14:paraId="2DD48F49" w14:textId="77777777" w:rsidR="002C5BC4" w:rsidRDefault="002C5BC4" w:rsidP="002C5BC4">
      <w:pPr>
        <w:jc w:val="both"/>
        <w:rPr>
          <w:rFonts w:ascii="Arial" w:hAnsi="Arial" w:cs="Arial"/>
          <w:bCs/>
          <w:sz w:val="20"/>
          <w:szCs w:val="20"/>
        </w:rPr>
      </w:pPr>
    </w:p>
    <w:p w14:paraId="4E89AFDF" w14:textId="0BF969E7" w:rsidR="002C5BC4" w:rsidRPr="00510290" w:rsidRDefault="002C5BC4" w:rsidP="002C5BC4">
      <w:pPr>
        <w:jc w:val="both"/>
        <w:rPr>
          <w:rFonts w:ascii="Arial" w:hAnsi="Arial" w:cs="Arial"/>
          <w:bCs/>
          <w:sz w:val="20"/>
          <w:szCs w:val="20"/>
        </w:rPr>
      </w:pPr>
      <w:r>
        <w:rPr>
          <w:rFonts w:ascii="Arial" w:hAnsi="Arial" w:cs="Arial"/>
          <w:bCs/>
          <w:sz w:val="20"/>
          <w:szCs w:val="20"/>
        </w:rPr>
        <w:t>Por otro lado, actualmente nusinersen está sujeto a un techo de gasto. Realizamos, por tanto, análisis de sensibilidad suponiendo que el coste real del tratamiento sea un 10% menor.</w:t>
      </w:r>
    </w:p>
    <w:p w14:paraId="3453610F" w14:textId="77777777" w:rsidR="002C5BC4" w:rsidRDefault="002C5BC4" w:rsidP="001F6887">
      <w:pPr>
        <w:jc w:val="both"/>
        <w:rPr>
          <w:rFonts w:ascii="Arial" w:hAnsi="Arial" w:cs="Arial"/>
          <w:b/>
          <w:bCs/>
          <w:sz w:val="20"/>
          <w:szCs w:val="20"/>
          <w:u w:val="single"/>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8"/>
        <w:gridCol w:w="1417"/>
        <w:gridCol w:w="1418"/>
        <w:gridCol w:w="1276"/>
        <w:gridCol w:w="1275"/>
      </w:tblGrid>
      <w:tr w:rsidR="004B34D8" w:rsidRPr="005C2411" w14:paraId="5A970F5B" w14:textId="77777777" w:rsidTr="002C5BC4">
        <w:tc>
          <w:tcPr>
            <w:tcW w:w="9039" w:type="dxa"/>
            <w:gridSpan w:val="6"/>
            <w:tcBorders>
              <w:top w:val="single" w:sz="4" w:space="0" w:color="auto"/>
              <w:left w:val="single" w:sz="4" w:space="0" w:color="auto"/>
              <w:bottom w:val="single" w:sz="4" w:space="0" w:color="auto"/>
              <w:right w:val="single" w:sz="4" w:space="0" w:color="auto"/>
            </w:tcBorders>
            <w:shd w:val="clear" w:color="auto" w:fill="CCFFCC"/>
            <w:hideMark/>
          </w:tcPr>
          <w:p w14:paraId="06959F65" w14:textId="77777777" w:rsidR="004B34D8" w:rsidRPr="005C2411" w:rsidRDefault="004B34D8" w:rsidP="004B34D8">
            <w:pPr>
              <w:rPr>
                <w:rFonts w:ascii="Arial" w:hAnsi="Arial" w:cs="Arial"/>
                <w:b/>
                <w:sz w:val="18"/>
                <w:szCs w:val="18"/>
              </w:rPr>
            </w:pPr>
            <w:r w:rsidRPr="005C2411">
              <w:rPr>
                <w:rFonts w:ascii="Arial" w:hAnsi="Arial" w:cs="Arial"/>
                <w:b/>
                <w:sz w:val="18"/>
                <w:szCs w:val="18"/>
              </w:rPr>
              <w:t xml:space="preserve">Tabla 7.4.3.1.4. Análisis de sensibilidad. TABLA DE VARIABILIDAD DE COSTES. </w:t>
            </w:r>
          </w:p>
          <w:p w14:paraId="3510A502" w14:textId="77777777" w:rsidR="004B34D8" w:rsidRPr="005C2411" w:rsidRDefault="004B34D8" w:rsidP="004B34D8">
            <w:pPr>
              <w:rPr>
                <w:rFonts w:ascii="Cambria" w:hAnsi="Cambria" w:cs="Calibri"/>
                <w:sz w:val="18"/>
                <w:szCs w:val="18"/>
              </w:rPr>
            </w:pPr>
            <w:r w:rsidRPr="005C2411">
              <w:rPr>
                <w:rFonts w:ascii="Arial" w:hAnsi="Arial" w:cs="Arial"/>
                <w:sz w:val="18"/>
                <w:szCs w:val="18"/>
              </w:rPr>
              <w:t xml:space="preserve">Estimación del coste incremental por paciente en función de costes del tratamiento diversos. </w:t>
            </w:r>
          </w:p>
        </w:tc>
      </w:tr>
      <w:tr w:rsidR="004B34D8" w14:paraId="7E5DCADB" w14:textId="77777777" w:rsidTr="002C5BC4">
        <w:tc>
          <w:tcPr>
            <w:tcW w:w="2235" w:type="dxa"/>
            <w:tcBorders>
              <w:top w:val="single" w:sz="4" w:space="0" w:color="auto"/>
              <w:left w:val="single" w:sz="4" w:space="0" w:color="auto"/>
              <w:bottom w:val="single" w:sz="4" w:space="0" w:color="auto"/>
              <w:right w:val="single" w:sz="4" w:space="0" w:color="auto"/>
            </w:tcBorders>
            <w:shd w:val="clear" w:color="auto" w:fill="D9D9D9"/>
            <w:hideMark/>
          </w:tcPr>
          <w:p w14:paraId="7034F780" w14:textId="287BBC4A" w:rsidR="004B34D8" w:rsidRDefault="004B34D8" w:rsidP="004B34D8">
            <w:pPr>
              <w:jc w:val="center"/>
              <w:rPr>
                <w:rFonts w:ascii="Arial" w:hAnsi="Arial" w:cs="Arial"/>
                <w:sz w:val="16"/>
                <w:szCs w:val="16"/>
              </w:rPr>
            </w:pPr>
            <w:r>
              <w:rPr>
                <w:rFonts w:ascii="Arial" w:hAnsi="Arial" w:cs="Arial"/>
                <w:sz w:val="16"/>
                <w:szCs w:val="16"/>
              </w:rPr>
              <w:t xml:space="preserve">Tipo de coste </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B07DF23" w14:textId="77777777" w:rsidR="004B34D8" w:rsidRDefault="004B34D8" w:rsidP="004B34D8">
            <w:pPr>
              <w:jc w:val="center"/>
              <w:rPr>
                <w:rFonts w:ascii="Arial" w:hAnsi="Arial" w:cs="Arial"/>
                <w:sz w:val="16"/>
                <w:szCs w:val="16"/>
              </w:rPr>
            </w:pPr>
            <w:r>
              <w:rPr>
                <w:rFonts w:ascii="Arial" w:hAnsi="Arial" w:cs="Arial"/>
                <w:sz w:val="16"/>
                <w:szCs w:val="16"/>
              </w:rPr>
              <w:t>Coste  adquisición medicamento en estudio</w:t>
            </w:r>
          </w:p>
          <w:p w14:paraId="38082273" w14:textId="77777777" w:rsidR="004B34D8" w:rsidRDefault="004B34D8" w:rsidP="004B34D8">
            <w:pPr>
              <w:jc w:val="center"/>
              <w:rPr>
                <w:rFonts w:ascii="Arial" w:hAnsi="Arial" w:cs="Arial"/>
                <w:sz w:val="16"/>
                <w:szCs w:val="16"/>
              </w:rPr>
            </w:pPr>
            <w:r>
              <w:rPr>
                <w:rFonts w:ascii="Arial" w:hAnsi="Arial" w:cs="Arial"/>
                <w:sz w:val="16"/>
                <w:szCs w:val="16"/>
              </w:rPr>
              <w:t xml:space="preserve">(unidad) </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2B1E5C5D" w14:textId="35E7B1A7" w:rsidR="004B34D8" w:rsidRDefault="004B34D8" w:rsidP="004B34D8">
            <w:pPr>
              <w:jc w:val="center"/>
              <w:rPr>
                <w:rFonts w:ascii="Arial" w:hAnsi="Arial" w:cs="Arial"/>
                <w:sz w:val="16"/>
                <w:szCs w:val="16"/>
              </w:rPr>
            </w:pPr>
            <w:r>
              <w:rPr>
                <w:rFonts w:ascii="Arial" w:hAnsi="Arial" w:cs="Arial"/>
                <w:sz w:val="16"/>
                <w:szCs w:val="16"/>
              </w:rPr>
              <w:t>Coste adquisición medicamento comparador (unidad)</w:t>
            </w:r>
            <w:r w:rsidR="00A35C6F">
              <w:rPr>
                <w:rFonts w:ascii="Arial" w:hAnsi="Arial" w:cs="Arial"/>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6CA134F" w14:textId="77777777" w:rsidR="004B34D8" w:rsidRDefault="004B34D8" w:rsidP="004B34D8">
            <w:pPr>
              <w:jc w:val="center"/>
              <w:rPr>
                <w:rFonts w:ascii="Arial" w:hAnsi="Arial" w:cs="Arial"/>
                <w:sz w:val="16"/>
                <w:szCs w:val="16"/>
              </w:rPr>
            </w:pPr>
            <w:r>
              <w:rPr>
                <w:rFonts w:ascii="Arial" w:hAnsi="Arial" w:cs="Arial"/>
                <w:sz w:val="16"/>
                <w:szCs w:val="16"/>
              </w:rPr>
              <w:t xml:space="preserve">Coste del tratamiento con el medicamento en estudio </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7A07AEA3" w14:textId="77777777" w:rsidR="004B34D8" w:rsidRDefault="004B34D8" w:rsidP="004B34D8">
            <w:pPr>
              <w:jc w:val="center"/>
              <w:rPr>
                <w:rFonts w:ascii="Arial" w:hAnsi="Arial" w:cs="Arial"/>
                <w:sz w:val="16"/>
                <w:szCs w:val="16"/>
              </w:rPr>
            </w:pPr>
            <w:r>
              <w:rPr>
                <w:rFonts w:ascii="Arial" w:hAnsi="Arial" w:cs="Arial"/>
                <w:sz w:val="16"/>
                <w:szCs w:val="16"/>
              </w:rPr>
              <w:t xml:space="preserve">Coste del tratamiento con el comparador </w:t>
            </w:r>
          </w:p>
          <w:p w14:paraId="51538807" w14:textId="0622F03A" w:rsidR="004B34D8" w:rsidRDefault="004B34D8" w:rsidP="004B34D8">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D9D9"/>
            <w:hideMark/>
          </w:tcPr>
          <w:p w14:paraId="0C965594" w14:textId="77777777" w:rsidR="004B34D8" w:rsidRDefault="004B34D8" w:rsidP="004B34D8">
            <w:pPr>
              <w:jc w:val="center"/>
              <w:rPr>
                <w:rFonts w:ascii="Arial" w:hAnsi="Arial" w:cs="Arial"/>
                <w:sz w:val="16"/>
                <w:szCs w:val="16"/>
              </w:rPr>
            </w:pPr>
            <w:r>
              <w:rPr>
                <w:rFonts w:ascii="Arial" w:hAnsi="Arial" w:cs="Arial"/>
                <w:sz w:val="16"/>
                <w:szCs w:val="16"/>
              </w:rPr>
              <w:t>Coste incremental por paciente</w:t>
            </w:r>
          </w:p>
        </w:tc>
      </w:tr>
      <w:tr w:rsidR="007A2E00" w14:paraId="3DF05734" w14:textId="77777777" w:rsidTr="00E606C3">
        <w:tc>
          <w:tcPr>
            <w:tcW w:w="2235" w:type="dxa"/>
            <w:tcBorders>
              <w:top w:val="single" w:sz="4" w:space="0" w:color="auto"/>
              <w:left w:val="single" w:sz="4" w:space="0" w:color="auto"/>
              <w:bottom w:val="single" w:sz="4" w:space="0" w:color="auto"/>
              <w:right w:val="single" w:sz="4" w:space="0" w:color="auto"/>
            </w:tcBorders>
            <w:vAlign w:val="center"/>
            <w:hideMark/>
          </w:tcPr>
          <w:p w14:paraId="6F3C2752" w14:textId="60C2041B" w:rsidR="007A2E00" w:rsidRDefault="007A2E00" w:rsidP="00A53876">
            <w:pPr>
              <w:rPr>
                <w:rFonts w:ascii="Arial" w:hAnsi="Arial" w:cs="Arial"/>
                <w:sz w:val="16"/>
                <w:szCs w:val="16"/>
              </w:rPr>
            </w:pPr>
            <w:r>
              <w:rPr>
                <w:rFonts w:ascii="Arial" w:hAnsi="Arial" w:cs="Arial"/>
                <w:sz w:val="16"/>
                <w:szCs w:val="16"/>
              </w:rPr>
              <w:t>Coste a precio EEUU</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BD670D" w14:textId="11F629F4" w:rsidR="007A2E00" w:rsidRDefault="007A2E00" w:rsidP="00E606C3">
            <w:pPr>
              <w:jc w:val="center"/>
              <w:rPr>
                <w:rFonts w:ascii="Arial" w:hAnsi="Arial" w:cs="Arial"/>
                <w:sz w:val="16"/>
                <w:szCs w:val="16"/>
              </w:rPr>
            </w:pPr>
            <w:r>
              <w:rPr>
                <w:rFonts w:ascii="Arial" w:hAnsi="Arial" w:cs="Arial"/>
                <w:sz w:val="16"/>
                <w:szCs w:val="16"/>
              </w:rPr>
              <w:t>1.785.000 €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275E14" w14:textId="3A18AFE1" w:rsidR="007A2E00" w:rsidRDefault="007A2E00" w:rsidP="00E606C3">
            <w:pPr>
              <w:jc w:val="center"/>
              <w:rPr>
                <w:rFonts w:ascii="Arial" w:hAnsi="Arial" w:cs="Arial"/>
                <w:sz w:val="16"/>
                <w:szCs w:val="16"/>
              </w:rPr>
            </w:pPr>
            <w:r>
              <w:rPr>
                <w:rFonts w:ascii="Arial" w:hAnsi="Arial" w:cs="Arial"/>
                <w:sz w:val="16"/>
                <w:szCs w:val="16"/>
              </w:rPr>
              <w:t>61.900 €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50DE96" w14:textId="4DA9421B" w:rsidR="007A2E00" w:rsidRDefault="007A2E00" w:rsidP="00E606C3">
            <w:pPr>
              <w:jc w:val="center"/>
              <w:rPr>
                <w:rFonts w:ascii="Arial" w:hAnsi="Arial" w:cs="Arial"/>
                <w:sz w:val="16"/>
                <w:szCs w:val="16"/>
              </w:rPr>
            </w:pPr>
            <w:r>
              <w:rPr>
                <w:rFonts w:ascii="Arial" w:hAnsi="Arial" w:cs="Arial"/>
                <w:sz w:val="16"/>
                <w:szCs w:val="16"/>
              </w:rPr>
              <w:t>1.785.000 €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4F8DAA" w14:textId="77777777" w:rsidR="007A2E00" w:rsidRDefault="007A2E00" w:rsidP="00A35C6F">
            <w:pPr>
              <w:jc w:val="center"/>
              <w:rPr>
                <w:rFonts w:ascii="Arial" w:hAnsi="Arial" w:cs="Arial"/>
                <w:sz w:val="16"/>
                <w:szCs w:val="16"/>
              </w:rPr>
            </w:pPr>
            <w:r>
              <w:rPr>
                <w:rFonts w:ascii="Arial" w:hAnsi="Arial" w:cs="Arial"/>
                <w:sz w:val="16"/>
                <w:szCs w:val="16"/>
              </w:rPr>
              <w:t>1.671.300 €</w:t>
            </w:r>
          </w:p>
          <w:p w14:paraId="7077F89B" w14:textId="3DFA731F" w:rsidR="007A2E00" w:rsidRDefault="007A2E00" w:rsidP="00E606C3">
            <w:pPr>
              <w:jc w:val="center"/>
              <w:rPr>
                <w:rFonts w:ascii="Arial" w:hAnsi="Arial" w:cs="Arial"/>
                <w:sz w:val="16"/>
                <w:szCs w:val="16"/>
              </w:rPr>
            </w:pPr>
            <w:r>
              <w:rPr>
                <w:rFonts w:ascii="Arial" w:hAnsi="Arial" w:cs="Arial"/>
                <w:sz w:val="16"/>
                <w:szCs w:val="16"/>
              </w:rPr>
              <w:t>(8 años)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94386" w14:textId="66FC432D" w:rsidR="007A2E00" w:rsidRDefault="007A2E00" w:rsidP="00E606C3">
            <w:pPr>
              <w:jc w:val="center"/>
              <w:rPr>
                <w:rFonts w:ascii="Arial" w:hAnsi="Arial" w:cs="Arial"/>
                <w:sz w:val="16"/>
                <w:szCs w:val="16"/>
              </w:rPr>
            </w:pPr>
            <w:r>
              <w:rPr>
                <w:rFonts w:ascii="Arial" w:hAnsi="Arial" w:cs="Arial"/>
                <w:sz w:val="16"/>
                <w:szCs w:val="16"/>
              </w:rPr>
              <w:t>113.700 €</w:t>
            </w:r>
          </w:p>
        </w:tc>
      </w:tr>
      <w:tr w:rsidR="007A2E00" w14:paraId="560D563E" w14:textId="77777777" w:rsidTr="00E606C3">
        <w:tc>
          <w:tcPr>
            <w:tcW w:w="2235" w:type="dxa"/>
            <w:tcBorders>
              <w:top w:val="single" w:sz="4" w:space="0" w:color="auto"/>
              <w:left w:val="single" w:sz="4" w:space="0" w:color="auto"/>
              <w:bottom w:val="single" w:sz="4" w:space="0" w:color="auto"/>
              <w:right w:val="single" w:sz="4" w:space="0" w:color="auto"/>
            </w:tcBorders>
            <w:vAlign w:val="center"/>
            <w:hideMark/>
          </w:tcPr>
          <w:p w14:paraId="484E3278" w14:textId="26CECD33" w:rsidR="007A2E00" w:rsidRDefault="007A2E00" w:rsidP="004B34D8">
            <w:pPr>
              <w:rPr>
                <w:rFonts w:ascii="Arial" w:hAnsi="Arial" w:cs="Arial"/>
                <w:sz w:val="16"/>
                <w:szCs w:val="16"/>
              </w:rPr>
            </w:pPr>
            <w:r>
              <w:rPr>
                <w:rFonts w:ascii="Arial" w:hAnsi="Arial" w:cs="Arial"/>
                <w:sz w:val="16"/>
                <w:szCs w:val="16"/>
              </w:rPr>
              <w:t>Coste a precio de nusinersen durante 8 años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F2F17E" w14:textId="72749D26" w:rsidR="007A2E00" w:rsidRDefault="007A2E00" w:rsidP="00E606C3">
            <w:pPr>
              <w:jc w:val="center"/>
              <w:rPr>
                <w:rFonts w:ascii="Arial" w:hAnsi="Arial" w:cs="Arial"/>
                <w:sz w:val="16"/>
                <w:szCs w:val="16"/>
              </w:rPr>
            </w:pPr>
            <w:r>
              <w:rPr>
                <w:rFonts w:ascii="Arial" w:hAnsi="Arial" w:cs="Arial"/>
                <w:sz w:val="16"/>
                <w:szCs w:val="16"/>
              </w:rPr>
              <w:t>1.671.300 €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276F0D" w14:textId="4B77BE9E" w:rsidR="007A2E00" w:rsidRDefault="007A2E00" w:rsidP="00E606C3">
            <w:pPr>
              <w:jc w:val="center"/>
              <w:rPr>
                <w:rFonts w:ascii="Arial" w:hAnsi="Arial" w:cs="Arial"/>
                <w:sz w:val="16"/>
                <w:szCs w:val="16"/>
              </w:rPr>
            </w:pPr>
            <w:r>
              <w:rPr>
                <w:rFonts w:ascii="Arial" w:hAnsi="Arial" w:cs="Arial"/>
                <w:sz w:val="16"/>
                <w:szCs w:val="16"/>
              </w:rPr>
              <w:t>61.900 €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DC1E5C" w14:textId="4DA3AF59" w:rsidR="007A2E00" w:rsidRDefault="007A2E00" w:rsidP="00E606C3">
            <w:pPr>
              <w:jc w:val="center"/>
              <w:rPr>
                <w:rFonts w:ascii="Arial" w:hAnsi="Arial" w:cs="Arial"/>
                <w:sz w:val="16"/>
                <w:szCs w:val="16"/>
              </w:rPr>
            </w:pPr>
            <w:r w:rsidRPr="00B942C2">
              <w:rPr>
                <w:rFonts w:ascii="Arial" w:hAnsi="Arial" w:cs="Arial"/>
                <w:sz w:val="16"/>
                <w:szCs w:val="16"/>
              </w:rPr>
              <w:t>1.671.300 €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D564FB" w14:textId="77777777" w:rsidR="007A2E00" w:rsidRDefault="007A2E00" w:rsidP="00A35C6F">
            <w:pPr>
              <w:jc w:val="center"/>
              <w:rPr>
                <w:rFonts w:ascii="Arial" w:hAnsi="Arial" w:cs="Arial"/>
                <w:sz w:val="16"/>
                <w:szCs w:val="16"/>
              </w:rPr>
            </w:pPr>
            <w:r w:rsidRPr="00B942C2">
              <w:rPr>
                <w:rFonts w:ascii="Arial" w:hAnsi="Arial" w:cs="Arial"/>
                <w:sz w:val="16"/>
                <w:szCs w:val="16"/>
              </w:rPr>
              <w:t>1.671.300 €</w:t>
            </w:r>
          </w:p>
          <w:p w14:paraId="6B85AB0D" w14:textId="108FCB07" w:rsidR="007A2E00" w:rsidRDefault="007A2E00" w:rsidP="00E606C3">
            <w:pPr>
              <w:jc w:val="center"/>
              <w:rPr>
                <w:rFonts w:ascii="Arial" w:hAnsi="Arial" w:cs="Arial"/>
                <w:sz w:val="16"/>
                <w:szCs w:val="16"/>
              </w:rPr>
            </w:pPr>
            <w:r>
              <w:rPr>
                <w:rFonts w:ascii="Arial" w:hAnsi="Arial" w:cs="Arial"/>
                <w:sz w:val="16"/>
                <w:szCs w:val="16"/>
              </w:rPr>
              <w:t>(8 años)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0006B1" w14:textId="17186296" w:rsidR="007A2E00" w:rsidRDefault="007A2E00" w:rsidP="00E606C3">
            <w:pPr>
              <w:jc w:val="center"/>
              <w:rPr>
                <w:rFonts w:ascii="Arial" w:hAnsi="Arial" w:cs="Arial"/>
                <w:sz w:val="16"/>
                <w:szCs w:val="16"/>
              </w:rPr>
            </w:pPr>
            <w:r>
              <w:rPr>
                <w:rFonts w:ascii="Arial" w:hAnsi="Arial" w:cs="Arial"/>
                <w:sz w:val="16"/>
                <w:szCs w:val="16"/>
              </w:rPr>
              <w:t>0 €</w:t>
            </w:r>
          </w:p>
        </w:tc>
      </w:tr>
      <w:tr w:rsidR="007A2E00" w14:paraId="5CA8A46C" w14:textId="77777777" w:rsidTr="00E606C3">
        <w:tc>
          <w:tcPr>
            <w:tcW w:w="2235" w:type="dxa"/>
            <w:tcBorders>
              <w:top w:val="single" w:sz="4" w:space="0" w:color="auto"/>
              <w:left w:val="single" w:sz="4" w:space="0" w:color="auto"/>
              <w:bottom w:val="single" w:sz="4" w:space="0" w:color="auto"/>
              <w:right w:val="single" w:sz="4" w:space="0" w:color="auto"/>
            </w:tcBorders>
            <w:vAlign w:val="center"/>
          </w:tcPr>
          <w:p w14:paraId="1F20EB98" w14:textId="6290C804" w:rsidR="007A2E00" w:rsidRDefault="007A2E00" w:rsidP="002C5BC4">
            <w:pPr>
              <w:rPr>
                <w:rFonts w:ascii="Arial" w:hAnsi="Arial" w:cs="Arial"/>
                <w:sz w:val="16"/>
                <w:szCs w:val="16"/>
              </w:rPr>
            </w:pPr>
            <w:r>
              <w:rPr>
                <w:rFonts w:ascii="Arial" w:hAnsi="Arial" w:cs="Arial"/>
                <w:sz w:val="16"/>
                <w:szCs w:val="16"/>
              </w:rPr>
              <w:t>Coste a precio de nusinersen durante 7 años</w:t>
            </w:r>
          </w:p>
        </w:tc>
        <w:tc>
          <w:tcPr>
            <w:tcW w:w="1418" w:type="dxa"/>
            <w:tcBorders>
              <w:top w:val="single" w:sz="4" w:space="0" w:color="auto"/>
              <w:left w:val="single" w:sz="4" w:space="0" w:color="auto"/>
              <w:bottom w:val="single" w:sz="4" w:space="0" w:color="auto"/>
              <w:right w:val="single" w:sz="4" w:space="0" w:color="auto"/>
            </w:tcBorders>
            <w:vAlign w:val="center"/>
          </w:tcPr>
          <w:p w14:paraId="4CFAF39F" w14:textId="742B5877" w:rsidR="007A2E00" w:rsidRDefault="007A2E00" w:rsidP="00E606C3">
            <w:pPr>
              <w:jc w:val="center"/>
              <w:rPr>
                <w:rFonts w:ascii="Arial" w:hAnsi="Arial" w:cs="Arial"/>
                <w:sz w:val="16"/>
                <w:szCs w:val="16"/>
              </w:rPr>
            </w:pPr>
            <w:r>
              <w:rPr>
                <w:rFonts w:ascii="Arial" w:hAnsi="Arial" w:cs="Arial"/>
                <w:sz w:val="16"/>
                <w:szCs w:val="16"/>
              </w:rPr>
              <w:t>1.485.600 €</w:t>
            </w:r>
          </w:p>
        </w:tc>
        <w:tc>
          <w:tcPr>
            <w:tcW w:w="1417" w:type="dxa"/>
            <w:tcBorders>
              <w:top w:val="single" w:sz="4" w:space="0" w:color="auto"/>
              <w:left w:val="single" w:sz="4" w:space="0" w:color="auto"/>
              <w:bottom w:val="single" w:sz="4" w:space="0" w:color="auto"/>
              <w:right w:val="single" w:sz="4" w:space="0" w:color="auto"/>
            </w:tcBorders>
            <w:vAlign w:val="center"/>
          </w:tcPr>
          <w:p w14:paraId="5260E697" w14:textId="643D0C1B" w:rsidR="007A2E00" w:rsidRDefault="007A2E00" w:rsidP="00E606C3">
            <w:pPr>
              <w:jc w:val="center"/>
              <w:rPr>
                <w:rFonts w:ascii="Arial" w:hAnsi="Arial" w:cs="Arial"/>
                <w:sz w:val="16"/>
                <w:szCs w:val="16"/>
              </w:rPr>
            </w:pPr>
            <w:r w:rsidRPr="004B34D8">
              <w:rPr>
                <w:rFonts w:ascii="Arial" w:hAnsi="Arial" w:cs="Arial"/>
                <w:sz w:val="16"/>
                <w:szCs w:val="16"/>
              </w:rPr>
              <w:t>61.900 €</w:t>
            </w:r>
          </w:p>
        </w:tc>
        <w:tc>
          <w:tcPr>
            <w:tcW w:w="1418" w:type="dxa"/>
            <w:tcBorders>
              <w:top w:val="single" w:sz="4" w:space="0" w:color="auto"/>
              <w:left w:val="single" w:sz="4" w:space="0" w:color="auto"/>
              <w:bottom w:val="single" w:sz="4" w:space="0" w:color="auto"/>
              <w:right w:val="single" w:sz="4" w:space="0" w:color="auto"/>
            </w:tcBorders>
            <w:vAlign w:val="center"/>
          </w:tcPr>
          <w:p w14:paraId="6A7B01CC" w14:textId="31892FFF" w:rsidR="007A2E00" w:rsidRPr="00B942C2" w:rsidRDefault="007A2E00" w:rsidP="00E606C3">
            <w:pPr>
              <w:jc w:val="center"/>
              <w:rPr>
                <w:rFonts w:ascii="Arial" w:hAnsi="Arial" w:cs="Arial"/>
                <w:sz w:val="16"/>
                <w:szCs w:val="16"/>
              </w:rPr>
            </w:pPr>
            <w:r w:rsidRPr="00EA61FD">
              <w:rPr>
                <w:rFonts w:ascii="Arial" w:hAnsi="Arial" w:cs="Arial"/>
                <w:sz w:val="16"/>
                <w:szCs w:val="16"/>
              </w:rPr>
              <w:t>1.485.600 €</w:t>
            </w:r>
          </w:p>
        </w:tc>
        <w:tc>
          <w:tcPr>
            <w:tcW w:w="1276" w:type="dxa"/>
            <w:tcBorders>
              <w:top w:val="single" w:sz="4" w:space="0" w:color="auto"/>
              <w:left w:val="single" w:sz="4" w:space="0" w:color="auto"/>
              <w:bottom w:val="single" w:sz="4" w:space="0" w:color="auto"/>
              <w:right w:val="single" w:sz="4" w:space="0" w:color="auto"/>
            </w:tcBorders>
            <w:vAlign w:val="center"/>
          </w:tcPr>
          <w:p w14:paraId="4C94C697" w14:textId="77777777" w:rsidR="007A2E00" w:rsidRDefault="007A2E00" w:rsidP="00A35C6F">
            <w:pPr>
              <w:jc w:val="center"/>
              <w:rPr>
                <w:rFonts w:ascii="Arial" w:hAnsi="Arial" w:cs="Arial"/>
                <w:sz w:val="16"/>
                <w:szCs w:val="16"/>
              </w:rPr>
            </w:pPr>
            <w:r w:rsidRPr="00EA61FD">
              <w:rPr>
                <w:rFonts w:ascii="Arial" w:hAnsi="Arial" w:cs="Arial"/>
                <w:sz w:val="16"/>
                <w:szCs w:val="16"/>
              </w:rPr>
              <w:t>1.485.600 €</w:t>
            </w:r>
          </w:p>
          <w:p w14:paraId="0C00F23D" w14:textId="02936600" w:rsidR="007A2E00" w:rsidRPr="00B942C2" w:rsidRDefault="007A2E00" w:rsidP="00E606C3">
            <w:pPr>
              <w:jc w:val="center"/>
              <w:rPr>
                <w:rFonts w:ascii="Arial" w:hAnsi="Arial" w:cs="Arial"/>
                <w:sz w:val="16"/>
                <w:szCs w:val="16"/>
              </w:rPr>
            </w:pPr>
            <w:r>
              <w:rPr>
                <w:rFonts w:ascii="Arial" w:hAnsi="Arial" w:cs="Arial"/>
                <w:sz w:val="16"/>
                <w:szCs w:val="16"/>
              </w:rPr>
              <w:t>(7 años)</w:t>
            </w:r>
          </w:p>
        </w:tc>
        <w:tc>
          <w:tcPr>
            <w:tcW w:w="1275" w:type="dxa"/>
            <w:tcBorders>
              <w:top w:val="single" w:sz="4" w:space="0" w:color="auto"/>
              <w:left w:val="single" w:sz="4" w:space="0" w:color="auto"/>
              <w:bottom w:val="single" w:sz="4" w:space="0" w:color="auto"/>
              <w:right w:val="single" w:sz="4" w:space="0" w:color="auto"/>
            </w:tcBorders>
            <w:vAlign w:val="center"/>
          </w:tcPr>
          <w:p w14:paraId="1B59BCB1" w14:textId="44C44692" w:rsidR="007A2E00" w:rsidRDefault="007A2E00" w:rsidP="00E606C3">
            <w:pPr>
              <w:jc w:val="center"/>
              <w:rPr>
                <w:rFonts w:ascii="Arial" w:hAnsi="Arial" w:cs="Arial"/>
                <w:sz w:val="16"/>
                <w:szCs w:val="16"/>
              </w:rPr>
            </w:pPr>
            <w:r>
              <w:rPr>
                <w:rFonts w:ascii="Arial" w:hAnsi="Arial" w:cs="Arial"/>
                <w:sz w:val="16"/>
                <w:szCs w:val="16"/>
              </w:rPr>
              <w:t>0 €</w:t>
            </w:r>
          </w:p>
        </w:tc>
      </w:tr>
      <w:tr w:rsidR="007A2E00" w14:paraId="5AC5EE8F" w14:textId="77777777" w:rsidTr="00E606C3">
        <w:tc>
          <w:tcPr>
            <w:tcW w:w="2235" w:type="dxa"/>
            <w:tcBorders>
              <w:top w:val="single" w:sz="4" w:space="0" w:color="auto"/>
              <w:left w:val="single" w:sz="4" w:space="0" w:color="auto"/>
              <w:bottom w:val="single" w:sz="4" w:space="0" w:color="auto"/>
              <w:right w:val="single" w:sz="4" w:space="0" w:color="auto"/>
            </w:tcBorders>
            <w:vAlign w:val="center"/>
          </w:tcPr>
          <w:p w14:paraId="2E21E342" w14:textId="4318A38C" w:rsidR="007A2E00" w:rsidRDefault="007A2E00" w:rsidP="004B34D8">
            <w:pPr>
              <w:rPr>
                <w:rFonts w:ascii="Arial" w:hAnsi="Arial" w:cs="Arial"/>
                <w:sz w:val="16"/>
                <w:szCs w:val="16"/>
              </w:rPr>
            </w:pPr>
            <w:r>
              <w:rPr>
                <w:rFonts w:ascii="Arial" w:hAnsi="Arial" w:cs="Arial"/>
                <w:sz w:val="16"/>
                <w:szCs w:val="16"/>
              </w:rPr>
              <w:t>Coste a precio de nusinersen durante 8 años con un 10% de descuento</w:t>
            </w:r>
          </w:p>
        </w:tc>
        <w:tc>
          <w:tcPr>
            <w:tcW w:w="1418" w:type="dxa"/>
            <w:tcBorders>
              <w:top w:val="single" w:sz="4" w:space="0" w:color="auto"/>
              <w:left w:val="single" w:sz="4" w:space="0" w:color="auto"/>
              <w:bottom w:val="single" w:sz="4" w:space="0" w:color="auto"/>
              <w:right w:val="single" w:sz="4" w:space="0" w:color="auto"/>
            </w:tcBorders>
            <w:vAlign w:val="center"/>
          </w:tcPr>
          <w:p w14:paraId="65181E56" w14:textId="3DE09508" w:rsidR="007A2E00" w:rsidRDefault="007A2E00" w:rsidP="00E606C3">
            <w:pPr>
              <w:jc w:val="center"/>
              <w:rPr>
                <w:rFonts w:ascii="Arial" w:hAnsi="Arial" w:cs="Arial"/>
                <w:sz w:val="16"/>
                <w:szCs w:val="16"/>
              </w:rPr>
            </w:pPr>
            <w:r>
              <w:rPr>
                <w:rFonts w:ascii="Arial" w:hAnsi="Arial" w:cs="Arial"/>
                <w:sz w:val="16"/>
                <w:szCs w:val="16"/>
              </w:rPr>
              <w:t>1.654.587 €</w:t>
            </w:r>
          </w:p>
        </w:tc>
        <w:tc>
          <w:tcPr>
            <w:tcW w:w="1417" w:type="dxa"/>
            <w:tcBorders>
              <w:top w:val="single" w:sz="4" w:space="0" w:color="auto"/>
              <w:left w:val="single" w:sz="4" w:space="0" w:color="auto"/>
              <w:bottom w:val="single" w:sz="4" w:space="0" w:color="auto"/>
              <w:right w:val="single" w:sz="4" w:space="0" w:color="auto"/>
            </w:tcBorders>
            <w:vAlign w:val="center"/>
          </w:tcPr>
          <w:p w14:paraId="6950AE65" w14:textId="135C0A52" w:rsidR="007A2E00" w:rsidRPr="004B34D8" w:rsidRDefault="007A2E00" w:rsidP="00E606C3">
            <w:pPr>
              <w:jc w:val="center"/>
              <w:rPr>
                <w:rFonts w:ascii="Arial" w:hAnsi="Arial" w:cs="Arial"/>
                <w:sz w:val="16"/>
                <w:szCs w:val="16"/>
              </w:rPr>
            </w:pPr>
            <w:r>
              <w:rPr>
                <w:rFonts w:ascii="Arial" w:hAnsi="Arial" w:cs="Arial"/>
                <w:sz w:val="16"/>
                <w:szCs w:val="16"/>
              </w:rPr>
              <w:t>55.710 €</w:t>
            </w:r>
          </w:p>
        </w:tc>
        <w:tc>
          <w:tcPr>
            <w:tcW w:w="1418" w:type="dxa"/>
            <w:tcBorders>
              <w:top w:val="single" w:sz="4" w:space="0" w:color="auto"/>
              <w:left w:val="single" w:sz="4" w:space="0" w:color="auto"/>
              <w:bottom w:val="single" w:sz="4" w:space="0" w:color="auto"/>
              <w:right w:val="single" w:sz="4" w:space="0" w:color="auto"/>
            </w:tcBorders>
            <w:vAlign w:val="center"/>
          </w:tcPr>
          <w:p w14:paraId="573F3AC5" w14:textId="4689B7ED" w:rsidR="007A2E00" w:rsidRPr="00EA61FD" w:rsidRDefault="007A2E00" w:rsidP="00E606C3">
            <w:pPr>
              <w:jc w:val="center"/>
              <w:rPr>
                <w:rFonts w:ascii="Arial" w:hAnsi="Arial" w:cs="Arial"/>
                <w:sz w:val="16"/>
                <w:szCs w:val="16"/>
              </w:rPr>
            </w:pPr>
            <w:r>
              <w:rPr>
                <w:rFonts w:ascii="Arial" w:hAnsi="Arial" w:cs="Arial"/>
                <w:sz w:val="16"/>
                <w:szCs w:val="16"/>
              </w:rPr>
              <w:t>1.654.587 €</w:t>
            </w:r>
          </w:p>
        </w:tc>
        <w:tc>
          <w:tcPr>
            <w:tcW w:w="1276" w:type="dxa"/>
            <w:tcBorders>
              <w:top w:val="single" w:sz="4" w:space="0" w:color="auto"/>
              <w:left w:val="single" w:sz="4" w:space="0" w:color="auto"/>
              <w:bottom w:val="single" w:sz="4" w:space="0" w:color="auto"/>
              <w:right w:val="single" w:sz="4" w:space="0" w:color="auto"/>
            </w:tcBorders>
            <w:vAlign w:val="center"/>
          </w:tcPr>
          <w:p w14:paraId="3FBE0D04" w14:textId="77777777" w:rsidR="007A2E00" w:rsidRDefault="007A2E00" w:rsidP="00A35C6F">
            <w:pPr>
              <w:jc w:val="center"/>
              <w:rPr>
                <w:rFonts w:ascii="Arial" w:hAnsi="Arial" w:cs="Arial"/>
                <w:sz w:val="16"/>
                <w:szCs w:val="16"/>
              </w:rPr>
            </w:pPr>
            <w:r>
              <w:rPr>
                <w:rFonts w:ascii="Arial" w:hAnsi="Arial" w:cs="Arial"/>
                <w:sz w:val="16"/>
                <w:szCs w:val="16"/>
              </w:rPr>
              <w:t>1.654.587 €</w:t>
            </w:r>
          </w:p>
          <w:p w14:paraId="2FBE8EDB" w14:textId="79062F96" w:rsidR="007A2E00" w:rsidRPr="00EA61FD" w:rsidRDefault="007A2E00" w:rsidP="00E606C3">
            <w:pPr>
              <w:jc w:val="center"/>
              <w:rPr>
                <w:rFonts w:ascii="Arial" w:hAnsi="Arial" w:cs="Arial"/>
                <w:sz w:val="16"/>
                <w:szCs w:val="16"/>
              </w:rPr>
            </w:pPr>
            <w:r>
              <w:rPr>
                <w:rFonts w:ascii="Arial" w:hAnsi="Arial" w:cs="Arial"/>
                <w:sz w:val="16"/>
                <w:szCs w:val="16"/>
              </w:rPr>
              <w:t>(8 años)</w:t>
            </w:r>
          </w:p>
        </w:tc>
        <w:tc>
          <w:tcPr>
            <w:tcW w:w="1275" w:type="dxa"/>
            <w:tcBorders>
              <w:top w:val="single" w:sz="4" w:space="0" w:color="auto"/>
              <w:left w:val="single" w:sz="4" w:space="0" w:color="auto"/>
              <w:bottom w:val="single" w:sz="4" w:space="0" w:color="auto"/>
              <w:right w:val="single" w:sz="4" w:space="0" w:color="auto"/>
            </w:tcBorders>
            <w:vAlign w:val="center"/>
          </w:tcPr>
          <w:p w14:paraId="3C7B21A1" w14:textId="616FE619" w:rsidR="007A2E00" w:rsidRDefault="007A2E00" w:rsidP="00E606C3">
            <w:pPr>
              <w:jc w:val="center"/>
              <w:rPr>
                <w:rFonts w:ascii="Arial" w:hAnsi="Arial" w:cs="Arial"/>
                <w:sz w:val="16"/>
                <w:szCs w:val="16"/>
              </w:rPr>
            </w:pPr>
            <w:r>
              <w:rPr>
                <w:rFonts w:ascii="Arial" w:hAnsi="Arial" w:cs="Arial"/>
                <w:sz w:val="16"/>
                <w:szCs w:val="16"/>
              </w:rPr>
              <w:t>0 €</w:t>
            </w:r>
          </w:p>
        </w:tc>
      </w:tr>
      <w:tr w:rsidR="007A2E00" w14:paraId="7BE936BD" w14:textId="77777777" w:rsidTr="00E606C3">
        <w:tc>
          <w:tcPr>
            <w:tcW w:w="2235" w:type="dxa"/>
            <w:tcBorders>
              <w:top w:val="single" w:sz="4" w:space="0" w:color="auto"/>
              <w:left w:val="single" w:sz="4" w:space="0" w:color="auto"/>
              <w:bottom w:val="single" w:sz="4" w:space="0" w:color="auto"/>
              <w:right w:val="single" w:sz="4" w:space="0" w:color="auto"/>
            </w:tcBorders>
            <w:vAlign w:val="center"/>
          </w:tcPr>
          <w:p w14:paraId="1FCB4541" w14:textId="3D3B45DD" w:rsidR="007A2E00" w:rsidRDefault="007A2E00" w:rsidP="00A53876">
            <w:pPr>
              <w:rPr>
                <w:rFonts w:ascii="Arial" w:hAnsi="Arial" w:cs="Arial"/>
                <w:sz w:val="16"/>
                <w:szCs w:val="16"/>
              </w:rPr>
            </w:pPr>
            <w:r>
              <w:rPr>
                <w:rFonts w:ascii="Arial" w:hAnsi="Arial" w:cs="Arial"/>
                <w:sz w:val="16"/>
                <w:szCs w:val="16"/>
              </w:rPr>
              <w:t>Coste a precio de nusinersen durante 7 años con un 10% de descuento</w:t>
            </w:r>
          </w:p>
        </w:tc>
        <w:tc>
          <w:tcPr>
            <w:tcW w:w="1418" w:type="dxa"/>
            <w:tcBorders>
              <w:top w:val="single" w:sz="4" w:space="0" w:color="auto"/>
              <w:left w:val="single" w:sz="4" w:space="0" w:color="auto"/>
              <w:bottom w:val="single" w:sz="4" w:space="0" w:color="auto"/>
              <w:right w:val="single" w:sz="4" w:space="0" w:color="auto"/>
            </w:tcBorders>
            <w:vAlign w:val="center"/>
          </w:tcPr>
          <w:p w14:paraId="542C84EF" w14:textId="21455CD1" w:rsidR="007A2E00" w:rsidRDefault="007A2E00" w:rsidP="00E606C3">
            <w:pPr>
              <w:jc w:val="center"/>
              <w:rPr>
                <w:rFonts w:ascii="Arial" w:hAnsi="Arial" w:cs="Arial"/>
                <w:sz w:val="16"/>
                <w:szCs w:val="16"/>
              </w:rPr>
            </w:pPr>
            <w:r w:rsidRPr="00A53876">
              <w:rPr>
                <w:rFonts w:ascii="Arial" w:hAnsi="Arial" w:cs="Arial"/>
                <w:sz w:val="16"/>
                <w:szCs w:val="16"/>
              </w:rPr>
              <w:t>1.470.744 €</w:t>
            </w:r>
          </w:p>
        </w:tc>
        <w:tc>
          <w:tcPr>
            <w:tcW w:w="1417" w:type="dxa"/>
            <w:tcBorders>
              <w:top w:val="single" w:sz="4" w:space="0" w:color="auto"/>
              <w:left w:val="single" w:sz="4" w:space="0" w:color="auto"/>
              <w:bottom w:val="single" w:sz="4" w:space="0" w:color="auto"/>
              <w:right w:val="single" w:sz="4" w:space="0" w:color="auto"/>
            </w:tcBorders>
            <w:vAlign w:val="center"/>
          </w:tcPr>
          <w:p w14:paraId="4AF4B91D" w14:textId="00805150" w:rsidR="007A2E00" w:rsidRDefault="007A2E00" w:rsidP="00E606C3">
            <w:pPr>
              <w:jc w:val="center"/>
              <w:rPr>
                <w:rFonts w:ascii="Arial" w:hAnsi="Arial" w:cs="Arial"/>
                <w:sz w:val="16"/>
                <w:szCs w:val="16"/>
              </w:rPr>
            </w:pPr>
            <w:r w:rsidRPr="00A53876">
              <w:rPr>
                <w:rFonts w:ascii="Arial" w:hAnsi="Arial" w:cs="Arial"/>
                <w:sz w:val="16"/>
                <w:szCs w:val="16"/>
              </w:rPr>
              <w:t>55.710 €</w:t>
            </w:r>
          </w:p>
        </w:tc>
        <w:tc>
          <w:tcPr>
            <w:tcW w:w="1418" w:type="dxa"/>
            <w:tcBorders>
              <w:top w:val="single" w:sz="4" w:space="0" w:color="auto"/>
              <w:left w:val="single" w:sz="4" w:space="0" w:color="auto"/>
              <w:bottom w:val="single" w:sz="4" w:space="0" w:color="auto"/>
              <w:right w:val="single" w:sz="4" w:space="0" w:color="auto"/>
            </w:tcBorders>
            <w:vAlign w:val="center"/>
          </w:tcPr>
          <w:p w14:paraId="296E63C8" w14:textId="29E629EA" w:rsidR="007A2E00" w:rsidRDefault="007A2E00" w:rsidP="00E606C3">
            <w:pPr>
              <w:jc w:val="center"/>
              <w:rPr>
                <w:rFonts w:ascii="Arial" w:hAnsi="Arial" w:cs="Arial"/>
                <w:sz w:val="16"/>
                <w:szCs w:val="16"/>
              </w:rPr>
            </w:pPr>
            <w:r w:rsidRPr="00A53876">
              <w:rPr>
                <w:rFonts w:ascii="Arial" w:hAnsi="Arial" w:cs="Arial"/>
                <w:sz w:val="16"/>
                <w:szCs w:val="16"/>
              </w:rPr>
              <w:t>1.470.744 €</w:t>
            </w:r>
          </w:p>
        </w:tc>
        <w:tc>
          <w:tcPr>
            <w:tcW w:w="1276" w:type="dxa"/>
            <w:tcBorders>
              <w:top w:val="single" w:sz="4" w:space="0" w:color="auto"/>
              <w:left w:val="single" w:sz="4" w:space="0" w:color="auto"/>
              <w:bottom w:val="single" w:sz="4" w:space="0" w:color="auto"/>
              <w:right w:val="single" w:sz="4" w:space="0" w:color="auto"/>
            </w:tcBorders>
            <w:vAlign w:val="center"/>
          </w:tcPr>
          <w:p w14:paraId="0013379B" w14:textId="77777777" w:rsidR="007A2E00" w:rsidRDefault="007A2E00" w:rsidP="00A35C6F">
            <w:pPr>
              <w:jc w:val="center"/>
              <w:rPr>
                <w:rFonts w:ascii="Arial" w:hAnsi="Arial" w:cs="Arial"/>
                <w:sz w:val="16"/>
                <w:szCs w:val="16"/>
              </w:rPr>
            </w:pPr>
            <w:r>
              <w:rPr>
                <w:rFonts w:ascii="Arial" w:hAnsi="Arial" w:cs="Arial"/>
                <w:sz w:val="16"/>
                <w:szCs w:val="16"/>
              </w:rPr>
              <w:t>1.470.744 €</w:t>
            </w:r>
          </w:p>
          <w:p w14:paraId="0AF6A5C2" w14:textId="7C48DD3E" w:rsidR="007A2E00" w:rsidRDefault="007A2E00" w:rsidP="00E606C3">
            <w:pPr>
              <w:jc w:val="center"/>
              <w:rPr>
                <w:rFonts w:ascii="Arial" w:hAnsi="Arial" w:cs="Arial"/>
                <w:sz w:val="16"/>
                <w:szCs w:val="16"/>
              </w:rPr>
            </w:pPr>
            <w:r>
              <w:rPr>
                <w:rFonts w:ascii="Arial" w:hAnsi="Arial" w:cs="Arial"/>
                <w:sz w:val="16"/>
                <w:szCs w:val="16"/>
              </w:rPr>
              <w:t>(7 años)</w:t>
            </w:r>
          </w:p>
        </w:tc>
        <w:tc>
          <w:tcPr>
            <w:tcW w:w="1275" w:type="dxa"/>
            <w:tcBorders>
              <w:top w:val="single" w:sz="4" w:space="0" w:color="auto"/>
              <w:left w:val="single" w:sz="4" w:space="0" w:color="auto"/>
              <w:bottom w:val="single" w:sz="4" w:space="0" w:color="auto"/>
              <w:right w:val="single" w:sz="4" w:space="0" w:color="auto"/>
            </w:tcBorders>
            <w:vAlign w:val="center"/>
          </w:tcPr>
          <w:p w14:paraId="3341BC80" w14:textId="038B1252" w:rsidR="007A2E00" w:rsidRDefault="007A2E00" w:rsidP="00E606C3">
            <w:pPr>
              <w:jc w:val="center"/>
              <w:rPr>
                <w:rFonts w:ascii="Arial" w:hAnsi="Arial" w:cs="Arial"/>
                <w:sz w:val="16"/>
                <w:szCs w:val="16"/>
              </w:rPr>
            </w:pPr>
            <w:r>
              <w:rPr>
                <w:rFonts w:ascii="Arial" w:hAnsi="Arial" w:cs="Arial"/>
                <w:sz w:val="16"/>
                <w:szCs w:val="16"/>
              </w:rPr>
              <w:t>0 €</w:t>
            </w:r>
          </w:p>
        </w:tc>
      </w:tr>
      <w:tr w:rsidR="00A35C6F" w14:paraId="1E63AD11" w14:textId="77777777" w:rsidTr="00A35C6F">
        <w:tc>
          <w:tcPr>
            <w:tcW w:w="9039" w:type="dxa"/>
            <w:gridSpan w:val="6"/>
            <w:tcBorders>
              <w:top w:val="single" w:sz="4" w:space="0" w:color="auto"/>
              <w:left w:val="single" w:sz="4" w:space="0" w:color="auto"/>
              <w:bottom w:val="single" w:sz="4" w:space="0" w:color="auto"/>
              <w:right w:val="single" w:sz="4" w:space="0" w:color="auto"/>
            </w:tcBorders>
            <w:vAlign w:val="center"/>
          </w:tcPr>
          <w:p w14:paraId="3AC7CF2C" w14:textId="1432EB45" w:rsidR="00A35C6F" w:rsidRDefault="00A35C6F" w:rsidP="00A35C6F">
            <w:pPr>
              <w:rPr>
                <w:rFonts w:ascii="Arial" w:hAnsi="Arial" w:cs="Arial"/>
                <w:sz w:val="16"/>
                <w:szCs w:val="16"/>
              </w:rPr>
            </w:pPr>
            <w:r>
              <w:rPr>
                <w:rFonts w:ascii="Arial" w:hAnsi="Arial" w:cs="Arial"/>
                <w:sz w:val="16"/>
                <w:szCs w:val="16"/>
              </w:rPr>
              <w:t xml:space="preserve">*se aplica un 15% de descuento para nusinersen (+un 10% más en los </w:t>
            </w:r>
            <w:r w:rsidR="008D70F4">
              <w:rPr>
                <w:rFonts w:ascii="Arial" w:hAnsi="Arial" w:cs="Arial"/>
                <w:sz w:val="16"/>
                <w:szCs w:val="16"/>
              </w:rPr>
              <w:t xml:space="preserve">dos últimos </w:t>
            </w:r>
            <w:r>
              <w:rPr>
                <w:rFonts w:ascii="Arial" w:hAnsi="Arial" w:cs="Arial"/>
                <w:sz w:val="16"/>
                <w:szCs w:val="16"/>
              </w:rPr>
              <w:t>supuestos</w:t>
            </w:r>
            <w:r w:rsidR="008D70F4">
              <w:rPr>
                <w:rFonts w:ascii="Arial" w:hAnsi="Arial" w:cs="Arial"/>
                <w:sz w:val="16"/>
                <w:szCs w:val="16"/>
              </w:rPr>
              <w:t>)</w:t>
            </w:r>
            <w:r>
              <w:rPr>
                <w:rFonts w:ascii="Arial" w:hAnsi="Arial" w:cs="Arial"/>
                <w:sz w:val="16"/>
                <w:szCs w:val="16"/>
              </w:rPr>
              <w:t xml:space="preserve"> </w:t>
            </w:r>
          </w:p>
        </w:tc>
      </w:tr>
    </w:tbl>
    <w:p w14:paraId="3C73C033" w14:textId="77777777" w:rsidR="00690F11" w:rsidRDefault="00690F11" w:rsidP="001F6887">
      <w:pPr>
        <w:jc w:val="both"/>
        <w:rPr>
          <w:rFonts w:ascii="Arial" w:hAnsi="Arial" w:cs="Arial"/>
          <w:bCs/>
          <w:sz w:val="20"/>
          <w:szCs w:val="20"/>
        </w:rPr>
      </w:pPr>
    </w:p>
    <w:p w14:paraId="1EE5666B" w14:textId="3BBB42ED" w:rsidR="00510290" w:rsidRPr="00CF32D1" w:rsidRDefault="00CF32D1" w:rsidP="001F6887">
      <w:pPr>
        <w:jc w:val="both"/>
        <w:rPr>
          <w:rFonts w:ascii="Arial" w:hAnsi="Arial" w:cs="Arial"/>
          <w:bCs/>
          <w:sz w:val="20"/>
          <w:szCs w:val="20"/>
        </w:rPr>
      </w:pPr>
      <w:r w:rsidRPr="00CF32D1">
        <w:rPr>
          <w:rFonts w:ascii="Arial" w:hAnsi="Arial" w:cs="Arial"/>
          <w:bCs/>
          <w:sz w:val="20"/>
          <w:szCs w:val="20"/>
        </w:rPr>
        <w:t>Es</w:t>
      </w:r>
      <w:r>
        <w:rPr>
          <w:rFonts w:ascii="Arial" w:hAnsi="Arial" w:cs="Arial"/>
          <w:bCs/>
          <w:sz w:val="20"/>
          <w:szCs w:val="20"/>
        </w:rPr>
        <w:t>te tipo de tratamientos son candidatos participar en programas de pago por resultados. En el caso de los pacientes con AME tipo I, la eficacia a los 1</w:t>
      </w:r>
      <w:r w:rsidR="007D5379">
        <w:rPr>
          <w:rFonts w:ascii="Arial" w:hAnsi="Arial" w:cs="Arial"/>
          <w:bCs/>
          <w:sz w:val="20"/>
          <w:szCs w:val="20"/>
        </w:rPr>
        <w:t>4</w:t>
      </w:r>
      <w:r>
        <w:rPr>
          <w:rFonts w:ascii="Arial" w:hAnsi="Arial" w:cs="Arial"/>
          <w:bCs/>
          <w:sz w:val="20"/>
          <w:szCs w:val="20"/>
        </w:rPr>
        <w:t xml:space="preserve"> meses en cuanto a supervivencia libre de eventos es alta (90,9%). Se realiza análisis de sensibilidad suponiendo que solo se pagaran los tratamientos con eficacia a los 1</w:t>
      </w:r>
      <w:r w:rsidR="00205C95">
        <w:rPr>
          <w:rFonts w:ascii="Arial" w:hAnsi="Arial" w:cs="Arial"/>
          <w:bCs/>
          <w:sz w:val="20"/>
          <w:szCs w:val="20"/>
        </w:rPr>
        <w:t>4</w:t>
      </w:r>
      <w:r>
        <w:rPr>
          <w:rFonts w:ascii="Arial" w:hAnsi="Arial" w:cs="Arial"/>
          <w:bCs/>
          <w:sz w:val="20"/>
          <w:szCs w:val="20"/>
        </w:rPr>
        <w:t xml:space="preserve"> meses de edad.</w:t>
      </w:r>
    </w:p>
    <w:p w14:paraId="1917D719" w14:textId="77777777" w:rsidR="00510290" w:rsidRPr="007C62DA" w:rsidRDefault="00510290" w:rsidP="001F6887">
      <w:pPr>
        <w:jc w:val="both"/>
        <w:rPr>
          <w:rFonts w:ascii="Arial" w:hAnsi="Arial" w:cs="Arial"/>
          <w:b/>
          <w:bCs/>
          <w:sz w:val="20"/>
          <w:szCs w:val="20"/>
          <w:u w:val="single"/>
        </w:rPr>
      </w:pPr>
    </w:p>
    <w:tbl>
      <w:tblPr>
        <w:tblW w:w="8784" w:type="dxa"/>
        <w:tblInd w:w="-68" w:type="dxa"/>
        <w:tblLayout w:type="fixed"/>
        <w:tblCellMar>
          <w:left w:w="70" w:type="dxa"/>
          <w:right w:w="70" w:type="dxa"/>
        </w:tblCellMar>
        <w:tblLook w:val="00A0" w:firstRow="1" w:lastRow="0" w:firstColumn="1" w:lastColumn="0" w:noHBand="0" w:noVBand="0"/>
      </w:tblPr>
      <w:tblGrid>
        <w:gridCol w:w="3577"/>
        <w:gridCol w:w="881"/>
        <w:gridCol w:w="818"/>
        <w:gridCol w:w="1116"/>
        <w:gridCol w:w="1117"/>
        <w:gridCol w:w="1275"/>
      </w:tblGrid>
      <w:tr w:rsidR="00510290" w:rsidRPr="00510290" w14:paraId="50DE7480" w14:textId="77777777" w:rsidTr="00CF32D1">
        <w:trPr>
          <w:trHeight w:val="686"/>
        </w:trPr>
        <w:tc>
          <w:tcPr>
            <w:tcW w:w="8784" w:type="dxa"/>
            <w:gridSpan w:val="6"/>
            <w:tcBorders>
              <w:top w:val="single" w:sz="4" w:space="0" w:color="auto"/>
              <w:left w:val="single" w:sz="4" w:space="0" w:color="auto"/>
              <w:right w:val="single" w:sz="4" w:space="0" w:color="000000"/>
            </w:tcBorders>
            <w:shd w:val="clear" w:color="auto" w:fill="CCFFCC"/>
            <w:vAlign w:val="center"/>
            <w:hideMark/>
          </w:tcPr>
          <w:p w14:paraId="4B290F14" w14:textId="77777777" w:rsidR="00CF32D1" w:rsidRDefault="00510290" w:rsidP="00510290">
            <w:pPr>
              <w:rPr>
                <w:rFonts w:ascii="Arial" w:hAnsi="Arial" w:cs="Arial"/>
                <w:b/>
                <w:bCs/>
                <w:sz w:val="18"/>
                <w:szCs w:val="20"/>
              </w:rPr>
            </w:pPr>
            <w:r w:rsidRPr="00510290">
              <w:rPr>
                <w:rFonts w:ascii="Arial" w:hAnsi="Arial" w:cs="Arial"/>
                <w:b/>
                <w:bCs/>
                <w:sz w:val="18"/>
                <w:szCs w:val="20"/>
              </w:rPr>
              <w:t xml:space="preserve">Tabla 7.4.3.1.5. Análisis de sensibilidad. </w:t>
            </w:r>
          </w:p>
          <w:p w14:paraId="6D29B288" w14:textId="01344A03" w:rsidR="00510290" w:rsidRPr="00510290" w:rsidRDefault="00510290" w:rsidP="00510290">
            <w:pPr>
              <w:rPr>
                <w:rFonts w:ascii="Arial" w:hAnsi="Arial" w:cs="Arial"/>
                <w:b/>
                <w:bCs/>
                <w:sz w:val="18"/>
                <w:szCs w:val="20"/>
              </w:rPr>
            </w:pPr>
            <w:r w:rsidRPr="00510290">
              <w:rPr>
                <w:rFonts w:ascii="Arial" w:hAnsi="Arial" w:cs="Arial"/>
                <w:b/>
                <w:bCs/>
                <w:sz w:val="18"/>
                <w:szCs w:val="20"/>
              </w:rPr>
              <w:t>TABLA AUXILIAR DE VARIABILIDAD DEL IMPACTO POBLACIONAL EN SALUD</w:t>
            </w:r>
          </w:p>
          <w:p w14:paraId="1C6103E0" w14:textId="6015E4F1" w:rsidR="00510290" w:rsidRPr="00510290" w:rsidRDefault="00510290" w:rsidP="00510290">
            <w:pPr>
              <w:rPr>
                <w:rFonts w:ascii="Arial" w:hAnsi="Arial" w:cs="Arial"/>
                <w:b/>
                <w:bCs/>
                <w:sz w:val="18"/>
                <w:szCs w:val="20"/>
              </w:rPr>
            </w:pPr>
            <w:r w:rsidRPr="007C62DA">
              <w:rPr>
                <w:rFonts w:ascii="Arial" w:hAnsi="Arial" w:cs="Arial"/>
                <w:sz w:val="16"/>
                <w:szCs w:val="16"/>
              </w:rPr>
              <w:t>Estimación de diferentes n</w:t>
            </w:r>
            <w:r w:rsidR="0021552C">
              <w:rPr>
                <w:rFonts w:ascii="Arial" w:hAnsi="Arial" w:cs="Arial"/>
                <w:sz w:val="16"/>
                <w:szCs w:val="16"/>
              </w:rPr>
              <w:t>º</w:t>
            </w:r>
            <w:r w:rsidRPr="007C62DA">
              <w:rPr>
                <w:rFonts w:ascii="Arial" w:hAnsi="Arial" w:cs="Arial"/>
                <w:sz w:val="16"/>
                <w:szCs w:val="16"/>
              </w:rPr>
              <w:t xml:space="preserve"> de pacientes candidatos a tratamiento y de distintas eficacias diferenciales. </w:t>
            </w:r>
          </w:p>
        </w:tc>
      </w:tr>
      <w:tr w:rsidR="0060785D" w:rsidRPr="007C62DA" w14:paraId="22D00252" w14:textId="77777777" w:rsidTr="00690F11">
        <w:trPr>
          <w:trHeight w:val="314"/>
        </w:trPr>
        <w:tc>
          <w:tcPr>
            <w:tcW w:w="357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FC3A13" w14:textId="77777777" w:rsidR="0060785D" w:rsidRPr="007C62DA" w:rsidRDefault="0060785D" w:rsidP="00510290">
            <w:pPr>
              <w:jc w:val="center"/>
              <w:rPr>
                <w:rFonts w:ascii="Arial" w:hAnsi="Arial" w:cs="Arial"/>
                <w:b/>
                <w:bCs/>
                <w:sz w:val="18"/>
                <w:szCs w:val="18"/>
              </w:rPr>
            </w:pPr>
            <w:r w:rsidRPr="007C62DA">
              <w:rPr>
                <w:rFonts w:ascii="Arial" w:hAnsi="Arial" w:cs="Arial"/>
                <w:b/>
                <w:bCs/>
                <w:sz w:val="18"/>
                <w:szCs w:val="18"/>
              </w:rPr>
              <w:t>Descripción del supuesto</w:t>
            </w:r>
          </w:p>
        </w:tc>
        <w:tc>
          <w:tcPr>
            <w:tcW w:w="1699" w:type="dxa"/>
            <w:gridSpan w:val="2"/>
            <w:tcBorders>
              <w:top w:val="single" w:sz="4" w:space="0" w:color="auto"/>
              <w:left w:val="nil"/>
              <w:bottom w:val="single" w:sz="4" w:space="0" w:color="auto"/>
              <w:right w:val="single" w:sz="4" w:space="0" w:color="auto"/>
            </w:tcBorders>
            <w:shd w:val="clear" w:color="auto" w:fill="D9D9D9"/>
            <w:vAlign w:val="center"/>
            <w:hideMark/>
          </w:tcPr>
          <w:p w14:paraId="764CC470" w14:textId="77777777" w:rsidR="0060785D" w:rsidRPr="007C62DA" w:rsidRDefault="0060785D" w:rsidP="00510290">
            <w:pPr>
              <w:jc w:val="center"/>
              <w:rPr>
                <w:rFonts w:ascii="Arial" w:hAnsi="Arial" w:cs="Arial"/>
                <w:b/>
                <w:bCs/>
                <w:sz w:val="16"/>
                <w:szCs w:val="16"/>
              </w:rPr>
            </w:pPr>
            <w:r w:rsidRPr="007C62DA">
              <w:rPr>
                <w:rFonts w:ascii="Arial" w:hAnsi="Arial" w:cs="Arial"/>
                <w:b/>
                <w:bCs/>
                <w:sz w:val="16"/>
                <w:szCs w:val="16"/>
              </w:rPr>
              <w:t>Población Diana</w:t>
            </w:r>
          </w:p>
        </w:tc>
        <w:tc>
          <w:tcPr>
            <w:tcW w:w="2233" w:type="dxa"/>
            <w:gridSpan w:val="2"/>
            <w:tcBorders>
              <w:top w:val="single" w:sz="4" w:space="0" w:color="auto"/>
              <w:left w:val="nil"/>
              <w:bottom w:val="single" w:sz="4" w:space="0" w:color="auto"/>
              <w:right w:val="single" w:sz="4" w:space="0" w:color="auto"/>
            </w:tcBorders>
            <w:shd w:val="clear" w:color="auto" w:fill="D9D9D9"/>
            <w:vAlign w:val="center"/>
            <w:hideMark/>
          </w:tcPr>
          <w:p w14:paraId="7A18FF36" w14:textId="77777777" w:rsidR="0060785D" w:rsidRPr="007C62DA" w:rsidRDefault="0060785D" w:rsidP="00510290">
            <w:pPr>
              <w:jc w:val="center"/>
              <w:rPr>
                <w:rFonts w:ascii="Arial" w:hAnsi="Arial" w:cs="Arial"/>
                <w:b/>
                <w:bCs/>
                <w:sz w:val="16"/>
                <w:szCs w:val="16"/>
              </w:rPr>
            </w:pPr>
            <w:r w:rsidRPr="007C62DA">
              <w:rPr>
                <w:rFonts w:ascii="Arial" w:hAnsi="Arial" w:cs="Arial"/>
                <w:b/>
                <w:bCs/>
                <w:sz w:val="16"/>
                <w:szCs w:val="16"/>
              </w:rPr>
              <w:t>Impacto presupuestario</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03A4A4" w14:textId="77777777" w:rsidR="0060785D" w:rsidRPr="007C62DA" w:rsidRDefault="0060785D" w:rsidP="00510290">
            <w:pPr>
              <w:jc w:val="center"/>
              <w:rPr>
                <w:rFonts w:ascii="Arial" w:hAnsi="Arial" w:cs="Arial"/>
                <w:b/>
                <w:bCs/>
                <w:sz w:val="16"/>
                <w:szCs w:val="16"/>
              </w:rPr>
            </w:pPr>
            <w:r w:rsidRPr="007C62DA">
              <w:rPr>
                <w:rFonts w:ascii="Arial" w:hAnsi="Arial" w:cs="Arial"/>
                <w:b/>
                <w:bCs/>
                <w:sz w:val="16"/>
                <w:szCs w:val="16"/>
              </w:rPr>
              <w:t>Diferencia de presupuesto</w:t>
            </w:r>
          </w:p>
        </w:tc>
      </w:tr>
      <w:tr w:rsidR="0060785D" w:rsidRPr="007C62DA" w14:paraId="42B22B00" w14:textId="77777777" w:rsidTr="00D54600">
        <w:trPr>
          <w:trHeight w:val="255"/>
        </w:trPr>
        <w:tc>
          <w:tcPr>
            <w:tcW w:w="3577" w:type="dxa"/>
            <w:vMerge/>
            <w:tcBorders>
              <w:top w:val="single" w:sz="4" w:space="0" w:color="auto"/>
              <w:left w:val="single" w:sz="4" w:space="0" w:color="auto"/>
              <w:bottom w:val="single" w:sz="4" w:space="0" w:color="auto"/>
              <w:right w:val="single" w:sz="4" w:space="0" w:color="auto"/>
            </w:tcBorders>
            <w:vAlign w:val="center"/>
            <w:hideMark/>
          </w:tcPr>
          <w:p w14:paraId="20F5B5FE" w14:textId="77777777" w:rsidR="0060785D" w:rsidRPr="007C62DA" w:rsidRDefault="0060785D" w:rsidP="00510290">
            <w:pPr>
              <w:jc w:val="center"/>
              <w:rPr>
                <w:rFonts w:ascii="Arial" w:hAnsi="Arial" w:cs="Arial"/>
                <w:b/>
                <w:bCs/>
                <w:sz w:val="18"/>
                <w:szCs w:val="18"/>
              </w:rPr>
            </w:pPr>
          </w:p>
        </w:tc>
        <w:tc>
          <w:tcPr>
            <w:tcW w:w="881" w:type="dxa"/>
            <w:tcBorders>
              <w:top w:val="nil"/>
              <w:left w:val="nil"/>
              <w:bottom w:val="single" w:sz="4" w:space="0" w:color="auto"/>
              <w:right w:val="single" w:sz="4" w:space="0" w:color="auto"/>
            </w:tcBorders>
            <w:shd w:val="clear" w:color="auto" w:fill="D9D9D9"/>
            <w:vAlign w:val="center"/>
            <w:hideMark/>
          </w:tcPr>
          <w:p w14:paraId="0D539F94" w14:textId="77777777" w:rsidR="0060785D" w:rsidRPr="007C62DA" w:rsidRDefault="0060785D" w:rsidP="00510290">
            <w:pPr>
              <w:jc w:val="center"/>
              <w:rPr>
                <w:rFonts w:ascii="Arial" w:hAnsi="Arial" w:cs="Arial"/>
                <w:b/>
                <w:bCs/>
                <w:sz w:val="16"/>
                <w:szCs w:val="16"/>
              </w:rPr>
            </w:pPr>
            <w:r w:rsidRPr="007C62DA">
              <w:rPr>
                <w:rFonts w:ascii="Arial" w:hAnsi="Arial" w:cs="Arial"/>
                <w:b/>
                <w:bCs/>
                <w:sz w:val="16"/>
                <w:szCs w:val="16"/>
              </w:rPr>
              <w:t>Original</w:t>
            </w:r>
          </w:p>
        </w:tc>
        <w:tc>
          <w:tcPr>
            <w:tcW w:w="818" w:type="dxa"/>
            <w:tcBorders>
              <w:top w:val="nil"/>
              <w:left w:val="nil"/>
              <w:bottom w:val="single" w:sz="4" w:space="0" w:color="auto"/>
              <w:right w:val="single" w:sz="4" w:space="0" w:color="auto"/>
            </w:tcBorders>
            <w:shd w:val="clear" w:color="auto" w:fill="D9D9D9"/>
            <w:vAlign w:val="center"/>
            <w:hideMark/>
          </w:tcPr>
          <w:p w14:paraId="5C1D9D1F" w14:textId="77777777" w:rsidR="0060785D" w:rsidRPr="007C62DA" w:rsidRDefault="0060785D" w:rsidP="00510290">
            <w:pPr>
              <w:jc w:val="center"/>
              <w:rPr>
                <w:rFonts w:ascii="Arial" w:hAnsi="Arial" w:cs="Arial"/>
                <w:b/>
                <w:bCs/>
                <w:sz w:val="16"/>
                <w:szCs w:val="16"/>
              </w:rPr>
            </w:pPr>
            <w:r w:rsidRPr="007C62DA">
              <w:rPr>
                <w:rFonts w:ascii="Arial" w:hAnsi="Arial" w:cs="Arial"/>
                <w:b/>
                <w:bCs/>
                <w:sz w:val="16"/>
                <w:szCs w:val="16"/>
              </w:rPr>
              <w:t>Nueva</w:t>
            </w:r>
          </w:p>
        </w:tc>
        <w:tc>
          <w:tcPr>
            <w:tcW w:w="1116" w:type="dxa"/>
            <w:tcBorders>
              <w:top w:val="nil"/>
              <w:left w:val="nil"/>
              <w:bottom w:val="single" w:sz="4" w:space="0" w:color="auto"/>
              <w:right w:val="single" w:sz="4" w:space="0" w:color="auto"/>
            </w:tcBorders>
            <w:shd w:val="clear" w:color="auto" w:fill="D9D9D9"/>
            <w:vAlign w:val="center"/>
            <w:hideMark/>
          </w:tcPr>
          <w:p w14:paraId="77219C7A" w14:textId="77777777" w:rsidR="0060785D" w:rsidRPr="007C62DA" w:rsidRDefault="0060785D" w:rsidP="00510290">
            <w:pPr>
              <w:jc w:val="center"/>
              <w:rPr>
                <w:rFonts w:ascii="Arial" w:hAnsi="Arial" w:cs="Arial"/>
                <w:b/>
                <w:bCs/>
                <w:sz w:val="16"/>
                <w:szCs w:val="16"/>
              </w:rPr>
            </w:pPr>
            <w:r w:rsidRPr="007C62DA">
              <w:rPr>
                <w:rFonts w:ascii="Arial" w:hAnsi="Arial" w:cs="Arial"/>
                <w:b/>
                <w:bCs/>
                <w:sz w:val="16"/>
                <w:szCs w:val="16"/>
              </w:rPr>
              <w:t>Original</w:t>
            </w:r>
          </w:p>
        </w:tc>
        <w:tc>
          <w:tcPr>
            <w:tcW w:w="1117" w:type="dxa"/>
            <w:tcBorders>
              <w:top w:val="nil"/>
              <w:left w:val="nil"/>
              <w:bottom w:val="single" w:sz="4" w:space="0" w:color="auto"/>
              <w:right w:val="single" w:sz="4" w:space="0" w:color="auto"/>
            </w:tcBorders>
            <w:shd w:val="clear" w:color="auto" w:fill="D9D9D9"/>
            <w:vAlign w:val="center"/>
            <w:hideMark/>
          </w:tcPr>
          <w:p w14:paraId="5F7CFBF0" w14:textId="77777777" w:rsidR="0060785D" w:rsidRPr="007C62DA" w:rsidRDefault="0060785D" w:rsidP="00510290">
            <w:pPr>
              <w:jc w:val="center"/>
              <w:rPr>
                <w:rFonts w:ascii="Arial" w:hAnsi="Arial" w:cs="Arial"/>
                <w:b/>
                <w:bCs/>
                <w:sz w:val="16"/>
                <w:szCs w:val="16"/>
              </w:rPr>
            </w:pPr>
            <w:r w:rsidRPr="007C62DA">
              <w:rPr>
                <w:rFonts w:ascii="Arial" w:hAnsi="Arial" w:cs="Arial"/>
                <w:b/>
                <w:bCs/>
                <w:sz w:val="16"/>
                <w:szCs w:val="16"/>
              </w:rPr>
              <w:t>Nuevo</w:t>
            </w:r>
          </w:p>
        </w:tc>
        <w:tc>
          <w:tcPr>
            <w:tcW w:w="1275" w:type="dxa"/>
            <w:vMerge/>
            <w:tcBorders>
              <w:top w:val="nil"/>
              <w:left w:val="single" w:sz="4" w:space="0" w:color="auto"/>
              <w:bottom w:val="single" w:sz="4" w:space="0" w:color="auto"/>
              <w:right w:val="single" w:sz="4" w:space="0" w:color="auto"/>
            </w:tcBorders>
            <w:vAlign w:val="center"/>
            <w:hideMark/>
          </w:tcPr>
          <w:p w14:paraId="58DA1DB2" w14:textId="77777777" w:rsidR="0060785D" w:rsidRPr="007C62DA" w:rsidRDefault="0060785D" w:rsidP="00510290">
            <w:pPr>
              <w:jc w:val="center"/>
              <w:rPr>
                <w:rFonts w:ascii="Arial" w:hAnsi="Arial" w:cs="Arial"/>
                <w:b/>
                <w:bCs/>
                <w:sz w:val="16"/>
                <w:szCs w:val="16"/>
              </w:rPr>
            </w:pPr>
          </w:p>
        </w:tc>
      </w:tr>
      <w:tr w:rsidR="000B616F" w:rsidRPr="008A5987" w14:paraId="0EDC7872" w14:textId="77777777" w:rsidTr="0068502A">
        <w:trPr>
          <w:trHeight w:val="480"/>
        </w:trPr>
        <w:tc>
          <w:tcPr>
            <w:tcW w:w="3577" w:type="dxa"/>
            <w:tcBorders>
              <w:top w:val="nil"/>
              <w:left w:val="single" w:sz="4" w:space="0" w:color="auto"/>
              <w:bottom w:val="single" w:sz="4" w:space="0" w:color="auto"/>
              <w:right w:val="single" w:sz="4" w:space="0" w:color="auto"/>
            </w:tcBorders>
            <w:vAlign w:val="center"/>
            <w:hideMark/>
          </w:tcPr>
          <w:p w14:paraId="5645C408" w14:textId="0C7FF460" w:rsidR="000B616F" w:rsidRPr="008A5987" w:rsidRDefault="000B616F" w:rsidP="00510290">
            <w:pPr>
              <w:rPr>
                <w:rFonts w:ascii="Arial" w:hAnsi="Arial" w:cs="Arial"/>
                <w:sz w:val="16"/>
                <w:szCs w:val="16"/>
              </w:rPr>
            </w:pPr>
            <w:r w:rsidRPr="008A5987">
              <w:rPr>
                <w:rFonts w:ascii="Arial" w:hAnsi="Arial" w:cs="Arial"/>
                <w:sz w:val="16"/>
                <w:szCs w:val="16"/>
              </w:rPr>
              <w:t>Si solo se financiaran los tratamientos que logren resultados de salud (superviv</w:t>
            </w:r>
            <w:r w:rsidR="007D5379">
              <w:rPr>
                <w:rFonts w:ascii="Arial" w:hAnsi="Arial" w:cs="Arial"/>
                <w:sz w:val="16"/>
                <w:szCs w:val="16"/>
              </w:rPr>
              <w:t>encia libre de eventos) a los 14</w:t>
            </w:r>
            <w:r w:rsidRPr="008A5987">
              <w:rPr>
                <w:rFonts w:ascii="Arial" w:hAnsi="Arial" w:cs="Arial"/>
                <w:sz w:val="16"/>
                <w:szCs w:val="16"/>
              </w:rPr>
              <w:t xml:space="preserve"> meses de edad en AME tipo I</w:t>
            </w:r>
          </w:p>
        </w:tc>
        <w:tc>
          <w:tcPr>
            <w:tcW w:w="881" w:type="dxa"/>
            <w:tcBorders>
              <w:top w:val="nil"/>
              <w:left w:val="nil"/>
              <w:bottom w:val="single" w:sz="4" w:space="0" w:color="auto"/>
              <w:right w:val="single" w:sz="4" w:space="0" w:color="auto"/>
            </w:tcBorders>
            <w:vAlign w:val="center"/>
          </w:tcPr>
          <w:p w14:paraId="4D7E4B89" w14:textId="0B5FBDEA" w:rsidR="000B616F" w:rsidRPr="008A5987" w:rsidRDefault="000B616F" w:rsidP="00510290">
            <w:pPr>
              <w:jc w:val="center"/>
              <w:rPr>
                <w:rFonts w:ascii="Arial" w:hAnsi="Arial" w:cs="Arial"/>
                <w:sz w:val="16"/>
                <w:szCs w:val="16"/>
              </w:rPr>
            </w:pPr>
            <w:r w:rsidRPr="008A5987">
              <w:rPr>
                <w:rFonts w:ascii="Arial" w:hAnsi="Arial" w:cs="Arial"/>
                <w:sz w:val="16"/>
                <w:szCs w:val="16"/>
              </w:rPr>
              <w:t>18-22</w:t>
            </w:r>
          </w:p>
        </w:tc>
        <w:tc>
          <w:tcPr>
            <w:tcW w:w="818" w:type="dxa"/>
            <w:tcBorders>
              <w:top w:val="nil"/>
              <w:left w:val="nil"/>
              <w:bottom w:val="single" w:sz="4" w:space="0" w:color="auto"/>
              <w:right w:val="single" w:sz="4" w:space="0" w:color="auto"/>
            </w:tcBorders>
            <w:vAlign w:val="center"/>
            <w:hideMark/>
          </w:tcPr>
          <w:p w14:paraId="01249E71" w14:textId="3054B618" w:rsidR="000B616F" w:rsidRPr="008A5987" w:rsidRDefault="000B616F" w:rsidP="00510290">
            <w:pPr>
              <w:jc w:val="center"/>
              <w:rPr>
                <w:rFonts w:ascii="Arial" w:hAnsi="Arial" w:cs="Arial"/>
                <w:sz w:val="16"/>
                <w:szCs w:val="16"/>
              </w:rPr>
            </w:pPr>
            <w:r w:rsidRPr="008A5987">
              <w:rPr>
                <w:rFonts w:ascii="Arial" w:hAnsi="Arial" w:cs="Arial"/>
                <w:sz w:val="16"/>
                <w:szCs w:val="16"/>
              </w:rPr>
              <w:t>16-20</w:t>
            </w:r>
          </w:p>
        </w:tc>
        <w:tc>
          <w:tcPr>
            <w:tcW w:w="1116" w:type="dxa"/>
            <w:tcBorders>
              <w:top w:val="nil"/>
              <w:left w:val="nil"/>
              <w:bottom w:val="single" w:sz="4" w:space="0" w:color="auto"/>
              <w:right w:val="single" w:sz="4" w:space="0" w:color="auto"/>
            </w:tcBorders>
            <w:vAlign w:val="center"/>
            <w:hideMark/>
          </w:tcPr>
          <w:p w14:paraId="52427A30" w14:textId="77777777" w:rsidR="000B616F" w:rsidRPr="008A5987" w:rsidRDefault="000B616F" w:rsidP="00510290">
            <w:pPr>
              <w:jc w:val="center"/>
              <w:rPr>
                <w:rFonts w:ascii="Arial" w:hAnsi="Arial" w:cs="Arial"/>
                <w:sz w:val="16"/>
                <w:szCs w:val="16"/>
              </w:rPr>
            </w:pPr>
            <w:r w:rsidRPr="008A5987">
              <w:rPr>
                <w:rFonts w:ascii="Arial" w:hAnsi="Arial" w:cs="Arial"/>
                <w:sz w:val="16"/>
                <w:szCs w:val="16"/>
              </w:rPr>
              <w:t xml:space="preserve">32.130.000 € </w:t>
            </w:r>
          </w:p>
          <w:p w14:paraId="74DEF617" w14:textId="5B567600" w:rsidR="000B616F" w:rsidRPr="008A5987" w:rsidRDefault="000B616F" w:rsidP="00510290">
            <w:pPr>
              <w:jc w:val="center"/>
              <w:rPr>
                <w:rFonts w:ascii="Arial" w:hAnsi="Arial" w:cs="Arial"/>
                <w:sz w:val="16"/>
                <w:szCs w:val="16"/>
              </w:rPr>
            </w:pPr>
            <w:r w:rsidRPr="008A5987">
              <w:rPr>
                <w:rFonts w:ascii="Arial" w:hAnsi="Arial" w:cs="Arial"/>
                <w:sz w:val="16"/>
                <w:szCs w:val="16"/>
              </w:rPr>
              <w:t>39.270.000 €</w:t>
            </w:r>
          </w:p>
        </w:tc>
        <w:tc>
          <w:tcPr>
            <w:tcW w:w="1117" w:type="dxa"/>
            <w:tcBorders>
              <w:top w:val="nil"/>
              <w:left w:val="nil"/>
              <w:bottom w:val="single" w:sz="4" w:space="0" w:color="auto"/>
              <w:right w:val="single" w:sz="4" w:space="0" w:color="auto"/>
            </w:tcBorders>
            <w:vAlign w:val="center"/>
            <w:hideMark/>
          </w:tcPr>
          <w:p w14:paraId="7113A694" w14:textId="651CE040" w:rsidR="000B616F" w:rsidRPr="008A5987" w:rsidRDefault="000B616F" w:rsidP="00510290">
            <w:pPr>
              <w:jc w:val="center"/>
              <w:rPr>
                <w:rFonts w:ascii="Arial" w:hAnsi="Arial" w:cs="Arial"/>
                <w:b/>
                <w:bCs/>
                <w:sz w:val="16"/>
                <w:szCs w:val="16"/>
              </w:rPr>
            </w:pPr>
            <w:r w:rsidRPr="008A5987">
              <w:rPr>
                <w:rFonts w:ascii="Arial" w:hAnsi="Arial" w:cs="Arial"/>
                <w:b/>
                <w:bCs/>
                <w:sz w:val="16"/>
                <w:szCs w:val="16"/>
              </w:rPr>
              <w:t>28.560.000 €</w:t>
            </w:r>
          </w:p>
          <w:p w14:paraId="2893D488" w14:textId="523B5B15" w:rsidR="000B616F" w:rsidRPr="008A5987" w:rsidRDefault="000B616F" w:rsidP="00510290">
            <w:pPr>
              <w:jc w:val="center"/>
              <w:rPr>
                <w:rFonts w:ascii="Arial" w:hAnsi="Arial" w:cs="Arial"/>
                <w:b/>
                <w:bCs/>
                <w:sz w:val="16"/>
                <w:szCs w:val="16"/>
              </w:rPr>
            </w:pPr>
            <w:r w:rsidRPr="008A5987">
              <w:rPr>
                <w:rFonts w:ascii="Arial" w:hAnsi="Arial" w:cs="Arial"/>
                <w:b/>
                <w:bCs/>
                <w:sz w:val="16"/>
                <w:szCs w:val="16"/>
              </w:rPr>
              <w:t>35.700.000 €</w:t>
            </w:r>
          </w:p>
        </w:tc>
        <w:tc>
          <w:tcPr>
            <w:tcW w:w="1275" w:type="dxa"/>
            <w:tcBorders>
              <w:top w:val="nil"/>
              <w:left w:val="nil"/>
              <w:bottom w:val="single" w:sz="4" w:space="0" w:color="auto"/>
              <w:right w:val="single" w:sz="4" w:space="0" w:color="auto"/>
            </w:tcBorders>
            <w:vAlign w:val="center"/>
            <w:hideMark/>
          </w:tcPr>
          <w:p w14:paraId="25B3C373" w14:textId="1EFA4F25" w:rsidR="000B616F" w:rsidRPr="008A5987" w:rsidRDefault="000B616F" w:rsidP="00510290">
            <w:pPr>
              <w:jc w:val="center"/>
              <w:rPr>
                <w:rFonts w:ascii="Arial" w:hAnsi="Arial" w:cs="Arial"/>
                <w:color w:val="00B050"/>
                <w:sz w:val="16"/>
                <w:szCs w:val="16"/>
              </w:rPr>
            </w:pPr>
            <w:r w:rsidRPr="008A5987">
              <w:rPr>
                <w:rFonts w:ascii="Arial" w:hAnsi="Arial" w:cs="Arial"/>
                <w:color w:val="00B050"/>
                <w:sz w:val="16"/>
                <w:szCs w:val="16"/>
              </w:rPr>
              <w:t>-3.570.000 €</w:t>
            </w:r>
          </w:p>
          <w:p w14:paraId="4A4D344E" w14:textId="164D11E2" w:rsidR="000B616F" w:rsidRPr="008A5987" w:rsidRDefault="000B616F" w:rsidP="00510290">
            <w:pPr>
              <w:jc w:val="center"/>
              <w:rPr>
                <w:rFonts w:ascii="Arial" w:hAnsi="Arial" w:cs="Arial"/>
                <w:color w:val="00B050"/>
                <w:sz w:val="16"/>
                <w:szCs w:val="16"/>
              </w:rPr>
            </w:pPr>
            <w:r w:rsidRPr="008A5987">
              <w:rPr>
                <w:rFonts w:ascii="Arial" w:hAnsi="Arial" w:cs="Arial"/>
                <w:color w:val="00B050"/>
                <w:sz w:val="16"/>
                <w:szCs w:val="16"/>
              </w:rPr>
              <w:t>-3.570.000 €</w:t>
            </w:r>
          </w:p>
        </w:tc>
      </w:tr>
    </w:tbl>
    <w:p w14:paraId="5EC674AA" w14:textId="77777777" w:rsidR="00712B2D" w:rsidRPr="00891EFE" w:rsidRDefault="0060785D" w:rsidP="00712B2D">
      <w:pPr>
        <w:jc w:val="both"/>
        <w:rPr>
          <w:rFonts w:ascii="Arial" w:hAnsi="Arial" w:cs="Arial"/>
          <w:sz w:val="20"/>
          <w:szCs w:val="20"/>
        </w:rPr>
      </w:pPr>
      <w:r w:rsidRPr="00891EFE">
        <w:rPr>
          <w:rFonts w:ascii="Arial" w:hAnsi="Arial" w:cs="Arial"/>
          <w:sz w:val="20"/>
          <w:szCs w:val="20"/>
        </w:rPr>
        <w:t xml:space="preserve"> </w:t>
      </w:r>
    </w:p>
    <w:p w14:paraId="230D6C4A" w14:textId="77777777" w:rsidR="00712B2D" w:rsidRPr="00891EFE" w:rsidRDefault="00712B2D" w:rsidP="00712B2D">
      <w:pPr>
        <w:jc w:val="both"/>
        <w:rPr>
          <w:rFonts w:ascii="Arial" w:hAnsi="Arial" w:cs="Arial"/>
          <w:sz w:val="20"/>
          <w:szCs w:val="20"/>
        </w:rPr>
      </w:pPr>
    </w:p>
    <w:p w14:paraId="680A7592" w14:textId="732CE57C" w:rsidR="006D5118" w:rsidRPr="00891EFE" w:rsidRDefault="00712B2D" w:rsidP="009D389D">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sz w:val="20"/>
          <w:szCs w:val="20"/>
        </w:rPr>
      </w:pPr>
      <w:r w:rsidRPr="00891EFE">
        <w:rPr>
          <w:rFonts w:ascii="Arial" w:hAnsi="Arial" w:cs="Arial"/>
          <w:b/>
          <w:bCs/>
          <w:sz w:val="20"/>
          <w:szCs w:val="20"/>
        </w:rPr>
        <w:t>7.</w:t>
      </w:r>
      <w:r w:rsidR="00236A20" w:rsidRPr="00891EFE">
        <w:rPr>
          <w:rFonts w:ascii="Arial" w:hAnsi="Arial" w:cs="Arial"/>
          <w:b/>
          <w:bCs/>
          <w:sz w:val="20"/>
          <w:szCs w:val="20"/>
        </w:rPr>
        <w:t>4.</w:t>
      </w:r>
      <w:r w:rsidR="00937A74" w:rsidRPr="00891EFE">
        <w:rPr>
          <w:rFonts w:ascii="Arial" w:hAnsi="Arial" w:cs="Arial"/>
          <w:b/>
          <w:bCs/>
          <w:sz w:val="20"/>
          <w:szCs w:val="20"/>
        </w:rPr>
        <w:t>4</w:t>
      </w:r>
      <w:r w:rsidRPr="00891EFE">
        <w:rPr>
          <w:rFonts w:ascii="Arial" w:hAnsi="Arial" w:cs="Arial"/>
          <w:b/>
          <w:bCs/>
          <w:sz w:val="20"/>
          <w:szCs w:val="20"/>
        </w:rPr>
        <w:t xml:space="preserve"> </w:t>
      </w:r>
      <w:r w:rsidR="006D5118" w:rsidRPr="00891EFE">
        <w:rPr>
          <w:rFonts w:ascii="Arial" w:hAnsi="Arial" w:cs="Arial"/>
          <w:b/>
          <w:bCs/>
          <w:sz w:val="20"/>
          <w:szCs w:val="20"/>
        </w:rPr>
        <w:t>Estimaciones de coste de fabricación y de investigación del medicamento</w:t>
      </w:r>
    </w:p>
    <w:p w14:paraId="07893572" w14:textId="77777777" w:rsidR="006D5118" w:rsidRPr="00AE0510" w:rsidRDefault="006D5118" w:rsidP="006D5118">
      <w:pPr>
        <w:rPr>
          <w:rFonts w:ascii="Arial" w:hAnsi="Arial" w:cs="Arial"/>
          <w:b/>
          <w:bCs/>
          <w:sz w:val="20"/>
          <w:szCs w:val="20"/>
        </w:rPr>
      </w:pPr>
    </w:p>
    <w:p w14:paraId="63CA2072" w14:textId="77777777" w:rsidR="004208A4" w:rsidRPr="00891EFE" w:rsidRDefault="004208A4" w:rsidP="00891EF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0"/>
          <w:szCs w:val="20"/>
        </w:rPr>
      </w:pPr>
      <w:r w:rsidRPr="00891EFE">
        <w:rPr>
          <w:rFonts w:ascii="Arial" w:hAnsi="Arial" w:cs="Arial"/>
          <w:b/>
          <w:bCs/>
          <w:sz w:val="20"/>
          <w:szCs w:val="20"/>
        </w:rPr>
        <w:t>a) Búsqueda de información</w:t>
      </w:r>
    </w:p>
    <w:p w14:paraId="1A80BA8D" w14:textId="77777777" w:rsidR="001E24FC" w:rsidRPr="00891EFE" w:rsidRDefault="001E24FC" w:rsidP="001E24FC">
      <w:pPr>
        <w:rPr>
          <w:rFonts w:ascii="Arial" w:hAnsi="Arial" w:cs="Arial"/>
          <w:b/>
          <w:bCs/>
          <w:sz w:val="20"/>
          <w:szCs w:val="20"/>
        </w:rPr>
      </w:pPr>
    </w:p>
    <w:p w14:paraId="5E30004C" w14:textId="73A7A9E8" w:rsidR="00FD03DD" w:rsidRDefault="002537F2" w:rsidP="001C3BE4">
      <w:pPr>
        <w:jc w:val="both"/>
        <w:rPr>
          <w:rFonts w:ascii="Arial" w:hAnsi="Arial" w:cs="Arial"/>
          <w:sz w:val="20"/>
          <w:szCs w:val="20"/>
        </w:rPr>
      </w:pPr>
      <w:r>
        <w:rPr>
          <w:rFonts w:ascii="Arial" w:hAnsi="Arial" w:cs="Arial"/>
          <w:bCs/>
          <w:sz w:val="20"/>
          <w:szCs w:val="20"/>
        </w:rPr>
        <w:t>Debido a que no se dispone del d</w:t>
      </w:r>
      <w:r w:rsidR="009C32A4" w:rsidRPr="00891EFE">
        <w:rPr>
          <w:rFonts w:ascii="Arial" w:hAnsi="Arial" w:cs="Arial"/>
          <w:bCs/>
          <w:sz w:val="20"/>
          <w:szCs w:val="20"/>
        </w:rPr>
        <w:t>osier aportado por</w:t>
      </w:r>
      <w:r w:rsidR="001E24FC" w:rsidRPr="00891EFE">
        <w:rPr>
          <w:rFonts w:ascii="Arial" w:hAnsi="Arial" w:cs="Arial"/>
          <w:bCs/>
          <w:sz w:val="20"/>
          <w:szCs w:val="20"/>
        </w:rPr>
        <w:t xml:space="preserve"> el laboratorio farmacéutico</w:t>
      </w:r>
      <w:r w:rsidR="001E24FC" w:rsidRPr="00891EFE">
        <w:rPr>
          <w:rFonts w:ascii="Arial" w:hAnsi="Arial" w:cs="Arial"/>
          <w:sz w:val="20"/>
          <w:szCs w:val="20"/>
        </w:rPr>
        <w:t xml:space="preserve"> </w:t>
      </w:r>
      <w:r>
        <w:rPr>
          <w:rFonts w:ascii="Arial" w:hAnsi="Arial" w:cs="Arial"/>
          <w:sz w:val="20"/>
          <w:szCs w:val="20"/>
        </w:rPr>
        <w:t xml:space="preserve">que solicita </w:t>
      </w:r>
      <w:r w:rsidR="001E24FC" w:rsidRPr="00891EFE">
        <w:rPr>
          <w:rFonts w:ascii="Arial" w:hAnsi="Arial" w:cs="Arial"/>
          <w:sz w:val="20"/>
          <w:szCs w:val="20"/>
        </w:rPr>
        <w:t>asignación de precio y financiación</w:t>
      </w:r>
      <w:r>
        <w:rPr>
          <w:rFonts w:ascii="Arial" w:hAnsi="Arial" w:cs="Arial"/>
          <w:sz w:val="20"/>
          <w:szCs w:val="20"/>
        </w:rPr>
        <w:t>, ya que no es de acceso público (e</w:t>
      </w:r>
      <w:r w:rsidR="006C0226" w:rsidRPr="00891EFE">
        <w:rPr>
          <w:rFonts w:ascii="Arial" w:hAnsi="Arial" w:cs="Arial"/>
          <w:sz w:val="20"/>
          <w:szCs w:val="20"/>
        </w:rPr>
        <w:t>s confidencial</w:t>
      </w:r>
      <w:r>
        <w:rPr>
          <w:rFonts w:ascii="Arial" w:hAnsi="Arial" w:cs="Arial"/>
          <w:sz w:val="20"/>
          <w:szCs w:val="20"/>
        </w:rPr>
        <w:t>) se ha realizado una búsqueda de información en artículos científicos y en prensa nacional e internacional y otras publicaciones de organizaciones. Al tratarse algunas de ellas de fuentes no oficiales o sin revisión por pares, la información se debe interpretar con cautela, pero sirve para tener una idea aproximada de la magnitud de los costes.</w:t>
      </w:r>
    </w:p>
    <w:p w14:paraId="6FED5DF5" w14:textId="77777777" w:rsidR="00282FA4" w:rsidRDefault="00282FA4" w:rsidP="001C3BE4">
      <w:pPr>
        <w:jc w:val="both"/>
        <w:rPr>
          <w:rFonts w:ascii="Arial" w:hAnsi="Arial" w:cs="Arial"/>
          <w:b/>
          <w:bCs/>
          <w:sz w:val="20"/>
          <w:szCs w:val="20"/>
        </w:rPr>
      </w:pPr>
    </w:p>
    <w:p w14:paraId="3CDB56AA" w14:textId="77777777" w:rsidR="005C2411" w:rsidRPr="00891EFE" w:rsidRDefault="005C2411" w:rsidP="001C3BE4">
      <w:pPr>
        <w:jc w:val="both"/>
        <w:rPr>
          <w:rFonts w:ascii="Arial" w:hAnsi="Arial" w:cs="Arial"/>
          <w:b/>
          <w:bCs/>
          <w:sz w:val="20"/>
          <w:szCs w:val="20"/>
        </w:rPr>
      </w:pPr>
    </w:p>
    <w:p w14:paraId="5D0DBC64" w14:textId="77777777" w:rsidR="004208A4" w:rsidRPr="00891EFE" w:rsidRDefault="004208A4" w:rsidP="00891EF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0"/>
          <w:szCs w:val="20"/>
        </w:rPr>
      </w:pPr>
      <w:r w:rsidRPr="00891EFE">
        <w:rPr>
          <w:rFonts w:ascii="Arial" w:hAnsi="Arial" w:cs="Arial"/>
          <w:b/>
          <w:bCs/>
          <w:sz w:val="20"/>
          <w:szCs w:val="20"/>
        </w:rPr>
        <w:t xml:space="preserve">b) Costes de producción </w:t>
      </w:r>
    </w:p>
    <w:p w14:paraId="7B0CAA65" w14:textId="77777777" w:rsidR="000530CD" w:rsidRPr="00891EFE" w:rsidRDefault="000530CD" w:rsidP="00480C7D">
      <w:pPr>
        <w:jc w:val="both"/>
        <w:rPr>
          <w:rFonts w:ascii="Arial" w:hAnsi="Arial" w:cs="Arial"/>
          <w:b/>
          <w:bCs/>
          <w:sz w:val="20"/>
          <w:szCs w:val="20"/>
        </w:rPr>
      </w:pPr>
    </w:p>
    <w:p w14:paraId="43CED335" w14:textId="1C506999" w:rsidR="00320D04" w:rsidRPr="00891EFE" w:rsidRDefault="000530CD" w:rsidP="00480C7D">
      <w:pPr>
        <w:jc w:val="both"/>
        <w:rPr>
          <w:rFonts w:ascii="Arial" w:hAnsi="Arial" w:cs="Arial"/>
          <w:bCs/>
          <w:sz w:val="20"/>
          <w:szCs w:val="20"/>
        </w:rPr>
      </w:pPr>
      <w:r w:rsidRPr="00891EFE">
        <w:rPr>
          <w:rFonts w:ascii="Arial" w:hAnsi="Arial" w:cs="Arial"/>
          <w:b/>
          <w:bCs/>
          <w:sz w:val="20"/>
          <w:szCs w:val="20"/>
        </w:rPr>
        <w:t xml:space="preserve">Tratamiento: </w:t>
      </w:r>
      <w:r w:rsidRPr="00891EFE">
        <w:rPr>
          <w:rFonts w:ascii="Arial" w:hAnsi="Arial" w:cs="Arial"/>
          <w:bCs/>
          <w:sz w:val="20"/>
          <w:szCs w:val="20"/>
        </w:rPr>
        <w:t xml:space="preserve">Dosis única de </w:t>
      </w:r>
      <w:r w:rsidR="00482C21">
        <w:rPr>
          <w:rFonts w:ascii="Arial" w:hAnsi="Arial" w:cs="Arial"/>
          <w:bCs/>
          <w:sz w:val="20"/>
          <w:szCs w:val="20"/>
        </w:rPr>
        <w:t>onasemnogén</w:t>
      </w:r>
      <w:r w:rsidRPr="00891EFE">
        <w:rPr>
          <w:rFonts w:ascii="Arial" w:hAnsi="Arial" w:cs="Arial"/>
          <w:bCs/>
          <w:sz w:val="20"/>
          <w:szCs w:val="20"/>
        </w:rPr>
        <w:t xml:space="preserve"> abeparvovec a dosis nominal de 1,1 x 10</w:t>
      </w:r>
      <w:r w:rsidRPr="00891EFE">
        <w:rPr>
          <w:rFonts w:ascii="Arial" w:hAnsi="Arial" w:cs="Arial"/>
          <w:bCs/>
          <w:sz w:val="20"/>
          <w:szCs w:val="20"/>
          <w:vertAlign w:val="superscript"/>
        </w:rPr>
        <w:t>14</w:t>
      </w:r>
      <w:r w:rsidRPr="00891EFE">
        <w:rPr>
          <w:rFonts w:ascii="Arial" w:hAnsi="Arial" w:cs="Arial"/>
          <w:bCs/>
          <w:sz w:val="20"/>
          <w:szCs w:val="20"/>
        </w:rPr>
        <w:t xml:space="preserve"> vg/kg</w:t>
      </w:r>
      <w:r w:rsidR="00480C7D" w:rsidRPr="00891EFE">
        <w:rPr>
          <w:rFonts w:ascii="Arial" w:hAnsi="Arial" w:cs="Arial"/>
          <w:bCs/>
          <w:sz w:val="20"/>
          <w:szCs w:val="20"/>
        </w:rPr>
        <w:t xml:space="preserve">. </w:t>
      </w:r>
      <w:r w:rsidR="00E86223" w:rsidRPr="00891EFE">
        <w:rPr>
          <w:rFonts w:ascii="Arial" w:hAnsi="Arial" w:cs="Arial"/>
          <w:bCs/>
          <w:sz w:val="20"/>
          <w:szCs w:val="20"/>
        </w:rPr>
        <w:t>N</w:t>
      </w:r>
      <w:r w:rsidR="00480C7D" w:rsidRPr="00891EFE">
        <w:rPr>
          <w:rFonts w:ascii="Arial" w:hAnsi="Arial" w:cs="Arial"/>
          <w:bCs/>
          <w:sz w:val="20"/>
          <w:szCs w:val="20"/>
        </w:rPr>
        <w:t>o se ha encontrado información relativa al coste de producción.</w:t>
      </w:r>
    </w:p>
    <w:p w14:paraId="66775708" w14:textId="77777777" w:rsidR="00320D04" w:rsidRPr="00891EFE" w:rsidRDefault="00320D04" w:rsidP="00320D04">
      <w:pPr>
        <w:rPr>
          <w:rFonts w:ascii="Arial" w:hAnsi="Arial" w:cs="Arial"/>
          <w:bCs/>
          <w:sz w:val="20"/>
          <w:szCs w:val="20"/>
        </w:rPr>
      </w:pPr>
    </w:p>
    <w:p w14:paraId="7D6F8EF9" w14:textId="60E0E9CA" w:rsidR="00320D04" w:rsidRPr="00891EFE" w:rsidRDefault="00320D04">
      <w:pPr>
        <w:jc w:val="both"/>
        <w:rPr>
          <w:rFonts w:ascii="Arial" w:hAnsi="Arial" w:cs="Arial"/>
          <w:bCs/>
          <w:sz w:val="20"/>
          <w:szCs w:val="20"/>
        </w:rPr>
      </w:pPr>
      <w:r w:rsidRPr="00891EFE">
        <w:rPr>
          <w:rFonts w:ascii="Arial" w:hAnsi="Arial" w:cs="Arial"/>
          <w:bCs/>
          <w:sz w:val="20"/>
          <w:szCs w:val="20"/>
        </w:rPr>
        <w:lastRenderedPageBreak/>
        <w:t>El proceso</w:t>
      </w:r>
      <w:r w:rsidR="009C32A4" w:rsidRPr="00891EFE">
        <w:rPr>
          <w:rFonts w:ascii="Arial" w:hAnsi="Arial" w:cs="Arial"/>
          <w:bCs/>
          <w:sz w:val="20"/>
          <w:szCs w:val="20"/>
        </w:rPr>
        <w:t xml:space="preserve"> de producción </w:t>
      </w:r>
      <w:r w:rsidRPr="00891EFE">
        <w:rPr>
          <w:rFonts w:ascii="Arial" w:hAnsi="Arial" w:cs="Arial"/>
          <w:bCs/>
          <w:sz w:val="20"/>
          <w:szCs w:val="20"/>
        </w:rPr>
        <w:t>precisa aproximadamente 30 días de principio a fin. Los vectores utilizados para fabricar Zolgensma</w:t>
      </w:r>
      <w:r w:rsidR="00480C7D" w:rsidRPr="00891EFE">
        <w:rPr>
          <w:rFonts w:ascii="Arial" w:hAnsi="Arial" w:cs="Arial"/>
          <w:bCs/>
          <w:sz w:val="20"/>
          <w:szCs w:val="20"/>
          <w:vertAlign w:val="superscript"/>
        </w:rPr>
        <w:t>®</w:t>
      </w:r>
      <w:r w:rsidRPr="00891EFE">
        <w:rPr>
          <w:rFonts w:ascii="Arial" w:hAnsi="Arial" w:cs="Arial"/>
          <w:bCs/>
          <w:sz w:val="20"/>
          <w:szCs w:val="20"/>
        </w:rPr>
        <w:t xml:space="preserve"> se producen en líneas celulares adherentes que requieren tecnologías y sistemas especializados. Se usa la triple transfección de las células HEK293 para producir los vectores</w:t>
      </w:r>
      <w:r w:rsidR="006C0226" w:rsidRPr="00891EFE">
        <w:rPr>
          <w:rFonts w:ascii="Arial" w:hAnsi="Arial" w:cs="Arial"/>
          <w:bCs/>
          <w:sz w:val="20"/>
          <w:szCs w:val="20"/>
        </w:rPr>
        <w:t xml:space="preserve"> del virus adeno-asociado y </w:t>
      </w:r>
      <w:r w:rsidRPr="00891EFE">
        <w:rPr>
          <w:rFonts w:ascii="Arial" w:hAnsi="Arial" w:cs="Arial"/>
          <w:bCs/>
          <w:sz w:val="20"/>
          <w:szCs w:val="20"/>
        </w:rPr>
        <w:t xml:space="preserve">procesos posteriores de captura y filtración para lograr el perfil de impurezas deseado y la proporción de cápside llena / vacía </w:t>
      </w:r>
      <w:r w:rsidR="00480C7D" w:rsidRPr="00891EFE">
        <w:rPr>
          <w:rStyle w:val="Refdenotaalfinal"/>
          <w:rFonts w:ascii="Arial" w:hAnsi="Arial" w:cs="Arial"/>
          <w:bCs/>
          <w:sz w:val="20"/>
          <w:szCs w:val="20"/>
        </w:rPr>
        <w:endnoteReference w:id="29"/>
      </w:r>
      <w:r w:rsidRPr="00891EFE">
        <w:rPr>
          <w:rFonts w:ascii="Arial" w:hAnsi="Arial" w:cs="Arial"/>
          <w:bCs/>
          <w:sz w:val="20"/>
          <w:szCs w:val="20"/>
        </w:rPr>
        <w:t>.</w:t>
      </w:r>
    </w:p>
    <w:p w14:paraId="49FB2880" w14:textId="77777777" w:rsidR="00BE32A7" w:rsidRPr="00891EFE" w:rsidRDefault="00BE32A7">
      <w:pPr>
        <w:jc w:val="both"/>
        <w:rPr>
          <w:rFonts w:ascii="Arial" w:hAnsi="Arial" w:cs="Arial"/>
          <w:sz w:val="20"/>
          <w:szCs w:val="18"/>
        </w:rPr>
      </w:pPr>
    </w:p>
    <w:p w14:paraId="679D625A" w14:textId="2DFE099C" w:rsidR="000A316A" w:rsidRPr="00891EFE" w:rsidRDefault="000A316A" w:rsidP="000A316A">
      <w:pPr>
        <w:jc w:val="both"/>
        <w:rPr>
          <w:rFonts w:ascii="Arial" w:hAnsi="Arial" w:cs="Arial"/>
          <w:sz w:val="20"/>
          <w:szCs w:val="18"/>
        </w:rPr>
      </w:pPr>
      <w:r w:rsidRPr="00891EFE">
        <w:rPr>
          <w:rFonts w:ascii="Arial" w:hAnsi="Arial" w:cs="Arial"/>
          <w:sz w:val="20"/>
          <w:szCs w:val="18"/>
        </w:rPr>
        <w:t xml:space="preserve">Se basa en la tecnología NAV patentada de </w:t>
      </w:r>
      <w:r w:rsidRPr="00891EFE">
        <w:rPr>
          <w:rFonts w:ascii="Arial" w:hAnsi="Arial" w:cs="Arial"/>
          <w:b/>
          <w:i/>
          <w:sz w:val="20"/>
          <w:szCs w:val="18"/>
        </w:rPr>
        <w:t>Regenxbio</w:t>
      </w:r>
      <w:r w:rsidRPr="00891EFE">
        <w:rPr>
          <w:rFonts w:ascii="Arial" w:hAnsi="Arial" w:cs="Arial"/>
          <w:sz w:val="20"/>
          <w:szCs w:val="18"/>
        </w:rPr>
        <w:t xml:space="preserve"> y su vector de virus adenoasociado AAV9.</w:t>
      </w:r>
      <w:r w:rsidRPr="00891EFE">
        <w:t xml:space="preserve"> </w:t>
      </w:r>
      <w:r w:rsidRPr="00891EFE">
        <w:rPr>
          <w:rFonts w:ascii="Arial" w:hAnsi="Arial" w:cs="Arial"/>
          <w:i/>
          <w:sz w:val="20"/>
          <w:szCs w:val="18"/>
        </w:rPr>
        <w:t>Regenxbio</w:t>
      </w:r>
      <w:r w:rsidRPr="00891EFE">
        <w:rPr>
          <w:rFonts w:ascii="Arial" w:hAnsi="Arial" w:cs="Arial"/>
          <w:sz w:val="20"/>
          <w:szCs w:val="18"/>
        </w:rPr>
        <w:t xml:space="preserve"> otorgó a </w:t>
      </w:r>
      <w:r w:rsidRPr="00891EFE">
        <w:rPr>
          <w:rFonts w:ascii="Arial" w:hAnsi="Arial" w:cs="Arial"/>
          <w:b/>
          <w:i/>
          <w:sz w:val="20"/>
          <w:szCs w:val="18"/>
        </w:rPr>
        <w:t>AveXis</w:t>
      </w:r>
      <w:r w:rsidRPr="00891EFE">
        <w:rPr>
          <w:rFonts w:ascii="Arial" w:hAnsi="Arial" w:cs="Arial"/>
          <w:sz w:val="20"/>
          <w:szCs w:val="18"/>
        </w:rPr>
        <w:t xml:space="preserve"> una licencia comercial mundial exclusiva, con derechos de sublicencia, para el vector NAV AAV9 para la AME mediante terapia génica </w:t>
      </w:r>
      <w:r w:rsidRPr="00891EFE">
        <w:rPr>
          <w:rFonts w:ascii="Arial" w:hAnsi="Arial" w:cs="Arial"/>
          <w:i/>
          <w:sz w:val="20"/>
          <w:szCs w:val="18"/>
        </w:rPr>
        <w:t>in vivo</w:t>
      </w:r>
      <w:r w:rsidRPr="00891EFE">
        <w:rPr>
          <w:rFonts w:ascii="Arial" w:hAnsi="Arial" w:cs="Arial"/>
          <w:sz w:val="20"/>
          <w:szCs w:val="18"/>
        </w:rPr>
        <w:t xml:space="preserve"> </w:t>
      </w:r>
      <w:r w:rsidRPr="00891EFE">
        <w:rPr>
          <w:rStyle w:val="Refdenotaalfinal"/>
          <w:rFonts w:ascii="Arial" w:hAnsi="Arial" w:cs="Arial"/>
          <w:sz w:val="20"/>
          <w:szCs w:val="18"/>
        </w:rPr>
        <w:endnoteReference w:id="30"/>
      </w:r>
      <w:r w:rsidRPr="00891EFE">
        <w:rPr>
          <w:rFonts w:ascii="Arial" w:hAnsi="Arial" w:cs="Arial"/>
          <w:sz w:val="20"/>
          <w:szCs w:val="18"/>
        </w:rPr>
        <w:t xml:space="preserve">. En </w:t>
      </w:r>
      <w:r w:rsidR="00F5167C">
        <w:rPr>
          <w:rFonts w:ascii="Arial" w:hAnsi="Arial" w:cs="Arial"/>
          <w:sz w:val="20"/>
          <w:szCs w:val="18"/>
        </w:rPr>
        <w:t>f</w:t>
      </w:r>
      <w:r w:rsidR="00F5167C" w:rsidRPr="00891EFE">
        <w:rPr>
          <w:rFonts w:ascii="Arial" w:hAnsi="Arial" w:cs="Arial"/>
          <w:sz w:val="20"/>
          <w:szCs w:val="18"/>
        </w:rPr>
        <w:t xml:space="preserve">ebrero </w:t>
      </w:r>
      <w:r w:rsidRPr="00891EFE">
        <w:rPr>
          <w:rFonts w:ascii="Arial" w:hAnsi="Arial" w:cs="Arial"/>
          <w:sz w:val="20"/>
          <w:szCs w:val="18"/>
        </w:rPr>
        <w:t xml:space="preserve">de 2020 tenía capacidad para producir entre 700 y 800 dosis al año en su planta de fabricación en Libertyville, Illinois, suficiente para cubrir a los recién nacidos en los EE.UU. Se tenía previsto abrir nuevas instalaciones en Durham, Carolina del Norte. </w:t>
      </w:r>
      <w:r w:rsidRPr="00891EFE">
        <w:rPr>
          <w:rFonts w:ascii="Arial" w:hAnsi="Arial" w:cs="Arial"/>
          <w:b/>
          <w:i/>
          <w:sz w:val="20"/>
          <w:szCs w:val="18"/>
        </w:rPr>
        <w:t>Novartis</w:t>
      </w:r>
      <w:r w:rsidRPr="00891EFE">
        <w:rPr>
          <w:rFonts w:ascii="Arial" w:hAnsi="Arial" w:cs="Arial"/>
          <w:sz w:val="20"/>
          <w:szCs w:val="18"/>
        </w:rPr>
        <w:t xml:space="preserve"> también ha invertido más de 200 millones $  para la construcción en Durham de un centro, que prevé emplear a unas 400 personas para fin de año. La instalación se utilizará tanto para la fabricación comercial de Zolgensma</w:t>
      </w:r>
      <w:r w:rsidRPr="00891EFE">
        <w:rPr>
          <w:rFonts w:ascii="Arial" w:hAnsi="Arial" w:cs="Arial"/>
          <w:sz w:val="20"/>
          <w:szCs w:val="18"/>
          <w:vertAlign w:val="superscript"/>
        </w:rPr>
        <w:t xml:space="preserve">® </w:t>
      </w:r>
      <w:r w:rsidRPr="00891EFE">
        <w:rPr>
          <w:rFonts w:ascii="Arial" w:hAnsi="Arial" w:cs="Arial"/>
          <w:sz w:val="20"/>
          <w:szCs w:val="18"/>
        </w:rPr>
        <w:t xml:space="preserve">como para respaldar la producción clínica de otras terapias génicas que </w:t>
      </w:r>
      <w:r w:rsidRPr="00891EFE">
        <w:rPr>
          <w:rFonts w:ascii="Arial" w:hAnsi="Arial" w:cs="Arial"/>
          <w:i/>
          <w:sz w:val="20"/>
          <w:szCs w:val="18"/>
        </w:rPr>
        <w:t>Novartis</w:t>
      </w:r>
      <w:r w:rsidRPr="00891EFE">
        <w:rPr>
          <w:rFonts w:ascii="Arial" w:hAnsi="Arial" w:cs="Arial"/>
          <w:sz w:val="20"/>
          <w:szCs w:val="18"/>
        </w:rPr>
        <w:t xml:space="preserve"> está desarrollando. También espera obtener las autorizaciones para la fabricación de Zolgensma</w:t>
      </w:r>
      <w:r w:rsidRPr="00891EFE">
        <w:rPr>
          <w:rFonts w:ascii="Arial" w:hAnsi="Arial" w:cs="Arial"/>
          <w:sz w:val="20"/>
          <w:szCs w:val="18"/>
          <w:vertAlign w:val="superscript"/>
        </w:rPr>
        <w:t>®</w:t>
      </w:r>
      <w:r w:rsidRPr="00891EFE">
        <w:rPr>
          <w:rFonts w:ascii="Arial" w:hAnsi="Arial" w:cs="Arial"/>
          <w:sz w:val="20"/>
          <w:szCs w:val="18"/>
        </w:rPr>
        <w:t xml:space="preserve"> en unas instalaciones en Longmont, Colorado, compradas en 2019.</w:t>
      </w:r>
      <w:r w:rsidRPr="00891EFE">
        <w:rPr>
          <w:rStyle w:val="Refdenotaalfinal"/>
          <w:rFonts w:ascii="Arial" w:hAnsi="Arial" w:cs="Arial"/>
          <w:sz w:val="20"/>
          <w:szCs w:val="18"/>
        </w:rPr>
        <w:endnoteReference w:id="31"/>
      </w:r>
    </w:p>
    <w:p w14:paraId="003A85C1" w14:textId="77777777" w:rsidR="00282FA4" w:rsidRDefault="00282FA4" w:rsidP="00480C7D">
      <w:pPr>
        <w:jc w:val="both"/>
        <w:rPr>
          <w:rFonts w:ascii="Arial" w:hAnsi="Arial" w:cs="Arial"/>
          <w:sz w:val="20"/>
          <w:szCs w:val="18"/>
        </w:rPr>
      </w:pPr>
    </w:p>
    <w:p w14:paraId="45987DE4" w14:textId="77777777" w:rsidR="005C2411" w:rsidRPr="00891EFE" w:rsidRDefault="005C2411" w:rsidP="00480C7D">
      <w:pPr>
        <w:jc w:val="both"/>
        <w:rPr>
          <w:rFonts w:ascii="Arial" w:hAnsi="Arial" w:cs="Arial"/>
          <w:sz w:val="20"/>
          <w:szCs w:val="18"/>
        </w:rPr>
      </w:pPr>
    </w:p>
    <w:p w14:paraId="35D40E03" w14:textId="77777777" w:rsidR="006D5118" w:rsidRPr="00891EFE" w:rsidRDefault="006D5118" w:rsidP="00891EF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0"/>
          <w:szCs w:val="20"/>
        </w:rPr>
      </w:pPr>
      <w:r w:rsidRPr="00891EFE">
        <w:rPr>
          <w:rFonts w:ascii="Arial" w:hAnsi="Arial" w:cs="Arial"/>
          <w:b/>
          <w:bCs/>
          <w:sz w:val="20"/>
          <w:szCs w:val="20"/>
        </w:rPr>
        <w:t>c) Costes de investigación</w:t>
      </w:r>
    </w:p>
    <w:p w14:paraId="749DFB0E" w14:textId="77777777" w:rsidR="003041F1" w:rsidRPr="00891EFE" w:rsidRDefault="003041F1" w:rsidP="006D5118">
      <w:pPr>
        <w:rPr>
          <w:rFonts w:ascii="Arial" w:hAnsi="Arial" w:cs="Arial"/>
          <w:b/>
          <w:bCs/>
          <w:sz w:val="20"/>
          <w:szCs w:val="20"/>
        </w:rPr>
      </w:pPr>
    </w:p>
    <w:p w14:paraId="6FA8284F" w14:textId="77777777" w:rsidR="00B61BF6" w:rsidRPr="00891EFE" w:rsidRDefault="004208A4" w:rsidP="00CB4008">
      <w:pPr>
        <w:pBdr>
          <w:bottom w:val="single" w:sz="4" w:space="1" w:color="auto"/>
        </w:pBdr>
        <w:rPr>
          <w:rFonts w:ascii="Arial" w:hAnsi="Arial" w:cs="Arial"/>
          <w:b/>
          <w:sz w:val="20"/>
          <w:szCs w:val="20"/>
        </w:rPr>
      </w:pPr>
      <w:r w:rsidRPr="00891EFE">
        <w:rPr>
          <w:rFonts w:ascii="Arial" w:hAnsi="Arial" w:cs="Arial"/>
          <w:b/>
          <w:sz w:val="20"/>
          <w:szCs w:val="20"/>
        </w:rPr>
        <w:t xml:space="preserve">Coste </w:t>
      </w:r>
      <w:r w:rsidR="001E24FC" w:rsidRPr="00891EFE">
        <w:rPr>
          <w:rFonts w:ascii="Arial" w:hAnsi="Arial" w:cs="Arial"/>
          <w:b/>
          <w:sz w:val="20"/>
          <w:szCs w:val="20"/>
        </w:rPr>
        <w:t>Investigación básica</w:t>
      </w:r>
      <w:r w:rsidR="00B61BF6" w:rsidRPr="00891EFE">
        <w:rPr>
          <w:rFonts w:ascii="Arial" w:hAnsi="Arial" w:cs="Arial"/>
          <w:b/>
          <w:sz w:val="20"/>
          <w:szCs w:val="20"/>
        </w:rPr>
        <w:t xml:space="preserve"> e inicial.</w:t>
      </w:r>
    </w:p>
    <w:p w14:paraId="468562CD" w14:textId="77777777" w:rsidR="00CB4008" w:rsidRPr="00891EFE" w:rsidRDefault="00CB4008" w:rsidP="00B61BF6">
      <w:pPr>
        <w:jc w:val="both"/>
        <w:rPr>
          <w:rFonts w:ascii="Arial" w:hAnsi="Arial" w:cs="Arial"/>
          <w:sz w:val="20"/>
          <w:szCs w:val="20"/>
        </w:rPr>
      </w:pPr>
    </w:p>
    <w:p w14:paraId="7F9867A1" w14:textId="05C369A3" w:rsidR="00B61BF6" w:rsidRPr="00891EFE" w:rsidRDefault="001E24FC" w:rsidP="00B61BF6">
      <w:pPr>
        <w:jc w:val="both"/>
        <w:rPr>
          <w:rFonts w:ascii="Arial" w:hAnsi="Arial" w:cs="Arial"/>
          <w:sz w:val="20"/>
          <w:szCs w:val="20"/>
        </w:rPr>
      </w:pPr>
      <w:r w:rsidRPr="00891EFE">
        <w:rPr>
          <w:rFonts w:ascii="Arial" w:hAnsi="Arial" w:cs="Arial"/>
          <w:sz w:val="20"/>
          <w:szCs w:val="20"/>
        </w:rPr>
        <w:t>La investigación inicial costó a entre</w:t>
      </w:r>
      <w:r w:rsidRPr="00891EFE">
        <w:rPr>
          <w:rFonts w:ascii="Arial" w:hAnsi="Arial" w:cs="Arial"/>
          <w:b/>
          <w:sz w:val="20"/>
          <w:szCs w:val="20"/>
        </w:rPr>
        <w:t xml:space="preserve"> 12 y 15 millones de €.  </w:t>
      </w:r>
      <w:r w:rsidRPr="00891EFE">
        <w:rPr>
          <w:rFonts w:ascii="Arial" w:hAnsi="Arial" w:cs="Arial"/>
          <w:sz w:val="20"/>
          <w:szCs w:val="20"/>
        </w:rPr>
        <w:t>S</w:t>
      </w:r>
      <w:r w:rsidR="00F414E1" w:rsidRPr="00891EFE">
        <w:rPr>
          <w:rFonts w:ascii="Arial" w:hAnsi="Arial" w:cs="Arial"/>
          <w:sz w:val="20"/>
          <w:szCs w:val="20"/>
        </w:rPr>
        <w:t>e llevó a cabo en</w:t>
      </w:r>
      <w:r w:rsidR="00F414E1" w:rsidRPr="00891EFE">
        <w:rPr>
          <w:rFonts w:ascii="Arial" w:hAnsi="Arial" w:cs="Arial"/>
          <w:b/>
          <w:sz w:val="20"/>
          <w:szCs w:val="20"/>
        </w:rPr>
        <w:t xml:space="preserve"> </w:t>
      </w:r>
      <w:r w:rsidR="004208A4" w:rsidRPr="00891EFE">
        <w:rPr>
          <w:rFonts w:ascii="Arial" w:hAnsi="Arial" w:cs="Arial"/>
          <w:b/>
          <w:i/>
          <w:sz w:val="20"/>
          <w:szCs w:val="20"/>
        </w:rPr>
        <w:t>Généthon</w:t>
      </w:r>
      <w:r w:rsidR="00FF1BD5" w:rsidRPr="00891EFE">
        <w:rPr>
          <w:rFonts w:ascii="Arial" w:hAnsi="Arial" w:cs="Arial"/>
          <w:sz w:val="20"/>
          <w:szCs w:val="20"/>
        </w:rPr>
        <w:t xml:space="preserve"> </w:t>
      </w:r>
      <w:r w:rsidR="00F414E1" w:rsidRPr="00891EFE">
        <w:rPr>
          <w:rFonts w:ascii="Arial" w:hAnsi="Arial" w:cs="Arial"/>
          <w:sz w:val="20"/>
          <w:szCs w:val="20"/>
        </w:rPr>
        <w:t>un laboratorio francés</w:t>
      </w:r>
      <w:r w:rsidR="001C6A58" w:rsidRPr="00891EFE">
        <w:rPr>
          <w:rFonts w:ascii="Arial" w:hAnsi="Arial" w:cs="Arial"/>
          <w:sz w:val="20"/>
          <w:szCs w:val="20"/>
        </w:rPr>
        <w:t xml:space="preserve"> sin</w:t>
      </w:r>
      <w:r w:rsidR="00E86223" w:rsidRPr="00891EFE">
        <w:rPr>
          <w:rFonts w:ascii="Arial" w:hAnsi="Arial" w:cs="Arial"/>
          <w:sz w:val="20"/>
          <w:szCs w:val="20"/>
        </w:rPr>
        <w:t xml:space="preserve"> </w:t>
      </w:r>
      <w:r w:rsidR="004208A4" w:rsidRPr="00891EFE">
        <w:rPr>
          <w:rFonts w:ascii="Arial" w:hAnsi="Arial" w:cs="Arial"/>
          <w:sz w:val="20"/>
          <w:szCs w:val="20"/>
        </w:rPr>
        <w:t>ánimo de lucro</w:t>
      </w:r>
      <w:r w:rsidR="00B61BF6" w:rsidRPr="00891EFE">
        <w:rPr>
          <w:rFonts w:ascii="Arial" w:hAnsi="Arial" w:cs="Arial"/>
          <w:sz w:val="20"/>
          <w:szCs w:val="20"/>
        </w:rPr>
        <w:t>. Généthon fue fundado y financiado por la Asociación Francesa de Miopatías (AFM-Théléthon que, a su vez, se financia con d</w:t>
      </w:r>
      <w:r w:rsidR="000A316A" w:rsidRPr="00891EFE">
        <w:rPr>
          <w:rFonts w:ascii="Arial" w:hAnsi="Arial" w:cs="Arial"/>
          <w:sz w:val="20"/>
          <w:szCs w:val="20"/>
        </w:rPr>
        <w:t>onaciones de miles de personas, p</w:t>
      </w:r>
      <w:r w:rsidR="00B61BF6" w:rsidRPr="00891EFE">
        <w:rPr>
          <w:rFonts w:ascii="Arial" w:hAnsi="Arial" w:cs="Arial"/>
          <w:sz w:val="20"/>
          <w:szCs w:val="20"/>
        </w:rPr>
        <w:t>or entidades y con ayudas públicas</w:t>
      </w:r>
      <w:r w:rsidR="000A316A" w:rsidRPr="00891EFE">
        <w:rPr>
          <w:rFonts w:ascii="Arial" w:hAnsi="Arial" w:cs="Arial"/>
          <w:sz w:val="20"/>
          <w:szCs w:val="20"/>
        </w:rPr>
        <w:t xml:space="preserve">: </w:t>
      </w:r>
      <w:r w:rsidR="00B61BF6" w:rsidRPr="00891EFE">
        <w:rPr>
          <w:rFonts w:ascii="Arial" w:hAnsi="Arial" w:cs="Arial"/>
          <w:sz w:val="20"/>
          <w:szCs w:val="20"/>
        </w:rPr>
        <w:t xml:space="preserve">Inserm, CNRS, Unión Europea…). Es una organización de I + D sin fines de lucro dedicada al desarrollo de bioterapias para enfermedades genéticas huérfanas, desde la investigación hasta la validación clínica. Genethon está especializada en el descubrimiento y desarrollo de medicamentos de terapia génica y tiene múltiples programas en curso en la etapa clínica, preclínica y de investigación para enfermedades neuromusculares, sanguíneas, del sistema inmunológico y </w:t>
      </w:r>
      <w:r w:rsidR="00AA7AFB">
        <w:rPr>
          <w:rFonts w:ascii="Arial" w:hAnsi="Arial" w:cs="Arial"/>
          <w:sz w:val="20"/>
          <w:szCs w:val="20"/>
        </w:rPr>
        <w:t>hepáticas</w:t>
      </w:r>
      <w:r w:rsidR="00B61BF6" w:rsidRPr="00891EFE">
        <w:rPr>
          <w:rFonts w:ascii="Arial" w:hAnsi="Arial" w:cs="Arial"/>
          <w:sz w:val="20"/>
          <w:szCs w:val="20"/>
        </w:rPr>
        <w:t>. Los derechos de propiedad intelectual de Zolgensma</w:t>
      </w:r>
      <w:r w:rsidR="00B61BF6" w:rsidRPr="00891EFE">
        <w:rPr>
          <w:rFonts w:ascii="Arial" w:hAnsi="Arial" w:cs="Arial"/>
          <w:sz w:val="20"/>
          <w:szCs w:val="20"/>
          <w:vertAlign w:val="superscript"/>
        </w:rPr>
        <w:t>®</w:t>
      </w:r>
      <w:r w:rsidR="00B61BF6" w:rsidRPr="00891EFE">
        <w:rPr>
          <w:rFonts w:ascii="Arial" w:hAnsi="Arial" w:cs="Arial"/>
          <w:sz w:val="20"/>
          <w:szCs w:val="20"/>
        </w:rPr>
        <w:t xml:space="preserve"> fueron autorizados por la Universidad de Pensilvania, Nationwide Children's Hospital (NCH) y Genethon. Varias organizaciones benéficas estadounidenses, como Sophia's Cure, Cure SMA y Miracle for Madison, también recaudaron millones de dólares para avanzar en la investigación. El papel de las organizaciones benéficas en la financiación de la investigación relacionada con la AME en general y con Zolgensma</w:t>
      </w:r>
      <w:r w:rsidR="00B61BF6" w:rsidRPr="00891EFE">
        <w:rPr>
          <w:rFonts w:ascii="Arial" w:hAnsi="Arial" w:cs="Arial"/>
          <w:sz w:val="20"/>
          <w:szCs w:val="20"/>
          <w:vertAlign w:val="superscript"/>
        </w:rPr>
        <w:t>®</w:t>
      </w:r>
      <w:r w:rsidR="00B61BF6" w:rsidRPr="00891EFE">
        <w:rPr>
          <w:rFonts w:ascii="Arial" w:hAnsi="Arial" w:cs="Arial"/>
          <w:sz w:val="20"/>
          <w:szCs w:val="20"/>
        </w:rPr>
        <w:t xml:space="preserve"> en particular ha sido importante.</w:t>
      </w:r>
      <w:r w:rsidR="009E568A">
        <w:rPr>
          <w:rFonts w:ascii="Arial" w:hAnsi="Arial" w:cs="Arial"/>
          <w:sz w:val="20"/>
          <w:szCs w:val="20"/>
        </w:rPr>
        <w:t xml:space="preserve"> </w:t>
      </w:r>
      <w:bookmarkStart w:id="102" w:name="_Ref58495229"/>
      <w:r w:rsidR="009E568A">
        <w:rPr>
          <w:rStyle w:val="Refdenotaalfinal"/>
          <w:rFonts w:ascii="Arial" w:hAnsi="Arial" w:cs="Arial"/>
          <w:sz w:val="20"/>
          <w:szCs w:val="20"/>
        </w:rPr>
        <w:endnoteReference w:id="32"/>
      </w:r>
      <w:bookmarkEnd w:id="102"/>
      <w:r w:rsidR="009E568A" w:rsidRPr="00891EFE">
        <w:rPr>
          <w:rFonts w:ascii="Arial" w:hAnsi="Arial" w:cs="Arial"/>
          <w:sz w:val="20"/>
          <w:szCs w:val="20"/>
          <w:vertAlign w:val="superscript"/>
        </w:rPr>
        <w:t>,</w:t>
      </w:r>
      <w:r w:rsidR="009E568A" w:rsidRPr="00891EFE">
        <w:rPr>
          <w:rStyle w:val="Refdenotaalfinal"/>
          <w:rFonts w:ascii="Arial" w:hAnsi="Arial" w:cs="Arial"/>
          <w:b/>
          <w:sz w:val="20"/>
          <w:szCs w:val="20"/>
        </w:rPr>
        <w:endnoteReference w:id="33"/>
      </w:r>
      <w:r w:rsidR="009E568A" w:rsidRPr="00891EFE">
        <w:rPr>
          <w:rFonts w:ascii="Arial" w:hAnsi="Arial" w:cs="Arial"/>
          <w:b/>
          <w:sz w:val="20"/>
          <w:szCs w:val="20"/>
          <w:vertAlign w:val="superscript"/>
        </w:rPr>
        <w:t>,</w:t>
      </w:r>
      <w:bookmarkStart w:id="103" w:name="_Ref58496028"/>
      <w:r w:rsidR="009E568A" w:rsidRPr="00891EFE">
        <w:rPr>
          <w:rStyle w:val="Refdenotaalfinal"/>
          <w:rFonts w:ascii="Arial" w:hAnsi="Arial" w:cs="Arial"/>
          <w:b/>
          <w:sz w:val="20"/>
          <w:szCs w:val="20"/>
        </w:rPr>
        <w:endnoteReference w:id="34"/>
      </w:r>
      <w:bookmarkEnd w:id="103"/>
      <w:r w:rsidR="009E568A" w:rsidRPr="00891EFE">
        <w:rPr>
          <w:rFonts w:ascii="Arial" w:hAnsi="Arial" w:cs="Arial"/>
          <w:b/>
          <w:sz w:val="20"/>
          <w:szCs w:val="20"/>
          <w:vertAlign w:val="superscript"/>
        </w:rPr>
        <w:t>,</w:t>
      </w:r>
      <w:r w:rsidR="009E568A" w:rsidRPr="00891EFE">
        <w:rPr>
          <w:rStyle w:val="Refdenotaalfinal"/>
          <w:rFonts w:ascii="Arial" w:hAnsi="Arial" w:cs="Arial"/>
          <w:b/>
          <w:sz w:val="20"/>
          <w:szCs w:val="20"/>
        </w:rPr>
        <w:endnoteReference w:id="35"/>
      </w:r>
      <w:r w:rsidR="009E568A">
        <w:rPr>
          <w:rFonts w:ascii="Arial" w:hAnsi="Arial" w:cs="Arial"/>
          <w:sz w:val="20"/>
          <w:szCs w:val="20"/>
        </w:rPr>
        <w:t xml:space="preserve">    </w:t>
      </w:r>
    </w:p>
    <w:p w14:paraId="04012F1B" w14:textId="77777777" w:rsidR="00B61BF6" w:rsidRPr="00891EFE" w:rsidRDefault="00B61BF6" w:rsidP="00B61BF6">
      <w:pPr>
        <w:jc w:val="both"/>
        <w:rPr>
          <w:rFonts w:ascii="Arial" w:hAnsi="Arial" w:cs="Arial"/>
          <w:sz w:val="20"/>
          <w:szCs w:val="20"/>
        </w:rPr>
      </w:pPr>
    </w:p>
    <w:p w14:paraId="7460C3DB" w14:textId="692960D8" w:rsidR="004208A4" w:rsidRPr="00891EFE" w:rsidRDefault="00C2019B" w:rsidP="00B61BF6">
      <w:pPr>
        <w:jc w:val="both"/>
        <w:rPr>
          <w:rFonts w:ascii="Arial" w:hAnsi="Arial" w:cs="Arial"/>
          <w:sz w:val="20"/>
          <w:szCs w:val="20"/>
        </w:rPr>
      </w:pPr>
      <w:r w:rsidRPr="00891EFE">
        <w:rPr>
          <w:rFonts w:ascii="Arial" w:hAnsi="Arial" w:cs="Arial"/>
          <w:b/>
          <w:i/>
          <w:sz w:val="20"/>
          <w:szCs w:val="20"/>
        </w:rPr>
        <w:t>AveXis</w:t>
      </w:r>
      <w:r w:rsidRPr="00891EFE">
        <w:rPr>
          <w:rFonts w:ascii="Arial" w:hAnsi="Arial" w:cs="Arial"/>
          <w:b/>
          <w:sz w:val="20"/>
          <w:szCs w:val="20"/>
        </w:rPr>
        <w:t xml:space="preserve">, </w:t>
      </w:r>
      <w:r w:rsidRPr="00891EFE">
        <w:rPr>
          <w:rFonts w:ascii="Arial" w:hAnsi="Arial" w:cs="Arial"/>
          <w:sz w:val="20"/>
          <w:szCs w:val="20"/>
        </w:rPr>
        <w:t>compró los derechos de la patente a</w:t>
      </w:r>
      <w:r w:rsidRPr="00891EFE">
        <w:rPr>
          <w:rFonts w:ascii="Arial" w:hAnsi="Arial" w:cs="Arial"/>
          <w:b/>
          <w:sz w:val="20"/>
          <w:szCs w:val="20"/>
        </w:rPr>
        <w:t xml:space="preserve"> </w:t>
      </w:r>
      <w:r w:rsidRPr="00891EFE">
        <w:rPr>
          <w:rFonts w:ascii="Arial" w:hAnsi="Arial" w:cs="Arial"/>
          <w:i/>
          <w:sz w:val="20"/>
          <w:szCs w:val="20"/>
        </w:rPr>
        <w:t>Généthon</w:t>
      </w:r>
      <w:r w:rsidRPr="00891EFE">
        <w:rPr>
          <w:rFonts w:ascii="Arial" w:hAnsi="Arial" w:cs="Arial"/>
          <w:b/>
          <w:sz w:val="20"/>
          <w:szCs w:val="20"/>
        </w:rPr>
        <w:t xml:space="preserve"> </w:t>
      </w:r>
      <w:r w:rsidRPr="00891EFE">
        <w:rPr>
          <w:rFonts w:ascii="Arial" w:hAnsi="Arial" w:cs="Arial"/>
          <w:sz w:val="20"/>
          <w:szCs w:val="20"/>
        </w:rPr>
        <w:t xml:space="preserve">por </w:t>
      </w:r>
      <w:r w:rsidRPr="00891EFE">
        <w:rPr>
          <w:rFonts w:ascii="Arial" w:hAnsi="Arial" w:cs="Arial"/>
          <w:b/>
          <w:sz w:val="20"/>
          <w:szCs w:val="20"/>
        </w:rPr>
        <w:t>13,3 millones de €</w:t>
      </w:r>
      <w:r w:rsidRPr="00891EFE">
        <w:rPr>
          <w:rFonts w:ascii="Arial" w:hAnsi="Arial" w:cs="Arial"/>
          <w:sz w:val="20"/>
          <w:szCs w:val="20"/>
        </w:rPr>
        <w:t xml:space="preserve"> (más entre el 3,75% y el 5% de royalties)</w:t>
      </w:r>
      <w:bookmarkStart w:id="104" w:name="_Ref55817391"/>
      <w:r w:rsidR="00B61BF6" w:rsidRPr="00891EFE">
        <w:rPr>
          <w:rStyle w:val="Refdenotaalfinal"/>
          <w:rFonts w:ascii="Arial" w:hAnsi="Arial" w:cs="Arial"/>
          <w:sz w:val="20"/>
          <w:szCs w:val="20"/>
        </w:rPr>
        <w:endnoteReference w:id="36"/>
      </w:r>
      <w:bookmarkEnd w:id="104"/>
      <w:r w:rsidR="00E848A5" w:rsidRPr="00891EFE">
        <w:rPr>
          <w:rFonts w:ascii="Arial" w:hAnsi="Arial" w:cs="Arial"/>
          <w:sz w:val="20"/>
          <w:szCs w:val="20"/>
        </w:rPr>
        <w:t xml:space="preserve">. Un mes más tarde </w:t>
      </w:r>
      <w:r w:rsidRPr="00891EFE">
        <w:rPr>
          <w:rFonts w:ascii="Arial" w:hAnsi="Arial" w:cs="Arial"/>
          <w:i/>
          <w:sz w:val="20"/>
          <w:szCs w:val="20"/>
        </w:rPr>
        <w:t>Novartis</w:t>
      </w:r>
      <w:r w:rsidRPr="00891EFE">
        <w:rPr>
          <w:rFonts w:ascii="Arial" w:hAnsi="Arial" w:cs="Arial"/>
          <w:b/>
          <w:sz w:val="20"/>
          <w:szCs w:val="20"/>
        </w:rPr>
        <w:t xml:space="preserve"> </w:t>
      </w:r>
      <w:r w:rsidRPr="00891EFE">
        <w:rPr>
          <w:rFonts w:ascii="Arial" w:hAnsi="Arial" w:cs="Arial"/>
          <w:sz w:val="20"/>
          <w:szCs w:val="20"/>
        </w:rPr>
        <w:t xml:space="preserve">compró </w:t>
      </w:r>
      <w:r w:rsidRPr="00891EFE">
        <w:rPr>
          <w:rFonts w:ascii="Arial" w:hAnsi="Arial" w:cs="Arial"/>
          <w:i/>
          <w:sz w:val="20"/>
          <w:szCs w:val="20"/>
        </w:rPr>
        <w:t>AveXis</w:t>
      </w:r>
      <w:r w:rsidRPr="00891EFE">
        <w:rPr>
          <w:rFonts w:ascii="Arial" w:hAnsi="Arial" w:cs="Arial"/>
          <w:sz w:val="20"/>
          <w:szCs w:val="20"/>
        </w:rPr>
        <w:t xml:space="preserve"> por</w:t>
      </w:r>
      <w:r w:rsidRPr="00891EFE">
        <w:rPr>
          <w:rFonts w:ascii="Arial" w:hAnsi="Arial" w:cs="Arial"/>
          <w:b/>
          <w:sz w:val="20"/>
          <w:szCs w:val="20"/>
        </w:rPr>
        <w:t xml:space="preserve"> 7.700 millones de €</w:t>
      </w:r>
      <w:r w:rsidR="005D70CC">
        <w:rPr>
          <w:rFonts w:ascii="Arial" w:hAnsi="Arial" w:cs="Arial"/>
          <w:b/>
          <w:sz w:val="20"/>
          <w:szCs w:val="20"/>
        </w:rPr>
        <w:t xml:space="preserve"> </w:t>
      </w:r>
      <w:r w:rsidR="009E568A" w:rsidRPr="001C3BE4">
        <w:rPr>
          <w:rFonts w:ascii="Arial" w:hAnsi="Arial" w:cs="Arial"/>
          <w:sz w:val="20"/>
          <w:szCs w:val="20"/>
          <w:vertAlign w:val="superscript"/>
        </w:rPr>
        <w:fldChar w:fldCharType="begin"/>
      </w:r>
      <w:r w:rsidR="009E568A" w:rsidRPr="001C3BE4">
        <w:rPr>
          <w:rFonts w:ascii="Arial" w:hAnsi="Arial" w:cs="Arial"/>
          <w:sz w:val="20"/>
          <w:szCs w:val="20"/>
          <w:vertAlign w:val="superscript"/>
        </w:rPr>
        <w:instrText xml:space="preserve"> NOTEREF _Ref58496028 \h  \* MERGEFORMAT </w:instrText>
      </w:r>
      <w:r w:rsidR="009E568A" w:rsidRPr="001C3BE4">
        <w:rPr>
          <w:rFonts w:ascii="Arial" w:hAnsi="Arial" w:cs="Arial"/>
          <w:sz w:val="20"/>
          <w:szCs w:val="20"/>
          <w:vertAlign w:val="superscript"/>
        </w:rPr>
      </w:r>
      <w:r w:rsidR="009E568A" w:rsidRPr="001C3BE4">
        <w:rPr>
          <w:rFonts w:ascii="Arial" w:hAnsi="Arial" w:cs="Arial"/>
          <w:sz w:val="20"/>
          <w:szCs w:val="20"/>
          <w:vertAlign w:val="superscript"/>
        </w:rPr>
        <w:fldChar w:fldCharType="separate"/>
      </w:r>
      <w:r w:rsidR="00E277F2">
        <w:rPr>
          <w:rFonts w:ascii="Arial" w:hAnsi="Arial" w:cs="Arial"/>
          <w:sz w:val="20"/>
          <w:szCs w:val="20"/>
          <w:vertAlign w:val="superscript"/>
        </w:rPr>
        <w:t>34</w:t>
      </w:r>
      <w:r w:rsidR="009E568A" w:rsidRPr="001C3BE4">
        <w:rPr>
          <w:rFonts w:ascii="Arial" w:hAnsi="Arial" w:cs="Arial"/>
          <w:sz w:val="20"/>
          <w:szCs w:val="20"/>
          <w:vertAlign w:val="superscript"/>
        </w:rPr>
        <w:fldChar w:fldCharType="end"/>
      </w:r>
      <w:r w:rsidR="00E86223" w:rsidRPr="00891EFE">
        <w:rPr>
          <w:rFonts w:ascii="Arial" w:hAnsi="Arial" w:cs="Arial"/>
          <w:b/>
          <w:sz w:val="20"/>
          <w:szCs w:val="20"/>
        </w:rPr>
        <w:t>.</w:t>
      </w:r>
      <w:r w:rsidRPr="00891EFE">
        <w:rPr>
          <w:rFonts w:ascii="Arial" w:hAnsi="Arial" w:cs="Arial"/>
          <w:sz w:val="20"/>
          <w:szCs w:val="20"/>
        </w:rPr>
        <w:t xml:space="preserve"> </w:t>
      </w:r>
      <w:r w:rsidR="00E86223" w:rsidRPr="00891EFE">
        <w:rPr>
          <w:rFonts w:ascii="Arial" w:hAnsi="Arial" w:cs="Arial"/>
          <w:sz w:val="20"/>
          <w:szCs w:val="20"/>
        </w:rPr>
        <w:t>Faltaba</w:t>
      </w:r>
      <w:r w:rsidR="00D7699D" w:rsidRPr="00891EFE">
        <w:rPr>
          <w:rFonts w:ascii="Arial" w:hAnsi="Arial" w:cs="Arial"/>
          <w:sz w:val="20"/>
          <w:szCs w:val="20"/>
        </w:rPr>
        <w:t>n</w:t>
      </w:r>
      <w:r w:rsidR="00E86223" w:rsidRPr="00891EFE">
        <w:rPr>
          <w:rFonts w:ascii="Arial" w:hAnsi="Arial" w:cs="Arial"/>
          <w:sz w:val="20"/>
          <w:szCs w:val="20"/>
        </w:rPr>
        <w:t xml:space="preserve"> las</w:t>
      </w:r>
      <w:r w:rsidR="00F414E1" w:rsidRPr="00891EFE">
        <w:rPr>
          <w:rFonts w:ascii="Arial" w:hAnsi="Arial" w:cs="Arial"/>
          <w:sz w:val="20"/>
          <w:szCs w:val="20"/>
        </w:rPr>
        <w:t xml:space="preserve"> últimas fases de ensayos clínicos, </w:t>
      </w:r>
      <w:r w:rsidR="00E86223" w:rsidRPr="00891EFE">
        <w:rPr>
          <w:rFonts w:ascii="Arial" w:hAnsi="Arial" w:cs="Arial"/>
          <w:sz w:val="20"/>
          <w:szCs w:val="20"/>
        </w:rPr>
        <w:t xml:space="preserve">la </w:t>
      </w:r>
      <w:r w:rsidR="00F414E1" w:rsidRPr="00891EFE">
        <w:rPr>
          <w:rFonts w:ascii="Arial" w:hAnsi="Arial" w:cs="Arial"/>
          <w:sz w:val="20"/>
          <w:szCs w:val="20"/>
        </w:rPr>
        <w:t>autorización y comercialización.</w:t>
      </w:r>
      <w:r w:rsidR="009E568A" w:rsidRPr="00891EFE">
        <w:rPr>
          <w:rFonts w:ascii="Arial" w:hAnsi="Arial" w:cs="Arial"/>
          <w:sz w:val="20"/>
          <w:szCs w:val="20"/>
        </w:rPr>
        <w:t xml:space="preserve"> </w:t>
      </w:r>
    </w:p>
    <w:p w14:paraId="3B5DF1A9" w14:textId="77777777" w:rsidR="004208A4" w:rsidRPr="00891EFE" w:rsidRDefault="004208A4" w:rsidP="00F414E1">
      <w:pPr>
        <w:rPr>
          <w:rFonts w:ascii="Arial" w:hAnsi="Arial" w:cs="Arial"/>
          <w:sz w:val="20"/>
          <w:szCs w:val="20"/>
        </w:rPr>
      </w:pPr>
    </w:p>
    <w:p w14:paraId="3441D911" w14:textId="737524D1" w:rsidR="006044FE" w:rsidRPr="00891EFE" w:rsidRDefault="006044FE" w:rsidP="00B61BF6">
      <w:pPr>
        <w:jc w:val="both"/>
        <w:rPr>
          <w:rFonts w:ascii="Arial" w:hAnsi="Arial" w:cs="Arial"/>
          <w:sz w:val="20"/>
          <w:szCs w:val="20"/>
        </w:rPr>
      </w:pPr>
      <w:r w:rsidRPr="00891EFE">
        <w:rPr>
          <w:rFonts w:ascii="Arial" w:hAnsi="Arial" w:cs="Arial"/>
          <w:sz w:val="20"/>
          <w:szCs w:val="20"/>
        </w:rPr>
        <w:t xml:space="preserve">Los costos clínicos capitalizados de un medicamento huérfano se estimaron en </w:t>
      </w:r>
      <w:r w:rsidRPr="00891EFE">
        <w:rPr>
          <w:rFonts w:ascii="Arial" w:hAnsi="Arial" w:cs="Arial"/>
          <w:b/>
          <w:sz w:val="20"/>
          <w:szCs w:val="20"/>
        </w:rPr>
        <w:t>$ 291 millones</w:t>
      </w:r>
      <w:r w:rsidR="006A24AF" w:rsidRPr="00891EFE">
        <w:rPr>
          <w:rFonts w:ascii="Arial" w:hAnsi="Arial" w:cs="Arial"/>
          <w:b/>
          <w:sz w:val="20"/>
          <w:szCs w:val="20"/>
        </w:rPr>
        <w:t>,</w:t>
      </w:r>
      <w:r w:rsidRPr="00891EFE">
        <w:rPr>
          <w:rFonts w:ascii="Arial" w:hAnsi="Arial" w:cs="Arial"/>
          <w:sz w:val="20"/>
          <w:szCs w:val="20"/>
        </w:rPr>
        <w:t xml:space="preserve"> y </w:t>
      </w:r>
      <w:r w:rsidR="00937A74" w:rsidRPr="00891EFE">
        <w:rPr>
          <w:rFonts w:ascii="Arial" w:hAnsi="Arial" w:cs="Arial"/>
          <w:sz w:val="20"/>
          <w:szCs w:val="20"/>
        </w:rPr>
        <w:t>en</w:t>
      </w:r>
      <w:r w:rsidRPr="00891EFE">
        <w:rPr>
          <w:rFonts w:ascii="Arial" w:hAnsi="Arial" w:cs="Arial"/>
          <w:sz w:val="20"/>
          <w:szCs w:val="20"/>
        </w:rPr>
        <w:t xml:space="preserve"> $ 412 millones para o</w:t>
      </w:r>
      <w:r w:rsidR="00414E66" w:rsidRPr="00891EFE">
        <w:rPr>
          <w:rFonts w:ascii="Arial" w:hAnsi="Arial" w:cs="Arial"/>
          <w:sz w:val="20"/>
          <w:szCs w:val="20"/>
        </w:rPr>
        <w:t>t</w:t>
      </w:r>
      <w:r w:rsidRPr="00891EFE">
        <w:rPr>
          <w:rFonts w:ascii="Arial" w:hAnsi="Arial" w:cs="Arial"/>
          <w:sz w:val="20"/>
          <w:szCs w:val="20"/>
        </w:rPr>
        <w:t>ros medicamentos</w:t>
      </w:r>
      <w:r w:rsidR="00937A74" w:rsidRPr="00891EFE">
        <w:rPr>
          <w:rStyle w:val="Refdenotaalfinal"/>
          <w:rFonts w:ascii="Arial" w:hAnsi="Arial" w:cs="Arial"/>
          <w:sz w:val="20"/>
          <w:szCs w:val="20"/>
        </w:rPr>
        <w:endnoteReference w:id="37"/>
      </w:r>
      <w:r w:rsidRPr="00891EFE">
        <w:rPr>
          <w:rFonts w:ascii="Arial" w:hAnsi="Arial" w:cs="Arial"/>
          <w:sz w:val="20"/>
          <w:szCs w:val="20"/>
        </w:rPr>
        <w:t>.</w:t>
      </w:r>
      <w:r w:rsidR="00D33B1A" w:rsidRPr="00891EFE">
        <w:rPr>
          <w:rFonts w:ascii="Arial" w:hAnsi="Arial" w:cs="Arial"/>
          <w:sz w:val="20"/>
          <w:szCs w:val="20"/>
        </w:rPr>
        <w:t xml:space="preserve"> </w:t>
      </w:r>
      <w:r w:rsidRPr="00891EFE">
        <w:rPr>
          <w:rFonts w:ascii="Arial" w:hAnsi="Arial" w:cs="Arial"/>
          <w:sz w:val="20"/>
          <w:szCs w:val="20"/>
        </w:rPr>
        <w:t>El Coste estimado de I + D de los Medicamentos huérfanos</w:t>
      </w:r>
      <w:r w:rsidR="00937A74" w:rsidRPr="00891EFE">
        <w:rPr>
          <w:rFonts w:ascii="Arial" w:hAnsi="Arial" w:cs="Arial"/>
          <w:sz w:val="20"/>
          <w:szCs w:val="20"/>
        </w:rPr>
        <w:t xml:space="preserve"> aprobados por la FDA fue</w:t>
      </w:r>
      <w:r w:rsidRPr="00891EFE">
        <w:rPr>
          <w:rFonts w:ascii="Arial" w:hAnsi="Arial" w:cs="Arial"/>
          <w:sz w:val="20"/>
          <w:szCs w:val="20"/>
        </w:rPr>
        <w:t xml:space="preserve"> de </w:t>
      </w:r>
      <w:r w:rsidRPr="00891EFE">
        <w:rPr>
          <w:rFonts w:ascii="Arial" w:hAnsi="Arial" w:cs="Arial"/>
          <w:b/>
          <w:sz w:val="20"/>
          <w:szCs w:val="20"/>
        </w:rPr>
        <w:t>501</w:t>
      </w:r>
      <w:r w:rsidR="00937A74" w:rsidRPr="00891EFE">
        <w:rPr>
          <w:rFonts w:ascii="Arial" w:hAnsi="Arial" w:cs="Arial"/>
          <w:b/>
          <w:sz w:val="20"/>
          <w:szCs w:val="20"/>
        </w:rPr>
        <w:t>,</w:t>
      </w:r>
      <w:r w:rsidRPr="00891EFE">
        <w:rPr>
          <w:rFonts w:ascii="Arial" w:hAnsi="Arial" w:cs="Arial"/>
          <w:b/>
          <w:sz w:val="20"/>
          <w:szCs w:val="20"/>
        </w:rPr>
        <w:t xml:space="preserve">2 millones </w:t>
      </w:r>
      <w:r w:rsidR="00937A74" w:rsidRPr="00891EFE">
        <w:rPr>
          <w:rFonts w:ascii="Arial" w:hAnsi="Arial" w:cs="Arial"/>
          <w:b/>
          <w:sz w:val="20"/>
          <w:szCs w:val="20"/>
        </w:rPr>
        <w:t xml:space="preserve">de dólares </w:t>
      </w:r>
      <w:r w:rsidRPr="00891EFE">
        <w:rPr>
          <w:rFonts w:ascii="Arial" w:hAnsi="Arial" w:cs="Arial"/>
          <w:sz w:val="20"/>
          <w:szCs w:val="20"/>
        </w:rPr>
        <w:t>y para Medicamentos no huérfanos 2140,8</w:t>
      </w:r>
      <w:r w:rsidRPr="00891EFE">
        <w:t xml:space="preserve"> </w:t>
      </w:r>
      <w:r w:rsidRPr="00891EFE">
        <w:rPr>
          <w:rFonts w:ascii="Arial" w:hAnsi="Arial" w:cs="Arial"/>
          <w:sz w:val="20"/>
          <w:szCs w:val="20"/>
        </w:rPr>
        <w:t xml:space="preserve">millones de </w:t>
      </w:r>
      <w:r w:rsidR="00937A74" w:rsidRPr="00891EFE">
        <w:rPr>
          <w:rFonts w:ascii="Arial" w:hAnsi="Arial" w:cs="Arial"/>
          <w:sz w:val="20"/>
          <w:szCs w:val="20"/>
        </w:rPr>
        <w:t>dólares</w:t>
      </w:r>
      <w:r w:rsidR="00937A74" w:rsidRPr="00891EFE">
        <w:rPr>
          <w:rStyle w:val="Refdenotaalfinal"/>
          <w:rFonts w:ascii="Arial" w:hAnsi="Arial" w:cs="Arial"/>
          <w:sz w:val="20"/>
          <w:szCs w:val="20"/>
        </w:rPr>
        <w:endnoteReference w:id="38"/>
      </w:r>
      <w:r w:rsidRPr="00891EFE">
        <w:rPr>
          <w:rFonts w:ascii="Arial" w:hAnsi="Arial" w:cs="Arial"/>
          <w:sz w:val="20"/>
          <w:szCs w:val="20"/>
        </w:rPr>
        <w:t xml:space="preserve">. </w:t>
      </w:r>
      <w:r w:rsidR="006A24AF" w:rsidRPr="00891EFE">
        <w:rPr>
          <w:rFonts w:ascii="Arial" w:hAnsi="Arial" w:cs="Arial"/>
          <w:sz w:val="20"/>
          <w:szCs w:val="20"/>
        </w:rPr>
        <w:t>En general se estima que el coste medio de la investigación clínica de un medicamento huérfano aprobado es la mitad que el de un medicamento no huérfano.</w:t>
      </w:r>
    </w:p>
    <w:p w14:paraId="1031015D" w14:textId="77777777" w:rsidR="00937A74" w:rsidRPr="00891EFE" w:rsidRDefault="00937A74" w:rsidP="006044FE">
      <w:pPr>
        <w:rPr>
          <w:rFonts w:ascii="Arial" w:hAnsi="Arial" w:cs="Arial"/>
          <w:sz w:val="20"/>
          <w:szCs w:val="20"/>
        </w:rPr>
      </w:pPr>
    </w:p>
    <w:p w14:paraId="76DBC1F7" w14:textId="0D9709B8" w:rsidR="006044FE" w:rsidRPr="00891EFE" w:rsidRDefault="006044FE" w:rsidP="00414E66">
      <w:pPr>
        <w:jc w:val="both"/>
        <w:rPr>
          <w:rFonts w:ascii="Arial" w:hAnsi="Arial" w:cs="Arial"/>
          <w:sz w:val="20"/>
          <w:szCs w:val="20"/>
        </w:rPr>
      </w:pPr>
      <w:r w:rsidRPr="00891EFE">
        <w:rPr>
          <w:rFonts w:ascii="Arial" w:hAnsi="Arial" w:cs="Arial"/>
          <w:sz w:val="20"/>
          <w:szCs w:val="20"/>
        </w:rPr>
        <w:t xml:space="preserve">Se estima que AveXis destinó $ </w:t>
      </w:r>
      <w:r w:rsidRPr="00891EFE">
        <w:rPr>
          <w:rFonts w:ascii="Arial" w:hAnsi="Arial" w:cs="Arial"/>
          <w:b/>
          <w:sz w:val="20"/>
          <w:szCs w:val="20"/>
        </w:rPr>
        <w:t>500 millones</w:t>
      </w:r>
      <w:r w:rsidRPr="00891EFE">
        <w:rPr>
          <w:rFonts w:ascii="Arial" w:hAnsi="Arial" w:cs="Arial"/>
          <w:sz w:val="20"/>
          <w:szCs w:val="20"/>
        </w:rPr>
        <w:t xml:space="preserve"> para realizar los ensayos clínicos de Zolgensma</w:t>
      </w:r>
      <w:r w:rsidR="00937A74" w:rsidRPr="00891EFE">
        <w:rPr>
          <w:rFonts w:ascii="Arial" w:hAnsi="Arial" w:cs="Arial"/>
          <w:sz w:val="20"/>
          <w:szCs w:val="20"/>
          <w:vertAlign w:val="superscript"/>
        </w:rPr>
        <w:t>®</w:t>
      </w:r>
      <w:r w:rsidR="009E568A">
        <w:rPr>
          <w:rFonts w:ascii="Arial" w:hAnsi="Arial" w:cs="Arial"/>
          <w:sz w:val="20"/>
          <w:szCs w:val="20"/>
          <w:vertAlign w:val="superscript"/>
        </w:rPr>
        <w:t>,</w:t>
      </w:r>
      <w:r w:rsidR="006A24AF" w:rsidRPr="00891EFE">
        <w:rPr>
          <w:rFonts w:ascii="Arial" w:hAnsi="Arial" w:cs="Arial"/>
          <w:sz w:val="20"/>
          <w:szCs w:val="20"/>
          <w:vertAlign w:val="superscript"/>
        </w:rPr>
        <w:fldChar w:fldCharType="begin"/>
      </w:r>
      <w:r w:rsidR="006A24AF" w:rsidRPr="00891EFE">
        <w:rPr>
          <w:rFonts w:ascii="Arial" w:hAnsi="Arial" w:cs="Arial"/>
          <w:sz w:val="20"/>
          <w:szCs w:val="20"/>
          <w:vertAlign w:val="superscript"/>
        </w:rPr>
        <w:instrText xml:space="preserve"> NOTEREF _Ref55817391 \h </w:instrText>
      </w:r>
      <w:r w:rsidR="006A24AF" w:rsidRPr="00891EFE">
        <w:rPr>
          <w:rFonts w:ascii="Arial" w:hAnsi="Arial" w:cs="Arial"/>
          <w:sz w:val="20"/>
          <w:szCs w:val="20"/>
          <w:vertAlign w:val="superscript"/>
        </w:rPr>
      </w:r>
      <w:r w:rsidR="006A24AF" w:rsidRPr="00891EFE">
        <w:rPr>
          <w:rFonts w:ascii="Arial" w:hAnsi="Arial" w:cs="Arial"/>
          <w:sz w:val="20"/>
          <w:szCs w:val="20"/>
          <w:vertAlign w:val="superscript"/>
        </w:rPr>
        <w:fldChar w:fldCharType="separate"/>
      </w:r>
      <w:r w:rsidR="00E277F2">
        <w:rPr>
          <w:rFonts w:ascii="Arial" w:hAnsi="Arial" w:cs="Arial"/>
          <w:sz w:val="20"/>
          <w:szCs w:val="20"/>
          <w:vertAlign w:val="superscript"/>
        </w:rPr>
        <w:t>36</w:t>
      </w:r>
      <w:r w:rsidR="006A24AF" w:rsidRPr="00891EFE">
        <w:rPr>
          <w:rFonts w:ascii="Arial" w:hAnsi="Arial" w:cs="Arial"/>
          <w:sz w:val="20"/>
          <w:szCs w:val="20"/>
          <w:vertAlign w:val="superscript"/>
        </w:rPr>
        <w:fldChar w:fldCharType="end"/>
      </w:r>
      <w:r w:rsidR="006A24AF" w:rsidRPr="00891EFE">
        <w:rPr>
          <w:rFonts w:ascii="Arial" w:hAnsi="Arial" w:cs="Arial"/>
          <w:sz w:val="20"/>
          <w:szCs w:val="20"/>
          <w:vertAlign w:val="superscript"/>
        </w:rPr>
        <w:t>,</w:t>
      </w:r>
      <w:r w:rsidR="00621BAF" w:rsidRPr="00891EFE">
        <w:rPr>
          <w:rStyle w:val="Refdenotaalfinal"/>
          <w:rFonts w:ascii="Arial" w:hAnsi="Arial" w:cs="Arial"/>
          <w:sz w:val="20"/>
          <w:szCs w:val="20"/>
        </w:rPr>
        <w:t xml:space="preserve"> </w:t>
      </w:r>
      <w:r w:rsidR="009E568A">
        <w:rPr>
          <w:rFonts w:ascii="Arial" w:hAnsi="Arial" w:cs="Arial"/>
          <w:sz w:val="20"/>
          <w:szCs w:val="20"/>
        </w:rPr>
        <w:fldChar w:fldCharType="begin"/>
      </w:r>
      <w:r w:rsidR="009E568A">
        <w:rPr>
          <w:rStyle w:val="Refdenotaalfinal"/>
          <w:rFonts w:ascii="Arial" w:hAnsi="Arial" w:cs="Arial"/>
          <w:sz w:val="20"/>
          <w:szCs w:val="20"/>
        </w:rPr>
        <w:instrText xml:space="preserve"> NOTEREF _Ref58495229 \h </w:instrText>
      </w:r>
      <w:r w:rsidR="009E568A">
        <w:rPr>
          <w:rFonts w:ascii="Arial" w:hAnsi="Arial" w:cs="Arial"/>
          <w:sz w:val="20"/>
          <w:szCs w:val="20"/>
        </w:rPr>
      </w:r>
      <w:r w:rsidR="009E568A">
        <w:rPr>
          <w:rFonts w:ascii="Arial" w:hAnsi="Arial" w:cs="Arial"/>
          <w:sz w:val="20"/>
          <w:szCs w:val="20"/>
        </w:rPr>
        <w:fldChar w:fldCharType="separate"/>
      </w:r>
      <w:r w:rsidR="00E277F2">
        <w:rPr>
          <w:rStyle w:val="Refdenotaalfinal"/>
          <w:rFonts w:ascii="Arial" w:hAnsi="Arial" w:cs="Arial"/>
          <w:sz w:val="20"/>
          <w:szCs w:val="20"/>
        </w:rPr>
        <w:t>32</w:t>
      </w:r>
      <w:r w:rsidR="009E568A">
        <w:rPr>
          <w:rFonts w:ascii="Arial" w:hAnsi="Arial" w:cs="Arial"/>
          <w:sz w:val="20"/>
          <w:szCs w:val="20"/>
        </w:rPr>
        <w:fldChar w:fldCharType="end"/>
      </w:r>
      <w:r w:rsidR="009E568A" w:rsidRPr="001C3BE4">
        <w:rPr>
          <w:rFonts w:ascii="Arial" w:hAnsi="Arial" w:cs="Arial"/>
          <w:sz w:val="20"/>
          <w:szCs w:val="20"/>
          <w:vertAlign w:val="superscript"/>
        </w:rPr>
        <w:t>,</w:t>
      </w:r>
      <w:r w:rsidR="00621BAF" w:rsidRPr="00891EFE">
        <w:rPr>
          <w:rStyle w:val="Refdenotaalfinal"/>
          <w:rFonts w:ascii="Arial" w:hAnsi="Arial" w:cs="Arial"/>
          <w:sz w:val="20"/>
          <w:szCs w:val="20"/>
        </w:rPr>
        <w:endnoteReference w:id="39"/>
      </w:r>
      <w:r w:rsidRPr="00891EFE">
        <w:rPr>
          <w:rFonts w:ascii="Arial" w:hAnsi="Arial" w:cs="Arial"/>
          <w:sz w:val="20"/>
          <w:szCs w:val="20"/>
        </w:rPr>
        <w:t>.</w:t>
      </w:r>
    </w:p>
    <w:p w14:paraId="2A2BA008" w14:textId="77777777" w:rsidR="00231B31" w:rsidRPr="00891EFE" w:rsidRDefault="00231B31" w:rsidP="00C33F6B">
      <w:pPr>
        <w:rPr>
          <w:rFonts w:ascii="Arial" w:hAnsi="Arial" w:cs="Arial"/>
          <w:b/>
          <w:sz w:val="20"/>
          <w:szCs w:val="20"/>
        </w:rPr>
      </w:pPr>
    </w:p>
    <w:p w14:paraId="2CF5A20D" w14:textId="77777777" w:rsidR="00C60670" w:rsidRPr="00891EFE" w:rsidRDefault="004208A4" w:rsidP="00CB4008">
      <w:pPr>
        <w:pBdr>
          <w:bottom w:val="single" w:sz="4" w:space="1" w:color="auto"/>
        </w:pBdr>
        <w:rPr>
          <w:rFonts w:ascii="Arial" w:hAnsi="Arial" w:cs="Arial"/>
          <w:b/>
          <w:sz w:val="20"/>
          <w:szCs w:val="20"/>
        </w:rPr>
      </w:pPr>
      <w:r w:rsidRPr="00891EFE">
        <w:rPr>
          <w:rFonts w:ascii="Arial" w:hAnsi="Arial" w:cs="Arial"/>
          <w:b/>
          <w:sz w:val="20"/>
          <w:szCs w:val="20"/>
        </w:rPr>
        <w:t>Coste ensayos clínicos</w:t>
      </w:r>
      <w:r w:rsidR="00C60670" w:rsidRPr="00891EFE">
        <w:rPr>
          <w:rFonts w:ascii="Arial" w:hAnsi="Arial" w:cs="Arial"/>
          <w:b/>
          <w:sz w:val="20"/>
          <w:szCs w:val="20"/>
        </w:rPr>
        <w:t>.</w:t>
      </w:r>
    </w:p>
    <w:p w14:paraId="66EF1345" w14:textId="77777777" w:rsidR="00CB4008" w:rsidRPr="00891EFE" w:rsidRDefault="00CB4008" w:rsidP="00C60670">
      <w:pPr>
        <w:jc w:val="both"/>
        <w:rPr>
          <w:rFonts w:ascii="Arial" w:hAnsi="Arial" w:cs="Arial"/>
          <w:b/>
          <w:sz w:val="20"/>
          <w:szCs w:val="20"/>
        </w:rPr>
      </w:pPr>
    </w:p>
    <w:p w14:paraId="7B5C1876" w14:textId="062C275F" w:rsidR="00424E3B" w:rsidRPr="00891EFE" w:rsidRDefault="00E848A5" w:rsidP="00C60670">
      <w:pPr>
        <w:jc w:val="both"/>
        <w:rPr>
          <w:rFonts w:ascii="Arial" w:hAnsi="Arial" w:cs="Arial"/>
          <w:sz w:val="20"/>
          <w:szCs w:val="20"/>
        </w:rPr>
      </w:pPr>
      <w:r w:rsidRPr="00891EFE">
        <w:rPr>
          <w:rFonts w:ascii="Arial" w:hAnsi="Arial" w:cs="Arial"/>
          <w:sz w:val="20"/>
          <w:szCs w:val="20"/>
        </w:rPr>
        <w:t xml:space="preserve">Se han realizado </w:t>
      </w:r>
      <w:r w:rsidR="00C33F6B" w:rsidRPr="00891EFE">
        <w:rPr>
          <w:rFonts w:ascii="Arial" w:hAnsi="Arial" w:cs="Arial"/>
          <w:sz w:val="20"/>
          <w:szCs w:val="20"/>
        </w:rPr>
        <w:t>cuatro ensayos clínicos</w:t>
      </w:r>
      <w:r w:rsidRPr="00891EFE">
        <w:rPr>
          <w:rFonts w:ascii="Arial" w:hAnsi="Arial" w:cs="Arial"/>
          <w:sz w:val="20"/>
          <w:szCs w:val="20"/>
        </w:rPr>
        <w:t xml:space="preserve"> (tres en fase 3 y uno de fase 1) con un to</w:t>
      </w:r>
      <w:r w:rsidR="006044FE" w:rsidRPr="00891EFE">
        <w:rPr>
          <w:rFonts w:ascii="Arial" w:hAnsi="Arial" w:cs="Arial"/>
          <w:sz w:val="20"/>
          <w:szCs w:val="20"/>
        </w:rPr>
        <w:t>t</w:t>
      </w:r>
      <w:r w:rsidRPr="00891EFE">
        <w:rPr>
          <w:rFonts w:ascii="Arial" w:hAnsi="Arial" w:cs="Arial"/>
          <w:sz w:val="20"/>
          <w:szCs w:val="20"/>
        </w:rPr>
        <w:t>al de 97 pacientes</w:t>
      </w:r>
      <w:r w:rsidR="006044FE" w:rsidRPr="00891EFE">
        <w:rPr>
          <w:rFonts w:ascii="Arial" w:hAnsi="Arial" w:cs="Arial"/>
          <w:sz w:val="20"/>
          <w:szCs w:val="20"/>
        </w:rPr>
        <w:t xml:space="preserve"> estudiado</w:t>
      </w:r>
      <w:r w:rsidR="00937A74" w:rsidRPr="00891EFE">
        <w:rPr>
          <w:rFonts w:ascii="Arial" w:hAnsi="Arial" w:cs="Arial"/>
          <w:sz w:val="20"/>
          <w:szCs w:val="20"/>
        </w:rPr>
        <w:t>s</w:t>
      </w:r>
      <w:r w:rsidRPr="00891EFE">
        <w:rPr>
          <w:rFonts w:ascii="Arial" w:hAnsi="Arial" w:cs="Arial"/>
          <w:sz w:val="20"/>
          <w:szCs w:val="20"/>
        </w:rPr>
        <w:t xml:space="preserve"> </w:t>
      </w:r>
      <w:r w:rsidR="00320D04" w:rsidRPr="00891EFE">
        <w:rPr>
          <w:rFonts w:ascii="Arial" w:hAnsi="Arial" w:cs="Arial"/>
          <w:sz w:val="20"/>
          <w:szCs w:val="20"/>
        </w:rPr>
        <w:t>(ver tabla).</w:t>
      </w:r>
    </w:p>
    <w:p w14:paraId="7C992173" w14:textId="77777777" w:rsidR="00DC588B" w:rsidRPr="00891EFE" w:rsidRDefault="00DC588B" w:rsidP="00C33F6B">
      <w:pPr>
        <w:rPr>
          <w:rFonts w:ascii="Arial" w:hAnsi="Arial" w:cs="Arial"/>
          <w:sz w:val="20"/>
          <w:szCs w:val="20"/>
        </w:rPr>
      </w:pPr>
    </w:p>
    <w:tbl>
      <w:tblPr>
        <w:tblStyle w:val="Tablaconcuadrcula"/>
        <w:tblW w:w="0" w:type="auto"/>
        <w:tblInd w:w="108" w:type="dxa"/>
        <w:tblLayout w:type="fixed"/>
        <w:tblLook w:val="04A0" w:firstRow="1" w:lastRow="0" w:firstColumn="1" w:lastColumn="0" w:noHBand="0" w:noVBand="1"/>
      </w:tblPr>
      <w:tblGrid>
        <w:gridCol w:w="1985"/>
        <w:gridCol w:w="5245"/>
        <w:gridCol w:w="1417"/>
      </w:tblGrid>
      <w:tr w:rsidR="00424E3B" w:rsidRPr="00891EFE" w14:paraId="311D8658" w14:textId="174B6B08" w:rsidTr="00724817">
        <w:tc>
          <w:tcPr>
            <w:tcW w:w="1985" w:type="dxa"/>
            <w:shd w:val="clear" w:color="auto" w:fill="B8CCE4" w:themeFill="accent1" w:themeFillTint="66"/>
          </w:tcPr>
          <w:p w14:paraId="76D092BC" w14:textId="3AE45030" w:rsidR="00424E3B" w:rsidRPr="00891EFE" w:rsidRDefault="00E848A5" w:rsidP="00267745">
            <w:pPr>
              <w:rPr>
                <w:rFonts w:ascii="Arial" w:hAnsi="Arial" w:cs="Arial"/>
                <w:b/>
                <w:sz w:val="16"/>
                <w:szCs w:val="20"/>
              </w:rPr>
            </w:pPr>
            <w:r w:rsidRPr="00891EFE">
              <w:rPr>
                <w:rFonts w:ascii="Arial" w:hAnsi="Arial" w:cs="Arial"/>
                <w:b/>
                <w:sz w:val="20"/>
                <w:szCs w:val="20"/>
              </w:rPr>
              <w:lastRenderedPageBreak/>
              <w:t xml:space="preserve">Ensayos </w:t>
            </w:r>
            <w:r w:rsidR="00424E3B" w:rsidRPr="00891EFE">
              <w:rPr>
                <w:rFonts w:ascii="Arial" w:hAnsi="Arial" w:cs="Arial"/>
                <w:b/>
                <w:sz w:val="20"/>
                <w:szCs w:val="20"/>
              </w:rPr>
              <w:t xml:space="preserve">realizados </w:t>
            </w:r>
          </w:p>
        </w:tc>
        <w:tc>
          <w:tcPr>
            <w:tcW w:w="5245" w:type="dxa"/>
            <w:shd w:val="clear" w:color="auto" w:fill="B8CCE4" w:themeFill="accent1" w:themeFillTint="66"/>
          </w:tcPr>
          <w:p w14:paraId="3A9A3F57" w14:textId="3D3E9EC8" w:rsidR="00424E3B" w:rsidRPr="00891EFE" w:rsidRDefault="00424E3B" w:rsidP="006044FE">
            <w:pPr>
              <w:rPr>
                <w:rFonts w:ascii="Arial" w:hAnsi="Arial" w:cs="Arial"/>
                <w:b/>
                <w:sz w:val="18"/>
                <w:szCs w:val="20"/>
              </w:rPr>
            </w:pPr>
            <w:r w:rsidRPr="00891EFE">
              <w:rPr>
                <w:rFonts w:ascii="Arial" w:hAnsi="Arial" w:cs="Arial"/>
                <w:b/>
                <w:sz w:val="18"/>
                <w:szCs w:val="20"/>
              </w:rPr>
              <w:t xml:space="preserve">Tipo </w:t>
            </w:r>
            <w:r w:rsidR="006044FE" w:rsidRPr="00891EFE">
              <w:rPr>
                <w:rFonts w:ascii="Arial" w:hAnsi="Arial" w:cs="Arial"/>
                <w:b/>
                <w:sz w:val="18"/>
                <w:szCs w:val="20"/>
              </w:rPr>
              <w:t>y fase del ensayo para la indicación evaluada</w:t>
            </w:r>
          </w:p>
        </w:tc>
        <w:tc>
          <w:tcPr>
            <w:tcW w:w="1417" w:type="dxa"/>
            <w:shd w:val="clear" w:color="auto" w:fill="B8CCE4" w:themeFill="accent1" w:themeFillTint="66"/>
          </w:tcPr>
          <w:p w14:paraId="4355DA36" w14:textId="63CDF886" w:rsidR="00424E3B" w:rsidRPr="00891EFE" w:rsidRDefault="00534C1D" w:rsidP="00267745">
            <w:pPr>
              <w:rPr>
                <w:rFonts w:ascii="Arial" w:hAnsi="Arial" w:cs="Arial"/>
                <w:b/>
                <w:sz w:val="18"/>
                <w:szCs w:val="20"/>
              </w:rPr>
            </w:pPr>
            <w:r w:rsidRPr="00891EFE">
              <w:rPr>
                <w:rFonts w:ascii="Arial" w:hAnsi="Arial" w:cs="Arial"/>
                <w:b/>
                <w:sz w:val="18"/>
                <w:szCs w:val="20"/>
              </w:rPr>
              <w:t>N º</w:t>
            </w:r>
            <w:r w:rsidR="00D33B1A" w:rsidRPr="00891EFE">
              <w:rPr>
                <w:rFonts w:ascii="Arial" w:hAnsi="Arial" w:cs="Arial"/>
                <w:b/>
                <w:sz w:val="18"/>
                <w:szCs w:val="20"/>
              </w:rPr>
              <w:t xml:space="preserve"> </w:t>
            </w:r>
            <w:r w:rsidR="00424E3B" w:rsidRPr="00891EFE">
              <w:rPr>
                <w:rFonts w:ascii="Arial" w:hAnsi="Arial" w:cs="Arial"/>
                <w:b/>
                <w:sz w:val="18"/>
                <w:szCs w:val="20"/>
              </w:rPr>
              <w:t>pacient</w:t>
            </w:r>
            <w:r w:rsidRPr="00891EFE">
              <w:rPr>
                <w:rFonts w:ascii="Arial" w:hAnsi="Arial" w:cs="Arial"/>
                <w:b/>
                <w:sz w:val="18"/>
                <w:szCs w:val="20"/>
              </w:rPr>
              <w:t>es</w:t>
            </w:r>
            <w:r w:rsidR="00424E3B" w:rsidRPr="00891EFE">
              <w:rPr>
                <w:rFonts w:ascii="Arial" w:hAnsi="Arial" w:cs="Arial"/>
                <w:b/>
                <w:sz w:val="18"/>
                <w:szCs w:val="20"/>
              </w:rPr>
              <w:t xml:space="preserve"> </w:t>
            </w:r>
            <w:r w:rsidR="006044FE" w:rsidRPr="00891EFE">
              <w:rPr>
                <w:rFonts w:ascii="Arial" w:hAnsi="Arial" w:cs="Arial"/>
                <w:b/>
                <w:sz w:val="18"/>
                <w:szCs w:val="20"/>
              </w:rPr>
              <w:t>de ensayo</w:t>
            </w:r>
          </w:p>
        </w:tc>
      </w:tr>
      <w:tr w:rsidR="00424E3B" w:rsidRPr="00891EFE" w14:paraId="05A12FE2" w14:textId="4FA12E52" w:rsidTr="00724817">
        <w:tc>
          <w:tcPr>
            <w:tcW w:w="1985" w:type="dxa"/>
          </w:tcPr>
          <w:p w14:paraId="54B7ADEB" w14:textId="54D4AC2E" w:rsidR="00424E3B" w:rsidRPr="00891EFE" w:rsidRDefault="00424E3B" w:rsidP="00267745">
            <w:pPr>
              <w:rPr>
                <w:rFonts w:ascii="Arial" w:hAnsi="Arial" w:cs="Arial"/>
                <w:sz w:val="16"/>
                <w:szCs w:val="20"/>
              </w:rPr>
            </w:pPr>
            <w:r w:rsidRPr="00891EFE">
              <w:rPr>
                <w:rFonts w:ascii="Arial" w:hAnsi="Arial" w:cs="Arial"/>
                <w:sz w:val="16"/>
                <w:szCs w:val="20"/>
              </w:rPr>
              <w:t xml:space="preserve">STR1VE-US </w:t>
            </w:r>
          </w:p>
        </w:tc>
        <w:tc>
          <w:tcPr>
            <w:tcW w:w="5245" w:type="dxa"/>
          </w:tcPr>
          <w:p w14:paraId="2597E2F2" w14:textId="63BC6294" w:rsidR="00424E3B" w:rsidRPr="00891EFE" w:rsidRDefault="00E848A5" w:rsidP="00E848A5">
            <w:pPr>
              <w:rPr>
                <w:rFonts w:ascii="Arial" w:hAnsi="Arial" w:cs="Arial"/>
                <w:sz w:val="16"/>
                <w:szCs w:val="20"/>
              </w:rPr>
            </w:pPr>
            <w:r w:rsidRPr="00891EFE">
              <w:rPr>
                <w:rFonts w:ascii="Arial" w:hAnsi="Arial" w:cs="Arial"/>
                <w:sz w:val="16"/>
                <w:szCs w:val="20"/>
              </w:rPr>
              <w:t xml:space="preserve">(Estudio  </w:t>
            </w:r>
            <w:r w:rsidR="008770C1" w:rsidRPr="00891EFE">
              <w:rPr>
                <w:rFonts w:ascii="Arial" w:hAnsi="Arial" w:cs="Arial"/>
                <w:sz w:val="16"/>
                <w:szCs w:val="20"/>
              </w:rPr>
              <w:t>AVXS-101-CL-303).</w:t>
            </w:r>
            <w:r w:rsidRPr="00891EFE">
              <w:rPr>
                <w:rFonts w:ascii="Arial" w:hAnsi="Arial" w:cs="Arial"/>
                <w:sz w:val="18"/>
                <w:szCs w:val="20"/>
              </w:rPr>
              <w:t xml:space="preserve"> F</w:t>
            </w:r>
            <w:r w:rsidR="00424E3B" w:rsidRPr="00891EFE">
              <w:rPr>
                <w:rFonts w:ascii="Arial" w:hAnsi="Arial" w:cs="Arial"/>
                <w:sz w:val="18"/>
                <w:szCs w:val="20"/>
              </w:rPr>
              <w:t xml:space="preserve">ase III pivotal, EEUU  </w:t>
            </w:r>
          </w:p>
        </w:tc>
        <w:tc>
          <w:tcPr>
            <w:tcW w:w="1417" w:type="dxa"/>
          </w:tcPr>
          <w:p w14:paraId="757ADE6C" w14:textId="2BB02FB5" w:rsidR="00424E3B" w:rsidRPr="00891EFE" w:rsidRDefault="00424E3B" w:rsidP="00534C1D">
            <w:pPr>
              <w:jc w:val="center"/>
              <w:rPr>
                <w:rFonts w:ascii="Arial" w:hAnsi="Arial" w:cs="Arial"/>
                <w:b/>
                <w:sz w:val="18"/>
                <w:szCs w:val="20"/>
              </w:rPr>
            </w:pPr>
            <w:r w:rsidRPr="00891EFE">
              <w:rPr>
                <w:rFonts w:ascii="Arial" w:hAnsi="Arial" w:cs="Arial"/>
                <w:b/>
                <w:sz w:val="18"/>
                <w:szCs w:val="20"/>
              </w:rPr>
              <w:t>22</w:t>
            </w:r>
          </w:p>
        </w:tc>
      </w:tr>
      <w:tr w:rsidR="00424E3B" w:rsidRPr="00891EFE" w14:paraId="5925F889" w14:textId="05B3BEE3" w:rsidTr="00724817">
        <w:tc>
          <w:tcPr>
            <w:tcW w:w="1985" w:type="dxa"/>
          </w:tcPr>
          <w:p w14:paraId="13B69AFD" w14:textId="11201E43" w:rsidR="00424E3B" w:rsidRPr="00891EFE" w:rsidRDefault="00424E3B" w:rsidP="00E848A5">
            <w:pPr>
              <w:rPr>
                <w:rFonts w:ascii="Arial" w:hAnsi="Arial" w:cs="Arial"/>
                <w:sz w:val="16"/>
                <w:szCs w:val="20"/>
              </w:rPr>
            </w:pPr>
            <w:r w:rsidRPr="00891EFE">
              <w:rPr>
                <w:rFonts w:ascii="Arial" w:hAnsi="Arial" w:cs="Arial"/>
                <w:sz w:val="16"/>
                <w:szCs w:val="20"/>
              </w:rPr>
              <w:t xml:space="preserve">Ensayo START </w:t>
            </w:r>
          </w:p>
        </w:tc>
        <w:tc>
          <w:tcPr>
            <w:tcW w:w="5245" w:type="dxa"/>
          </w:tcPr>
          <w:p w14:paraId="5F64A3FD" w14:textId="4EB7553E" w:rsidR="00424E3B" w:rsidRPr="00891EFE" w:rsidRDefault="008770C1" w:rsidP="000E2394">
            <w:pPr>
              <w:rPr>
                <w:rFonts w:ascii="Arial" w:hAnsi="Arial" w:cs="Arial"/>
                <w:sz w:val="18"/>
                <w:szCs w:val="20"/>
              </w:rPr>
            </w:pPr>
            <w:r w:rsidRPr="00891EFE">
              <w:rPr>
                <w:rFonts w:ascii="Arial" w:hAnsi="Arial" w:cs="Arial"/>
                <w:sz w:val="16"/>
                <w:szCs w:val="20"/>
              </w:rPr>
              <w:t>(AVXS-101-CL-101)</w:t>
            </w:r>
            <w:r w:rsidR="00E848A5" w:rsidRPr="00891EFE">
              <w:rPr>
                <w:rFonts w:ascii="Arial" w:hAnsi="Arial" w:cs="Arial"/>
                <w:sz w:val="16"/>
                <w:szCs w:val="20"/>
              </w:rPr>
              <w:t xml:space="preserve">. </w:t>
            </w:r>
            <w:r w:rsidR="00E848A5" w:rsidRPr="00891EFE">
              <w:rPr>
                <w:rFonts w:ascii="Arial" w:hAnsi="Arial" w:cs="Arial"/>
                <w:sz w:val="18"/>
                <w:szCs w:val="20"/>
              </w:rPr>
              <w:t>F</w:t>
            </w:r>
            <w:r w:rsidR="00424E3B" w:rsidRPr="00891EFE">
              <w:rPr>
                <w:rFonts w:ascii="Arial" w:hAnsi="Arial" w:cs="Arial"/>
                <w:sz w:val="18"/>
                <w:szCs w:val="20"/>
              </w:rPr>
              <w:t xml:space="preserve">ase I, </w:t>
            </w:r>
          </w:p>
        </w:tc>
        <w:tc>
          <w:tcPr>
            <w:tcW w:w="1417" w:type="dxa"/>
          </w:tcPr>
          <w:p w14:paraId="5BAEC249" w14:textId="47CA98EA" w:rsidR="00424E3B" w:rsidRPr="00891EFE" w:rsidRDefault="00424E3B" w:rsidP="00534C1D">
            <w:pPr>
              <w:jc w:val="center"/>
              <w:rPr>
                <w:rFonts w:ascii="Arial" w:hAnsi="Arial" w:cs="Arial"/>
                <w:b/>
                <w:sz w:val="18"/>
                <w:szCs w:val="20"/>
              </w:rPr>
            </w:pPr>
            <w:r w:rsidRPr="00891EFE">
              <w:rPr>
                <w:rFonts w:ascii="Arial" w:hAnsi="Arial" w:cs="Arial"/>
                <w:b/>
                <w:sz w:val="18"/>
                <w:szCs w:val="20"/>
              </w:rPr>
              <w:t>12</w:t>
            </w:r>
          </w:p>
        </w:tc>
      </w:tr>
      <w:tr w:rsidR="00424E3B" w:rsidRPr="00891EFE" w14:paraId="4ADEE377" w14:textId="5A6050B8" w:rsidTr="00724817">
        <w:tc>
          <w:tcPr>
            <w:tcW w:w="1985" w:type="dxa"/>
          </w:tcPr>
          <w:p w14:paraId="20BC884C" w14:textId="1F4F913A" w:rsidR="00424E3B" w:rsidRPr="00891EFE" w:rsidRDefault="00424E3B" w:rsidP="00267745">
            <w:pPr>
              <w:rPr>
                <w:rFonts w:ascii="Arial" w:hAnsi="Arial" w:cs="Arial"/>
                <w:sz w:val="16"/>
                <w:szCs w:val="20"/>
              </w:rPr>
            </w:pPr>
            <w:r w:rsidRPr="00891EFE">
              <w:rPr>
                <w:rFonts w:ascii="Arial" w:hAnsi="Arial" w:cs="Arial"/>
                <w:sz w:val="16"/>
                <w:szCs w:val="20"/>
              </w:rPr>
              <w:t xml:space="preserve">STR1VE-EU. </w:t>
            </w:r>
          </w:p>
        </w:tc>
        <w:tc>
          <w:tcPr>
            <w:tcW w:w="5245" w:type="dxa"/>
          </w:tcPr>
          <w:p w14:paraId="7BC58DFE" w14:textId="4D1EC0D9" w:rsidR="00424E3B" w:rsidRPr="00891EFE" w:rsidRDefault="00E848A5" w:rsidP="00E848A5">
            <w:pPr>
              <w:rPr>
                <w:rFonts w:ascii="Arial" w:hAnsi="Arial" w:cs="Arial"/>
                <w:sz w:val="18"/>
                <w:szCs w:val="20"/>
              </w:rPr>
            </w:pPr>
            <w:r w:rsidRPr="00891EFE">
              <w:rPr>
                <w:rFonts w:ascii="Arial" w:hAnsi="Arial" w:cs="Arial"/>
                <w:sz w:val="16"/>
                <w:szCs w:val="20"/>
              </w:rPr>
              <w:t>(Estudio AVXS-101-CL-302)</w:t>
            </w:r>
            <w:r w:rsidR="008770C1" w:rsidRPr="00891EFE">
              <w:rPr>
                <w:rFonts w:ascii="Arial" w:hAnsi="Arial" w:cs="Arial"/>
                <w:sz w:val="16"/>
                <w:szCs w:val="20"/>
              </w:rPr>
              <w:t>.</w:t>
            </w:r>
            <w:r w:rsidRPr="00891EFE">
              <w:rPr>
                <w:rFonts w:ascii="Arial" w:hAnsi="Arial" w:cs="Arial"/>
                <w:sz w:val="18"/>
                <w:szCs w:val="20"/>
              </w:rPr>
              <w:t xml:space="preserve"> </w:t>
            </w:r>
            <w:r w:rsidR="00534C1D" w:rsidRPr="00891EFE">
              <w:rPr>
                <w:rFonts w:ascii="Arial" w:hAnsi="Arial" w:cs="Arial"/>
                <w:sz w:val="18"/>
                <w:szCs w:val="20"/>
              </w:rPr>
              <w:t xml:space="preserve"> F</w:t>
            </w:r>
            <w:r w:rsidRPr="00891EFE">
              <w:rPr>
                <w:rFonts w:ascii="Arial" w:hAnsi="Arial" w:cs="Arial"/>
                <w:sz w:val="18"/>
                <w:szCs w:val="20"/>
              </w:rPr>
              <w:t xml:space="preserve">ase III pivotal, Europa </w:t>
            </w:r>
            <w:r w:rsidR="00424E3B" w:rsidRPr="00891EFE">
              <w:rPr>
                <w:rFonts w:ascii="Arial" w:hAnsi="Arial" w:cs="Arial"/>
                <w:sz w:val="18"/>
                <w:szCs w:val="20"/>
              </w:rPr>
              <w:t xml:space="preserve">en curso, </w:t>
            </w:r>
          </w:p>
        </w:tc>
        <w:tc>
          <w:tcPr>
            <w:tcW w:w="1417" w:type="dxa"/>
          </w:tcPr>
          <w:p w14:paraId="3C0599C1" w14:textId="5B57A074" w:rsidR="00424E3B" w:rsidRPr="00891EFE" w:rsidRDefault="00424E3B" w:rsidP="00534C1D">
            <w:pPr>
              <w:jc w:val="center"/>
              <w:rPr>
                <w:rFonts w:ascii="Arial" w:hAnsi="Arial" w:cs="Arial"/>
                <w:b/>
                <w:sz w:val="18"/>
                <w:szCs w:val="20"/>
              </w:rPr>
            </w:pPr>
            <w:r w:rsidRPr="00891EFE">
              <w:rPr>
                <w:rFonts w:ascii="Arial" w:hAnsi="Arial" w:cs="Arial"/>
                <w:b/>
                <w:sz w:val="18"/>
                <w:szCs w:val="20"/>
              </w:rPr>
              <w:t>33</w:t>
            </w:r>
          </w:p>
        </w:tc>
      </w:tr>
      <w:tr w:rsidR="00424E3B" w:rsidRPr="00891EFE" w14:paraId="7B8E877F" w14:textId="3DE86511" w:rsidTr="00724817">
        <w:tc>
          <w:tcPr>
            <w:tcW w:w="1985" w:type="dxa"/>
          </w:tcPr>
          <w:p w14:paraId="63C91F40" w14:textId="685D2297" w:rsidR="00424E3B" w:rsidRPr="00891EFE" w:rsidRDefault="00424E3B" w:rsidP="00267745">
            <w:pPr>
              <w:rPr>
                <w:rFonts w:ascii="Arial" w:hAnsi="Arial" w:cs="Arial"/>
                <w:sz w:val="16"/>
                <w:szCs w:val="20"/>
              </w:rPr>
            </w:pPr>
            <w:r w:rsidRPr="00891EFE">
              <w:rPr>
                <w:rFonts w:ascii="Arial" w:hAnsi="Arial" w:cs="Arial"/>
                <w:sz w:val="16"/>
                <w:szCs w:val="20"/>
              </w:rPr>
              <w:t>SPR1NT</w:t>
            </w:r>
          </w:p>
        </w:tc>
        <w:tc>
          <w:tcPr>
            <w:tcW w:w="5245" w:type="dxa"/>
          </w:tcPr>
          <w:p w14:paraId="35C0BDFB" w14:textId="2FD9330E" w:rsidR="00424E3B" w:rsidRPr="00891EFE" w:rsidRDefault="00E848A5" w:rsidP="00E848A5">
            <w:pPr>
              <w:rPr>
                <w:rFonts w:ascii="Arial" w:hAnsi="Arial" w:cs="Arial"/>
                <w:sz w:val="18"/>
                <w:szCs w:val="20"/>
              </w:rPr>
            </w:pPr>
            <w:r w:rsidRPr="00891EFE">
              <w:rPr>
                <w:rFonts w:ascii="Arial" w:hAnsi="Arial" w:cs="Arial"/>
                <w:sz w:val="16"/>
                <w:szCs w:val="20"/>
              </w:rPr>
              <w:t>(Estudio AVXS-101-CL-304)</w:t>
            </w:r>
            <w:r w:rsidR="008770C1" w:rsidRPr="00891EFE">
              <w:rPr>
                <w:rFonts w:ascii="Arial" w:hAnsi="Arial" w:cs="Arial"/>
                <w:sz w:val="16"/>
                <w:szCs w:val="20"/>
              </w:rPr>
              <w:t>.</w:t>
            </w:r>
            <w:r w:rsidRPr="00891EFE">
              <w:rPr>
                <w:rFonts w:ascii="Arial" w:hAnsi="Arial" w:cs="Arial"/>
                <w:sz w:val="16"/>
                <w:szCs w:val="20"/>
              </w:rPr>
              <w:t xml:space="preserve"> </w:t>
            </w:r>
            <w:r w:rsidR="00534C1D" w:rsidRPr="00891EFE">
              <w:rPr>
                <w:rFonts w:ascii="Arial" w:hAnsi="Arial" w:cs="Arial"/>
                <w:sz w:val="18"/>
                <w:szCs w:val="20"/>
              </w:rPr>
              <w:t xml:space="preserve"> F</w:t>
            </w:r>
            <w:r w:rsidR="00424E3B" w:rsidRPr="00891EFE">
              <w:rPr>
                <w:rFonts w:ascii="Arial" w:hAnsi="Arial" w:cs="Arial"/>
                <w:sz w:val="18"/>
                <w:szCs w:val="20"/>
              </w:rPr>
              <w:t xml:space="preserve">ase III, </w:t>
            </w:r>
            <w:r w:rsidRPr="00891EFE">
              <w:rPr>
                <w:rFonts w:ascii="Arial" w:hAnsi="Arial" w:cs="Arial"/>
                <w:sz w:val="18"/>
                <w:szCs w:val="20"/>
              </w:rPr>
              <w:t xml:space="preserve">neonatos </w:t>
            </w:r>
            <w:r w:rsidR="00424E3B" w:rsidRPr="00891EFE">
              <w:rPr>
                <w:rFonts w:ascii="Arial" w:hAnsi="Arial" w:cs="Arial"/>
                <w:sz w:val="18"/>
                <w:szCs w:val="20"/>
              </w:rPr>
              <w:t>presintomáticos</w:t>
            </w:r>
          </w:p>
        </w:tc>
        <w:tc>
          <w:tcPr>
            <w:tcW w:w="1417" w:type="dxa"/>
          </w:tcPr>
          <w:p w14:paraId="177A22DB" w14:textId="0291D18C" w:rsidR="00424E3B" w:rsidRPr="00891EFE" w:rsidRDefault="00424E3B" w:rsidP="00534C1D">
            <w:pPr>
              <w:jc w:val="center"/>
              <w:rPr>
                <w:rFonts w:ascii="Arial" w:hAnsi="Arial" w:cs="Arial"/>
                <w:b/>
                <w:sz w:val="18"/>
                <w:szCs w:val="20"/>
              </w:rPr>
            </w:pPr>
            <w:r w:rsidRPr="00891EFE">
              <w:rPr>
                <w:rFonts w:ascii="Arial" w:hAnsi="Arial" w:cs="Arial"/>
                <w:b/>
                <w:sz w:val="18"/>
                <w:szCs w:val="20"/>
              </w:rPr>
              <w:t>30</w:t>
            </w:r>
          </w:p>
        </w:tc>
      </w:tr>
      <w:tr w:rsidR="00424E3B" w:rsidRPr="00891EFE" w14:paraId="6900EA6D" w14:textId="77777777" w:rsidTr="00724817">
        <w:tc>
          <w:tcPr>
            <w:tcW w:w="1985" w:type="dxa"/>
            <w:shd w:val="clear" w:color="auto" w:fill="B8CCE4" w:themeFill="accent1" w:themeFillTint="66"/>
          </w:tcPr>
          <w:p w14:paraId="7ADEB151" w14:textId="5FB68C37" w:rsidR="00424E3B" w:rsidRPr="00891EFE" w:rsidRDefault="00424E3B" w:rsidP="00267745">
            <w:pPr>
              <w:rPr>
                <w:rFonts w:ascii="Arial" w:hAnsi="Arial" w:cs="Arial"/>
                <w:b/>
                <w:sz w:val="16"/>
                <w:szCs w:val="20"/>
              </w:rPr>
            </w:pPr>
            <w:r w:rsidRPr="00891EFE">
              <w:rPr>
                <w:rFonts w:ascii="Arial" w:hAnsi="Arial" w:cs="Arial"/>
                <w:b/>
                <w:sz w:val="16"/>
                <w:szCs w:val="20"/>
              </w:rPr>
              <w:t>TOTAL</w:t>
            </w:r>
          </w:p>
        </w:tc>
        <w:tc>
          <w:tcPr>
            <w:tcW w:w="5245" w:type="dxa"/>
            <w:shd w:val="clear" w:color="auto" w:fill="B8CCE4" w:themeFill="accent1" w:themeFillTint="66"/>
          </w:tcPr>
          <w:p w14:paraId="4C4559B3" w14:textId="77777777" w:rsidR="00424E3B" w:rsidRPr="00891EFE" w:rsidRDefault="00424E3B" w:rsidP="00267745">
            <w:pPr>
              <w:rPr>
                <w:rFonts w:ascii="Arial" w:hAnsi="Arial" w:cs="Arial"/>
                <w:b/>
                <w:sz w:val="18"/>
                <w:szCs w:val="20"/>
              </w:rPr>
            </w:pPr>
          </w:p>
        </w:tc>
        <w:tc>
          <w:tcPr>
            <w:tcW w:w="1417" w:type="dxa"/>
            <w:shd w:val="clear" w:color="auto" w:fill="B8CCE4" w:themeFill="accent1" w:themeFillTint="66"/>
          </w:tcPr>
          <w:p w14:paraId="7147C296" w14:textId="2A46E92D" w:rsidR="00424E3B" w:rsidRPr="00891EFE" w:rsidRDefault="00424E3B" w:rsidP="00534C1D">
            <w:pPr>
              <w:jc w:val="center"/>
              <w:rPr>
                <w:rFonts w:ascii="Arial" w:hAnsi="Arial" w:cs="Arial"/>
                <w:b/>
                <w:sz w:val="18"/>
                <w:szCs w:val="20"/>
              </w:rPr>
            </w:pPr>
            <w:r w:rsidRPr="00891EFE">
              <w:rPr>
                <w:rFonts w:ascii="Arial" w:hAnsi="Arial" w:cs="Arial"/>
                <w:b/>
                <w:sz w:val="18"/>
                <w:szCs w:val="20"/>
              </w:rPr>
              <w:t>97</w:t>
            </w:r>
          </w:p>
        </w:tc>
      </w:tr>
    </w:tbl>
    <w:p w14:paraId="5669F1E2" w14:textId="77777777" w:rsidR="00D074F8" w:rsidRPr="00891EFE" w:rsidRDefault="00D074F8" w:rsidP="00DC588B">
      <w:pPr>
        <w:rPr>
          <w:rFonts w:ascii="Arial" w:hAnsi="Arial" w:cs="Arial"/>
          <w:sz w:val="20"/>
          <w:szCs w:val="20"/>
        </w:rPr>
      </w:pPr>
    </w:p>
    <w:p w14:paraId="1E6A1569" w14:textId="17AC1192" w:rsidR="00937A74" w:rsidRPr="00891EFE" w:rsidRDefault="006044FE" w:rsidP="00937A74">
      <w:pPr>
        <w:jc w:val="both"/>
        <w:rPr>
          <w:rFonts w:ascii="Arial" w:hAnsi="Arial" w:cs="Arial"/>
          <w:sz w:val="20"/>
          <w:szCs w:val="20"/>
        </w:rPr>
      </w:pPr>
      <w:r w:rsidRPr="00891EFE">
        <w:rPr>
          <w:rFonts w:ascii="Arial" w:hAnsi="Arial" w:cs="Arial"/>
          <w:sz w:val="20"/>
          <w:szCs w:val="20"/>
        </w:rPr>
        <w:t>E</w:t>
      </w:r>
      <w:r w:rsidR="00424E3B" w:rsidRPr="00891EFE">
        <w:rPr>
          <w:rFonts w:ascii="Arial" w:hAnsi="Arial" w:cs="Arial"/>
          <w:sz w:val="20"/>
          <w:szCs w:val="20"/>
        </w:rPr>
        <w:t>l coste medio por paciente en</w:t>
      </w:r>
      <w:r w:rsidRPr="00891EFE">
        <w:rPr>
          <w:rFonts w:ascii="Arial" w:hAnsi="Arial" w:cs="Arial"/>
          <w:sz w:val="20"/>
          <w:szCs w:val="20"/>
        </w:rPr>
        <w:t xml:space="preserve"> un</w:t>
      </w:r>
      <w:r w:rsidR="00424E3B" w:rsidRPr="00891EFE">
        <w:rPr>
          <w:rFonts w:ascii="Arial" w:hAnsi="Arial" w:cs="Arial"/>
          <w:sz w:val="20"/>
          <w:szCs w:val="20"/>
        </w:rPr>
        <w:t xml:space="preserve"> ensayo cl</w:t>
      </w:r>
      <w:r w:rsidR="00C843A9" w:rsidRPr="00891EFE">
        <w:rPr>
          <w:rFonts w:ascii="Arial" w:hAnsi="Arial" w:cs="Arial"/>
          <w:sz w:val="20"/>
          <w:szCs w:val="20"/>
        </w:rPr>
        <w:t xml:space="preserve">ínico </w:t>
      </w:r>
      <w:r w:rsidR="00937A74" w:rsidRPr="00891EFE">
        <w:rPr>
          <w:rFonts w:ascii="Arial" w:hAnsi="Arial" w:cs="Arial"/>
          <w:sz w:val="20"/>
          <w:szCs w:val="20"/>
        </w:rPr>
        <w:t>oscila</w:t>
      </w:r>
      <w:r w:rsidR="00C843A9" w:rsidRPr="00891EFE">
        <w:rPr>
          <w:rFonts w:ascii="Arial" w:hAnsi="Arial" w:cs="Arial"/>
          <w:sz w:val="20"/>
          <w:szCs w:val="20"/>
        </w:rPr>
        <w:t xml:space="preserve"> entre $ 38</w:t>
      </w:r>
      <w:r w:rsidR="00D30D1E">
        <w:rPr>
          <w:rFonts w:ascii="Arial" w:hAnsi="Arial" w:cs="Arial"/>
          <w:sz w:val="20"/>
          <w:szCs w:val="20"/>
        </w:rPr>
        <w:t>.</w:t>
      </w:r>
      <w:r w:rsidR="00C843A9" w:rsidRPr="00891EFE">
        <w:rPr>
          <w:rFonts w:ascii="Arial" w:hAnsi="Arial" w:cs="Arial"/>
          <w:sz w:val="20"/>
          <w:szCs w:val="20"/>
        </w:rPr>
        <w:t>500 y $</w:t>
      </w:r>
      <w:r w:rsidR="00D30D1E">
        <w:rPr>
          <w:rFonts w:ascii="Arial" w:hAnsi="Arial" w:cs="Arial"/>
          <w:sz w:val="20"/>
          <w:szCs w:val="20"/>
        </w:rPr>
        <w:t xml:space="preserve"> 42.</w:t>
      </w:r>
      <w:r w:rsidR="00C843A9" w:rsidRPr="00891EFE">
        <w:rPr>
          <w:rFonts w:ascii="Arial" w:hAnsi="Arial" w:cs="Arial"/>
          <w:sz w:val="20"/>
          <w:szCs w:val="20"/>
        </w:rPr>
        <w:t>000 por participante</w:t>
      </w:r>
      <w:r w:rsidRPr="00891EFE">
        <w:rPr>
          <w:rFonts w:ascii="Arial" w:hAnsi="Arial" w:cs="Arial"/>
          <w:sz w:val="20"/>
          <w:szCs w:val="20"/>
        </w:rPr>
        <w:t>, según varios estudios</w:t>
      </w:r>
      <w:r w:rsidR="00937A74" w:rsidRPr="00891EFE">
        <w:rPr>
          <w:rStyle w:val="Refdenotaalfinal"/>
          <w:rFonts w:ascii="Arial" w:hAnsi="Arial" w:cs="Arial"/>
          <w:sz w:val="20"/>
          <w:szCs w:val="20"/>
        </w:rPr>
        <w:endnoteReference w:id="40"/>
      </w:r>
      <w:r w:rsidR="00937A74" w:rsidRPr="00891EFE">
        <w:rPr>
          <w:rFonts w:ascii="Arial" w:hAnsi="Arial" w:cs="Arial"/>
          <w:sz w:val="20"/>
          <w:szCs w:val="20"/>
          <w:vertAlign w:val="superscript"/>
        </w:rPr>
        <w:t>,</w:t>
      </w:r>
      <w:r w:rsidR="00937A74" w:rsidRPr="00891EFE">
        <w:rPr>
          <w:rStyle w:val="Refdenotaalfinal"/>
          <w:rFonts w:ascii="Arial" w:hAnsi="Arial" w:cs="Arial"/>
          <w:sz w:val="20"/>
          <w:szCs w:val="20"/>
        </w:rPr>
        <w:endnoteReference w:id="41"/>
      </w:r>
      <w:r w:rsidR="00937A74" w:rsidRPr="00891EFE">
        <w:rPr>
          <w:rFonts w:ascii="Arial" w:hAnsi="Arial" w:cs="Arial"/>
          <w:sz w:val="20"/>
          <w:szCs w:val="20"/>
          <w:vertAlign w:val="superscript"/>
        </w:rPr>
        <w:t>,</w:t>
      </w:r>
      <w:r w:rsidR="00937A74" w:rsidRPr="00891EFE">
        <w:rPr>
          <w:rStyle w:val="Refdenotaalfinal"/>
          <w:rFonts w:ascii="Arial" w:hAnsi="Arial" w:cs="Arial"/>
          <w:sz w:val="20"/>
          <w:szCs w:val="20"/>
        </w:rPr>
        <w:endnoteReference w:id="42"/>
      </w:r>
      <w:r w:rsidR="00C60670" w:rsidRPr="00891EFE">
        <w:rPr>
          <w:rFonts w:ascii="Arial" w:hAnsi="Arial" w:cs="Arial"/>
          <w:sz w:val="20"/>
          <w:szCs w:val="20"/>
        </w:rPr>
        <w:t xml:space="preserve">. </w:t>
      </w:r>
      <w:r w:rsidR="00DC588B" w:rsidRPr="00891EFE">
        <w:rPr>
          <w:rFonts w:ascii="Arial" w:hAnsi="Arial" w:cs="Arial"/>
          <w:sz w:val="20"/>
          <w:szCs w:val="20"/>
        </w:rPr>
        <w:t>Los datos de costos por paciente se obtuvieron de Cutting Edge Information (CEI), una consultoría que proporciona información detallada sobre costos para una variedad de actividades de ensayos clínicos</w:t>
      </w:r>
      <w:r w:rsidR="00937A74" w:rsidRPr="00891EFE">
        <w:rPr>
          <w:rFonts w:ascii="Arial" w:hAnsi="Arial" w:cs="Arial"/>
          <w:sz w:val="20"/>
          <w:szCs w:val="20"/>
        </w:rPr>
        <w:t>, incluidas las siguientes:</w:t>
      </w:r>
    </w:p>
    <w:p w14:paraId="10D25D3A" w14:textId="73B38FDA" w:rsidR="00C60670" w:rsidRPr="00891EFE" w:rsidRDefault="00937A74" w:rsidP="00937A74">
      <w:pPr>
        <w:jc w:val="both"/>
        <w:rPr>
          <w:rFonts w:ascii="Arial" w:hAnsi="Arial" w:cs="Arial"/>
          <w:sz w:val="20"/>
          <w:szCs w:val="20"/>
        </w:rPr>
      </w:pPr>
      <w:r w:rsidRPr="00891EFE">
        <w:rPr>
          <w:rFonts w:ascii="Arial" w:hAnsi="Arial" w:cs="Arial"/>
          <w:sz w:val="20"/>
          <w:szCs w:val="20"/>
        </w:rPr>
        <w:t xml:space="preserve">- </w:t>
      </w:r>
      <w:r w:rsidRPr="00891EFE">
        <w:rPr>
          <w:rFonts w:ascii="Arial" w:hAnsi="Arial" w:cs="Arial"/>
          <w:b/>
          <w:sz w:val="20"/>
          <w:szCs w:val="20"/>
        </w:rPr>
        <w:t>Investigador y sitio:</w:t>
      </w:r>
      <w:r w:rsidRPr="00891EFE">
        <w:rPr>
          <w:rFonts w:ascii="Arial" w:hAnsi="Arial" w:cs="Arial"/>
          <w:sz w:val="20"/>
          <w:szCs w:val="20"/>
        </w:rPr>
        <w:t xml:space="preserve"> gastos generales institucionales, honorarios y honorarios del in</w:t>
      </w:r>
      <w:r w:rsidR="00621BAF" w:rsidRPr="00891EFE">
        <w:rPr>
          <w:rFonts w:ascii="Arial" w:hAnsi="Arial" w:cs="Arial"/>
          <w:sz w:val="20"/>
          <w:szCs w:val="20"/>
        </w:rPr>
        <w:t>vestigador, revisión ética…</w:t>
      </w:r>
    </w:p>
    <w:p w14:paraId="07B9FE58" w14:textId="77777777" w:rsidR="00C60670" w:rsidRPr="00891EFE" w:rsidRDefault="00C60670" w:rsidP="00937A74">
      <w:pPr>
        <w:jc w:val="both"/>
        <w:rPr>
          <w:rFonts w:ascii="Arial" w:hAnsi="Arial" w:cs="Arial"/>
          <w:sz w:val="20"/>
          <w:szCs w:val="20"/>
        </w:rPr>
      </w:pPr>
      <w:r w:rsidRPr="00891EFE">
        <w:rPr>
          <w:rFonts w:ascii="Arial" w:hAnsi="Arial" w:cs="Arial"/>
          <w:sz w:val="20"/>
          <w:szCs w:val="20"/>
        </w:rPr>
        <w:t xml:space="preserve">- </w:t>
      </w:r>
      <w:r w:rsidR="00937A74" w:rsidRPr="00891EFE">
        <w:rPr>
          <w:rFonts w:ascii="Arial" w:hAnsi="Arial" w:cs="Arial"/>
          <w:b/>
          <w:sz w:val="20"/>
          <w:szCs w:val="20"/>
        </w:rPr>
        <w:t>Junta de Revisión Institucional</w:t>
      </w:r>
      <w:r w:rsidR="00937A74" w:rsidRPr="00891EFE">
        <w:rPr>
          <w:rFonts w:ascii="Arial" w:hAnsi="Arial" w:cs="Arial"/>
          <w:sz w:val="20"/>
          <w:szCs w:val="20"/>
        </w:rPr>
        <w:t>, reuniones de investigadores (viajes)</w:t>
      </w:r>
    </w:p>
    <w:p w14:paraId="368DC086" w14:textId="77777777" w:rsidR="00C60670" w:rsidRPr="00891EFE" w:rsidRDefault="00937A74" w:rsidP="00937A74">
      <w:pPr>
        <w:jc w:val="both"/>
        <w:rPr>
          <w:rFonts w:ascii="Arial" w:hAnsi="Arial" w:cs="Arial"/>
          <w:sz w:val="20"/>
          <w:szCs w:val="20"/>
        </w:rPr>
      </w:pPr>
      <w:r w:rsidRPr="00891EFE">
        <w:rPr>
          <w:rFonts w:ascii="Arial" w:hAnsi="Arial" w:cs="Arial"/>
          <w:sz w:val="20"/>
          <w:szCs w:val="20"/>
        </w:rPr>
        <w:t>-</w:t>
      </w:r>
      <w:r w:rsidR="00C60670" w:rsidRPr="00891EFE">
        <w:rPr>
          <w:rFonts w:ascii="Arial" w:hAnsi="Arial" w:cs="Arial"/>
          <w:sz w:val="20"/>
          <w:szCs w:val="20"/>
        </w:rPr>
        <w:t xml:space="preserve"> </w:t>
      </w:r>
      <w:r w:rsidRPr="00891EFE">
        <w:rPr>
          <w:rFonts w:ascii="Arial" w:hAnsi="Arial" w:cs="Arial"/>
          <w:b/>
          <w:sz w:val="20"/>
          <w:szCs w:val="20"/>
        </w:rPr>
        <w:t>Reclutamiento de pacientes:</w:t>
      </w:r>
      <w:r w:rsidRPr="00891EFE">
        <w:rPr>
          <w:rFonts w:ascii="Arial" w:hAnsi="Arial" w:cs="Arial"/>
          <w:sz w:val="20"/>
          <w:szCs w:val="20"/>
        </w:rPr>
        <w:t xml:space="preserve"> </w:t>
      </w:r>
      <w:r w:rsidR="00C60670" w:rsidRPr="00891EFE">
        <w:rPr>
          <w:rFonts w:ascii="Arial" w:hAnsi="Arial" w:cs="Arial"/>
          <w:sz w:val="20"/>
          <w:szCs w:val="20"/>
        </w:rPr>
        <w:t>coste</w:t>
      </w:r>
      <w:r w:rsidRPr="00891EFE">
        <w:rPr>
          <w:rFonts w:ascii="Arial" w:hAnsi="Arial" w:cs="Arial"/>
          <w:sz w:val="20"/>
          <w:szCs w:val="20"/>
        </w:rPr>
        <w:t>s de contratación (publicidad, estipendio de viaje, etc.), selección, visitas al consultorio (equipos, diagnósticos, etc.)</w:t>
      </w:r>
    </w:p>
    <w:p w14:paraId="09D4DDE6" w14:textId="77777777" w:rsidR="00C60670" w:rsidRPr="00891EFE" w:rsidRDefault="00937A74" w:rsidP="00937A74">
      <w:pPr>
        <w:jc w:val="both"/>
        <w:rPr>
          <w:rFonts w:ascii="Arial" w:hAnsi="Arial" w:cs="Arial"/>
          <w:sz w:val="20"/>
          <w:szCs w:val="20"/>
        </w:rPr>
      </w:pPr>
      <w:r w:rsidRPr="00891EFE">
        <w:rPr>
          <w:rFonts w:ascii="Arial" w:hAnsi="Arial" w:cs="Arial"/>
          <w:sz w:val="20"/>
          <w:szCs w:val="20"/>
        </w:rPr>
        <w:t>-</w:t>
      </w:r>
      <w:r w:rsidR="00C60670" w:rsidRPr="00891EFE">
        <w:rPr>
          <w:rFonts w:ascii="Arial" w:hAnsi="Arial" w:cs="Arial"/>
          <w:sz w:val="20"/>
          <w:szCs w:val="20"/>
        </w:rPr>
        <w:t xml:space="preserve"> </w:t>
      </w:r>
      <w:r w:rsidRPr="00891EFE">
        <w:rPr>
          <w:rFonts w:ascii="Arial" w:hAnsi="Arial" w:cs="Arial"/>
          <w:b/>
          <w:sz w:val="20"/>
          <w:szCs w:val="20"/>
        </w:rPr>
        <w:t>Procedimientos generales de prueba</w:t>
      </w:r>
      <w:r w:rsidRPr="00891EFE">
        <w:rPr>
          <w:rFonts w:ascii="Arial" w:hAnsi="Arial" w:cs="Arial"/>
          <w:sz w:val="20"/>
          <w:szCs w:val="20"/>
        </w:rPr>
        <w:t>: examen inicial, examen físico, signos vitales, historial médico detallado</w:t>
      </w:r>
      <w:r w:rsidR="00C60670" w:rsidRPr="00891EFE">
        <w:rPr>
          <w:rFonts w:ascii="Arial" w:hAnsi="Arial" w:cs="Arial"/>
          <w:sz w:val="20"/>
          <w:szCs w:val="20"/>
        </w:rPr>
        <w:t>.</w:t>
      </w:r>
    </w:p>
    <w:p w14:paraId="0609F214" w14:textId="77777777" w:rsidR="00C60670" w:rsidRPr="00891EFE" w:rsidRDefault="00937A74" w:rsidP="00937A74">
      <w:pPr>
        <w:jc w:val="both"/>
        <w:rPr>
          <w:rFonts w:ascii="Arial" w:hAnsi="Arial" w:cs="Arial"/>
          <w:sz w:val="20"/>
          <w:szCs w:val="20"/>
        </w:rPr>
      </w:pPr>
      <w:r w:rsidRPr="00891EFE">
        <w:rPr>
          <w:rFonts w:ascii="Arial" w:hAnsi="Arial" w:cs="Arial"/>
          <w:sz w:val="20"/>
          <w:szCs w:val="20"/>
        </w:rPr>
        <w:t>-</w:t>
      </w:r>
      <w:r w:rsidR="00C60670" w:rsidRPr="00891EFE">
        <w:rPr>
          <w:rFonts w:ascii="Arial" w:hAnsi="Arial" w:cs="Arial"/>
          <w:sz w:val="20"/>
          <w:szCs w:val="20"/>
        </w:rPr>
        <w:t xml:space="preserve"> </w:t>
      </w:r>
      <w:r w:rsidRPr="00891EFE">
        <w:rPr>
          <w:rFonts w:ascii="Arial" w:hAnsi="Arial" w:cs="Arial"/>
          <w:b/>
          <w:sz w:val="20"/>
          <w:szCs w:val="20"/>
        </w:rPr>
        <w:t>Materiales:</w:t>
      </w:r>
      <w:r w:rsidRPr="00891EFE">
        <w:rPr>
          <w:rFonts w:ascii="Arial" w:hAnsi="Arial" w:cs="Arial"/>
          <w:sz w:val="20"/>
          <w:szCs w:val="20"/>
        </w:rPr>
        <w:t xml:space="preserve"> Suministro de medicamentos, medicamento comparador, otros equipos, envío, etc.</w:t>
      </w:r>
    </w:p>
    <w:p w14:paraId="73707D9E" w14:textId="77777777" w:rsidR="00C60670" w:rsidRPr="00891EFE" w:rsidRDefault="00937A74" w:rsidP="00937A74">
      <w:pPr>
        <w:jc w:val="both"/>
        <w:rPr>
          <w:rFonts w:ascii="Arial" w:hAnsi="Arial" w:cs="Arial"/>
          <w:sz w:val="20"/>
          <w:szCs w:val="20"/>
        </w:rPr>
      </w:pPr>
      <w:r w:rsidRPr="00891EFE">
        <w:rPr>
          <w:rFonts w:ascii="Arial" w:hAnsi="Arial" w:cs="Arial"/>
          <w:sz w:val="20"/>
          <w:szCs w:val="20"/>
        </w:rPr>
        <w:t>-</w:t>
      </w:r>
      <w:r w:rsidR="00C60670" w:rsidRPr="00891EFE">
        <w:rPr>
          <w:rFonts w:ascii="Arial" w:hAnsi="Arial" w:cs="Arial"/>
          <w:sz w:val="20"/>
          <w:szCs w:val="20"/>
        </w:rPr>
        <w:t xml:space="preserve"> </w:t>
      </w:r>
      <w:r w:rsidRPr="00891EFE">
        <w:rPr>
          <w:rFonts w:ascii="Arial" w:hAnsi="Arial" w:cs="Arial"/>
          <w:b/>
          <w:sz w:val="20"/>
          <w:szCs w:val="20"/>
        </w:rPr>
        <w:t>Evaluaciones de eficacia:</w:t>
      </w:r>
      <w:r w:rsidRPr="00891EFE">
        <w:rPr>
          <w:rFonts w:ascii="Arial" w:hAnsi="Arial" w:cs="Arial"/>
          <w:sz w:val="20"/>
          <w:szCs w:val="20"/>
        </w:rPr>
        <w:t xml:space="preserve"> resonancias magnéticas, tomografías computarizadas, otras pruebas de diagnóstico</w:t>
      </w:r>
      <w:r w:rsidR="00C60670" w:rsidRPr="00891EFE">
        <w:rPr>
          <w:rFonts w:ascii="Arial" w:hAnsi="Arial" w:cs="Arial"/>
          <w:sz w:val="20"/>
          <w:szCs w:val="20"/>
        </w:rPr>
        <w:t>.</w:t>
      </w:r>
    </w:p>
    <w:p w14:paraId="679F188D" w14:textId="77777777" w:rsidR="00C60670" w:rsidRPr="00891EFE" w:rsidRDefault="00937A74" w:rsidP="00937A74">
      <w:pPr>
        <w:jc w:val="both"/>
        <w:rPr>
          <w:rFonts w:ascii="Arial" w:hAnsi="Arial" w:cs="Arial"/>
          <w:sz w:val="20"/>
          <w:szCs w:val="20"/>
        </w:rPr>
      </w:pPr>
      <w:r w:rsidRPr="00891EFE">
        <w:rPr>
          <w:rFonts w:ascii="Arial" w:hAnsi="Arial" w:cs="Arial"/>
          <w:sz w:val="20"/>
          <w:szCs w:val="20"/>
        </w:rPr>
        <w:t>-</w:t>
      </w:r>
      <w:r w:rsidR="00C60670" w:rsidRPr="00891EFE">
        <w:rPr>
          <w:rFonts w:ascii="Arial" w:hAnsi="Arial" w:cs="Arial"/>
          <w:sz w:val="20"/>
          <w:szCs w:val="20"/>
        </w:rPr>
        <w:t xml:space="preserve"> </w:t>
      </w:r>
      <w:r w:rsidRPr="00891EFE">
        <w:rPr>
          <w:rFonts w:ascii="Arial" w:hAnsi="Arial" w:cs="Arial"/>
          <w:b/>
          <w:sz w:val="20"/>
          <w:szCs w:val="20"/>
        </w:rPr>
        <w:t xml:space="preserve">Laboratorio: </w:t>
      </w:r>
      <w:r w:rsidRPr="00891EFE">
        <w:rPr>
          <w:rFonts w:ascii="Arial" w:hAnsi="Arial" w:cs="Arial"/>
          <w:sz w:val="20"/>
          <w:szCs w:val="20"/>
        </w:rPr>
        <w:t>tarifas de laboratorio local, almacenamiento, envío de muestras, etc.</w:t>
      </w:r>
    </w:p>
    <w:p w14:paraId="283A253B" w14:textId="77777777" w:rsidR="00C60670" w:rsidRPr="00891EFE" w:rsidRDefault="00937A74" w:rsidP="00937A74">
      <w:pPr>
        <w:jc w:val="both"/>
        <w:rPr>
          <w:rFonts w:ascii="Arial" w:hAnsi="Arial" w:cs="Arial"/>
          <w:sz w:val="20"/>
          <w:szCs w:val="20"/>
        </w:rPr>
      </w:pPr>
      <w:r w:rsidRPr="00891EFE">
        <w:rPr>
          <w:rFonts w:ascii="Arial" w:hAnsi="Arial" w:cs="Arial"/>
          <w:sz w:val="20"/>
          <w:szCs w:val="20"/>
        </w:rPr>
        <w:t>-</w:t>
      </w:r>
      <w:r w:rsidR="00C60670" w:rsidRPr="00891EFE">
        <w:rPr>
          <w:rFonts w:ascii="Arial" w:hAnsi="Arial" w:cs="Arial"/>
          <w:sz w:val="20"/>
          <w:szCs w:val="20"/>
        </w:rPr>
        <w:t xml:space="preserve"> </w:t>
      </w:r>
      <w:r w:rsidRPr="00891EFE">
        <w:rPr>
          <w:rFonts w:ascii="Arial" w:hAnsi="Arial" w:cs="Arial"/>
          <w:b/>
          <w:sz w:val="20"/>
          <w:szCs w:val="20"/>
        </w:rPr>
        <w:t>Gestión de datos / TI basada en el sitio:</w:t>
      </w:r>
      <w:r w:rsidRPr="00891EFE">
        <w:rPr>
          <w:rFonts w:ascii="Arial" w:hAnsi="Arial" w:cs="Arial"/>
          <w:sz w:val="20"/>
          <w:szCs w:val="20"/>
        </w:rPr>
        <w:t xml:space="preserve"> archivo maestro de prueba, captura de datos electrónicos, sistema interactivo de respuesta de voz / web </w:t>
      </w:r>
    </w:p>
    <w:p w14:paraId="7A5F5F03" w14:textId="4AA2A42B" w:rsidR="00DC588B" w:rsidRPr="00891EFE" w:rsidRDefault="00937A74" w:rsidP="00937A74">
      <w:pPr>
        <w:jc w:val="both"/>
        <w:rPr>
          <w:rFonts w:ascii="Arial" w:hAnsi="Arial" w:cs="Arial"/>
          <w:sz w:val="20"/>
          <w:szCs w:val="20"/>
        </w:rPr>
      </w:pPr>
      <w:r w:rsidRPr="00891EFE">
        <w:rPr>
          <w:rFonts w:ascii="Arial" w:hAnsi="Arial" w:cs="Arial"/>
          <w:sz w:val="20"/>
          <w:szCs w:val="20"/>
        </w:rPr>
        <w:t>-</w:t>
      </w:r>
      <w:r w:rsidR="00C60670" w:rsidRPr="00891EFE">
        <w:rPr>
          <w:rFonts w:ascii="Arial" w:hAnsi="Arial" w:cs="Arial"/>
          <w:sz w:val="20"/>
          <w:szCs w:val="20"/>
        </w:rPr>
        <w:t xml:space="preserve"> </w:t>
      </w:r>
      <w:r w:rsidRPr="00891EFE">
        <w:rPr>
          <w:rFonts w:ascii="Arial" w:hAnsi="Arial" w:cs="Arial"/>
          <w:b/>
          <w:sz w:val="20"/>
          <w:szCs w:val="20"/>
        </w:rPr>
        <w:t>Gastos de CRO específicos del sitio:</w:t>
      </w:r>
      <w:r w:rsidRPr="00891EFE">
        <w:rPr>
          <w:rFonts w:ascii="Arial" w:hAnsi="Arial" w:cs="Arial"/>
          <w:sz w:val="20"/>
          <w:szCs w:val="20"/>
        </w:rPr>
        <w:t xml:space="preserve"> seguimiento, aleatorización, bioestadística, viajes, reuniones, etc</w:t>
      </w:r>
      <w:r w:rsidR="00621BAF" w:rsidRPr="00891EFE">
        <w:rPr>
          <w:rFonts w:ascii="Arial" w:hAnsi="Arial" w:cs="Arial"/>
          <w:sz w:val="20"/>
          <w:szCs w:val="20"/>
        </w:rPr>
        <w:t>.</w:t>
      </w:r>
    </w:p>
    <w:p w14:paraId="5619C6F5" w14:textId="77777777" w:rsidR="00C60670" w:rsidRPr="00891EFE" w:rsidRDefault="00C60670" w:rsidP="00937A74">
      <w:pPr>
        <w:jc w:val="both"/>
        <w:rPr>
          <w:rFonts w:ascii="Arial" w:hAnsi="Arial" w:cs="Arial"/>
          <w:sz w:val="20"/>
          <w:szCs w:val="20"/>
        </w:rPr>
      </w:pPr>
    </w:p>
    <w:p w14:paraId="7D6C27C1" w14:textId="59A04B47" w:rsidR="00424E3B" w:rsidRPr="00891EFE" w:rsidRDefault="006044FE" w:rsidP="00937A74">
      <w:pPr>
        <w:jc w:val="both"/>
        <w:rPr>
          <w:rFonts w:ascii="Arial" w:hAnsi="Arial" w:cs="Arial"/>
          <w:sz w:val="20"/>
          <w:szCs w:val="20"/>
        </w:rPr>
      </w:pPr>
      <w:r w:rsidRPr="00891EFE">
        <w:rPr>
          <w:rFonts w:ascii="Arial" w:hAnsi="Arial" w:cs="Arial"/>
          <w:sz w:val="20"/>
          <w:szCs w:val="20"/>
        </w:rPr>
        <w:t xml:space="preserve">Según esta tarifación, </w:t>
      </w:r>
      <w:r w:rsidR="00534C1D" w:rsidRPr="00891EFE">
        <w:rPr>
          <w:rFonts w:ascii="Arial" w:hAnsi="Arial" w:cs="Arial"/>
          <w:sz w:val="20"/>
          <w:szCs w:val="20"/>
        </w:rPr>
        <w:t>l</w:t>
      </w:r>
      <w:r w:rsidR="000829D3" w:rsidRPr="00891EFE">
        <w:rPr>
          <w:rFonts w:ascii="Arial" w:hAnsi="Arial" w:cs="Arial"/>
          <w:sz w:val="20"/>
          <w:szCs w:val="20"/>
        </w:rPr>
        <w:t>os aproximadamente 100 pacien</w:t>
      </w:r>
      <w:r w:rsidR="00424E3B" w:rsidRPr="00891EFE">
        <w:rPr>
          <w:rFonts w:ascii="Arial" w:hAnsi="Arial" w:cs="Arial"/>
          <w:sz w:val="20"/>
          <w:szCs w:val="20"/>
        </w:rPr>
        <w:t xml:space="preserve">tes </w:t>
      </w:r>
      <w:r w:rsidR="000829D3" w:rsidRPr="00891EFE">
        <w:rPr>
          <w:rFonts w:ascii="Arial" w:hAnsi="Arial" w:cs="Arial"/>
          <w:sz w:val="20"/>
          <w:szCs w:val="20"/>
        </w:rPr>
        <w:t xml:space="preserve">estudiados </w:t>
      </w:r>
      <w:r w:rsidR="00424E3B" w:rsidRPr="00891EFE">
        <w:rPr>
          <w:rFonts w:ascii="Arial" w:hAnsi="Arial" w:cs="Arial"/>
          <w:sz w:val="20"/>
          <w:szCs w:val="20"/>
        </w:rPr>
        <w:t>en</w:t>
      </w:r>
      <w:r w:rsidR="000829D3" w:rsidRPr="00891EFE">
        <w:rPr>
          <w:rFonts w:ascii="Arial" w:hAnsi="Arial" w:cs="Arial"/>
          <w:sz w:val="20"/>
          <w:szCs w:val="20"/>
        </w:rPr>
        <w:t xml:space="preserve"> los </w:t>
      </w:r>
      <w:r w:rsidR="00621BAF" w:rsidRPr="00891EFE">
        <w:rPr>
          <w:rFonts w:ascii="Arial" w:hAnsi="Arial" w:cs="Arial"/>
          <w:sz w:val="20"/>
          <w:szCs w:val="20"/>
        </w:rPr>
        <w:t xml:space="preserve">cuatro </w:t>
      </w:r>
      <w:r w:rsidR="000829D3" w:rsidRPr="00891EFE">
        <w:rPr>
          <w:rFonts w:ascii="Arial" w:hAnsi="Arial" w:cs="Arial"/>
          <w:sz w:val="20"/>
          <w:szCs w:val="20"/>
        </w:rPr>
        <w:t>ensayo</w:t>
      </w:r>
      <w:r w:rsidR="00424E3B" w:rsidRPr="00891EFE">
        <w:rPr>
          <w:rFonts w:ascii="Arial" w:hAnsi="Arial" w:cs="Arial"/>
          <w:sz w:val="20"/>
          <w:szCs w:val="20"/>
        </w:rPr>
        <w:t>s clínico</w:t>
      </w:r>
      <w:r w:rsidR="000829D3" w:rsidRPr="00891EFE">
        <w:rPr>
          <w:rFonts w:ascii="Arial" w:hAnsi="Arial" w:cs="Arial"/>
          <w:sz w:val="20"/>
          <w:szCs w:val="20"/>
        </w:rPr>
        <w:t>s</w:t>
      </w:r>
      <w:r w:rsidR="00424E3B" w:rsidRPr="00891EFE">
        <w:rPr>
          <w:rFonts w:ascii="Arial" w:hAnsi="Arial" w:cs="Arial"/>
          <w:sz w:val="20"/>
          <w:szCs w:val="20"/>
        </w:rPr>
        <w:t xml:space="preserve"> fase I a III</w:t>
      </w:r>
      <w:r w:rsidR="000829D3" w:rsidRPr="00891EFE">
        <w:rPr>
          <w:rFonts w:ascii="Arial" w:hAnsi="Arial" w:cs="Arial"/>
          <w:sz w:val="20"/>
          <w:szCs w:val="20"/>
        </w:rPr>
        <w:t xml:space="preserve"> </w:t>
      </w:r>
      <w:r w:rsidRPr="00891EFE">
        <w:rPr>
          <w:rFonts w:ascii="Arial" w:hAnsi="Arial" w:cs="Arial"/>
          <w:sz w:val="20"/>
          <w:szCs w:val="20"/>
        </w:rPr>
        <w:t>de Zolgensma</w:t>
      </w:r>
      <w:r w:rsidR="00C60670" w:rsidRPr="00891EFE">
        <w:rPr>
          <w:rFonts w:ascii="Arial" w:hAnsi="Arial" w:cs="Arial"/>
          <w:sz w:val="20"/>
          <w:szCs w:val="20"/>
          <w:vertAlign w:val="superscript"/>
        </w:rPr>
        <w:t>®</w:t>
      </w:r>
      <w:r w:rsidRPr="00891EFE">
        <w:rPr>
          <w:rFonts w:ascii="Arial" w:hAnsi="Arial" w:cs="Arial"/>
          <w:sz w:val="20"/>
          <w:szCs w:val="20"/>
        </w:rPr>
        <w:t xml:space="preserve"> </w:t>
      </w:r>
      <w:r w:rsidR="00DC588B" w:rsidRPr="00891EFE">
        <w:rPr>
          <w:rFonts w:ascii="Arial" w:hAnsi="Arial" w:cs="Arial"/>
          <w:sz w:val="20"/>
          <w:szCs w:val="20"/>
        </w:rPr>
        <w:t xml:space="preserve">a 35.000 € por paciente, </w:t>
      </w:r>
      <w:r w:rsidR="000829D3" w:rsidRPr="00891EFE">
        <w:rPr>
          <w:rFonts w:ascii="Arial" w:hAnsi="Arial" w:cs="Arial"/>
          <w:sz w:val="20"/>
          <w:szCs w:val="20"/>
        </w:rPr>
        <w:t xml:space="preserve">habrían precisado </w:t>
      </w:r>
      <w:r w:rsidR="00DC588B" w:rsidRPr="00891EFE">
        <w:rPr>
          <w:rFonts w:ascii="Arial" w:hAnsi="Arial" w:cs="Arial"/>
          <w:sz w:val="20"/>
          <w:szCs w:val="20"/>
        </w:rPr>
        <w:t>para fina</w:t>
      </w:r>
      <w:r w:rsidR="00D33B1A" w:rsidRPr="00891EFE">
        <w:rPr>
          <w:rFonts w:ascii="Arial" w:hAnsi="Arial" w:cs="Arial"/>
          <w:sz w:val="20"/>
          <w:szCs w:val="20"/>
        </w:rPr>
        <w:t>n</w:t>
      </w:r>
      <w:r w:rsidR="00DC588B" w:rsidRPr="00891EFE">
        <w:rPr>
          <w:rFonts w:ascii="Arial" w:hAnsi="Arial" w:cs="Arial"/>
          <w:sz w:val="20"/>
          <w:szCs w:val="20"/>
        </w:rPr>
        <w:t xml:space="preserve">ciar los ensayos </w:t>
      </w:r>
      <w:r w:rsidR="000829D3" w:rsidRPr="00891EFE">
        <w:rPr>
          <w:rFonts w:ascii="Arial" w:hAnsi="Arial" w:cs="Arial"/>
          <w:sz w:val="20"/>
          <w:szCs w:val="20"/>
        </w:rPr>
        <w:t xml:space="preserve">unos </w:t>
      </w:r>
      <w:r w:rsidR="000829D3" w:rsidRPr="00891EFE">
        <w:rPr>
          <w:rFonts w:ascii="Arial" w:hAnsi="Arial" w:cs="Arial"/>
          <w:b/>
          <w:sz w:val="20"/>
          <w:szCs w:val="20"/>
        </w:rPr>
        <w:t>3,5 mill</w:t>
      </w:r>
      <w:r w:rsidR="00D254B6" w:rsidRPr="00891EFE">
        <w:rPr>
          <w:rFonts w:ascii="Arial" w:hAnsi="Arial" w:cs="Arial"/>
          <w:b/>
          <w:sz w:val="20"/>
          <w:szCs w:val="20"/>
        </w:rPr>
        <w:t>ones</w:t>
      </w:r>
      <w:r w:rsidR="000829D3" w:rsidRPr="00891EFE">
        <w:rPr>
          <w:rFonts w:ascii="Arial" w:hAnsi="Arial" w:cs="Arial"/>
          <w:b/>
          <w:sz w:val="20"/>
          <w:szCs w:val="20"/>
        </w:rPr>
        <w:t xml:space="preserve"> de €</w:t>
      </w:r>
      <w:r w:rsidR="00C60670" w:rsidRPr="00891EFE">
        <w:rPr>
          <w:rFonts w:ascii="Arial" w:hAnsi="Arial" w:cs="Arial"/>
          <w:b/>
          <w:sz w:val="20"/>
          <w:szCs w:val="20"/>
        </w:rPr>
        <w:t>,</w:t>
      </w:r>
      <w:r w:rsidRPr="00891EFE">
        <w:rPr>
          <w:rFonts w:ascii="Arial" w:hAnsi="Arial" w:cs="Arial"/>
          <w:b/>
          <w:sz w:val="20"/>
          <w:szCs w:val="20"/>
        </w:rPr>
        <w:t xml:space="preserve"> </w:t>
      </w:r>
      <w:r w:rsidR="00C60670" w:rsidRPr="00891EFE">
        <w:rPr>
          <w:rFonts w:ascii="Arial" w:hAnsi="Arial" w:cs="Arial"/>
          <w:sz w:val="20"/>
          <w:szCs w:val="20"/>
        </w:rPr>
        <w:t>c</w:t>
      </w:r>
      <w:r w:rsidRPr="00891EFE">
        <w:rPr>
          <w:rFonts w:ascii="Arial" w:hAnsi="Arial" w:cs="Arial"/>
          <w:sz w:val="20"/>
          <w:szCs w:val="20"/>
        </w:rPr>
        <w:t>ostes muy inferiores</w:t>
      </w:r>
      <w:r w:rsidR="00DC588B" w:rsidRPr="00891EFE">
        <w:rPr>
          <w:rFonts w:ascii="Arial" w:hAnsi="Arial" w:cs="Arial"/>
          <w:sz w:val="20"/>
          <w:szCs w:val="20"/>
        </w:rPr>
        <w:t xml:space="preserve"> a los anteriores.</w:t>
      </w:r>
      <w:r w:rsidR="00C131FE">
        <w:rPr>
          <w:rFonts w:ascii="Arial" w:hAnsi="Arial" w:cs="Arial"/>
          <w:sz w:val="20"/>
          <w:szCs w:val="20"/>
        </w:rPr>
        <w:t xml:space="preserve"> Esa estimación se ha basado en estimaciones de las referencias indicadas arriba</w:t>
      </w:r>
      <w:r w:rsidR="00CA07B4">
        <w:rPr>
          <w:rFonts w:ascii="Arial" w:hAnsi="Arial" w:cs="Arial"/>
          <w:sz w:val="20"/>
          <w:szCs w:val="20"/>
        </w:rPr>
        <w:t>,</w:t>
      </w:r>
      <w:r w:rsidR="00C131FE">
        <w:rPr>
          <w:rFonts w:ascii="Arial" w:hAnsi="Arial" w:cs="Arial"/>
          <w:sz w:val="20"/>
          <w:szCs w:val="20"/>
        </w:rPr>
        <w:t xml:space="preserve"> con incertidumbre, </w:t>
      </w:r>
      <w:r w:rsidR="00CA07B4">
        <w:rPr>
          <w:rFonts w:ascii="Arial" w:hAnsi="Arial" w:cs="Arial"/>
          <w:sz w:val="20"/>
          <w:szCs w:val="20"/>
        </w:rPr>
        <w:t xml:space="preserve">si </w:t>
      </w:r>
      <w:r w:rsidR="00C131FE">
        <w:rPr>
          <w:rFonts w:ascii="Arial" w:hAnsi="Arial" w:cs="Arial"/>
          <w:sz w:val="20"/>
          <w:szCs w:val="20"/>
        </w:rPr>
        <w:t>se utili</w:t>
      </w:r>
      <w:r w:rsidR="00CA07B4">
        <w:rPr>
          <w:rFonts w:ascii="Arial" w:hAnsi="Arial" w:cs="Arial"/>
          <w:sz w:val="20"/>
          <w:szCs w:val="20"/>
        </w:rPr>
        <w:t>zaran</w:t>
      </w:r>
      <w:r w:rsidR="00C131FE">
        <w:rPr>
          <w:rFonts w:ascii="Arial" w:hAnsi="Arial" w:cs="Arial"/>
          <w:sz w:val="20"/>
          <w:szCs w:val="20"/>
        </w:rPr>
        <w:t xml:space="preserve"> otras posibles cifras valoradas en las mismas, la estimación del coste de los ensayos </w:t>
      </w:r>
      <w:r w:rsidR="00CA07B4">
        <w:rPr>
          <w:rFonts w:ascii="Arial" w:hAnsi="Arial" w:cs="Arial"/>
          <w:sz w:val="20"/>
          <w:szCs w:val="20"/>
        </w:rPr>
        <w:t>seguiría estando m</w:t>
      </w:r>
      <w:r w:rsidR="00C131FE">
        <w:rPr>
          <w:rFonts w:ascii="Arial" w:hAnsi="Arial" w:cs="Arial"/>
          <w:sz w:val="20"/>
          <w:szCs w:val="20"/>
        </w:rPr>
        <w:t xml:space="preserve">uy por debajo de la cifra de 500 millones de $. </w:t>
      </w:r>
    </w:p>
    <w:p w14:paraId="66A70BB4" w14:textId="77777777" w:rsidR="00231B31" w:rsidRPr="00891EFE" w:rsidRDefault="00231B31" w:rsidP="00CB4008">
      <w:pPr>
        <w:pBdr>
          <w:bottom w:val="single" w:sz="4" w:space="1" w:color="auto"/>
        </w:pBdr>
        <w:rPr>
          <w:rFonts w:ascii="Arial" w:hAnsi="Arial" w:cs="Arial"/>
          <w:b/>
          <w:sz w:val="20"/>
          <w:szCs w:val="20"/>
        </w:rPr>
      </w:pPr>
    </w:p>
    <w:p w14:paraId="39AE6753" w14:textId="5A003C65" w:rsidR="00C60670" w:rsidRPr="00891EFE" w:rsidRDefault="00C3713B" w:rsidP="00CB4008">
      <w:pPr>
        <w:pBdr>
          <w:bottom w:val="single" w:sz="4" w:space="1" w:color="auto"/>
        </w:pBdr>
        <w:rPr>
          <w:rFonts w:ascii="Arial" w:hAnsi="Arial" w:cs="Arial"/>
          <w:b/>
          <w:sz w:val="20"/>
          <w:szCs w:val="20"/>
        </w:rPr>
      </w:pPr>
      <w:r w:rsidRPr="00891EFE">
        <w:rPr>
          <w:rFonts w:ascii="Arial" w:hAnsi="Arial" w:cs="Arial"/>
          <w:b/>
          <w:sz w:val="20"/>
          <w:szCs w:val="20"/>
        </w:rPr>
        <w:t>Ventas actuales</w:t>
      </w:r>
      <w:r w:rsidR="00DC588B" w:rsidRPr="00891EFE">
        <w:rPr>
          <w:rFonts w:ascii="Arial" w:hAnsi="Arial" w:cs="Arial"/>
          <w:b/>
          <w:sz w:val="20"/>
          <w:szCs w:val="20"/>
        </w:rPr>
        <w:t xml:space="preserve"> </w:t>
      </w:r>
      <w:r w:rsidR="00622AAA" w:rsidRPr="00891EFE">
        <w:rPr>
          <w:rFonts w:ascii="Arial" w:hAnsi="Arial" w:cs="Arial"/>
          <w:b/>
          <w:sz w:val="20"/>
          <w:szCs w:val="20"/>
        </w:rPr>
        <w:t>Zolgensma</w:t>
      </w:r>
      <w:r w:rsidR="00C60670" w:rsidRPr="00891EFE">
        <w:rPr>
          <w:rFonts w:ascii="Arial" w:hAnsi="Arial" w:cs="Arial"/>
          <w:b/>
          <w:sz w:val="20"/>
          <w:szCs w:val="20"/>
          <w:vertAlign w:val="superscript"/>
        </w:rPr>
        <w:t>®</w:t>
      </w:r>
      <w:r w:rsidR="00C60670" w:rsidRPr="00891EFE">
        <w:rPr>
          <w:rFonts w:ascii="Arial" w:hAnsi="Arial" w:cs="Arial"/>
          <w:b/>
          <w:sz w:val="20"/>
          <w:szCs w:val="20"/>
        </w:rPr>
        <w:t>.</w:t>
      </w:r>
    </w:p>
    <w:p w14:paraId="63EBEBC7" w14:textId="77777777" w:rsidR="00CB4008" w:rsidRPr="00891EFE" w:rsidRDefault="00CB4008" w:rsidP="00C60670">
      <w:pPr>
        <w:jc w:val="both"/>
        <w:rPr>
          <w:rFonts w:ascii="Arial" w:hAnsi="Arial" w:cs="Arial"/>
          <w:sz w:val="20"/>
          <w:szCs w:val="20"/>
        </w:rPr>
      </w:pPr>
    </w:p>
    <w:p w14:paraId="63363642" w14:textId="7F97D99B" w:rsidR="00C3713B" w:rsidRPr="00891EFE" w:rsidRDefault="00DC588B" w:rsidP="00C60670">
      <w:pPr>
        <w:jc w:val="both"/>
        <w:rPr>
          <w:rFonts w:ascii="Arial" w:hAnsi="Arial" w:cs="Arial"/>
          <w:sz w:val="20"/>
          <w:szCs w:val="20"/>
        </w:rPr>
      </w:pPr>
      <w:r w:rsidRPr="00891EFE">
        <w:rPr>
          <w:rFonts w:ascii="Arial" w:hAnsi="Arial" w:cs="Arial"/>
          <w:sz w:val="20"/>
          <w:szCs w:val="20"/>
        </w:rPr>
        <w:t xml:space="preserve">La terapia se ha aplicado a más de </w:t>
      </w:r>
      <w:r w:rsidRPr="00891EFE">
        <w:rPr>
          <w:rFonts w:ascii="Arial" w:hAnsi="Arial" w:cs="Arial"/>
          <w:b/>
          <w:sz w:val="20"/>
          <w:szCs w:val="20"/>
        </w:rPr>
        <w:t>700 pacientes</w:t>
      </w:r>
      <w:r w:rsidRPr="00891EFE">
        <w:rPr>
          <w:rFonts w:ascii="Arial" w:hAnsi="Arial" w:cs="Arial"/>
          <w:sz w:val="20"/>
          <w:szCs w:val="20"/>
        </w:rPr>
        <w:t xml:space="preserve"> con AME</w:t>
      </w:r>
      <w:r w:rsidR="00C60670" w:rsidRPr="00891EFE">
        <w:rPr>
          <w:rStyle w:val="Refdenotaalfinal"/>
          <w:rFonts w:ascii="Arial" w:hAnsi="Arial" w:cs="Arial"/>
          <w:sz w:val="20"/>
          <w:szCs w:val="20"/>
        </w:rPr>
        <w:endnoteReference w:id="43"/>
      </w:r>
      <w:r w:rsidRPr="00891EFE">
        <w:rPr>
          <w:rFonts w:ascii="Arial" w:hAnsi="Arial" w:cs="Arial"/>
          <w:sz w:val="20"/>
          <w:szCs w:val="20"/>
        </w:rPr>
        <w:t>.</w:t>
      </w:r>
      <w:r w:rsidR="00C60670" w:rsidRPr="00891EFE">
        <w:rPr>
          <w:rFonts w:ascii="Arial" w:hAnsi="Arial" w:cs="Arial"/>
          <w:sz w:val="20"/>
          <w:szCs w:val="20"/>
        </w:rPr>
        <w:t xml:space="preserve"> </w:t>
      </w:r>
      <w:r w:rsidR="00C3713B" w:rsidRPr="00891EFE">
        <w:rPr>
          <w:rFonts w:ascii="Arial" w:hAnsi="Arial" w:cs="Arial"/>
          <w:i/>
          <w:sz w:val="20"/>
          <w:szCs w:val="20"/>
        </w:rPr>
        <w:t>Novartis</w:t>
      </w:r>
      <w:r w:rsidR="00C3713B" w:rsidRPr="00891EFE">
        <w:rPr>
          <w:rFonts w:ascii="Arial" w:hAnsi="Arial" w:cs="Arial"/>
          <w:sz w:val="20"/>
          <w:szCs w:val="20"/>
        </w:rPr>
        <w:t xml:space="preserve"> informó que </w:t>
      </w:r>
      <w:r w:rsidR="00622AAA" w:rsidRPr="00891EFE">
        <w:rPr>
          <w:rFonts w:ascii="Arial" w:hAnsi="Arial" w:cs="Arial"/>
          <w:sz w:val="20"/>
          <w:szCs w:val="20"/>
        </w:rPr>
        <w:t>Zolgensma</w:t>
      </w:r>
      <w:r w:rsidR="00C60670" w:rsidRPr="00891EFE">
        <w:rPr>
          <w:rFonts w:ascii="Arial" w:hAnsi="Arial" w:cs="Arial"/>
          <w:sz w:val="20"/>
          <w:szCs w:val="20"/>
          <w:vertAlign w:val="superscript"/>
        </w:rPr>
        <w:t>®</w:t>
      </w:r>
      <w:r w:rsidR="00622AAA" w:rsidRPr="00891EFE">
        <w:rPr>
          <w:rFonts w:ascii="Arial" w:hAnsi="Arial" w:cs="Arial"/>
          <w:sz w:val="20"/>
          <w:szCs w:val="20"/>
        </w:rPr>
        <w:t xml:space="preserve"> </w:t>
      </w:r>
      <w:r w:rsidRPr="00891EFE">
        <w:rPr>
          <w:rFonts w:ascii="Arial" w:hAnsi="Arial" w:cs="Arial"/>
          <w:sz w:val="20"/>
          <w:szCs w:val="20"/>
        </w:rPr>
        <w:t>ha obtenido</w:t>
      </w:r>
      <w:r w:rsidR="00C3713B" w:rsidRPr="00891EFE">
        <w:rPr>
          <w:rFonts w:ascii="Arial" w:hAnsi="Arial" w:cs="Arial"/>
          <w:sz w:val="20"/>
          <w:szCs w:val="20"/>
        </w:rPr>
        <w:t xml:space="preserve"> </w:t>
      </w:r>
      <w:r w:rsidR="00C3713B" w:rsidRPr="00891EFE">
        <w:rPr>
          <w:rFonts w:ascii="Arial" w:hAnsi="Arial" w:cs="Arial"/>
          <w:b/>
          <w:sz w:val="20"/>
          <w:szCs w:val="20"/>
        </w:rPr>
        <w:t>$ 1.027 millones</w:t>
      </w:r>
      <w:r w:rsidR="00C3713B" w:rsidRPr="00891EFE">
        <w:rPr>
          <w:rFonts w:ascii="Arial" w:hAnsi="Arial" w:cs="Arial"/>
          <w:sz w:val="20"/>
          <w:szCs w:val="20"/>
        </w:rPr>
        <w:t xml:space="preserve"> de ventas netas hasta el momento</w:t>
      </w:r>
      <w:r w:rsidRPr="00891EFE">
        <w:rPr>
          <w:rFonts w:ascii="Arial" w:hAnsi="Arial" w:cs="Arial"/>
          <w:sz w:val="20"/>
          <w:szCs w:val="20"/>
        </w:rPr>
        <w:t>.</w:t>
      </w:r>
      <w:r w:rsidR="00C3713B" w:rsidRPr="00891EFE">
        <w:rPr>
          <w:rFonts w:ascii="Arial" w:hAnsi="Arial" w:cs="Arial"/>
          <w:sz w:val="20"/>
          <w:szCs w:val="20"/>
        </w:rPr>
        <w:t xml:space="preserve"> En el tercer trimestre de 2020 </w:t>
      </w:r>
      <w:r w:rsidRPr="00891EFE">
        <w:rPr>
          <w:rFonts w:ascii="Arial" w:hAnsi="Arial" w:cs="Arial"/>
          <w:sz w:val="20"/>
          <w:szCs w:val="20"/>
        </w:rPr>
        <w:t xml:space="preserve">fue </w:t>
      </w:r>
      <w:r w:rsidR="00C3713B" w:rsidRPr="00891EFE">
        <w:rPr>
          <w:rFonts w:ascii="Arial" w:hAnsi="Arial" w:cs="Arial"/>
          <w:sz w:val="20"/>
          <w:szCs w:val="20"/>
        </w:rPr>
        <w:t>de $</w:t>
      </w:r>
      <w:r w:rsidR="00C3713B" w:rsidRPr="00891EFE">
        <w:rPr>
          <w:rFonts w:ascii="Arial" w:hAnsi="Arial" w:cs="Arial"/>
          <w:b/>
          <w:sz w:val="20"/>
          <w:szCs w:val="20"/>
        </w:rPr>
        <w:t xml:space="preserve"> 291 millones </w:t>
      </w:r>
      <w:r w:rsidR="00C3713B" w:rsidRPr="00891EFE">
        <w:rPr>
          <w:rFonts w:ascii="Arial" w:hAnsi="Arial" w:cs="Arial"/>
          <w:sz w:val="20"/>
          <w:szCs w:val="20"/>
        </w:rPr>
        <w:t>(</w:t>
      </w:r>
      <w:r w:rsidRPr="00891EFE">
        <w:rPr>
          <w:rFonts w:ascii="Arial" w:hAnsi="Arial" w:cs="Arial"/>
          <w:sz w:val="20"/>
          <w:szCs w:val="20"/>
        </w:rPr>
        <w:t xml:space="preserve">aumento del </w:t>
      </w:r>
      <w:r w:rsidR="00C3713B" w:rsidRPr="00891EFE">
        <w:rPr>
          <w:rFonts w:ascii="Arial" w:hAnsi="Arial" w:cs="Arial"/>
          <w:sz w:val="20"/>
          <w:szCs w:val="20"/>
        </w:rPr>
        <w:t>82%)</w:t>
      </w:r>
      <w:r w:rsidR="00DB183D" w:rsidRPr="00891EFE">
        <w:rPr>
          <w:rStyle w:val="Refdenotaalfinal"/>
          <w:rFonts w:ascii="Arial" w:hAnsi="Arial" w:cs="Arial"/>
          <w:sz w:val="20"/>
          <w:szCs w:val="20"/>
        </w:rPr>
        <w:endnoteReference w:id="44"/>
      </w:r>
      <w:r w:rsidR="00DB183D" w:rsidRPr="00891EFE">
        <w:rPr>
          <w:rFonts w:ascii="Arial" w:hAnsi="Arial" w:cs="Arial"/>
          <w:sz w:val="20"/>
          <w:szCs w:val="20"/>
        </w:rPr>
        <w:t>,</w:t>
      </w:r>
      <w:r w:rsidR="00C3713B" w:rsidRPr="00891EFE">
        <w:rPr>
          <w:rFonts w:ascii="Arial" w:hAnsi="Arial" w:cs="Arial"/>
          <w:sz w:val="20"/>
          <w:szCs w:val="20"/>
        </w:rPr>
        <w:t xml:space="preserve"> lo que coloca a la terapia génica en la categoría de “blockbuster”.</w:t>
      </w:r>
      <w:r w:rsidR="00C3713B" w:rsidRPr="00891EFE">
        <w:t xml:space="preserve"> </w:t>
      </w:r>
      <w:r w:rsidR="00C3713B" w:rsidRPr="00891EFE">
        <w:rPr>
          <w:rFonts w:ascii="Arial" w:hAnsi="Arial" w:cs="Arial"/>
          <w:sz w:val="20"/>
          <w:szCs w:val="20"/>
        </w:rPr>
        <w:t xml:space="preserve">En </w:t>
      </w:r>
      <w:r w:rsidRPr="00891EFE">
        <w:rPr>
          <w:rFonts w:ascii="Arial" w:hAnsi="Arial" w:cs="Arial"/>
          <w:sz w:val="20"/>
          <w:szCs w:val="20"/>
        </w:rPr>
        <w:t xml:space="preserve">este tercer trimestre en </w:t>
      </w:r>
      <w:r w:rsidR="00C3713B" w:rsidRPr="00891EFE">
        <w:rPr>
          <w:rFonts w:ascii="Arial" w:hAnsi="Arial" w:cs="Arial"/>
          <w:sz w:val="20"/>
          <w:szCs w:val="20"/>
        </w:rPr>
        <w:t xml:space="preserve">los EEUU las ventas ascendieron a $ </w:t>
      </w:r>
      <w:r w:rsidR="00C3713B" w:rsidRPr="00891EFE">
        <w:rPr>
          <w:rFonts w:ascii="Arial" w:hAnsi="Arial" w:cs="Arial"/>
          <w:b/>
          <w:sz w:val="20"/>
          <w:szCs w:val="20"/>
        </w:rPr>
        <w:t>122 millones</w:t>
      </w:r>
      <w:r w:rsidR="00C3713B" w:rsidRPr="00891EFE">
        <w:rPr>
          <w:rFonts w:ascii="Arial" w:hAnsi="Arial" w:cs="Arial"/>
          <w:sz w:val="20"/>
          <w:szCs w:val="20"/>
        </w:rPr>
        <w:t xml:space="preserve"> y en el resto países suman </w:t>
      </w:r>
      <w:r w:rsidR="00C3713B" w:rsidRPr="00891EFE">
        <w:rPr>
          <w:rFonts w:ascii="Arial" w:hAnsi="Arial" w:cs="Arial"/>
          <w:b/>
          <w:sz w:val="20"/>
          <w:szCs w:val="20"/>
        </w:rPr>
        <w:t>$ 169 millones</w:t>
      </w:r>
      <w:r w:rsidR="00DB183D" w:rsidRPr="00891EFE">
        <w:rPr>
          <w:rStyle w:val="Refdenotaalfinal"/>
          <w:rFonts w:ascii="Arial" w:hAnsi="Arial" w:cs="Arial"/>
          <w:b/>
          <w:sz w:val="20"/>
          <w:szCs w:val="20"/>
        </w:rPr>
        <w:endnoteReference w:id="45"/>
      </w:r>
      <w:r w:rsidR="00C3713B" w:rsidRPr="00891EFE">
        <w:rPr>
          <w:rFonts w:ascii="Arial" w:hAnsi="Arial" w:cs="Arial"/>
          <w:sz w:val="20"/>
          <w:szCs w:val="20"/>
        </w:rPr>
        <w:t>.</w:t>
      </w:r>
      <w:r w:rsidR="00DB183D" w:rsidRPr="00891EFE">
        <w:rPr>
          <w:rFonts w:ascii="Arial" w:hAnsi="Arial" w:cs="Arial"/>
          <w:sz w:val="20"/>
          <w:szCs w:val="20"/>
        </w:rPr>
        <w:t xml:space="preserve"> </w:t>
      </w:r>
      <w:r w:rsidR="00C3713B" w:rsidRPr="00891EFE">
        <w:rPr>
          <w:rFonts w:ascii="Arial" w:hAnsi="Arial" w:cs="Arial"/>
          <w:sz w:val="20"/>
          <w:szCs w:val="20"/>
        </w:rPr>
        <w:t>Por su</w:t>
      </w:r>
      <w:r w:rsidRPr="00891EFE">
        <w:rPr>
          <w:rFonts w:ascii="Arial" w:hAnsi="Arial" w:cs="Arial"/>
          <w:sz w:val="20"/>
          <w:szCs w:val="20"/>
        </w:rPr>
        <w:t xml:space="preserve"> </w:t>
      </w:r>
      <w:r w:rsidR="00C3713B" w:rsidRPr="00891EFE">
        <w:rPr>
          <w:rFonts w:ascii="Arial" w:hAnsi="Arial" w:cs="Arial"/>
          <w:sz w:val="20"/>
          <w:szCs w:val="20"/>
        </w:rPr>
        <w:t xml:space="preserve">parte, desde </w:t>
      </w:r>
      <w:r w:rsidRPr="00891EFE">
        <w:rPr>
          <w:rFonts w:ascii="Arial" w:hAnsi="Arial" w:cs="Arial"/>
          <w:sz w:val="20"/>
          <w:szCs w:val="20"/>
        </w:rPr>
        <w:t>la aprobación de la FDA en 2019, la compañía</w:t>
      </w:r>
      <w:r w:rsidR="00C3713B" w:rsidRPr="00891EFE">
        <w:rPr>
          <w:rFonts w:ascii="Arial" w:hAnsi="Arial" w:cs="Arial"/>
          <w:sz w:val="20"/>
          <w:szCs w:val="20"/>
        </w:rPr>
        <w:t xml:space="preserve"> </w:t>
      </w:r>
      <w:r w:rsidR="00C3713B" w:rsidRPr="00891EFE">
        <w:rPr>
          <w:rFonts w:ascii="Arial" w:hAnsi="Arial" w:cs="Arial"/>
          <w:i/>
          <w:sz w:val="20"/>
          <w:szCs w:val="20"/>
        </w:rPr>
        <w:t>Regenxbio</w:t>
      </w:r>
      <w:r w:rsidR="00C3713B" w:rsidRPr="00891EFE">
        <w:rPr>
          <w:rFonts w:ascii="Arial" w:hAnsi="Arial" w:cs="Arial"/>
          <w:sz w:val="20"/>
          <w:szCs w:val="20"/>
        </w:rPr>
        <w:t xml:space="preserve"> ha obtenido más de $140</w:t>
      </w:r>
      <w:r w:rsidR="00414E66" w:rsidRPr="00891EFE">
        <w:rPr>
          <w:rFonts w:ascii="Arial" w:hAnsi="Arial" w:cs="Arial"/>
          <w:sz w:val="20"/>
          <w:szCs w:val="20"/>
        </w:rPr>
        <w:t xml:space="preserve"> </w:t>
      </w:r>
      <w:r w:rsidR="00C3713B" w:rsidRPr="00891EFE">
        <w:rPr>
          <w:rFonts w:ascii="Arial" w:hAnsi="Arial" w:cs="Arial"/>
          <w:sz w:val="20"/>
          <w:szCs w:val="20"/>
        </w:rPr>
        <w:t xml:space="preserve">millones en ingresos y pagos comerciales </w:t>
      </w:r>
      <w:r w:rsidRPr="00891EFE">
        <w:rPr>
          <w:rFonts w:ascii="Arial" w:hAnsi="Arial" w:cs="Arial"/>
          <w:sz w:val="20"/>
          <w:szCs w:val="20"/>
        </w:rPr>
        <w:t>relacionados con Zolgensma</w:t>
      </w:r>
      <w:r w:rsidR="00C3713B" w:rsidRPr="00891EFE">
        <w:rPr>
          <w:rFonts w:ascii="Arial" w:hAnsi="Arial" w:cs="Arial"/>
          <w:sz w:val="20"/>
          <w:szCs w:val="20"/>
        </w:rPr>
        <w:t>.</w:t>
      </w:r>
      <w:r w:rsidR="00DB183D" w:rsidRPr="00891EFE">
        <w:rPr>
          <w:rStyle w:val="Refdenotaalfinal"/>
          <w:rFonts w:ascii="Arial" w:hAnsi="Arial" w:cs="Arial"/>
          <w:sz w:val="20"/>
          <w:szCs w:val="20"/>
        </w:rPr>
        <w:endnoteReference w:id="46"/>
      </w:r>
    </w:p>
    <w:p w14:paraId="3178DD18" w14:textId="77777777" w:rsidR="00231B31" w:rsidRPr="00891EFE" w:rsidRDefault="00231B31" w:rsidP="0013638D">
      <w:pPr>
        <w:pBdr>
          <w:bottom w:val="single" w:sz="4" w:space="1" w:color="auto"/>
        </w:pBdr>
        <w:jc w:val="both"/>
        <w:rPr>
          <w:rFonts w:ascii="Arial" w:hAnsi="Arial" w:cs="Arial"/>
          <w:b/>
          <w:sz w:val="20"/>
          <w:szCs w:val="20"/>
        </w:rPr>
      </w:pPr>
    </w:p>
    <w:p w14:paraId="48F4E06C" w14:textId="77777777" w:rsidR="00DB183D" w:rsidRPr="00891EFE" w:rsidRDefault="00CD76EF" w:rsidP="0013638D">
      <w:pPr>
        <w:pBdr>
          <w:bottom w:val="single" w:sz="4" w:space="1" w:color="auto"/>
        </w:pBdr>
        <w:jc w:val="both"/>
        <w:rPr>
          <w:rFonts w:ascii="Arial" w:hAnsi="Arial" w:cs="Arial"/>
          <w:b/>
          <w:sz w:val="20"/>
          <w:szCs w:val="20"/>
        </w:rPr>
      </w:pPr>
      <w:r w:rsidRPr="00891EFE">
        <w:rPr>
          <w:rFonts w:ascii="Arial" w:hAnsi="Arial" w:cs="Arial"/>
          <w:b/>
          <w:sz w:val="20"/>
          <w:szCs w:val="20"/>
        </w:rPr>
        <w:t>Expectativa</w:t>
      </w:r>
      <w:r w:rsidR="00DB183D" w:rsidRPr="00891EFE">
        <w:rPr>
          <w:rFonts w:ascii="Arial" w:hAnsi="Arial" w:cs="Arial"/>
          <w:b/>
          <w:sz w:val="20"/>
          <w:szCs w:val="20"/>
        </w:rPr>
        <w:t>s de ventas.</w:t>
      </w:r>
    </w:p>
    <w:p w14:paraId="7DFE6A22" w14:textId="77777777" w:rsidR="0013638D" w:rsidRPr="00891EFE" w:rsidRDefault="0013638D" w:rsidP="00C60670">
      <w:pPr>
        <w:jc w:val="both"/>
        <w:rPr>
          <w:rFonts w:ascii="Arial" w:hAnsi="Arial" w:cs="Arial"/>
          <w:sz w:val="20"/>
          <w:szCs w:val="20"/>
        </w:rPr>
      </w:pPr>
    </w:p>
    <w:p w14:paraId="0BB4686D" w14:textId="6928D5C6" w:rsidR="00643736" w:rsidRPr="00891EFE" w:rsidRDefault="00643736" w:rsidP="00C60670">
      <w:pPr>
        <w:jc w:val="both"/>
        <w:rPr>
          <w:rFonts w:ascii="Arial" w:hAnsi="Arial" w:cs="Arial"/>
          <w:sz w:val="20"/>
          <w:szCs w:val="20"/>
        </w:rPr>
      </w:pPr>
      <w:r w:rsidRPr="00891EFE">
        <w:rPr>
          <w:rFonts w:ascii="Arial" w:hAnsi="Arial" w:cs="Arial"/>
          <w:sz w:val="20"/>
          <w:szCs w:val="20"/>
        </w:rPr>
        <w:t>Según un informe de GlobalData</w:t>
      </w:r>
      <w:r w:rsidR="00DB183D" w:rsidRPr="00891EFE">
        <w:rPr>
          <w:rStyle w:val="Refdenotaalfinal"/>
          <w:rFonts w:ascii="Arial" w:hAnsi="Arial" w:cs="Arial"/>
          <w:sz w:val="20"/>
          <w:szCs w:val="20"/>
        </w:rPr>
        <w:endnoteReference w:id="47"/>
      </w:r>
      <w:r w:rsidR="00DB183D" w:rsidRPr="00891EFE">
        <w:rPr>
          <w:rFonts w:ascii="Arial" w:hAnsi="Arial" w:cs="Arial"/>
          <w:sz w:val="20"/>
          <w:szCs w:val="20"/>
          <w:vertAlign w:val="superscript"/>
        </w:rPr>
        <w:t>,</w:t>
      </w:r>
      <w:r w:rsidR="00DB183D" w:rsidRPr="00891EFE">
        <w:rPr>
          <w:rStyle w:val="Refdenotaalfinal"/>
          <w:rFonts w:ascii="Arial" w:hAnsi="Arial" w:cs="Arial"/>
          <w:sz w:val="20"/>
          <w:szCs w:val="20"/>
        </w:rPr>
        <w:endnoteReference w:id="48"/>
      </w:r>
      <w:r w:rsidR="00DB183D" w:rsidRPr="00891EFE">
        <w:rPr>
          <w:rFonts w:ascii="Arial" w:hAnsi="Arial" w:cs="Arial"/>
          <w:sz w:val="20"/>
          <w:szCs w:val="20"/>
        </w:rPr>
        <w:t xml:space="preserve"> </w:t>
      </w:r>
      <w:r w:rsidRPr="00891EFE">
        <w:rPr>
          <w:rFonts w:ascii="Arial" w:hAnsi="Arial" w:cs="Arial"/>
          <w:sz w:val="20"/>
          <w:szCs w:val="20"/>
        </w:rPr>
        <w:t>se espera que Zolgensma</w:t>
      </w:r>
      <w:r w:rsidR="00DB183D" w:rsidRPr="00891EFE">
        <w:rPr>
          <w:rFonts w:ascii="Arial" w:hAnsi="Arial" w:cs="Arial"/>
          <w:sz w:val="20"/>
          <w:szCs w:val="20"/>
          <w:vertAlign w:val="superscript"/>
        </w:rPr>
        <w:t>®</w:t>
      </w:r>
      <w:r w:rsidRPr="00891EFE">
        <w:rPr>
          <w:rFonts w:ascii="Arial" w:hAnsi="Arial" w:cs="Arial"/>
          <w:sz w:val="20"/>
          <w:szCs w:val="20"/>
        </w:rPr>
        <w:t xml:space="preserve"> genere ventas globales de</w:t>
      </w:r>
      <w:r w:rsidR="00534C1D" w:rsidRPr="00891EFE">
        <w:rPr>
          <w:rFonts w:ascii="Arial" w:hAnsi="Arial" w:cs="Arial"/>
          <w:b/>
          <w:sz w:val="20"/>
          <w:szCs w:val="20"/>
        </w:rPr>
        <w:t xml:space="preserve"> $ 2.</w:t>
      </w:r>
      <w:r w:rsidRPr="00891EFE">
        <w:rPr>
          <w:rFonts w:ascii="Arial" w:hAnsi="Arial" w:cs="Arial"/>
          <w:b/>
          <w:sz w:val="20"/>
          <w:szCs w:val="20"/>
        </w:rPr>
        <w:t>5</w:t>
      </w:r>
      <w:r w:rsidR="00534C1D" w:rsidRPr="00891EFE">
        <w:rPr>
          <w:rFonts w:ascii="Arial" w:hAnsi="Arial" w:cs="Arial"/>
          <w:b/>
          <w:sz w:val="20"/>
          <w:szCs w:val="20"/>
        </w:rPr>
        <w:t xml:space="preserve">00 </w:t>
      </w:r>
      <w:r w:rsidRPr="00891EFE">
        <w:rPr>
          <w:rFonts w:ascii="Arial" w:hAnsi="Arial" w:cs="Arial"/>
          <w:b/>
          <w:sz w:val="20"/>
          <w:szCs w:val="20"/>
        </w:rPr>
        <w:t>millones</w:t>
      </w:r>
      <w:r w:rsidRPr="00891EFE">
        <w:rPr>
          <w:rFonts w:ascii="Arial" w:hAnsi="Arial" w:cs="Arial"/>
          <w:sz w:val="20"/>
          <w:szCs w:val="20"/>
        </w:rPr>
        <w:t xml:space="preserve"> para</w:t>
      </w:r>
      <w:r w:rsidRPr="00891EFE">
        <w:rPr>
          <w:rFonts w:ascii="Arial" w:hAnsi="Arial" w:cs="Arial"/>
          <w:b/>
          <w:sz w:val="20"/>
          <w:szCs w:val="20"/>
        </w:rPr>
        <w:t xml:space="preserve"> 2025. </w:t>
      </w:r>
      <w:r w:rsidR="00534C1D" w:rsidRPr="00891EFE">
        <w:rPr>
          <w:rFonts w:ascii="Arial" w:hAnsi="Arial" w:cs="Arial"/>
          <w:sz w:val="20"/>
          <w:szCs w:val="20"/>
        </w:rPr>
        <w:t>S</w:t>
      </w:r>
      <w:r w:rsidRPr="00891EFE">
        <w:rPr>
          <w:rFonts w:ascii="Arial" w:hAnsi="Arial" w:cs="Arial"/>
          <w:sz w:val="20"/>
          <w:szCs w:val="20"/>
        </w:rPr>
        <w:t xml:space="preserve">e espera que el mercado de AME crezca a una tasa de crecimiento anual compuesta del </w:t>
      </w:r>
      <w:r w:rsidRPr="00891EFE">
        <w:rPr>
          <w:rFonts w:ascii="Arial" w:hAnsi="Arial" w:cs="Arial"/>
          <w:b/>
          <w:sz w:val="20"/>
          <w:szCs w:val="20"/>
        </w:rPr>
        <w:t>16%</w:t>
      </w:r>
      <w:r w:rsidRPr="00891EFE">
        <w:rPr>
          <w:rFonts w:ascii="Arial" w:hAnsi="Arial" w:cs="Arial"/>
          <w:sz w:val="20"/>
          <w:szCs w:val="20"/>
        </w:rPr>
        <w:t xml:space="preserve"> para alcanzar un valor global de </w:t>
      </w:r>
      <w:r w:rsidR="00534C1D" w:rsidRPr="00891EFE">
        <w:rPr>
          <w:rFonts w:ascii="Arial" w:hAnsi="Arial" w:cs="Arial"/>
          <w:b/>
          <w:sz w:val="20"/>
          <w:szCs w:val="20"/>
        </w:rPr>
        <w:t>$ 6.</w:t>
      </w:r>
      <w:r w:rsidRPr="00891EFE">
        <w:rPr>
          <w:rFonts w:ascii="Arial" w:hAnsi="Arial" w:cs="Arial"/>
          <w:b/>
          <w:sz w:val="20"/>
          <w:szCs w:val="20"/>
        </w:rPr>
        <w:t>6</w:t>
      </w:r>
      <w:r w:rsidR="00534C1D" w:rsidRPr="00891EFE">
        <w:rPr>
          <w:rFonts w:ascii="Arial" w:hAnsi="Arial" w:cs="Arial"/>
          <w:b/>
          <w:sz w:val="20"/>
          <w:szCs w:val="20"/>
        </w:rPr>
        <w:t>00</w:t>
      </w:r>
      <w:r w:rsidRPr="00891EFE">
        <w:rPr>
          <w:rFonts w:ascii="Arial" w:hAnsi="Arial" w:cs="Arial"/>
          <w:b/>
          <w:sz w:val="20"/>
          <w:szCs w:val="20"/>
        </w:rPr>
        <w:t xml:space="preserve"> millones </w:t>
      </w:r>
      <w:r w:rsidRPr="00891EFE">
        <w:rPr>
          <w:rFonts w:ascii="Arial" w:hAnsi="Arial" w:cs="Arial"/>
          <w:sz w:val="20"/>
          <w:szCs w:val="20"/>
        </w:rPr>
        <w:t xml:space="preserve">en </w:t>
      </w:r>
      <w:r w:rsidRPr="00891EFE">
        <w:rPr>
          <w:rFonts w:ascii="Arial" w:hAnsi="Arial" w:cs="Arial"/>
          <w:b/>
          <w:sz w:val="20"/>
          <w:szCs w:val="20"/>
        </w:rPr>
        <w:t>2028</w:t>
      </w:r>
      <w:r w:rsidR="00534C1D" w:rsidRPr="00891EFE">
        <w:rPr>
          <w:rFonts w:ascii="Arial" w:hAnsi="Arial" w:cs="Arial"/>
          <w:sz w:val="20"/>
          <w:szCs w:val="20"/>
        </w:rPr>
        <w:t xml:space="preserve"> </w:t>
      </w:r>
      <w:r w:rsidR="00CD76EF" w:rsidRPr="00891EFE">
        <w:rPr>
          <w:rFonts w:ascii="Arial" w:hAnsi="Arial" w:cs="Arial"/>
          <w:sz w:val="20"/>
          <w:szCs w:val="20"/>
        </w:rPr>
        <w:t>y</w:t>
      </w:r>
      <w:r w:rsidRPr="00891EFE">
        <w:rPr>
          <w:rFonts w:ascii="Arial" w:hAnsi="Arial" w:cs="Arial"/>
          <w:sz w:val="20"/>
          <w:szCs w:val="20"/>
        </w:rPr>
        <w:t xml:space="preserve"> que Zolgensma</w:t>
      </w:r>
      <w:r w:rsidR="00414E66" w:rsidRPr="00891EFE">
        <w:rPr>
          <w:rFonts w:ascii="Arial" w:hAnsi="Arial" w:cs="Arial"/>
          <w:sz w:val="20"/>
          <w:szCs w:val="20"/>
          <w:vertAlign w:val="superscript"/>
        </w:rPr>
        <w:t>®</w:t>
      </w:r>
      <w:r w:rsidRPr="00891EFE">
        <w:rPr>
          <w:rFonts w:ascii="Arial" w:hAnsi="Arial" w:cs="Arial"/>
          <w:sz w:val="20"/>
          <w:szCs w:val="20"/>
        </w:rPr>
        <w:t xml:space="preserve"> sea el líder del mercado con ventas </w:t>
      </w:r>
      <w:r w:rsidR="00CD76EF" w:rsidRPr="00891EFE">
        <w:rPr>
          <w:rFonts w:ascii="Arial" w:hAnsi="Arial" w:cs="Arial"/>
          <w:sz w:val="20"/>
          <w:szCs w:val="20"/>
        </w:rPr>
        <w:t xml:space="preserve">de </w:t>
      </w:r>
      <w:r w:rsidRPr="00891EFE">
        <w:rPr>
          <w:rFonts w:ascii="Arial" w:hAnsi="Arial" w:cs="Arial"/>
          <w:b/>
          <w:sz w:val="20"/>
          <w:szCs w:val="20"/>
        </w:rPr>
        <w:t>$ 3.100 millones</w:t>
      </w:r>
      <w:r w:rsidR="00DB183D" w:rsidRPr="00891EFE">
        <w:rPr>
          <w:rStyle w:val="Refdenotaalfinal"/>
          <w:rFonts w:ascii="Arial" w:hAnsi="Arial" w:cs="Arial"/>
          <w:b/>
          <w:sz w:val="20"/>
          <w:szCs w:val="20"/>
        </w:rPr>
        <w:endnoteReference w:id="49"/>
      </w:r>
      <w:r w:rsidR="00DB183D" w:rsidRPr="00891EFE">
        <w:rPr>
          <w:rFonts w:ascii="Arial" w:hAnsi="Arial" w:cs="Arial"/>
          <w:b/>
          <w:sz w:val="20"/>
          <w:szCs w:val="20"/>
          <w:vertAlign w:val="superscript"/>
        </w:rPr>
        <w:t>,</w:t>
      </w:r>
      <w:r w:rsidR="00DB183D" w:rsidRPr="00891EFE">
        <w:rPr>
          <w:rStyle w:val="Refdenotaalfinal"/>
          <w:rFonts w:ascii="Arial" w:hAnsi="Arial" w:cs="Arial"/>
          <w:b/>
          <w:sz w:val="20"/>
          <w:szCs w:val="20"/>
        </w:rPr>
        <w:endnoteReference w:id="50"/>
      </w:r>
      <w:r w:rsidR="00DB183D" w:rsidRPr="00891EFE">
        <w:rPr>
          <w:rFonts w:ascii="Arial" w:hAnsi="Arial" w:cs="Arial"/>
          <w:b/>
          <w:sz w:val="20"/>
          <w:szCs w:val="20"/>
          <w:vertAlign w:val="superscript"/>
        </w:rPr>
        <w:t>,</w:t>
      </w:r>
      <w:r w:rsidR="00DB183D" w:rsidRPr="00891EFE">
        <w:rPr>
          <w:rStyle w:val="Refdenotaalfinal"/>
          <w:rFonts w:ascii="Arial" w:hAnsi="Arial" w:cs="Arial"/>
          <w:b/>
          <w:sz w:val="20"/>
          <w:szCs w:val="20"/>
        </w:rPr>
        <w:endnoteReference w:id="51"/>
      </w:r>
      <w:r w:rsidR="00DC588B" w:rsidRPr="00891EFE">
        <w:rPr>
          <w:rFonts w:ascii="Arial" w:hAnsi="Arial" w:cs="Arial"/>
          <w:sz w:val="20"/>
          <w:szCs w:val="20"/>
        </w:rPr>
        <w:t xml:space="preserve">. </w:t>
      </w:r>
      <w:r w:rsidRPr="00891EFE">
        <w:rPr>
          <w:rFonts w:ascii="Arial" w:hAnsi="Arial" w:cs="Arial"/>
          <w:sz w:val="20"/>
          <w:szCs w:val="20"/>
        </w:rPr>
        <w:t>Actualmente Spinraza</w:t>
      </w:r>
      <w:r w:rsidR="00414E66" w:rsidRPr="00891EFE">
        <w:rPr>
          <w:rFonts w:ascii="Arial" w:hAnsi="Arial" w:cs="Arial"/>
          <w:sz w:val="20"/>
          <w:szCs w:val="20"/>
          <w:vertAlign w:val="superscript"/>
        </w:rPr>
        <w:t>®</w:t>
      </w:r>
      <w:r w:rsidRPr="00891EFE">
        <w:rPr>
          <w:rFonts w:ascii="Arial" w:hAnsi="Arial" w:cs="Arial"/>
          <w:sz w:val="20"/>
          <w:szCs w:val="20"/>
        </w:rPr>
        <w:t xml:space="preserve"> se posiciona como líder del mercado con ventas globales reportadas de</w:t>
      </w:r>
      <w:r w:rsidR="00534C1D" w:rsidRPr="00891EFE">
        <w:rPr>
          <w:rFonts w:ascii="Arial" w:hAnsi="Arial" w:cs="Arial"/>
          <w:b/>
          <w:sz w:val="20"/>
          <w:szCs w:val="20"/>
        </w:rPr>
        <w:t xml:space="preserve"> </w:t>
      </w:r>
      <w:r w:rsidR="00534C1D" w:rsidRPr="00891EFE">
        <w:rPr>
          <w:rFonts w:ascii="Arial" w:hAnsi="Arial" w:cs="Arial"/>
          <w:sz w:val="20"/>
          <w:szCs w:val="20"/>
        </w:rPr>
        <w:t>$</w:t>
      </w:r>
      <w:r w:rsidR="00534C1D" w:rsidRPr="00891EFE">
        <w:rPr>
          <w:rFonts w:ascii="Arial" w:hAnsi="Arial" w:cs="Arial"/>
          <w:b/>
          <w:sz w:val="20"/>
          <w:szCs w:val="20"/>
        </w:rPr>
        <w:t xml:space="preserve"> </w:t>
      </w:r>
      <w:r w:rsidR="00534C1D" w:rsidRPr="00891EFE">
        <w:rPr>
          <w:rFonts w:ascii="Arial" w:hAnsi="Arial" w:cs="Arial"/>
          <w:sz w:val="20"/>
          <w:szCs w:val="20"/>
        </w:rPr>
        <w:t xml:space="preserve">2.100 </w:t>
      </w:r>
      <w:r w:rsidRPr="00891EFE">
        <w:rPr>
          <w:rFonts w:ascii="Arial" w:hAnsi="Arial" w:cs="Arial"/>
          <w:sz w:val="20"/>
          <w:szCs w:val="20"/>
        </w:rPr>
        <w:t>millones en 2019</w:t>
      </w:r>
      <w:r w:rsidR="00DB183D" w:rsidRPr="00891EFE">
        <w:rPr>
          <w:rStyle w:val="Refdenotaalfinal"/>
          <w:rFonts w:ascii="Arial" w:hAnsi="Arial" w:cs="Arial"/>
          <w:sz w:val="20"/>
          <w:szCs w:val="20"/>
        </w:rPr>
        <w:endnoteReference w:id="52"/>
      </w:r>
      <w:r w:rsidR="00DB183D" w:rsidRPr="00891EFE">
        <w:rPr>
          <w:rFonts w:ascii="Arial" w:hAnsi="Arial" w:cs="Arial"/>
          <w:sz w:val="20"/>
          <w:szCs w:val="20"/>
        </w:rPr>
        <w:t>. T</w:t>
      </w:r>
      <w:r w:rsidR="00D543DD" w:rsidRPr="00891EFE">
        <w:rPr>
          <w:rFonts w:ascii="Arial" w:hAnsi="Arial" w:cs="Arial"/>
          <w:sz w:val="20"/>
          <w:szCs w:val="20"/>
        </w:rPr>
        <w:t>ambién</w:t>
      </w:r>
      <w:r w:rsidRPr="00891EFE">
        <w:rPr>
          <w:rFonts w:ascii="Arial" w:hAnsi="Arial" w:cs="Arial"/>
          <w:sz w:val="20"/>
          <w:szCs w:val="20"/>
        </w:rPr>
        <w:t xml:space="preserve"> </w:t>
      </w:r>
      <w:r w:rsidR="00DC588B" w:rsidRPr="00891EFE">
        <w:rPr>
          <w:rFonts w:ascii="Arial" w:hAnsi="Arial" w:cs="Arial"/>
          <w:sz w:val="20"/>
          <w:szCs w:val="20"/>
        </w:rPr>
        <w:t xml:space="preserve">se </w:t>
      </w:r>
      <w:r w:rsidRPr="00891EFE">
        <w:rPr>
          <w:rFonts w:ascii="Arial" w:hAnsi="Arial" w:cs="Arial"/>
          <w:sz w:val="20"/>
          <w:szCs w:val="20"/>
        </w:rPr>
        <w:t>estima que Evrysdi</w:t>
      </w:r>
      <w:r w:rsidR="00DB183D" w:rsidRPr="00891EFE">
        <w:rPr>
          <w:rFonts w:ascii="Arial" w:hAnsi="Arial" w:cs="Arial"/>
          <w:sz w:val="20"/>
          <w:szCs w:val="20"/>
          <w:vertAlign w:val="superscript"/>
        </w:rPr>
        <w:t>®</w:t>
      </w:r>
      <w:r w:rsidRPr="00891EFE">
        <w:rPr>
          <w:rFonts w:ascii="Arial" w:hAnsi="Arial" w:cs="Arial"/>
          <w:sz w:val="20"/>
          <w:szCs w:val="20"/>
        </w:rPr>
        <w:t xml:space="preserve"> alcanzará ventas globales de $ 1.8</w:t>
      </w:r>
      <w:r w:rsidR="00C3713B" w:rsidRPr="00891EFE">
        <w:rPr>
          <w:rFonts w:ascii="Arial" w:hAnsi="Arial" w:cs="Arial"/>
          <w:sz w:val="20"/>
          <w:szCs w:val="20"/>
        </w:rPr>
        <w:t>00</w:t>
      </w:r>
      <w:r w:rsidRPr="00891EFE">
        <w:rPr>
          <w:rFonts w:ascii="Arial" w:hAnsi="Arial" w:cs="Arial"/>
          <w:sz w:val="20"/>
          <w:szCs w:val="20"/>
        </w:rPr>
        <w:t xml:space="preserve"> millones para 2026. </w:t>
      </w:r>
    </w:p>
    <w:p w14:paraId="63A4D926" w14:textId="77777777" w:rsidR="00621BAF" w:rsidRPr="00891EFE" w:rsidRDefault="00621BAF" w:rsidP="00C60670">
      <w:pPr>
        <w:jc w:val="both"/>
        <w:rPr>
          <w:rFonts w:ascii="Arial" w:hAnsi="Arial" w:cs="Arial"/>
          <w:b/>
          <w:sz w:val="20"/>
          <w:szCs w:val="20"/>
        </w:rPr>
      </w:pPr>
    </w:p>
    <w:p w14:paraId="5230D4D3" w14:textId="7F841953" w:rsidR="00621BAF" w:rsidRDefault="00621BAF" w:rsidP="00621BAF">
      <w:pPr>
        <w:jc w:val="both"/>
        <w:rPr>
          <w:rFonts w:ascii="Arial" w:hAnsi="Arial" w:cs="Arial"/>
          <w:sz w:val="20"/>
          <w:szCs w:val="20"/>
        </w:rPr>
      </w:pPr>
      <w:r w:rsidRPr="00891EFE">
        <w:rPr>
          <w:rFonts w:ascii="Arial" w:hAnsi="Arial" w:cs="Arial"/>
          <w:sz w:val="20"/>
          <w:szCs w:val="20"/>
        </w:rPr>
        <w:t>Novartis también espera expandir el uso de Zolgensma</w:t>
      </w:r>
      <w:r w:rsidRPr="00891EFE">
        <w:rPr>
          <w:rFonts w:ascii="Arial" w:hAnsi="Arial" w:cs="Arial"/>
          <w:sz w:val="20"/>
          <w:szCs w:val="20"/>
          <w:vertAlign w:val="superscript"/>
        </w:rPr>
        <w:t>®</w:t>
      </w:r>
      <w:r w:rsidRPr="00891EFE">
        <w:rPr>
          <w:rFonts w:ascii="Arial" w:hAnsi="Arial" w:cs="Arial"/>
          <w:sz w:val="20"/>
          <w:szCs w:val="20"/>
        </w:rPr>
        <w:t xml:space="preserve"> en niños de mayor edad. Un estudio de administración intratecal, sin embargo, fue suspendido parcial</w:t>
      </w:r>
      <w:r w:rsidR="00414E66" w:rsidRPr="00891EFE">
        <w:rPr>
          <w:rFonts w:ascii="Arial" w:hAnsi="Arial" w:cs="Arial"/>
          <w:sz w:val="20"/>
          <w:szCs w:val="20"/>
        </w:rPr>
        <w:t xml:space="preserve">mente por la FDA el año pasado </w:t>
      </w:r>
      <w:r w:rsidRPr="00891EFE">
        <w:rPr>
          <w:rFonts w:ascii="Arial" w:hAnsi="Arial" w:cs="Arial"/>
          <w:sz w:val="20"/>
          <w:szCs w:val="20"/>
        </w:rPr>
        <w:t>debido a los signos de inflamación observados en estudios en animales</w:t>
      </w:r>
      <w:r w:rsidR="00414E66" w:rsidRPr="00891EFE">
        <w:rPr>
          <w:rFonts w:ascii="Arial" w:hAnsi="Arial" w:cs="Arial"/>
          <w:sz w:val="20"/>
          <w:szCs w:val="20"/>
        </w:rPr>
        <w:t>,</w:t>
      </w:r>
      <w:r w:rsidRPr="00891EFE">
        <w:rPr>
          <w:rFonts w:ascii="Arial" w:hAnsi="Arial" w:cs="Arial"/>
          <w:sz w:val="20"/>
          <w:szCs w:val="20"/>
        </w:rPr>
        <w:t xml:space="preserve"> y también por la inclusión de datos manipulados en el estudio. </w:t>
      </w:r>
      <w:r w:rsidRPr="00891EFE">
        <w:rPr>
          <w:rStyle w:val="Refdenotaalfinal"/>
          <w:rFonts w:ascii="Arial" w:hAnsi="Arial" w:cs="Arial"/>
          <w:sz w:val="20"/>
          <w:szCs w:val="20"/>
        </w:rPr>
        <w:endnoteReference w:id="53"/>
      </w:r>
    </w:p>
    <w:p w14:paraId="5E9E01BE" w14:textId="77777777" w:rsidR="00D30D1E" w:rsidRPr="00891EFE" w:rsidRDefault="00D30D1E" w:rsidP="00621BAF">
      <w:pPr>
        <w:jc w:val="both"/>
        <w:rPr>
          <w:rFonts w:ascii="Arial" w:hAnsi="Arial" w:cs="Arial"/>
          <w:sz w:val="20"/>
          <w:szCs w:val="20"/>
        </w:rPr>
      </w:pPr>
    </w:p>
    <w:p w14:paraId="6080F5CF" w14:textId="09CC7579" w:rsidR="00A01307" w:rsidRPr="00891EFE" w:rsidRDefault="00621BAF" w:rsidP="00C60670">
      <w:pPr>
        <w:jc w:val="both"/>
        <w:rPr>
          <w:rFonts w:ascii="Arial" w:hAnsi="Arial" w:cs="Arial"/>
          <w:sz w:val="20"/>
          <w:szCs w:val="20"/>
        </w:rPr>
      </w:pPr>
      <w:r w:rsidRPr="00891EFE">
        <w:rPr>
          <w:rFonts w:ascii="Arial" w:hAnsi="Arial" w:cs="Arial"/>
          <w:sz w:val="20"/>
          <w:szCs w:val="20"/>
        </w:rPr>
        <w:lastRenderedPageBreak/>
        <w:t xml:space="preserve">Por otra parte, </w:t>
      </w:r>
      <w:r w:rsidRPr="00891EFE">
        <w:rPr>
          <w:rFonts w:ascii="Arial" w:hAnsi="Arial" w:cs="Arial"/>
          <w:b/>
          <w:sz w:val="20"/>
          <w:szCs w:val="20"/>
        </w:rPr>
        <w:t>Biogen inc</w:t>
      </w:r>
      <w:r w:rsidRPr="00891EFE">
        <w:rPr>
          <w:rFonts w:ascii="Arial" w:hAnsi="Arial" w:cs="Arial"/>
          <w:sz w:val="20"/>
          <w:szCs w:val="20"/>
        </w:rPr>
        <w:t xml:space="preserve"> en un nuevo estudio busca determinar si los pacientes que reciben Zolgensma</w:t>
      </w:r>
      <w:r w:rsidRPr="00891EFE">
        <w:rPr>
          <w:rFonts w:ascii="Arial" w:hAnsi="Arial" w:cs="Arial"/>
          <w:sz w:val="20"/>
          <w:szCs w:val="20"/>
          <w:vertAlign w:val="superscript"/>
        </w:rPr>
        <w:t>®</w:t>
      </w:r>
      <w:r w:rsidRPr="00891EFE">
        <w:rPr>
          <w:rFonts w:ascii="Arial" w:hAnsi="Arial" w:cs="Arial"/>
          <w:sz w:val="20"/>
          <w:szCs w:val="20"/>
        </w:rPr>
        <w:t xml:space="preserve"> inicial podrían beneficiarse del tratamiento adicional con Spinraza</w:t>
      </w:r>
      <w:r w:rsidRPr="00891EFE">
        <w:rPr>
          <w:rFonts w:ascii="Arial" w:hAnsi="Arial" w:cs="Arial"/>
          <w:sz w:val="20"/>
          <w:szCs w:val="20"/>
          <w:vertAlign w:val="superscript"/>
        </w:rPr>
        <w:t>®</w:t>
      </w:r>
      <w:r w:rsidRPr="00891EFE">
        <w:rPr>
          <w:rFonts w:ascii="Arial" w:hAnsi="Arial" w:cs="Arial"/>
          <w:sz w:val="20"/>
          <w:szCs w:val="20"/>
        </w:rPr>
        <w:t xml:space="preserve">. El tratamiento sucesivo con los dos fármacos no se ha estudiado formalmente, pero cuatro de cada </w:t>
      </w:r>
      <w:r w:rsidR="00A01307" w:rsidRPr="00891EFE">
        <w:rPr>
          <w:rFonts w:ascii="Arial" w:hAnsi="Arial" w:cs="Arial"/>
          <w:sz w:val="20"/>
          <w:szCs w:val="20"/>
        </w:rPr>
        <w:t>diez</w:t>
      </w:r>
      <w:r w:rsidRPr="00891EFE">
        <w:rPr>
          <w:rFonts w:ascii="Arial" w:hAnsi="Arial" w:cs="Arial"/>
          <w:sz w:val="20"/>
          <w:szCs w:val="20"/>
        </w:rPr>
        <w:t xml:space="preserve"> pacientes en un estudio a largo plazo </w:t>
      </w:r>
      <w:r w:rsidR="00A01307" w:rsidRPr="00891EFE">
        <w:rPr>
          <w:rFonts w:ascii="Arial" w:hAnsi="Arial" w:cs="Arial"/>
          <w:sz w:val="20"/>
          <w:szCs w:val="20"/>
        </w:rPr>
        <w:t>con</w:t>
      </w:r>
      <w:r w:rsidRPr="00891EFE">
        <w:rPr>
          <w:rFonts w:ascii="Arial" w:hAnsi="Arial" w:cs="Arial"/>
          <w:sz w:val="20"/>
          <w:szCs w:val="20"/>
        </w:rPr>
        <w:t xml:space="preserve"> Zolgensma</w:t>
      </w:r>
      <w:r w:rsidRPr="00891EFE">
        <w:rPr>
          <w:rFonts w:ascii="Arial" w:hAnsi="Arial" w:cs="Arial"/>
          <w:sz w:val="20"/>
          <w:szCs w:val="20"/>
          <w:vertAlign w:val="superscript"/>
        </w:rPr>
        <w:t>®</w:t>
      </w:r>
      <w:r w:rsidRPr="00891EFE">
        <w:rPr>
          <w:rFonts w:ascii="Arial" w:hAnsi="Arial" w:cs="Arial"/>
          <w:sz w:val="20"/>
          <w:szCs w:val="20"/>
        </w:rPr>
        <w:t xml:space="preserve"> recibieron posteriormente Spinraza</w:t>
      </w:r>
      <w:r w:rsidRPr="00891EFE">
        <w:rPr>
          <w:rFonts w:ascii="Arial" w:hAnsi="Arial" w:cs="Arial"/>
          <w:sz w:val="20"/>
          <w:szCs w:val="20"/>
          <w:vertAlign w:val="superscript"/>
        </w:rPr>
        <w:t>®</w:t>
      </w:r>
      <w:r w:rsidRPr="00891EFE">
        <w:rPr>
          <w:rFonts w:ascii="Arial" w:hAnsi="Arial" w:cs="Arial"/>
          <w:sz w:val="20"/>
          <w:szCs w:val="20"/>
        </w:rPr>
        <w:t>.</w:t>
      </w:r>
      <w:r w:rsidRPr="00891EFE">
        <w:rPr>
          <w:rStyle w:val="Refdenotaalfinal"/>
          <w:rFonts w:ascii="Arial" w:hAnsi="Arial" w:cs="Arial"/>
          <w:i/>
          <w:sz w:val="20"/>
          <w:szCs w:val="20"/>
        </w:rPr>
        <w:endnoteReference w:id="54"/>
      </w:r>
      <w:r w:rsidR="00A01307" w:rsidRPr="00891EFE">
        <w:rPr>
          <w:rFonts w:ascii="Arial" w:hAnsi="Arial" w:cs="Arial"/>
          <w:sz w:val="20"/>
          <w:szCs w:val="20"/>
          <w:vertAlign w:val="superscript"/>
        </w:rPr>
        <w:t>,</w:t>
      </w:r>
      <w:r w:rsidRPr="00891EFE">
        <w:rPr>
          <w:rFonts w:ascii="Arial" w:hAnsi="Arial" w:cs="Arial"/>
          <w:sz w:val="20"/>
          <w:szCs w:val="20"/>
          <w:vertAlign w:val="superscript"/>
        </w:rPr>
        <w:t xml:space="preserve"> </w:t>
      </w:r>
      <w:r w:rsidRPr="00891EFE">
        <w:rPr>
          <w:rStyle w:val="Refdenotaalfinal"/>
          <w:rFonts w:ascii="Arial" w:hAnsi="Arial" w:cs="Arial"/>
          <w:sz w:val="20"/>
          <w:szCs w:val="20"/>
        </w:rPr>
        <w:endnoteReference w:id="55"/>
      </w:r>
    </w:p>
    <w:p w14:paraId="20510CF9" w14:textId="77777777" w:rsidR="00A01307" w:rsidRPr="00891EFE" w:rsidRDefault="00A01307" w:rsidP="00C60670">
      <w:pPr>
        <w:jc w:val="both"/>
        <w:rPr>
          <w:rFonts w:ascii="Arial" w:hAnsi="Arial" w:cs="Arial"/>
          <w:sz w:val="20"/>
          <w:szCs w:val="20"/>
        </w:rPr>
      </w:pPr>
    </w:p>
    <w:p w14:paraId="780DDA83" w14:textId="269694C5" w:rsidR="00FF1BD5" w:rsidRPr="00891EFE" w:rsidRDefault="000F123D" w:rsidP="00891EF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0"/>
          <w:szCs w:val="20"/>
        </w:rPr>
      </w:pPr>
      <w:r w:rsidRPr="00891EFE">
        <w:rPr>
          <w:rFonts w:ascii="Arial" w:hAnsi="Arial" w:cs="Arial"/>
          <w:b/>
          <w:sz w:val="20"/>
          <w:szCs w:val="20"/>
        </w:rPr>
        <w:t xml:space="preserve">d) </w:t>
      </w:r>
      <w:r w:rsidR="00A01307" w:rsidRPr="00891EFE">
        <w:rPr>
          <w:rFonts w:ascii="Arial" w:hAnsi="Arial" w:cs="Arial"/>
          <w:b/>
          <w:sz w:val="20"/>
          <w:szCs w:val="20"/>
        </w:rPr>
        <w:t>Precio razonable</w:t>
      </w:r>
    </w:p>
    <w:p w14:paraId="1C961FA4" w14:textId="77777777" w:rsidR="005D2C9D" w:rsidRPr="00891EFE" w:rsidRDefault="005D2C9D" w:rsidP="00F414E1">
      <w:pPr>
        <w:rPr>
          <w:rFonts w:ascii="Arial" w:hAnsi="Arial" w:cs="Arial"/>
          <w:b/>
          <w:sz w:val="20"/>
          <w:szCs w:val="20"/>
        </w:rPr>
      </w:pPr>
    </w:p>
    <w:p w14:paraId="2E33E848" w14:textId="77777777" w:rsidR="00D254B6" w:rsidRPr="00891EFE" w:rsidRDefault="00D074F8" w:rsidP="00D254B6">
      <w:pPr>
        <w:pBdr>
          <w:bottom w:val="single" w:sz="4" w:space="1" w:color="auto"/>
        </w:pBdr>
        <w:jc w:val="both"/>
        <w:rPr>
          <w:rFonts w:ascii="Arial" w:hAnsi="Arial" w:cs="Arial"/>
          <w:b/>
          <w:sz w:val="20"/>
          <w:szCs w:val="20"/>
        </w:rPr>
      </w:pPr>
      <w:r w:rsidRPr="00891EFE">
        <w:rPr>
          <w:rFonts w:ascii="Arial" w:hAnsi="Arial" w:cs="Arial"/>
          <w:b/>
          <w:sz w:val="20"/>
          <w:szCs w:val="20"/>
        </w:rPr>
        <w:t>Precio de la compañía</w:t>
      </w:r>
      <w:r w:rsidR="00D254B6" w:rsidRPr="00891EFE">
        <w:rPr>
          <w:rFonts w:ascii="Arial" w:hAnsi="Arial" w:cs="Arial"/>
          <w:b/>
          <w:sz w:val="20"/>
          <w:szCs w:val="20"/>
        </w:rPr>
        <w:t>.</w:t>
      </w:r>
    </w:p>
    <w:p w14:paraId="2B819361" w14:textId="77777777" w:rsidR="00D254B6" w:rsidRPr="00891EFE" w:rsidRDefault="00D254B6" w:rsidP="00D254B6">
      <w:pPr>
        <w:jc w:val="both"/>
        <w:rPr>
          <w:rFonts w:ascii="Arial" w:hAnsi="Arial" w:cs="Arial"/>
          <w:sz w:val="20"/>
          <w:szCs w:val="20"/>
        </w:rPr>
      </w:pPr>
    </w:p>
    <w:p w14:paraId="7DEE9425" w14:textId="72708D52" w:rsidR="00D074F8" w:rsidRPr="00891EFE" w:rsidRDefault="00FF1BD5" w:rsidP="00D254B6">
      <w:pPr>
        <w:jc w:val="both"/>
        <w:rPr>
          <w:rFonts w:ascii="Arial" w:hAnsi="Arial" w:cs="Arial"/>
          <w:sz w:val="20"/>
          <w:szCs w:val="20"/>
        </w:rPr>
      </w:pPr>
      <w:r w:rsidRPr="00891EFE">
        <w:rPr>
          <w:rFonts w:ascii="Arial" w:hAnsi="Arial" w:cs="Arial"/>
          <w:sz w:val="20"/>
          <w:szCs w:val="20"/>
        </w:rPr>
        <w:t xml:space="preserve">El medicamento se pone a la venta a </w:t>
      </w:r>
      <w:r w:rsidRPr="00891EFE">
        <w:rPr>
          <w:rFonts w:ascii="Arial" w:hAnsi="Arial" w:cs="Arial"/>
          <w:b/>
          <w:sz w:val="20"/>
          <w:szCs w:val="20"/>
        </w:rPr>
        <w:t>2,1 millones de dólares (1,</w:t>
      </w:r>
      <w:r w:rsidR="002204A4">
        <w:rPr>
          <w:rFonts w:ascii="Arial" w:hAnsi="Arial" w:cs="Arial"/>
          <w:b/>
          <w:sz w:val="20"/>
          <w:szCs w:val="20"/>
        </w:rPr>
        <w:t>78</w:t>
      </w:r>
      <w:r w:rsidR="002204A4" w:rsidRPr="00891EFE">
        <w:rPr>
          <w:rFonts w:ascii="Arial" w:hAnsi="Arial" w:cs="Arial"/>
          <w:b/>
          <w:sz w:val="20"/>
          <w:szCs w:val="20"/>
        </w:rPr>
        <w:t xml:space="preserve"> </w:t>
      </w:r>
      <w:r w:rsidRPr="00891EFE">
        <w:rPr>
          <w:rFonts w:ascii="Arial" w:hAnsi="Arial" w:cs="Arial"/>
          <w:b/>
          <w:sz w:val="20"/>
          <w:szCs w:val="20"/>
        </w:rPr>
        <w:t>millones de euros)</w:t>
      </w:r>
      <w:r w:rsidRPr="00891EFE">
        <w:rPr>
          <w:rFonts w:ascii="Arial" w:hAnsi="Arial" w:cs="Arial"/>
          <w:sz w:val="20"/>
          <w:szCs w:val="20"/>
        </w:rPr>
        <w:t xml:space="preserve"> por tratamiento</w:t>
      </w:r>
      <w:r w:rsidR="003230ED" w:rsidRPr="00891EFE">
        <w:rPr>
          <w:rFonts w:ascii="Arial" w:hAnsi="Arial" w:cs="Arial"/>
          <w:sz w:val="20"/>
          <w:szCs w:val="20"/>
        </w:rPr>
        <w:t>.</w:t>
      </w:r>
      <w:r w:rsidR="00D543DD" w:rsidRPr="00891EFE">
        <w:rPr>
          <w:rFonts w:ascii="Arial" w:hAnsi="Arial" w:cs="Arial"/>
          <w:sz w:val="20"/>
          <w:szCs w:val="20"/>
        </w:rPr>
        <w:t xml:space="preserve"> Novartis ha implementado un modelo de pago basado en resultados y opciones de pago </w:t>
      </w:r>
      <w:r w:rsidR="00401AD0" w:rsidRPr="00891EFE">
        <w:rPr>
          <w:rFonts w:ascii="Arial" w:hAnsi="Arial" w:cs="Arial"/>
          <w:sz w:val="20"/>
          <w:szCs w:val="20"/>
        </w:rPr>
        <w:t>a plazos</w:t>
      </w:r>
      <w:r w:rsidR="00D543DD" w:rsidRPr="00891EFE">
        <w:rPr>
          <w:rFonts w:ascii="Arial" w:hAnsi="Arial" w:cs="Arial"/>
          <w:sz w:val="20"/>
          <w:szCs w:val="20"/>
        </w:rPr>
        <w:t xml:space="preserve"> de </w:t>
      </w:r>
      <w:r w:rsidR="00585528" w:rsidRPr="00891EFE">
        <w:rPr>
          <w:rFonts w:ascii="Arial" w:hAnsi="Arial" w:cs="Arial"/>
          <w:sz w:val="20"/>
          <w:szCs w:val="20"/>
        </w:rPr>
        <w:t>hasta cinco años</w:t>
      </w:r>
      <w:r w:rsidR="00D543DD" w:rsidRPr="00891EFE">
        <w:rPr>
          <w:rFonts w:ascii="Arial" w:hAnsi="Arial" w:cs="Arial"/>
          <w:sz w:val="20"/>
          <w:szCs w:val="20"/>
        </w:rPr>
        <w:t>.</w:t>
      </w:r>
      <w:r w:rsidR="00D254B6" w:rsidRPr="00891EFE">
        <w:rPr>
          <w:rStyle w:val="Refdenotaalfinal"/>
          <w:rFonts w:ascii="Arial" w:hAnsi="Arial" w:cs="Arial"/>
          <w:sz w:val="20"/>
          <w:szCs w:val="20"/>
        </w:rPr>
        <w:endnoteReference w:id="56"/>
      </w:r>
      <w:r w:rsidR="00D074F8" w:rsidRPr="00891EFE">
        <w:rPr>
          <w:rFonts w:ascii="Arial" w:hAnsi="Arial" w:cs="Arial"/>
          <w:sz w:val="20"/>
          <w:szCs w:val="20"/>
        </w:rPr>
        <w:t xml:space="preserve"> Se ha propuesto implementar un modelo de pago basado en </w:t>
      </w:r>
      <w:r w:rsidR="00732ED1">
        <w:rPr>
          <w:rFonts w:ascii="Arial" w:hAnsi="Arial" w:cs="Arial"/>
          <w:sz w:val="20"/>
          <w:szCs w:val="20"/>
        </w:rPr>
        <w:t>resultados</w:t>
      </w:r>
      <w:r w:rsidR="00D074F8" w:rsidRPr="00891EFE">
        <w:rPr>
          <w:rFonts w:ascii="Arial" w:hAnsi="Arial" w:cs="Arial"/>
          <w:sz w:val="20"/>
          <w:szCs w:val="20"/>
        </w:rPr>
        <w:t xml:space="preserve"> en el que los pacientes y las aseguradoras solo pagan el precio completo si el medicamento funciona. </w:t>
      </w:r>
    </w:p>
    <w:p w14:paraId="45611676" w14:textId="77777777" w:rsidR="00D254B6" w:rsidRPr="00891EFE" w:rsidRDefault="00D254B6" w:rsidP="00D254B6">
      <w:pPr>
        <w:jc w:val="both"/>
        <w:rPr>
          <w:rFonts w:ascii="Arial" w:hAnsi="Arial" w:cs="Arial"/>
          <w:sz w:val="20"/>
          <w:szCs w:val="20"/>
        </w:rPr>
      </w:pPr>
    </w:p>
    <w:p w14:paraId="28ECEDF2" w14:textId="62EA8A2F" w:rsidR="006A4022" w:rsidRPr="00891EFE" w:rsidRDefault="006A4022" w:rsidP="00D254B6">
      <w:pPr>
        <w:jc w:val="both"/>
        <w:rPr>
          <w:rFonts w:ascii="Arial" w:hAnsi="Arial" w:cs="Arial"/>
          <w:sz w:val="20"/>
          <w:szCs w:val="20"/>
        </w:rPr>
      </w:pPr>
      <w:r w:rsidRPr="00891EFE">
        <w:rPr>
          <w:rFonts w:ascii="Arial" w:hAnsi="Arial" w:cs="Arial"/>
          <w:sz w:val="20"/>
          <w:szCs w:val="20"/>
        </w:rPr>
        <w:t xml:space="preserve">El informe ICER destaca cómo Novartis justificó un precio más alto que el que tendría con un análisis realizado </w:t>
      </w:r>
      <w:r w:rsidR="00732ED1">
        <w:rPr>
          <w:rFonts w:ascii="Arial" w:hAnsi="Arial" w:cs="Arial"/>
          <w:sz w:val="20"/>
          <w:szCs w:val="20"/>
        </w:rPr>
        <w:t>con</w:t>
      </w:r>
      <w:r w:rsidRPr="00891EFE">
        <w:rPr>
          <w:rFonts w:ascii="Arial" w:hAnsi="Arial" w:cs="Arial"/>
          <w:sz w:val="20"/>
          <w:szCs w:val="20"/>
        </w:rPr>
        <w:t xml:space="preserve"> los estándares esenciales de las evaluaciones económicas de la salud</w:t>
      </w:r>
      <w:r w:rsidR="00D254B6" w:rsidRPr="00891EFE">
        <w:rPr>
          <w:rFonts w:ascii="Arial" w:hAnsi="Arial" w:cs="Arial"/>
          <w:sz w:val="20"/>
          <w:szCs w:val="20"/>
        </w:rPr>
        <w:t>. Éstos incluyen: h</w:t>
      </w:r>
      <w:r w:rsidRPr="00891EFE">
        <w:rPr>
          <w:rFonts w:ascii="Arial" w:hAnsi="Arial" w:cs="Arial"/>
          <w:sz w:val="20"/>
          <w:szCs w:val="20"/>
        </w:rPr>
        <w:t>eterogeneidad del beneficio entre subgrupo</w:t>
      </w:r>
      <w:r w:rsidR="00D254B6" w:rsidRPr="00891EFE">
        <w:rPr>
          <w:rFonts w:ascii="Arial" w:hAnsi="Arial" w:cs="Arial"/>
          <w:sz w:val="20"/>
          <w:szCs w:val="20"/>
        </w:rPr>
        <w:t>s, e</w:t>
      </w:r>
      <w:r w:rsidRPr="00891EFE">
        <w:rPr>
          <w:rFonts w:ascii="Arial" w:hAnsi="Arial" w:cs="Arial"/>
          <w:sz w:val="20"/>
          <w:szCs w:val="20"/>
        </w:rPr>
        <w:t>fectos sobre la longevidad y la calidad de vida</w:t>
      </w:r>
      <w:r w:rsidR="00D254B6" w:rsidRPr="00891EFE">
        <w:rPr>
          <w:rFonts w:ascii="Arial" w:hAnsi="Arial" w:cs="Arial"/>
          <w:sz w:val="20"/>
          <w:szCs w:val="20"/>
        </w:rPr>
        <w:t>, a</w:t>
      </w:r>
      <w:r w:rsidRPr="00891EFE">
        <w:rPr>
          <w:rFonts w:ascii="Arial" w:hAnsi="Arial" w:cs="Arial"/>
          <w:sz w:val="20"/>
          <w:szCs w:val="20"/>
        </w:rPr>
        <w:t>tribución inflacionaria de los ahorros de costos</w:t>
      </w:r>
      <w:r w:rsidR="00D254B6" w:rsidRPr="00891EFE">
        <w:rPr>
          <w:rFonts w:ascii="Arial" w:hAnsi="Arial" w:cs="Arial"/>
          <w:sz w:val="20"/>
          <w:szCs w:val="20"/>
        </w:rPr>
        <w:t>, h</w:t>
      </w:r>
      <w:r w:rsidRPr="00891EFE">
        <w:rPr>
          <w:rFonts w:ascii="Arial" w:hAnsi="Arial" w:cs="Arial"/>
          <w:sz w:val="20"/>
          <w:szCs w:val="20"/>
        </w:rPr>
        <w:t>orizontes temporales de pagos y beneficios esperados desalineados.</w:t>
      </w:r>
      <w:bookmarkStart w:id="105" w:name="_Ref57725125"/>
      <w:r w:rsidR="00D254B6" w:rsidRPr="00891EFE">
        <w:rPr>
          <w:rStyle w:val="Refdenotaalfinal"/>
          <w:rFonts w:ascii="Arial" w:hAnsi="Arial" w:cs="Arial"/>
          <w:sz w:val="20"/>
          <w:szCs w:val="20"/>
        </w:rPr>
        <w:endnoteReference w:id="57"/>
      </w:r>
      <w:bookmarkEnd w:id="105"/>
      <w:r w:rsidRPr="00891EFE">
        <w:rPr>
          <w:rStyle w:val="Refdenotaalpie"/>
          <w:rFonts w:ascii="Arial" w:hAnsi="Arial" w:cs="Arial"/>
          <w:sz w:val="20"/>
          <w:szCs w:val="20"/>
        </w:rPr>
        <w:t xml:space="preserve"> </w:t>
      </w:r>
    </w:p>
    <w:p w14:paraId="606B7789" w14:textId="77777777" w:rsidR="00A01307" w:rsidRPr="00891EFE" w:rsidRDefault="00A01307" w:rsidP="00CB4008">
      <w:pPr>
        <w:pBdr>
          <w:bottom w:val="single" w:sz="4" w:space="1" w:color="auto"/>
        </w:pBdr>
        <w:jc w:val="both"/>
        <w:rPr>
          <w:rFonts w:ascii="Arial" w:hAnsi="Arial" w:cs="Arial"/>
          <w:b/>
          <w:sz w:val="20"/>
          <w:szCs w:val="20"/>
        </w:rPr>
      </w:pPr>
    </w:p>
    <w:p w14:paraId="3A0481B3" w14:textId="77777777" w:rsidR="00D254B6" w:rsidRPr="00891EFE" w:rsidRDefault="006A4022" w:rsidP="00CB4008">
      <w:pPr>
        <w:pBdr>
          <w:bottom w:val="single" w:sz="4" w:space="1" w:color="auto"/>
        </w:pBdr>
        <w:jc w:val="both"/>
        <w:rPr>
          <w:rFonts w:ascii="Arial" w:hAnsi="Arial" w:cs="Arial"/>
          <w:sz w:val="20"/>
          <w:szCs w:val="20"/>
        </w:rPr>
      </w:pPr>
      <w:r w:rsidRPr="00891EFE">
        <w:rPr>
          <w:rFonts w:ascii="Arial" w:hAnsi="Arial" w:cs="Arial"/>
          <w:b/>
          <w:sz w:val="20"/>
          <w:szCs w:val="20"/>
        </w:rPr>
        <w:t>Estimación de p</w:t>
      </w:r>
      <w:r w:rsidR="0048748D" w:rsidRPr="00891EFE">
        <w:rPr>
          <w:rFonts w:ascii="Arial" w:hAnsi="Arial" w:cs="Arial"/>
          <w:b/>
          <w:sz w:val="20"/>
          <w:szCs w:val="20"/>
        </w:rPr>
        <w:t>recio según costes</w:t>
      </w:r>
      <w:r w:rsidR="0048748D" w:rsidRPr="00891EFE">
        <w:rPr>
          <w:rFonts w:ascii="Arial" w:hAnsi="Arial" w:cs="Arial"/>
          <w:sz w:val="20"/>
          <w:szCs w:val="20"/>
        </w:rPr>
        <w:t xml:space="preserve">. </w:t>
      </w:r>
    </w:p>
    <w:p w14:paraId="3879C720" w14:textId="77777777" w:rsidR="00CB4008" w:rsidRPr="00891EFE" w:rsidRDefault="00CB4008" w:rsidP="00D254B6">
      <w:pPr>
        <w:jc w:val="both"/>
        <w:rPr>
          <w:rFonts w:ascii="Arial" w:hAnsi="Arial" w:cs="Arial"/>
          <w:sz w:val="20"/>
          <w:szCs w:val="20"/>
        </w:rPr>
      </w:pPr>
    </w:p>
    <w:p w14:paraId="35DD7CD0" w14:textId="35235BD8" w:rsidR="00D254B6" w:rsidRPr="00891EFE" w:rsidRDefault="00B6346C" w:rsidP="00D254B6">
      <w:pPr>
        <w:jc w:val="both"/>
        <w:rPr>
          <w:rFonts w:ascii="Arial" w:hAnsi="Arial" w:cs="Arial"/>
          <w:sz w:val="20"/>
          <w:szCs w:val="20"/>
          <w:vertAlign w:val="superscript"/>
        </w:rPr>
      </w:pPr>
      <w:r w:rsidRPr="00891EFE">
        <w:rPr>
          <w:rFonts w:ascii="Arial" w:hAnsi="Arial" w:cs="Arial"/>
          <w:sz w:val="20"/>
          <w:szCs w:val="20"/>
        </w:rPr>
        <w:t xml:space="preserve">La patente debería permitir recuperar a lo largo de 20 años los costes de I+D, es decir, los </w:t>
      </w:r>
      <w:r w:rsidRPr="00891EFE">
        <w:rPr>
          <w:rFonts w:ascii="Arial" w:hAnsi="Arial" w:cs="Arial"/>
          <w:b/>
          <w:sz w:val="20"/>
          <w:szCs w:val="20"/>
        </w:rPr>
        <w:t xml:space="preserve">12-15 millones </w:t>
      </w:r>
      <w:r w:rsidRPr="00891EFE">
        <w:rPr>
          <w:rFonts w:ascii="Arial" w:hAnsi="Arial" w:cs="Arial"/>
          <w:sz w:val="20"/>
          <w:szCs w:val="20"/>
        </w:rPr>
        <w:t xml:space="preserve">que gastó </w:t>
      </w:r>
      <w:r w:rsidRPr="00891EFE">
        <w:rPr>
          <w:rFonts w:ascii="Arial" w:hAnsi="Arial" w:cs="Arial"/>
          <w:i/>
          <w:sz w:val="20"/>
          <w:szCs w:val="20"/>
        </w:rPr>
        <w:t>Généthon</w:t>
      </w:r>
      <w:r w:rsidRPr="00891EFE">
        <w:rPr>
          <w:rFonts w:ascii="Arial" w:hAnsi="Arial" w:cs="Arial"/>
          <w:sz w:val="20"/>
          <w:szCs w:val="20"/>
        </w:rPr>
        <w:t xml:space="preserve">, los supuestos </w:t>
      </w:r>
      <w:r w:rsidRPr="00891EFE">
        <w:rPr>
          <w:rFonts w:ascii="Arial" w:hAnsi="Arial" w:cs="Arial"/>
          <w:b/>
          <w:sz w:val="20"/>
          <w:szCs w:val="20"/>
        </w:rPr>
        <w:t xml:space="preserve">500 millones </w:t>
      </w:r>
      <w:r w:rsidR="00A01307" w:rsidRPr="00891EFE">
        <w:rPr>
          <w:rFonts w:ascii="Arial" w:hAnsi="Arial" w:cs="Arial"/>
          <w:sz w:val="20"/>
          <w:szCs w:val="20"/>
        </w:rPr>
        <w:t>recaudado</w:t>
      </w:r>
      <w:r w:rsidR="00414E66" w:rsidRPr="00891EFE">
        <w:rPr>
          <w:rFonts w:ascii="Arial" w:hAnsi="Arial" w:cs="Arial"/>
          <w:sz w:val="20"/>
          <w:szCs w:val="20"/>
        </w:rPr>
        <w:t>s</w:t>
      </w:r>
      <w:r w:rsidR="00A01307" w:rsidRPr="00891EFE">
        <w:rPr>
          <w:rFonts w:ascii="Arial" w:hAnsi="Arial" w:cs="Arial"/>
          <w:sz w:val="20"/>
          <w:szCs w:val="20"/>
        </w:rPr>
        <w:t xml:space="preserve"> por</w:t>
      </w:r>
      <w:r w:rsidRPr="00891EFE">
        <w:rPr>
          <w:rFonts w:ascii="Arial" w:hAnsi="Arial" w:cs="Arial"/>
          <w:sz w:val="20"/>
          <w:szCs w:val="20"/>
        </w:rPr>
        <w:t xml:space="preserve"> </w:t>
      </w:r>
      <w:r w:rsidRPr="00891EFE">
        <w:rPr>
          <w:rFonts w:ascii="Arial" w:hAnsi="Arial" w:cs="Arial"/>
          <w:i/>
          <w:sz w:val="20"/>
          <w:szCs w:val="20"/>
        </w:rPr>
        <w:t>AveXis</w:t>
      </w:r>
      <w:r w:rsidRPr="00891EFE">
        <w:rPr>
          <w:rFonts w:ascii="Arial" w:hAnsi="Arial" w:cs="Arial"/>
          <w:sz w:val="20"/>
          <w:szCs w:val="20"/>
        </w:rPr>
        <w:t xml:space="preserve"> </w:t>
      </w:r>
      <w:r w:rsidR="00A01307" w:rsidRPr="00891EFE">
        <w:rPr>
          <w:rFonts w:ascii="Arial" w:hAnsi="Arial" w:cs="Arial"/>
          <w:sz w:val="20"/>
          <w:szCs w:val="20"/>
        </w:rPr>
        <w:t>para los ensayos clínico</w:t>
      </w:r>
      <w:r w:rsidR="00732ED1">
        <w:rPr>
          <w:rFonts w:ascii="Arial" w:hAnsi="Arial" w:cs="Arial"/>
          <w:sz w:val="20"/>
          <w:szCs w:val="20"/>
        </w:rPr>
        <w:t>s</w:t>
      </w:r>
      <w:r w:rsidR="00A01307" w:rsidRPr="00891EFE">
        <w:rPr>
          <w:rFonts w:ascii="Arial" w:hAnsi="Arial" w:cs="Arial"/>
          <w:sz w:val="20"/>
          <w:szCs w:val="20"/>
        </w:rPr>
        <w:t xml:space="preserve"> </w:t>
      </w:r>
      <w:r w:rsidRPr="00891EFE">
        <w:rPr>
          <w:rFonts w:ascii="Arial" w:hAnsi="Arial" w:cs="Arial"/>
          <w:sz w:val="20"/>
          <w:szCs w:val="20"/>
        </w:rPr>
        <w:t xml:space="preserve">y los gastos imputables de investigaciones fallidas. </w:t>
      </w:r>
      <w:r w:rsidR="005D2C9D" w:rsidRPr="00891EFE">
        <w:rPr>
          <w:rFonts w:ascii="Arial" w:hAnsi="Arial" w:cs="Arial"/>
          <w:sz w:val="20"/>
          <w:szCs w:val="20"/>
        </w:rPr>
        <w:t xml:space="preserve">No sabemos cuánta ayuda recibió </w:t>
      </w:r>
      <w:r w:rsidR="005D2C9D" w:rsidRPr="00891EFE">
        <w:rPr>
          <w:rFonts w:ascii="Arial" w:hAnsi="Arial" w:cs="Arial"/>
          <w:i/>
          <w:sz w:val="20"/>
          <w:szCs w:val="20"/>
        </w:rPr>
        <w:t>AveXis</w:t>
      </w:r>
      <w:r w:rsidR="005D2C9D" w:rsidRPr="00891EFE">
        <w:rPr>
          <w:rFonts w:ascii="Arial" w:hAnsi="Arial" w:cs="Arial"/>
          <w:sz w:val="20"/>
          <w:szCs w:val="20"/>
        </w:rPr>
        <w:t xml:space="preserve"> en subvenciones públicas, </w:t>
      </w:r>
      <w:r w:rsidR="00401AD0" w:rsidRPr="00891EFE">
        <w:rPr>
          <w:rFonts w:ascii="Arial" w:hAnsi="Arial" w:cs="Arial"/>
          <w:sz w:val="20"/>
          <w:szCs w:val="20"/>
        </w:rPr>
        <w:t>bonus y desgravaciones fiscales</w:t>
      </w:r>
      <w:r w:rsidR="00D254B6" w:rsidRPr="00891EFE">
        <w:rPr>
          <w:rFonts w:ascii="Arial" w:hAnsi="Arial" w:cs="Arial"/>
          <w:sz w:val="20"/>
          <w:szCs w:val="20"/>
        </w:rPr>
        <w:t>.</w:t>
      </w:r>
      <w:r w:rsidR="009E568A" w:rsidRPr="001C3BE4">
        <w:rPr>
          <w:rFonts w:ascii="Arial" w:hAnsi="Arial" w:cs="Arial"/>
          <w:sz w:val="20"/>
          <w:szCs w:val="20"/>
          <w:vertAlign w:val="superscript"/>
        </w:rPr>
        <w:fldChar w:fldCharType="begin"/>
      </w:r>
      <w:r w:rsidR="009E568A" w:rsidRPr="001C3BE4">
        <w:rPr>
          <w:rFonts w:ascii="Arial" w:hAnsi="Arial" w:cs="Arial"/>
          <w:sz w:val="20"/>
          <w:szCs w:val="20"/>
          <w:vertAlign w:val="superscript"/>
        </w:rPr>
        <w:instrText xml:space="preserve"> NOTEREF _Ref58495229 \h </w:instrText>
      </w:r>
      <w:r w:rsidR="009E568A">
        <w:rPr>
          <w:rFonts w:ascii="Arial" w:hAnsi="Arial" w:cs="Arial"/>
          <w:sz w:val="20"/>
          <w:szCs w:val="20"/>
          <w:vertAlign w:val="superscript"/>
        </w:rPr>
        <w:instrText xml:space="preserve"> \* MERGEFORMAT </w:instrText>
      </w:r>
      <w:r w:rsidR="009E568A" w:rsidRPr="001C3BE4">
        <w:rPr>
          <w:rFonts w:ascii="Arial" w:hAnsi="Arial" w:cs="Arial"/>
          <w:sz w:val="20"/>
          <w:szCs w:val="20"/>
          <w:vertAlign w:val="superscript"/>
        </w:rPr>
      </w:r>
      <w:r w:rsidR="009E568A" w:rsidRPr="001C3BE4">
        <w:rPr>
          <w:rFonts w:ascii="Arial" w:hAnsi="Arial" w:cs="Arial"/>
          <w:sz w:val="20"/>
          <w:szCs w:val="20"/>
          <w:vertAlign w:val="superscript"/>
        </w:rPr>
        <w:fldChar w:fldCharType="separate"/>
      </w:r>
      <w:r w:rsidR="00E277F2">
        <w:rPr>
          <w:rFonts w:ascii="Arial" w:hAnsi="Arial" w:cs="Arial"/>
          <w:sz w:val="20"/>
          <w:szCs w:val="20"/>
          <w:vertAlign w:val="superscript"/>
        </w:rPr>
        <w:t>32</w:t>
      </w:r>
      <w:r w:rsidR="009E568A" w:rsidRPr="001C3BE4">
        <w:rPr>
          <w:rFonts w:ascii="Arial" w:hAnsi="Arial" w:cs="Arial"/>
          <w:sz w:val="20"/>
          <w:szCs w:val="20"/>
          <w:vertAlign w:val="superscript"/>
        </w:rPr>
        <w:fldChar w:fldCharType="end"/>
      </w:r>
      <w:r w:rsidR="00D87D77">
        <w:rPr>
          <w:rFonts w:ascii="Arial" w:hAnsi="Arial" w:cs="Arial"/>
          <w:sz w:val="20"/>
          <w:szCs w:val="20"/>
          <w:vertAlign w:val="superscript"/>
        </w:rPr>
        <w:t>,</w:t>
      </w:r>
      <w:r w:rsidR="00A01307" w:rsidRPr="005D70CC">
        <w:rPr>
          <w:rFonts w:ascii="Arial" w:hAnsi="Arial" w:cs="Arial"/>
          <w:sz w:val="20"/>
          <w:szCs w:val="20"/>
          <w:vertAlign w:val="superscript"/>
        </w:rPr>
        <w:fldChar w:fldCharType="begin"/>
      </w:r>
      <w:r w:rsidR="00A01307" w:rsidRPr="009E568A">
        <w:rPr>
          <w:rFonts w:ascii="Arial" w:hAnsi="Arial" w:cs="Arial"/>
          <w:sz w:val="20"/>
          <w:szCs w:val="20"/>
          <w:vertAlign w:val="superscript"/>
        </w:rPr>
        <w:instrText xml:space="preserve"> NOTEREF _Ref57725125 \h  \* MERGEFORMAT </w:instrText>
      </w:r>
      <w:r w:rsidR="00A01307" w:rsidRPr="005D70CC">
        <w:rPr>
          <w:rFonts w:ascii="Arial" w:hAnsi="Arial" w:cs="Arial"/>
          <w:sz w:val="20"/>
          <w:szCs w:val="20"/>
          <w:vertAlign w:val="superscript"/>
        </w:rPr>
      </w:r>
      <w:r w:rsidR="00A01307" w:rsidRPr="005D70CC">
        <w:rPr>
          <w:rFonts w:ascii="Arial" w:hAnsi="Arial" w:cs="Arial"/>
          <w:sz w:val="20"/>
          <w:szCs w:val="20"/>
          <w:vertAlign w:val="superscript"/>
        </w:rPr>
        <w:fldChar w:fldCharType="separate"/>
      </w:r>
      <w:r w:rsidR="00E277F2">
        <w:rPr>
          <w:rFonts w:ascii="Arial" w:hAnsi="Arial" w:cs="Arial"/>
          <w:sz w:val="20"/>
          <w:szCs w:val="20"/>
          <w:vertAlign w:val="superscript"/>
        </w:rPr>
        <w:t>57</w:t>
      </w:r>
      <w:r w:rsidR="00A01307" w:rsidRPr="005D70CC">
        <w:rPr>
          <w:rFonts w:ascii="Arial" w:hAnsi="Arial" w:cs="Arial"/>
          <w:sz w:val="20"/>
          <w:szCs w:val="20"/>
          <w:vertAlign w:val="superscript"/>
        </w:rPr>
        <w:fldChar w:fldCharType="end"/>
      </w:r>
      <w:r w:rsidR="00A01307" w:rsidRPr="005D70CC">
        <w:rPr>
          <w:rFonts w:ascii="Arial" w:hAnsi="Arial" w:cs="Arial"/>
          <w:sz w:val="20"/>
          <w:szCs w:val="20"/>
          <w:vertAlign w:val="superscript"/>
        </w:rPr>
        <w:t xml:space="preserve"> </w:t>
      </w:r>
    </w:p>
    <w:p w14:paraId="1521738A" w14:textId="77777777" w:rsidR="00D254B6" w:rsidRPr="00891EFE" w:rsidRDefault="00D254B6" w:rsidP="00D254B6">
      <w:pPr>
        <w:jc w:val="both"/>
        <w:rPr>
          <w:rFonts w:ascii="Arial" w:hAnsi="Arial" w:cs="Arial"/>
          <w:sz w:val="20"/>
          <w:szCs w:val="20"/>
        </w:rPr>
      </w:pPr>
    </w:p>
    <w:p w14:paraId="102610C4" w14:textId="183689A7" w:rsidR="00E309D0" w:rsidRPr="00891EFE" w:rsidRDefault="00487C40" w:rsidP="00D254B6">
      <w:pPr>
        <w:jc w:val="both"/>
        <w:rPr>
          <w:rFonts w:ascii="Arial" w:hAnsi="Arial" w:cs="Arial"/>
          <w:sz w:val="20"/>
          <w:szCs w:val="20"/>
        </w:rPr>
      </w:pPr>
      <w:r w:rsidRPr="00891EFE">
        <w:rPr>
          <w:rFonts w:ascii="Arial" w:hAnsi="Arial" w:cs="Arial"/>
          <w:sz w:val="20"/>
          <w:szCs w:val="20"/>
        </w:rPr>
        <w:t xml:space="preserve">Para amortizar los 500 millones </w:t>
      </w:r>
      <w:r w:rsidR="000C072F" w:rsidRPr="00891EFE">
        <w:rPr>
          <w:rFonts w:ascii="Arial" w:hAnsi="Arial" w:cs="Arial"/>
          <w:sz w:val="20"/>
          <w:szCs w:val="20"/>
        </w:rPr>
        <w:t xml:space="preserve">de investigación y tratar </w:t>
      </w:r>
      <w:r w:rsidRPr="00891EFE">
        <w:rPr>
          <w:rFonts w:ascii="Arial" w:hAnsi="Arial" w:cs="Arial"/>
          <w:sz w:val="20"/>
          <w:szCs w:val="20"/>
        </w:rPr>
        <w:t>15.000 pacientes</w:t>
      </w:r>
      <w:r w:rsidR="000C072F" w:rsidRPr="00891EFE">
        <w:rPr>
          <w:rFonts w:ascii="Arial" w:hAnsi="Arial" w:cs="Arial"/>
          <w:sz w:val="20"/>
          <w:szCs w:val="20"/>
        </w:rPr>
        <w:t xml:space="preserve"> (</w:t>
      </w:r>
      <w:r w:rsidR="00E51EE2" w:rsidRPr="00891EFE">
        <w:rPr>
          <w:rFonts w:ascii="Arial" w:hAnsi="Arial" w:cs="Arial"/>
          <w:sz w:val="20"/>
          <w:szCs w:val="20"/>
        </w:rPr>
        <w:t xml:space="preserve">horizonte de </w:t>
      </w:r>
      <w:r w:rsidR="000C072F" w:rsidRPr="00891EFE">
        <w:rPr>
          <w:rFonts w:ascii="Arial" w:hAnsi="Arial" w:cs="Arial"/>
          <w:sz w:val="20"/>
          <w:szCs w:val="20"/>
        </w:rPr>
        <w:t>10 años</w:t>
      </w:r>
      <w:r w:rsidR="00E51EE2" w:rsidRPr="00891EFE">
        <w:rPr>
          <w:rFonts w:ascii="Arial" w:hAnsi="Arial" w:cs="Arial"/>
          <w:sz w:val="20"/>
          <w:szCs w:val="20"/>
        </w:rPr>
        <w:t xml:space="preserve"> a 1500 pacientes/año</w:t>
      </w:r>
      <w:r w:rsidR="000C072F" w:rsidRPr="00891EFE">
        <w:rPr>
          <w:rFonts w:ascii="Arial" w:hAnsi="Arial" w:cs="Arial"/>
          <w:sz w:val="20"/>
          <w:szCs w:val="20"/>
        </w:rPr>
        <w:t>), el precio por tratamiento se podría estimar e</w:t>
      </w:r>
      <w:r w:rsidR="00E51EE2" w:rsidRPr="00891EFE">
        <w:rPr>
          <w:rFonts w:ascii="Arial" w:hAnsi="Arial" w:cs="Arial"/>
          <w:sz w:val="20"/>
          <w:szCs w:val="20"/>
        </w:rPr>
        <w:t>n</w:t>
      </w:r>
      <w:r w:rsidR="006A4022" w:rsidRPr="00891EFE">
        <w:rPr>
          <w:rFonts w:ascii="Arial" w:hAnsi="Arial" w:cs="Arial"/>
          <w:sz w:val="20"/>
          <w:szCs w:val="20"/>
        </w:rPr>
        <w:t xml:space="preserve"> </w:t>
      </w:r>
      <w:r w:rsidR="000C072F" w:rsidRPr="00891EFE">
        <w:rPr>
          <w:rFonts w:ascii="Arial" w:hAnsi="Arial" w:cs="Arial"/>
          <w:sz w:val="20"/>
          <w:szCs w:val="20"/>
        </w:rPr>
        <w:t xml:space="preserve">unos </w:t>
      </w:r>
      <w:r w:rsidR="000C072F" w:rsidRPr="00891EFE">
        <w:rPr>
          <w:rFonts w:ascii="Arial" w:hAnsi="Arial" w:cs="Arial"/>
          <w:b/>
          <w:sz w:val="20"/>
          <w:szCs w:val="20"/>
        </w:rPr>
        <w:t>30.000 €/tratamiento</w:t>
      </w:r>
      <w:r w:rsidR="00585528" w:rsidRPr="00891EFE">
        <w:rPr>
          <w:rFonts w:ascii="Arial" w:hAnsi="Arial" w:cs="Arial"/>
          <w:b/>
          <w:sz w:val="20"/>
          <w:szCs w:val="20"/>
        </w:rPr>
        <w:t>.</w:t>
      </w:r>
      <w:r w:rsidR="000C072F" w:rsidRPr="00891EFE">
        <w:rPr>
          <w:rFonts w:ascii="Arial" w:hAnsi="Arial" w:cs="Arial"/>
          <w:sz w:val="20"/>
          <w:szCs w:val="20"/>
        </w:rPr>
        <w:t xml:space="preserve"> Habría que sumar a esta cifra, el coste de producción, el de investigación fallida y un beneficio razonable. No disponemos de datos para calcular este precio final</w:t>
      </w:r>
      <w:r w:rsidR="00F168C5">
        <w:rPr>
          <w:rFonts w:ascii="Arial" w:hAnsi="Arial" w:cs="Arial"/>
          <w:sz w:val="20"/>
          <w:szCs w:val="20"/>
        </w:rPr>
        <w:t>,</w:t>
      </w:r>
      <w:r w:rsidR="000C072F" w:rsidRPr="00891EFE">
        <w:rPr>
          <w:rFonts w:ascii="Arial" w:hAnsi="Arial" w:cs="Arial"/>
          <w:sz w:val="20"/>
          <w:szCs w:val="20"/>
        </w:rPr>
        <w:t xml:space="preserve"> pero sería de varios dígitos inferior al precio de venta aplicado por la compañía.</w:t>
      </w:r>
    </w:p>
    <w:p w14:paraId="5C7E8828" w14:textId="77777777" w:rsidR="007F6427" w:rsidRPr="00891EFE" w:rsidRDefault="007F6427" w:rsidP="00D254B6">
      <w:pPr>
        <w:jc w:val="both"/>
        <w:rPr>
          <w:rFonts w:ascii="Arial" w:hAnsi="Arial" w:cs="Arial"/>
          <w:sz w:val="20"/>
          <w:szCs w:val="20"/>
        </w:rPr>
      </w:pPr>
    </w:p>
    <w:p w14:paraId="72385532" w14:textId="6ADA85B0" w:rsidR="00D254B6" w:rsidRPr="00891EFE" w:rsidRDefault="006A4022" w:rsidP="00CB4008">
      <w:pPr>
        <w:pBdr>
          <w:bottom w:val="single" w:sz="4" w:space="1" w:color="auto"/>
        </w:pBdr>
        <w:jc w:val="both"/>
        <w:rPr>
          <w:rFonts w:ascii="Arial" w:hAnsi="Arial" w:cs="Arial"/>
          <w:b/>
          <w:sz w:val="20"/>
          <w:szCs w:val="20"/>
        </w:rPr>
      </w:pPr>
      <w:r w:rsidRPr="00891EFE">
        <w:rPr>
          <w:rFonts w:ascii="Arial" w:hAnsi="Arial" w:cs="Arial"/>
          <w:b/>
          <w:sz w:val="20"/>
          <w:szCs w:val="20"/>
        </w:rPr>
        <w:t>Estimación de</w:t>
      </w:r>
      <w:r w:rsidR="002B0997">
        <w:rPr>
          <w:rFonts w:ascii="Arial" w:hAnsi="Arial" w:cs="Arial"/>
          <w:b/>
          <w:sz w:val="20"/>
          <w:szCs w:val="20"/>
        </w:rPr>
        <w:t>l</w:t>
      </w:r>
      <w:r w:rsidRPr="00891EFE">
        <w:rPr>
          <w:rFonts w:ascii="Arial" w:hAnsi="Arial" w:cs="Arial"/>
          <w:b/>
          <w:sz w:val="20"/>
          <w:szCs w:val="20"/>
        </w:rPr>
        <w:t xml:space="preserve"> </w:t>
      </w:r>
      <w:r w:rsidR="00D254B6" w:rsidRPr="00891EFE">
        <w:rPr>
          <w:rFonts w:ascii="Arial" w:hAnsi="Arial" w:cs="Arial"/>
          <w:b/>
          <w:sz w:val="20"/>
          <w:szCs w:val="20"/>
        </w:rPr>
        <w:t>p</w:t>
      </w:r>
      <w:r w:rsidR="0048748D" w:rsidRPr="00891EFE">
        <w:rPr>
          <w:rFonts w:ascii="Arial" w:hAnsi="Arial" w:cs="Arial"/>
          <w:b/>
          <w:sz w:val="20"/>
          <w:szCs w:val="20"/>
        </w:rPr>
        <w:t>recio</w:t>
      </w:r>
      <w:r w:rsidRPr="00891EFE">
        <w:rPr>
          <w:rFonts w:ascii="Arial" w:hAnsi="Arial" w:cs="Arial"/>
          <w:b/>
          <w:sz w:val="20"/>
          <w:szCs w:val="20"/>
        </w:rPr>
        <w:t xml:space="preserve"> </w:t>
      </w:r>
      <w:r w:rsidR="002B0997">
        <w:rPr>
          <w:rFonts w:ascii="Arial" w:hAnsi="Arial" w:cs="Arial"/>
          <w:b/>
          <w:sz w:val="20"/>
          <w:szCs w:val="20"/>
        </w:rPr>
        <w:t xml:space="preserve">máximo para que el RCEI esté por debajo del umbral </w:t>
      </w:r>
      <w:r w:rsidR="0048748D" w:rsidRPr="00891EFE">
        <w:rPr>
          <w:rFonts w:ascii="Arial" w:hAnsi="Arial" w:cs="Arial"/>
          <w:b/>
          <w:sz w:val="20"/>
          <w:szCs w:val="20"/>
        </w:rPr>
        <w:t xml:space="preserve"> </w:t>
      </w:r>
    </w:p>
    <w:p w14:paraId="32D8E992" w14:textId="77777777" w:rsidR="00CB4008" w:rsidRPr="00891EFE" w:rsidRDefault="00CB4008" w:rsidP="00D254B6">
      <w:pPr>
        <w:jc w:val="both"/>
        <w:rPr>
          <w:rFonts w:ascii="Arial" w:hAnsi="Arial" w:cs="Arial"/>
          <w:sz w:val="20"/>
          <w:szCs w:val="20"/>
        </w:rPr>
      </w:pPr>
    </w:p>
    <w:p w14:paraId="3907B552" w14:textId="5C47B08A" w:rsidR="00A01307" w:rsidRPr="00891EFE" w:rsidRDefault="00A01307" w:rsidP="00A01307">
      <w:pPr>
        <w:jc w:val="both"/>
        <w:rPr>
          <w:rFonts w:ascii="Arial" w:hAnsi="Arial" w:cs="Arial"/>
          <w:sz w:val="20"/>
          <w:szCs w:val="20"/>
        </w:rPr>
      </w:pPr>
      <w:r w:rsidRPr="00891EFE">
        <w:rPr>
          <w:rFonts w:ascii="Arial" w:hAnsi="Arial" w:cs="Arial"/>
          <w:sz w:val="20"/>
          <w:szCs w:val="20"/>
        </w:rPr>
        <w:t>En la tabla 6.3 del informe ICER</w:t>
      </w:r>
      <w:r w:rsidRPr="00891EFE">
        <w:rPr>
          <w:rStyle w:val="Refdenotaalfinal"/>
          <w:rFonts w:ascii="Arial" w:hAnsi="Arial" w:cs="Arial"/>
          <w:sz w:val="20"/>
          <w:szCs w:val="20"/>
        </w:rPr>
        <w:endnoteReference w:id="58"/>
      </w:r>
      <w:r w:rsidRPr="00891EFE">
        <w:rPr>
          <w:rFonts w:ascii="Arial" w:hAnsi="Arial" w:cs="Arial"/>
          <w:sz w:val="20"/>
          <w:szCs w:val="20"/>
        </w:rPr>
        <w:t xml:space="preserve"> se presentan los resultados de precio estimado para Zolgensma</w:t>
      </w:r>
      <w:r w:rsidRPr="00F168C5">
        <w:rPr>
          <w:rFonts w:ascii="Arial" w:hAnsi="Arial" w:cs="Arial"/>
          <w:sz w:val="20"/>
          <w:szCs w:val="20"/>
          <w:vertAlign w:val="superscript"/>
        </w:rPr>
        <w:t>®</w:t>
      </w:r>
      <w:r w:rsidR="00F168C5">
        <w:rPr>
          <w:rFonts w:ascii="Arial" w:hAnsi="Arial" w:cs="Arial"/>
          <w:sz w:val="20"/>
          <w:szCs w:val="20"/>
        </w:rPr>
        <w:t xml:space="preserve"> en AME Tipo I a</w:t>
      </w:r>
      <w:r w:rsidRPr="00891EFE">
        <w:rPr>
          <w:rFonts w:ascii="Arial" w:hAnsi="Arial" w:cs="Arial"/>
          <w:sz w:val="20"/>
          <w:szCs w:val="20"/>
        </w:rPr>
        <w:t>plicando una escalada de umbrales entre $ 50</w:t>
      </w:r>
      <w:r w:rsidR="00F168C5">
        <w:rPr>
          <w:rFonts w:ascii="Arial" w:hAnsi="Arial" w:cs="Arial"/>
          <w:sz w:val="20"/>
          <w:szCs w:val="20"/>
        </w:rPr>
        <w:t>.</w:t>
      </w:r>
      <w:r w:rsidRPr="00891EFE">
        <w:rPr>
          <w:rFonts w:ascii="Arial" w:hAnsi="Arial" w:cs="Arial"/>
          <w:sz w:val="20"/>
          <w:szCs w:val="20"/>
        </w:rPr>
        <w:t>000 a $ 500</w:t>
      </w:r>
      <w:r w:rsidR="00F168C5">
        <w:rPr>
          <w:rFonts w:ascii="Arial" w:hAnsi="Arial" w:cs="Arial"/>
          <w:sz w:val="20"/>
          <w:szCs w:val="20"/>
        </w:rPr>
        <w:t>.</w:t>
      </w:r>
      <w:r w:rsidRPr="00891EFE">
        <w:rPr>
          <w:rFonts w:ascii="Arial" w:hAnsi="Arial" w:cs="Arial"/>
          <w:sz w:val="20"/>
          <w:szCs w:val="20"/>
        </w:rPr>
        <w:t>000 por AVAC ganado (ver apartado 7.2.b de este informe)</w:t>
      </w:r>
    </w:p>
    <w:p w14:paraId="77C3CD79" w14:textId="77777777" w:rsidR="00A01307" w:rsidRPr="00891EFE" w:rsidRDefault="00A01307" w:rsidP="00A01307">
      <w:pPr>
        <w:jc w:val="both"/>
        <w:rPr>
          <w:rFonts w:ascii="Arial" w:hAnsi="Arial" w:cs="Arial"/>
          <w:sz w:val="20"/>
          <w:szCs w:val="20"/>
        </w:rPr>
      </w:pPr>
    </w:p>
    <w:p w14:paraId="09A1BEB0" w14:textId="0E37D734" w:rsidR="00A01307" w:rsidRPr="00891EFE" w:rsidRDefault="00A01307" w:rsidP="00282FA4">
      <w:pPr>
        <w:jc w:val="both"/>
        <w:rPr>
          <w:rFonts w:ascii="Arial" w:hAnsi="Arial" w:cs="Arial"/>
          <w:sz w:val="20"/>
          <w:szCs w:val="20"/>
        </w:rPr>
      </w:pPr>
      <w:r w:rsidRPr="00891EFE">
        <w:rPr>
          <w:rFonts w:ascii="Arial" w:hAnsi="Arial" w:cs="Arial"/>
          <w:noProof/>
          <w:sz w:val="20"/>
          <w:szCs w:val="20"/>
        </w:rPr>
        <w:drawing>
          <wp:inline distT="0" distB="0" distL="0" distR="0" wp14:anchorId="0F47AAFA" wp14:editId="4B76FE6E">
            <wp:extent cx="5543550" cy="18002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1800225"/>
                    </a:xfrm>
                    <a:prstGeom prst="rect">
                      <a:avLst/>
                    </a:prstGeom>
                    <a:noFill/>
                    <a:ln>
                      <a:noFill/>
                    </a:ln>
                  </pic:spPr>
                </pic:pic>
              </a:graphicData>
            </a:graphic>
          </wp:inline>
        </w:drawing>
      </w:r>
    </w:p>
    <w:p w14:paraId="1D1D1931" w14:textId="77777777" w:rsidR="00A01307" w:rsidRPr="00891EFE" w:rsidRDefault="00A01307" w:rsidP="00282FA4">
      <w:pPr>
        <w:jc w:val="both"/>
        <w:rPr>
          <w:rFonts w:ascii="Arial" w:hAnsi="Arial" w:cs="Arial"/>
          <w:sz w:val="20"/>
          <w:szCs w:val="20"/>
        </w:rPr>
      </w:pPr>
    </w:p>
    <w:p w14:paraId="046E7B09" w14:textId="5BDF7C9B" w:rsidR="00A01307" w:rsidRPr="00891EFE" w:rsidRDefault="00B6346C" w:rsidP="00282FA4">
      <w:pPr>
        <w:jc w:val="both"/>
        <w:rPr>
          <w:rFonts w:ascii="Arial" w:hAnsi="Arial" w:cs="Arial"/>
          <w:sz w:val="20"/>
          <w:szCs w:val="20"/>
        </w:rPr>
      </w:pPr>
      <w:r w:rsidRPr="00891EFE">
        <w:rPr>
          <w:rFonts w:ascii="Arial" w:hAnsi="Arial" w:cs="Arial"/>
          <w:sz w:val="20"/>
          <w:szCs w:val="20"/>
        </w:rPr>
        <w:t xml:space="preserve">Según el </w:t>
      </w:r>
      <w:r w:rsidR="006A4022" w:rsidRPr="00891EFE">
        <w:rPr>
          <w:rFonts w:ascii="Arial" w:hAnsi="Arial" w:cs="Arial"/>
          <w:sz w:val="20"/>
          <w:szCs w:val="20"/>
        </w:rPr>
        <w:t xml:space="preserve">informe </w:t>
      </w:r>
      <w:r w:rsidRPr="00891EFE">
        <w:rPr>
          <w:rFonts w:ascii="Arial" w:hAnsi="Arial" w:cs="Arial"/>
          <w:sz w:val="20"/>
          <w:szCs w:val="20"/>
        </w:rPr>
        <w:t>ICER e</w:t>
      </w:r>
      <w:r w:rsidR="009F4CDC" w:rsidRPr="00891EFE">
        <w:rPr>
          <w:rFonts w:ascii="Arial" w:hAnsi="Arial" w:cs="Arial"/>
          <w:sz w:val="20"/>
          <w:szCs w:val="20"/>
        </w:rPr>
        <w:t xml:space="preserve">l rango de precios basado en el valor de </w:t>
      </w:r>
      <w:r w:rsidR="00482C21">
        <w:rPr>
          <w:rFonts w:ascii="Arial" w:hAnsi="Arial" w:cs="Arial"/>
          <w:sz w:val="20"/>
          <w:szCs w:val="20"/>
        </w:rPr>
        <w:t>onasemnogén</w:t>
      </w:r>
      <w:r w:rsidR="00657741" w:rsidRPr="00891EFE">
        <w:rPr>
          <w:rFonts w:ascii="Arial" w:hAnsi="Arial" w:cs="Arial"/>
          <w:sz w:val="20"/>
          <w:szCs w:val="20"/>
        </w:rPr>
        <w:t xml:space="preserve"> abeparvovec</w:t>
      </w:r>
      <w:r w:rsidR="009F4CDC" w:rsidRPr="00891EFE">
        <w:rPr>
          <w:rFonts w:ascii="Arial" w:hAnsi="Arial" w:cs="Arial"/>
          <w:sz w:val="20"/>
          <w:szCs w:val="20"/>
        </w:rPr>
        <w:t xml:space="preserve"> está entre </w:t>
      </w:r>
      <w:r w:rsidR="00A01307" w:rsidRPr="00891EFE">
        <w:rPr>
          <w:rFonts w:ascii="Arial" w:hAnsi="Arial" w:cs="Arial"/>
          <w:b/>
          <w:sz w:val="20"/>
          <w:szCs w:val="20"/>
        </w:rPr>
        <w:t>$310,000 y $</w:t>
      </w:r>
      <w:r w:rsidR="009F4CDC" w:rsidRPr="00891EFE">
        <w:rPr>
          <w:rFonts w:ascii="Arial" w:hAnsi="Arial" w:cs="Arial"/>
          <w:b/>
          <w:sz w:val="20"/>
          <w:szCs w:val="20"/>
        </w:rPr>
        <w:t xml:space="preserve">900,000 </w:t>
      </w:r>
      <w:r w:rsidR="009F4CDC" w:rsidRPr="00891EFE">
        <w:rPr>
          <w:rFonts w:ascii="Arial" w:hAnsi="Arial" w:cs="Arial"/>
          <w:sz w:val="20"/>
          <w:szCs w:val="20"/>
        </w:rPr>
        <w:t>u</w:t>
      </w:r>
      <w:r w:rsidR="00845322" w:rsidRPr="00891EFE">
        <w:rPr>
          <w:rFonts w:ascii="Arial" w:hAnsi="Arial" w:cs="Arial"/>
          <w:sz w:val="20"/>
          <w:szCs w:val="20"/>
        </w:rPr>
        <w:t>sando una metodología estándar basad</w:t>
      </w:r>
      <w:r w:rsidR="00282FA4" w:rsidRPr="00891EFE">
        <w:rPr>
          <w:rFonts w:ascii="Arial" w:hAnsi="Arial" w:cs="Arial"/>
          <w:sz w:val="20"/>
          <w:szCs w:val="20"/>
        </w:rPr>
        <w:t>a</w:t>
      </w:r>
      <w:r w:rsidR="00845322" w:rsidRPr="00891EFE">
        <w:rPr>
          <w:rFonts w:ascii="Arial" w:hAnsi="Arial" w:cs="Arial"/>
          <w:sz w:val="20"/>
          <w:szCs w:val="20"/>
        </w:rPr>
        <w:t xml:space="preserve"> en umbrales de coste utilidad de $100.000 y $150.000 por AVAC respectivamente</w:t>
      </w:r>
      <w:r w:rsidR="00282FA4" w:rsidRPr="00891EFE">
        <w:rPr>
          <w:rFonts w:ascii="Arial" w:hAnsi="Arial" w:cs="Arial"/>
          <w:sz w:val="20"/>
          <w:szCs w:val="20"/>
          <w:vertAlign w:val="superscript"/>
        </w:rPr>
        <w:fldChar w:fldCharType="begin"/>
      </w:r>
      <w:r w:rsidR="00282FA4" w:rsidRPr="00891EFE">
        <w:rPr>
          <w:rFonts w:ascii="Arial" w:hAnsi="Arial" w:cs="Arial"/>
          <w:sz w:val="20"/>
          <w:szCs w:val="20"/>
          <w:vertAlign w:val="superscript"/>
        </w:rPr>
        <w:instrText xml:space="preserve"> NOTEREF _Ref52799698 \h  \* MERGEFORMAT </w:instrText>
      </w:r>
      <w:r w:rsidR="00282FA4" w:rsidRPr="00891EFE">
        <w:rPr>
          <w:rFonts w:ascii="Arial" w:hAnsi="Arial" w:cs="Arial"/>
          <w:sz w:val="20"/>
          <w:szCs w:val="20"/>
          <w:vertAlign w:val="superscript"/>
        </w:rPr>
      </w:r>
      <w:r w:rsidR="00282FA4" w:rsidRPr="00891EFE">
        <w:rPr>
          <w:rFonts w:ascii="Arial" w:hAnsi="Arial" w:cs="Arial"/>
          <w:sz w:val="20"/>
          <w:szCs w:val="20"/>
          <w:vertAlign w:val="superscript"/>
        </w:rPr>
        <w:fldChar w:fldCharType="separate"/>
      </w:r>
      <w:r w:rsidR="00E277F2">
        <w:rPr>
          <w:rFonts w:ascii="Arial" w:hAnsi="Arial" w:cs="Arial"/>
          <w:sz w:val="20"/>
          <w:szCs w:val="20"/>
          <w:vertAlign w:val="superscript"/>
        </w:rPr>
        <w:t>26</w:t>
      </w:r>
      <w:r w:rsidR="00282FA4" w:rsidRPr="00891EFE">
        <w:rPr>
          <w:rFonts w:ascii="Arial" w:hAnsi="Arial" w:cs="Arial"/>
          <w:sz w:val="20"/>
          <w:szCs w:val="20"/>
          <w:vertAlign w:val="superscript"/>
        </w:rPr>
        <w:fldChar w:fldCharType="end"/>
      </w:r>
      <w:r w:rsidR="00282FA4" w:rsidRPr="00891EFE">
        <w:rPr>
          <w:rStyle w:val="Refdenotaalfinal"/>
          <w:rFonts w:ascii="Arial" w:hAnsi="Arial" w:cs="Arial"/>
          <w:sz w:val="20"/>
          <w:szCs w:val="20"/>
        </w:rPr>
        <w:t>,</w:t>
      </w:r>
      <w:r w:rsidR="00282FA4" w:rsidRPr="00891EFE">
        <w:rPr>
          <w:rStyle w:val="Refdenotaalfinal"/>
          <w:rFonts w:ascii="Arial" w:hAnsi="Arial" w:cs="Arial"/>
          <w:sz w:val="20"/>
          <w:szCs w:val="20"/>
        </w:rPr>
        <w:endnoteReference w:id="59"/>
      </w:r>
      <w:r w:rsidR="00282FA4" w:rsidRPr="00891EFE">
        <w:rPr>
          <w:rFonts w:ascii="Arial" w:hAnsi="Arial" w:cs="Arial"/>
          <w:sz w:val="20"/>
          <w:szCs w:val="20"/>
          <w:vertAlign w:val="superscript"/>
        </w:rPr>
        <w:t>,</w:t>
      </w:r>
      <w:r w:rsidR="00282FA4" w:rsidRPr="00891EFE">
        <w:rPr>
          <w:rStyle w:val="Refdenotaalfinal"/>
          <w:rFonts w:ascii="Arial" w:hAnsi="Arial" w:cs="Arial"/>
          <w:sz w:val="20"/>
          <w:szCs w:val="20"/>
        </w:rPr>
        <w:endnoteReference w:id="60"/>
      </w:r>
      <w:r w:rsidR="002703D9" w:rsidRPr="00891EFE">
        <w:rPr>
          <w:rFonts w:ascii="Arial" w:hAnsi="Arial" w:cs="Arial"/>
          <w:sz w:val="20"/>
          <w:szCs w:val="20"/>
        </w:rPr>
        <w:t xml:space="preserve"> </w:t>
      </w:r>
      <w:r w:rsidR="00282FA4" w:rsidRPr="00891EFE">
        <w:rPr>
          <w:rFonts w:ascii="Arial" w:hAnsi="Arial" w:cs="Arial"/>
          <w:sz w:val="20"/>
          <w:szCs w:val="20"/>
        </w:rPr>
        <w:t xml:space="preserve">y </w:t>
      </w:r>
      <w:r w:rsidR="006A4022" w:rsidRPr="00891EFE">
        <w:rPr>
          <w:rFonts w:ascii="Arial" w:hAnsi="Arial" w:cs="Arial"/>
          <w:sz w:val="20"/>
          <w:szCs w:val="20"/>
        </w:rPr>
        <w:t xml:space="preserve">comparado con el mejor tratamiento posible </w:t>
      </w:r>
      <w:r w:rsidR="00282FA4" w:rsidRPr="00891EFE">
        <w:rPr>
          <w:rFonts w:ascii="Arial" w:hAnsi="Arial" w:cs="Arial"/>
          <w:sz w:val="20"/>
          <w:szCs w:val="20"/>
        </w:rPr>
        <w:t>en la</w:t>
      </w:r>
      <w:r w:rsidR="00845322" w:rsidRPr="00891EFE">
        <w:rPr>
          <w:rFonts w:ascii="Arial" w:hAnsi="Arial" w:cs="Arial"/>
          <w:sz w:val="20"/>
          <w:szCs w:val="20"/>
        </w:rPr>
        <w:t xml:space="preserve"> población de inicio infantil (Tipo I)</w:t>
      </w:r>
      <w:r w:rsidR="009E48DC" w:rsidRPr="00891EFE">
        <w:rPr>
          <w:rFonts w:ascii="Arial" w:hAnsi="Arial" w:cs="Arial"/>
          <w:sz w:val="20"/>
          <w:szCs w:val="20"/>
        </w:rPr>
        <w:t xml:space="preserve">, que </w:t>
      </w:r>
      <w:r w:rsidR="00845322" w:rsidRPr="00891EFE">
        <w:rPr>
          <w:rFonts w:ascii="Arial" w:hAnsi="Arial" w:cs="Arial"/>
          <w:sz w:val="20"/>
          <w:szCs w:val="20"/>
        </w:rPr>
        <w:t>no incluye bebés presintomáticos</w:t>
      </w:r>
      <w:r w:rsidR="00282FA4" w:rsidRPr="00891EFE">
        <w:rPr>
          <w:rStyle w:val="Refdenotaalfinal"/>
          <w:rFonts w:ascii="Arial" w:hAnsi="Arial" w:cs="Arial"/>
          <w:sz w:val="20"/>
          <w:szCs w:val="20"/>
        </w:rPr>
        <w:endnoteReference w:id="61"/>
      </w:r>
      <w:r w:rsidR="00E51EE2" w:rsidRPr="00891EFE">
        <w:rPr>
          <w:rFonts w:ascii="Arial" w:hAnsi="Arial" w:cs="Arial"/>
          <w:sz w:val="20"/>
          <w:szCs w:val="20"/>
        </w:rPr>
        <w:t xml:space="preserve">. </w:t>
      </w:r>
    </w:p>
    <w:p w14:paraId="558820D5" w14:textId="77777777" w:rsidR="00A01307" w:rsidRPr="00891EFE" w:rsidRDefault="00A01307" w:rsidP="00282FA4">
      <w:pPr>
        <w:jc w:val="both"/>
        <w:rPr>
          <w:rFonts w:ascii="Arial" w:hAnsi="Arial" w:cs="Arial"/>
          <w:sz w:val="20"/>
          <w:szCs w:val="20"/>
        </w:rPr>
      </w:pPr>
    </w:p>
    <w:p w14:paraId="4AE07764" w14:textId="59BA5528" w:rsidR="00A01307" w:rsidRPr="00891EFE" w:rsidRDefault="00C7723E" w:rsidP="00A01307">
      <w:pPr>
        <w:jc w:val="both"/>
        <w:rPr>
          <w:rFonts w:ascii="Arial" w:hAnsi="Arial" w:cs="Arial"/>
          <w:sz w:val="20"/>
          <w:szCs w:val="20"/>
        </w:rPr>
      </w:pPr>
      <w:r>
        <w:rPr>
          <w:rFonts w:ascii="Arial" w:hAnsi="Arial" w:cs="Arial"/>
          <w:sz w:val="20"/>
          <w:szCs w:val="20"/>
        </w:rPr>
        <w:lastRenderedPageBreak/>
        <w:t xml:space="preserve">El cálculo se realiza con la </w:t>
      </w:r>
      <w:r w:rsidR="00E51EE2" w:rsidRPr="00891EFE">
        <w:rPr>
          <w:rFonts w:ascii="Arial" w:hAnsi="Arial" w:cs="Arial"/>
          <w:sz w:val="20"/>
          <w:szCs w:val="20"/>
        </w:rPr>
        <w:t xml:space="preserve">comparación </w:t>
      </w:r>
      <w:r>
        <w:rPr>
          <w:rFonts w:ascii="Arial" w:hAnsi="Arial" w:cs="Arial"/>
          <w:sz w:val="20"/>
          <w:szCs w:val="20"/>
        </w:rPr>
        <w:t xml:space="preserve">frente al </w:t>
      </w:r>
      <w:r w:rsidR="00732ED1">
        <w:rPr>
          <w:rFonts w:ascii="Arial" w:hAnsi="Arial" w:cs="Arial"/>
          <w:sz w:val="20"/>
          <w:szCs w:val="20"/>
        </w:rPr>
        <w:t xml:space="preserve"> </w:t>
      </w:r>
      <w:r w:rsidR="00E51EE2" w:rsidRPr="00891EFE">
        <w:rPr>
          <w:rFonts w:ascii="Arial" w:hAnsi="Arial" w:cs="Arial"/>
          <w:sz w:val="20"/>
          <w:szCs w:val="20"/>
        </w:rPr>
        <w:t xml:space="preserve">mejor tratamiento base posible y no </w:t>
      </w:r>
      <w:r>
        <w:rPr>
          <w:rFonts w:ascii="Arial" w:hAnsi="Arial" w:cs="Arial"/>
          <w:sz w:val="20"/>
          <w:szCs w:val="20"/>
        </w:rPr>
        <w:t xml:space="preserve">frente a </w:t>
      </w:r>
      <w:r w:rsidR="0013638D" w:rsidRPr="00891EFE">
        <w:rPr>
          <w:rFonts w:ascii="Arial" w:hAnsi="Arial" w:cs="Arial"/>
          <w:sz w:val="20"/>
          <w:szCs w:val="20"/>
        </w:rPr>
        <w:t>n</w:t>
      </w:r>
      <w:r w:rsidR="00E51EE2" w:rsidRPr="00891EFE">
        <w:rPr>
          <w:rFonts w:ascii="Arial" w:hAnsi="Arial" w:cs="Arial"/>
          <w:sz w:val="20"/>
          <w:szCs w:val="20"/>
        </w:rPr>
        <w:t>usi</w:t>
      </w:r>
      <w:r w:rsidR="00F5167C">
        <w:rPr>
          <w:rFonts w:ascii="Arial" w:hAnsi="Arial" w:cs="Arial"/>
          <w:sz w:val="20"/>
          <w:szCs w:val="20"/>
        </w:rPr>
        <w:t>ners</w:t>
      </w:r>
      <w:r w:rsidR="00E51EE2" w:rsidRPr="00891EFE">
        <w:rPr>
          <w:rFonts w:ascii="Arial" w:hAnsi="Arial" w:cs="Arial"/>
          <w:sz w:val="20"/>
          <w:szCs w:val="20"/>
        </w:rPr>
        <w:t>en</w:t>
      </w:r>
      <w:r w:rsidR="002204A4">
        <w:rPr>
          <w:rFonts w:ascii="Arial" w:hAnsi="Arial" w:cs="Arial"/>
          <w:sz w:val="20"/>
          <w:szCs w:val="20"/>
        </w:rPr>
        <w:t>,</w:t>
      </w:r>
      <w:r w:rsidR="00E51EE2" w:rsidRPr="00891EFE">
        <w:rPr>
          <w:rFonts w:ascii="Arial" w:hAnsi="Arial" w:cs="Arial"/>
          <w:sz w:val="20"/>
          <w:szCs w:val="20"/>
        </w:rPr>
        <w:t xml:space="preserve"> dado que </w:t>
      </w:r>
      <w:r w:rsidR="0013638D" w:rsidRPr="00891EFE">
        <w:rPr>
          <w:rFonts w:ascii="Arial" w:hAnsi="Arial" w:cs="Arial"/>
          <w:sz w:val="20"/>
          <w:szCs w:val="20"/>
        </w:rPr>
        <w:t>n</w:t>
      </w:r>
      <w:r w:rsidR="00E51EE2" w:rsidRPr="00891EFE">
        <w:rPr>
          <w:rFonts w:ascii="Arial" w:hAnsi="Arial" w:cs="Arial"/>
          <w:sz w:val="20"/>
          <w:szCs w:val="20"/>
        </w:rPr>
        <w:t>usi</w:t>
      </w:r>
      <w:r w:rsidR="00F5167C">
        <w:rPr>
          <w:rFonts w:ascii="Arial" w:hAnsi="Arial" w:cs="Arial"/>
          <w:sz w:val="20"/>
          <w:szCs w:val="20"/>
        </w:rPr>
        <w:t>nersen</w:t>
      </w:r>
      <w:r w:rsidR="00E51EE2" w:rsidRPr="00891EFE">
        <w:rPr>
          <w:rFonts w:ascii="Arial" w:hAnsi="Arial" w:cs="Arial"/>
          <w:sz w:val="20"/>
          <w:szCs w:val="20"/>
        </w:rPr>
        <w:t xml:space="preserve"> ya se comercializó a precios extremadamente elevados</w:t>
      </w:r>
      <w:r>
        <w:rPr>
          <w:rFonts w:ascii="Arial" w:hAnsi="Arial" w:cs="Arial"/>
          <w:sz w:val="20"/>
          <w:szCs w:val="20"/>
        </w:rPr>
        <w:t xml:space="preserve"> no ajustados a los umbrales de RCEI habituales</w:t>
      </w:r>
      <w:r w:rsidR="00E51EE2" w:rsidRPr="00891EFE">
        <w:rPr>
          <w:rFonts w:ascii="Arial" w:hAnsi="Arial" w:cs="Arial"/>
          <w:sz w:val="20"/>
          <w:szCs w:val="20"/>
        </w:rPr>
        <w:t xml:space="preserve"> y ello </w:t>
      </w:r>
      <w:r w:rsidR="008B62F8" w:rsidRPr="00891EFE">
        <w:rPr>
          <w:rFonts w:ascii="Arial" w:hAnsi="Arial" w:cs="Arial"/>
          <w:sz w:val="20"/>
          <w:szCs w:val="20"/>
        </w:rPr>
        <w:t>impulsa</w:t>
      </w:r>
      <w:r>
        <w:rPr>
          <w:rFonts w:ascii="Arial" w:hAnsi="Arial" w:cs="Arial"/>
          <w:sz w:val="20"/>
          <w:szCs w:val="20"/>
        </w:rPr>
        <w:t xml:space="preserve">ría a </w:t>
      </w:r>
      <w:r w:rsidR="008B62F8" w:rsidRPr="00891EFE">
        <w:rPr>
          <w:rFonts w:ascii="Arial" w:hAnsi="Arial" w:cs="Arial"/>
          <w:sz w:val="20"/>
          <w:szCs w:val="20"/>
        </w:rPr>
        <w:t>precio</w:t>
      </w:r>
      <w:r>
        <w:rPr>
          <w:rFonts w:ascii="Arial" w:hAnsi="Arial" w:cs="Arial"/>
          <w:sz w:val="20"/>
          <w:szCs w:val="20"/>
        </w:rPr>
        <w:t>s</w:t>
      </w:r>
      <w:r w:rsidR="008B62F8" w:rsidRPr="00891EFE">
        <w:rPr>
          <w:rFonts w:ascii="Arial" w:hAnsi="Arial" w:cs="Arial"/>
          <w:sz w:val="20"/>
          <w:szCs w:val="20"/>
        </w:rPr>
        <w:t xml:space="preserve"> todavía mayores para Zolgensma</w:t>
      </w:r>
      <w:r w:rsidR="004A6359">
        <w:rPr>
          <w:rFonts w:ascii="Arial" w:hAnsi="Arial" w:cs="Arial"/>
          <w:sz w:val="20"/>
          <w:szCs w:val="20"/>
        </w:rPr>
        <w:t xml:space="preserve"> y a que ninguno de los dos tuviera precios ajustados a los RCEI habituales y</w:t>
      </w:r>
      <w:r w:rsidR="002204A4">
        <w:rPr>
          <w:rFonts w:ascii="Arial" w:hAnsi="Arial" w:cs="Arial"/>
          <w:sz w:val="20"/>
          <w:szCs w:val="20"/>
        </w:rPr>
        <w:t>,</w:t>
      </w:r>
      <w:r w:rsidR="004A6359">
        <w:rPr>
          <w:rFonts w:ascii="Arial" w:hAnsi="Arial" w:cs="Arial"/>
          <w:sz w:val="20"/>
          <w:szCs w:val="20"/>
        </w:rPr>
        <w:t xml:space="preserve"> por tanto</w:t>
      </w:r>
      <w:r w:rsidR="002204A4">
        <w:rPr>
          <w:rFonts w:ascii="Arial" w:hAnsi="Arial" w:cs="Arial"/>
          <w:sz w:val="20"/>
          <w:szCs w:val="20"/>
        </w:rPr>
        <w:t>,</w:t>
      </w:r>
      <w:r w:rsidR="004A6359">
        <w:rPr>
          <w:rFonts w:ascii="Arial" w:hAnsi="Arial" w:cs="Arial"/>
          <w:sz w:val="20"/>
          <w:szCs w:val="20"/>
        </w:rPr>
        <w:t xml:space="preserve"> que ninguno de los dos fuera costo-efectivo frente a la mejor terapia de soporte</w:t>
      </w:r>
      <w:r w:rsidR="00E51EE2" w:rsidRPr="00891EFE">
        <w:rPr>
          <w:rFonts w:ascii="Arial" w:hAnsi="Arial" w:cs="Arial"/>
          <w:sz w:val="20"/>
          <w:szCs w:val="20"/>
        </w:rPr>
        <w:t xml:space="preserve">. </w:t>
      </w:r>
      <w:r w:rsidR="00A01307" w:rsidRPr="00891EFE">
        <w:rPr>
          <w:rFonts w:ascii="Arial" w:hAnsi="Arial" w:cs="Arial"/>
          <w:sz w:val="20"/>
          <w:szCs w:val="20"/>
        </w:rPr>
        <w:t xml:space="preserve">Ver tabla 6.1 del informe ICER en la que para </w:t>
      </w:r>
      <w:r w:rsidR="00F5167C">
        <w:rPr>
          <w:rFonts w:ascii="Arial" w:hAnsi="Arial" w:cs="Arial"/>
          <w:sz w:val="20"/>
          <w:szCs w:val="20"/>
        </w:rPr>
        <w:t>nusinersen</w:t>
      </w:r>
      <w:r w:rsidR="00A01307" w:rsidRPr="00891EFE">
        <w:rPr>
          <w:rFonts w:ascii="Arial" w:hAnsi="Arial" w:cs="Arial"/>
          <w:sz w:val="20"/>
          <w:szCs w:val="20"/>
        </w:rPr>
        <w:t xml:space="preserve"> se calcula un precio de 36.400 $ a partir del segundo año, con el umbral de 100.000 $/AVAC. </w:t>
      </w:r>
    </w:p>
    <w:p w14:paraId="2363D2EF" w14:textId="6C24626A" w:rsidR="00282FA4" w:rsidRPr="00891EFE" w:rsidRDefault="00282FA4" w:rsidP="00282FA4">
      <w:pPr>
        <w:jc w:val="both"/>
        <w:rPr>
          <w:rFonts w:ascii="Arial" w:hAnsi="Arial" w:cs="Arial"/>
          <w:sz w:val="20"/>
          <w:szCs w:val="20"/>
        </w:rPr>
      </w:pPr>
    </w:p>
    <w:p w14:paraId="30DD931F" w14:textId="1A368C40" w:rsidR="00845322" w:rsidRPr="00891EFE" w:rsidRDefault="00845322" w:rsidP="00706D1B">
      <w:pPr>
        <w:rPr>
          <w:rFonts w:ascii="Arial" w:hAnsi="Arial" w:cs="Arial"/>
          <w:b/>
          <w:sz w:val="20"/>
          <w:szCs w:val="20"/>
        </w:rPr>
      </w:pPr>
      <w:r w:rsidRPr="00891EFE">
        <w:rPr>
          <w:rFonts w:ascii="Arial" w:hAnsi="Arial" w:cs="Arial"/>
          <w:noProof/>
          <w:sz w:val="20"/>
          <w:szCs w:val="20"/>
        </w:rPr>
        <w:drawing>
          <wp:inline distT="0" distB="0" distL="0" distR="0" wp14:anchorId="39AF3F87" wp14:editId="1324F470">
            <wp:extent cx="5547995" cy="207518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7995" cy="2075180"/>
                    </a:xfrm>
                    <a:prstGeom prst="rect">
                      <a:avLst/>
                    </a:prstGeom>
                    <a:noFill/>
                    <a:ln>
                      <a:noFill/>
                    </a:ln>
                  </pic:spPr>
                </pic:pic>
              </a:graphicData>
            </a:graphic>
          </wp:inline>
        </w:drawing>
      </w:r>
    </w:p>
    <w:p w14:paraId="52A7B4C1" w14:textId="77777777" w:rsidR="00A01307" w:rsidRPr="00891EFE" w:rsidRDefault="00A01307" w:rsidP="00A01307">
      <w:pPr>
        <w:jc w:val="both"/>
        <w:rPr>
          <w:rFonts w:ascii="Arial" w:hAnsi="Arial" w:cs="Arial"/>
          <w:sz w:val="20"/>
          <w:szCs w:val="20"/>
        </w:rPr>
      </w:pPr>
    </w:p>
    <w:p w14:paraId="701C8323" w14:textId="5C61CA01" w:rsidR="00A01307" w:rsidRPr="00891EFE" w:rsidRDefault="00A01307" w:rsidP="00A01307">
      <w:pPr>
        <w:jc w:val="both"/>
        <w:rPr>
          <w:rFonts w:ascii="Arial" w:hAnsi="Arial" w:cs="Arial"/>
          <w:sz w:val="20"/>
          <w:szCs w:val="20"/>
        </w:rPr>
      </w:pPr>
      <w:r w:rsidRPr="00891EFE">
        <w:rPr>
          <w:rFonts w:ascii="Arial" w:hAnsi="Arial" w:cs="Arial"/>
          <w:sz w:val="20"/>
          <w:szCs w:val="20"/>
        </w:rPr>
        <w:t>Adicionalmente si se compara Zolgensma</w:t>
      </w:r>
      <w:r w:rsidRPr="00F168C5">
        <w:rPr>
          <w:rFonts w:ascii="Arial" w:hAnsi="Arial" w:cs="Arial"/>
          <w:sz w:val="20"/>
          <w:szCs w:val="20"/>
          <w:vertAlign w:val="superscript"/>
        </w:rPr>
        <w:t>®</w:t>
      </w:r>
      <w:r w:rsidRPr="00891EFE">
        <w:rPr>
          <w:rFonts w:ascii="Arial" w:hAnsi="Arial" w:cs="Arial"/>
          <w:sz w:val="20"/>
          <w:szCs w:val="20"/>
        </w:rPr>
        <w:t xml:space="preserve"> al precio de adquisición de 2.000.000 $ con l</w:t>
      </w:r>
      <w:r w:rsidR="00E228BE" w:rsidRPr="00891EFE">
        <w:rPr>
          <w:rFonts w:ascii="Arial" w:hAnsi="Arial" w:cs="Arial"/>
          <w:sz w:val="20"/>
          <w:szCs w:val="20"/>
        </w:rPr>
        <w:t>a</w:t>
      </w:r>
      <w:r w:rsidRPr="00891EFE">
        <w:rPr>
          <w:rFonts w:ascii="Arial" w:hAnsi="Arial" w:cs="Arial"/>
          <w:sz w:val="20"/>
          <w:szCs w:val="20"/>
        </w:rPr>
        <w:t xml:space="preserve"> mejor </w:t>
      </w:r>
      <w:r w:rsidR="00E228BE" w:rsidRPr="00891EFE">
        <w:rPr>
          <w:rFonts w:ascii="Arial" w:hAnsi="Arial" w:cs="Arial"/>
          <w:sz w:val="20"/>
          <w:szCs w:val="20"/>
        </w:rPr>
        <w:t>terapia de soporte</w:t>
      </w:r>
      <w:r w:rsidRPr="00891EFE">
        <w:rPr>
          <w:rFonts w:ascii="Arial" w:hAnsi="Arial" w:cs="Arial"/>
          <w:sz w:val="20"/>
          <w:szCs w:val="20"/>
        </w:rPr>
        <w:t>, la estimación de coste por AVAC ganado es de 243.000 $, muy por encima de los umbrales de 100.000 o 150.000 $</w:t>
      </w:r>
      <w:r w:rsidR="00F168C5">
        <w:rPr>
          <w:rFonts w:ascii="Arial" w:hAnsi="Arial" w:cs="Arial"/>
          <w:sz w:val="20"/>
          <w:szCs w:val="20"/>
        </w:rPr>
        <w:t xml:space="preserve">/AVAC </w:t>
      </w:r>
      <w:r w:rsidRPr="00891EFE">
        <w:rPr>
          <w:rFonts w:ascii="Arial" w:hAnsi="Arial" w:cs="Arial"/>
          <w:sz w:val="20"/>
          <w:szCs w:val="20"/>
        </w:rPr>
        <w:t>(</w:t>
      </w:r>
      <w:r w:rsidR="00F168C5">
        <w:rPr>
          <w:rFonts w:ascii="Arial" w:hAnsi="Arial" w:cs="Arial"/>
          <w:sz w:val="20"/>
          <w:szCs w:val="20"/>
        </w:rPr>
        <w:t>v</w:t>
      </w:r>
      <w:r w:rsidRPr="00891EFE">
        <w:rPr>
          <w:rFonts w:ascii="Arial" w:hAnsi="Arial" w:cs="Arial"/>
          <w:sz w:val="20"/>
          <w:szCs w:val="20"/>
        </w:rPr>
        <w:t xml:space="preserve">er tabla ES12).  </w:t>
      </w:r>
    </w:p>
    <w:p w14:paraId="70106B68" w14:textId="52335F3F" w:rsidR="00B922D4" w:rsidRPr="00891EFE" w:rsidRDefault="00B922D4" w:rsidP="00706D1B">
      <w:pPr>
        <w:rPr>
          <w:rFonts w:ascii="Arial" w:hAnsi="Arial" w:cs="Arial"/>
          <w:sz w:val="20"/>
          <w:szCs w:val="20"/>
        </w:rPr>
      </w:pPr>
      <w:r w:rsidRPr="00891EFE">
        <w:rPr>
          <w:rFonts w:ascii="Arial" w:hAnsi="Arial" w:cs="Arial"/>
          <w:noProof/>
          <w:sz w:val="20"/>
          <w:szCs w:val="20"/>
        </w:rPr>
        <w:drawing>
          <wp:inline distT="0" distB="0" distL="0" distR="0" wp14:anchorId="1BD5C347" wp14:editId="661AB152">
            <wp:extent cx="5543550"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1790700"/>
                    </a:xfrm>
                    <a:prstGeom prst="rect">
                      <a:avLst/>
                    </a:prstGeom>
                    <a:noFill/>
                    <a:ln>
                      <a:noFill/>
                    </a:ln>
                  </pic:spPr>
                </pic:pic>
              </a:graphicData>
            </a:graphic>
          </wp:inline>
        </w:drawing>
      </w:r>
    </w:p>
    <w:p w14:paraId="010BB198" w14:textId="2E8F6679" w:rsidR="00A01307" w:rsidRPr="00891EFE" w:rsidRDefault="00A01307" w:rsidP="00A01307">
      <w:pPr>
        <w:jc w:val="both"/>
        <w:rPr>
          <w:rFonts w:ascii="Arial" w:hAnsi="Arial" w:cs="Arial"/>
          <w:sz w:val="20"/>
          <w:szCs w:val="20"/>
        </w:rPr>
      </w:pPr>
      <w:r w:rsidRPr="00891EFE">
        <w:rPr>
          <w:rFonts w:ascii="Arial" w:hAnsi="Arial" w:cs="Arial"/>
          <w:sz w:val="20"/>
          <w:szCs w:val="20"/>
        </w:rPr>
        <w:t>Por ello si tomamos como referencia los umbrales de referenci</w:t>
      </w:r>
      <w:r w:rsidR="00F168C5">
        <w:rPr>
          <w:rFonts w:ascii="Arial" w:hAnsi="Arial" w:cs="Arial"/>
          <w:sz w:val="20"/>
          <w:szCs w:val="20"/>
        </w:rPr>
        <w:t>a propuestos por GENESIS</w:t>
      </w:r>
      <w:r w:rsidRPr="00891EFE">
        <w:rPr>
          <w:rFonts w:ascii="Arial" w:hAnsi="Arial" w:cs="Arial"/>
          <w:sz w:val="20"/>
          <w:szCs w:val="20"/>
        </w:rPr>
        <w:t xml:space="preserve"> de 21.000 € por AVAC ganado, con un valor superior de 30.000 € y en el caso de Eol de 50.000 € por AVAC ganado el precio debería ser muchísimo más bajo para no superar los umbrales.</w:t>
      </w:r>
    </w:p>
    <w:p w14:paraId="38A8D7BB" w14:textId="77777777" w:rsidR="00A01307" w:rsidRPr="00891EFE" w:rsidRDefault="00A01307" w:rsidP="00A01307">
      <w:pPr>
        <w:jc w:val="both"/>
        <w:rPr>
          <w:rFonts w:ascii="Arial" w:hAnsi="Arial" w:cs="Arial"/>
          <w:sz w:val="20"/>
          <w:szCs w:val="20"/>
        </w:rPr>
      </w:pPr>
      <w:r w:rsidRPr="00891EFE">
        <w:rPr>
          <w:rFonts w:ascii="Arial" w:hAnsi="Arial" w:cs="Arial"/>
          <w:sz w:val="20"/>
          <w:szCs w:val="20"/>
        </w:rPr>
        <w:t xml:space="preserve"> </w:t>
      </w:r>
    </w:p>
    <w:p w14:paraId="17AD9FEE" w14:textId="0A8733F2" w:rsidR="003B55D0" w:rsidRDefault="00A01307" w:rsidP="00A01307">
      <w:pPr>
        <w:jc w:val="both"/>
        <w:rPr>
          <w:rFonts w:ascii="Arial" w:hAnsi="Arial" w:cs="Arial"/>
          <w:sz w:val="20"/>
          <w:szCs w:val="20"/>
        </w:rPr>
      </w:pPr>
      <w:r w:rsidRPr="00891EFE">
        <w:rPr>
          <w:rFonts w:ascii="Arial" w:hAnsi="Arial" w:cs="Arial"/>
          <w:sz w:val="20"/>
          <w:szCs w:val="20"/>
        </w:rPr>
        <w:t>Si aplicamos el método G</w:t>
      </w:r>
      <w:r w:rsidR="00F168C5">
        <w:rPr>
          <w:rFonts w:ascii="Arial" w:hAnsi="Arial" w:cs="Arial"/>
          <w:sz w:val="20"/>
          <w:szCs w:val="20"/>
        </w:rPr>
        <w:t>ENESIS</w:t>
      </w:r>
      <w:r w:rsidRPr="00891EFE">
        <w:rPr>
          <w:rStyle w:val="Refdenotaalfinal"/>
          <w:rFonts w:ascii="Arial" w:hAnsi="Arial" w:cs="Arial"/>
          <w:sz w:val="20"/>
          <w:szCs w:val="20"/>
        </w:rPr>
        <w:endnoteReference w:id="62"/>
      </w:r>
      <w:r w:rsidRPr="00891EFE">
        <w:rPr>
          <w:rFonts w:ascii="Arial" w:hAnsi="Arial" w:cs="Arial"/>
          <w:sz w:val="20"/>
          <w:szCs w:val="20"/>
        </w:rPr>
        <w:t xml:space="preserve"> </w:t>
      </w:r>
      <w:r w:rsidR="00186435">
        <w:rPr>
          <w:rFonts w:ascii="Arial" w:hAnsi="Arial" w:cs="Arial"/>
          <w:sz w:val="20"/>
          <w:szCs w:val="20"/>
        </w:rPr>
        <w:t>y tomando</w:t>
      </w:r>
      <w:r w:rsidRPr="00891EFE">
        <w:rPr>
          <w:rFonts w:ascii="Arial" w:hAnsi="Arial" w:cs="Arial"/>
          <w:sz w:val="20"/>
          <w:szCs w:val="20"/>
        </w:rPr>
        <w:t xml:space="preserve"> </w:t>
      </w:r>
      <w:r w:rsidR="00186435">
        <w:rPr>
          <w:rFonts w:ascii="Arial" w:hAnsi="Arial" w:cs="Arial"/>
          <w:sz w:val="20"/>
          <w:szCs w:val="20"/>
        </w:rPr>
        <w:t>l</w:t>
      </w:r>
      <w:r w:rsidRPr="00891EFE">
        <w:rPr>
          <w:rFonts w:ascii="Arial" w:hAnsi="Arial" w:cs="Arial"/>
          <w:sz w:val="20"/>
          <w:szCs w:val="20"/>
        </w:rPr>
        <w:t>os costes sanitarios directos asociados (hospitalizaciones, atención médica, pag 66</w:t>
      </w:r>
      <w:r w:rsidR="00186435">
        <w:rPr>
          <w:rFonts w:ascii="Arial" w:hAnsi="Arial" w:cs="Arial"/>
          <w:sz w:val="20"/>
          <w:szCs w:val="20"/>
        </w:rPr>
        <w:t>)</w:t>
      </w:r>
      <w:r w:rsidRPr="00891EFE">
        <w:rPr>
          <w:rFonts w:ascii="Arial" w:hAnsi="Arial" w:cs="Arial"/>
          <w:sz w:val="20"/>
          <w:szCs w:val="20"/>
        </w:rPr>
        <w:t xml:space="preserve"> del informe ICER</w:t>
      </w:r>
      <w:r w:rsidR="00186435">
        <w:rPr>
          <w:rFonts w:ascii="Arial" w:hAnsi="Arial" w:cs="Arial"/>
          <w:sz w:val="20"/>
          <w:szCs w:val="20"/>
        </w:rPr>
        <w:t>,</w:t>
      </w:r>
      <w:r w:rsidRPr="00891EFE">
        <w:rPr>
          <w:rFonts w:ascii="Arial" w:hAnsi="Arial" w:cs="Arial"/>
          <w:sz w:val="20"/>
          <w:szCs w:val="20"/>
        </w:rPr>
        <w:t xml:space="preserve"> para el umbral por AVAC de 21.000 € resulta un coste por unidad con valores negativos, </w:t>
      </w:r>
      <w:r w:rsidR="00186435">
        <w:rPr>
          <w:rFonts w:ascii="Arial" w:hAnsi="Arial" w:cs="Arial"/>
          <w:sz w:val="20"/>
          <w:szCs w:val="20"/>
        </w:rPr>
        <w:t>como se puede observar en la siguiente tabla 7.5.1.4. El</w:t>
      </w:r>
      <w:r w:rsidRPr="00891EFE">
        <w:rPr>
          <w:rFonts w:ascii="Arial" w:hAnsi="Arial" w:cs="Arial"/>
          <w:sz w:val="20"/>
          <w:szCs w:val="20"/>
        </w:rPr>
        <w:t>lo indica que la opción Zolgensma</w:t>
      </w:r>
      <w:r w:rsidRPr="00891EFE">
        <w:rPr>
          <w:rFonts w:ascii="Arial" w:hAnsi="Arial" w:cs="Arial"/>
          <w:sz w:val="20"/>
          <w:szCs w:val="20"/>
          <w:vertAlign w:val="superscript"/>
        </w:rPr>
        <w:t>®</w:t>
      </w:r>
      <w:r w:rsidRPr="00891EFE">
        <w:rPr>
          <w:rFonts w:ascii="Arial" w:hAnsi="Arial" w:cs="Arial"/>
          <w:sz w:val="20"/>
          <w:szCs w:val="20"/>
        </w:rPr>
        <w:t xml:space="preserve"> </w:t>
      </w:r>
      <w:r w:rsidRPr="00891EFE">
        <w:rPr>
          <w:rFonts w:ascii="Arial" w:hAnsi="Arial" w:cs="Arial"/>
          <w:b/>
          <w:sz w:val="20"/>
          <w:szCs w:val="20"/>
        </w:rPr>
        <w:t xml:space="preserve">es dominada frente al mejor tratamiento </w:t>
      </w:r>
      <w:r w:rsidR="00186435">
        <w:rPr>
          <w:rFonts w:ascii="Arial" w:hAnsi="Arial" w:cs="Arial"/>
          <w:b/>
          <w:sz w:val="20"/>
          <w:szCs w:val="20"/>
        </w:rPr>
        <w:t>de soporte</w:t>
      </w:r>
      <w:r w:rsidRPr="00891EFE">
        <w:rPr>
          <w:rFonts w:ascii="Arial" w:hAnsi="Arial" w:cs="Arial"/>
          <w:b/>
          <w:sz w:val="20"/>
          <w:szCs w:val="20"/>
        </w:rPr>
        <w:t>.</w:t>
      </w:r>
      <w:r w:rsidRPr="00891EFE">
        <w:rPr>
          <w:rFonts w:ascii="Arial" w:hAnsi="Arial" w:cs="Arial"/>
          <w:sz w:val="20"/>
          <w:szCs w:val="20"/>
        </w:rPr>
        <w:t xml:space="preserve"> Lo mismo ocurre con un umbral</w:t>
      </w:r>
      <w:r w:rsidR="00F168C5">
        <w:rPr>
          <w:rFonts w:ascii="Arial" w:hAnsi="Arial" w:cs="Arial"/>
          <w:sz w:val="20"/>
          <w:szCs w:val="20"/>
        </w:rPr>
        <w:t xml:space="preserve"> de 50.000 € por AVAC ganado</w:t>
      </w:r>
      <w:r w:rsidR="00186435">
        <w:rPr>
          <w:rFonts w:ascii="Arial" w:hAnsi="Arial" w:cs="Arial"/>
          <w:sz w:val="20"/>
          <w:szCs w:val="20"/>
        </w:rPr>
        <w:t>. I</w:t>
      </w:r>
      <w:r w:rsidRPr="00891EFE">
        <w:rPr>
          <w:rFonts w:ascii="Arial" w:hAnsi="Arial" w:cs="Arial"/>
          <w:sz w:val="20"/>
          <w:szCs w:val="20"/>
        </w:rPr>
        <w:t xml:space="preserve">ndica que </w:t>
      </w:r>
      <w:r w:rsidR="00186435">
        <w:rPr>
          <w:rFonts w:ascii="Arial" w:hAnsi="Arial" w:cs="Arial"/>
          <w:sz w:val="20"/>
          <w:szCs w:val="20"/>
        </w:rPr>
        <w:t xml:space="preserve">ni aunque </w:t>
      </w:r>
      <w:r w:rsidRPr="00891EFE">
        <w:rPr>
          <w:rFonts w:ascii="Arial" w:hAnsi="Arial" w:cs="Arial"/>
          <w:sz w:val="20"/>
          <w:szCs w:val="20"/>
        </w:rPr>
        <w:t>Zolgensma</w:t>
      </w:r>
      <w:r w:rsidRPr="00891EFE">
        <w:rPr>
          <w:rFonts w:ascii="Arial" w:hAnsi="Arial" w:cs="Arial"/>
          <w:sz w:val="20"/>
          <w:szCs w:val="20"/>
          <w:vertAlign w:val="superscript"/>
        </w:rPr>
        <w:t>®</w:t>
      </w:r>
      <w:r w:rsidRPr="00891EFE">
        <w:rPr>
          <w:rFonts w:ascii="Arial" w:hAnsi="Arial" w:cs="Arial"/>
          <w:sz w:val="20"/>
          <w:szCs w:val="20"/>
        </w:rPr>
        <w:t xml:space="preserve"> </w:t>
      </w:r>
      <w:r w:rsidR="004A6359">
        <w:rPr>
          <w:rFonts w:ascii="Arial" w:hAnsi="Arial" w:cs="Arial"/>
          <w:sz w:val="20"/>
          <w:szCs w:val="20"/>
        </w:rPr>
        <w:t>t</w:t>
      </w:r>
      <w:r w:rsidR="00186435">
        <w:rPr>
          <w:rFonts w:ascii="Arial" w:hAnsi="Arial" w:cs="Arial"/>
          <w:sz w:val="20"/>
          <w:szCs w:val="20"/>
        </w:rPr>
        <w:t xml:space="preserve">uviera </w:t>
      </w:r>
      <w:r w:rsidR="004A6359">
        <w:rPr>
          <w:rFonts w:ascii="Arial" w:hAnsi="Arial" w:cs="Arial"/>
          <w:sz w:val="20"/>
          <w:szCs w:val="20"/>
        </w:rPr>
        <w:t xml:space="preserve">un coste </w:t>
      </w:r>
      <w:r w:rsidR="00186435">
        <w:rPr>
          <w:rFonts w:ascii="Arial" w:hAnsi="Arial" w:cs="Arial"/>
          <w:sz w:val="20"/>
          <w:szCs w:val="20"/>
        </w:rPr>
        <w:t xml:space="preserve">de </w:t>
      </w:r>
      <w:r w:rsidR="004A6359">
        <w:rPr>
          <w:rFonts w:ascii="Arial" w:hAnsi="Arial" w:cs="Arial"/>
          <w:sz w:val="20"/>
          <w:szCs w:val="20"/>
        </w:rPr>
        <w:t>0</w:t>
      </w:r>
      <w:r w:rsidR="002204A4">
        <w:rPr>
          <w:rFonts w:ascii="Arial" w:hAnsi="Arial" w:cs="Arial"/>
          <w:sz w:val="20"/>
          <w:szCs w:val="20"/>
        </w:rPr>
        <w:t xml:space="preserve"> </w:t>
      </w:r>
      <w:r w:rsidR="004A6359">
        <w:rPr>
          <w:rFonts w:ascii="Arial" w:hAnsi="Arial" w:cs="Arial"/>
          <w:sz w:val="20"/>
          <w:szCs w:val="20"/>
        </w:rPr>
        <w:t xml:space="preserve">€ </w:t>
      </w:r>
      <w:r w:rsidR="00186435">
        <w:rPr>
          <w:rFonts w:ascii="Arial" w:hAnsi="Arial" w:cs="Arial"/>
          <w:sz w:val="20"/>
          <w:szCs w:val="20"/>
        </w:rPr>
        <w:t xml:space="preserve">sería </w:t>
      </w:r>
      <w:r w:rsidR="004A6359">
        <w:rPr>
          <w:rFonts w:ascii="Arial" w:hAnsi="Arial" w:cs="Arial"/>
          <w:sz w:val="20"/>
          <w:szCs w:val="20"/>
        </w:rPr>
        <w:t>costo-efectivo</w:t>
      </w:r>
      <w:r w:rsidR="00186435">
        <w:rPr>
          <w:rFonts w:ascii="Arial" w:hAnsi="Arial" w:cs="Arial"/>
          <w:sz w:val="20"/>
          <w:szCs w:val="20"/>
        </w:rPr>
        <w:t xml:space="preserve"> a esos umbrales</w:t>
      </w:r>
      <w:r w:rsidR="002204A4">
        <w:rPr>
          <w:rFonts w:ascii="Arial" w:hAnsi="Arial" w:cs="Arial"/>
          <w:sz w:val="20"/>
          <w:szCs w:val="20"/>
        </w:rPr>
        <w:t>.</w:t>
      </w:r>
      <w:r w:rsidR="004A6359">
        <w:rPr>
          <w:rFonts w:ascii="Arial" w:hAnsi="Arial" w:cs="Arial"/>
          <w:sz w:val="20"/>
          <w:szCs w:val="20"/>
        </w:rPr>
        <w:t xml:space="preserve"> </w:t>
      </w:r>
      <w:r w:rsidR="002204A4">
        <w:rPr>
          <w:rFonts w:ascii="Arial" w:hAnsi="Arial" w:cs="Arial"/>
          <w:sz w:val="20"/>
          <w:szCs w:val="20"/>
        </w:rPr>
        <w:t>E</w:t>
      </w:r>
      <w:r w:rsidR="004A6359">
        <w:rPr>
          <w:rFonts w:ascii="Arial" w:hAnsi="Arial" w:cs="Arial"/>
          <w:sz w:val="20"/>
          <w:szCs w:val="20"/>
        </w:rPr>
        <w:t>llo se debe a que existe</w:t>
      </w:r>
      <w:r w:rsidR="004212EC">
        <w:rPr>
          <w:rFonts w:ascii="Arial" w:hAnsi="Arial" w:cs="Arial"/>
          <w:sz w:val="20"/>
          <w:szCs w:val="20"/>
        </w:rPr>
        <w:t>n</w:t>
      </w:r>
      <w:r w:rsidR="004A6359">
        <w:rPr>
          <w:rFonts w:ascii="Arial" w:hAnsi="Arial" w:cs="Arial"/>
          <w:sz w:val="20"/>
          <w:szCs w:val="20"/>
        </w:rPr>
        <w:t xml:space="preserve"> un</w:t>
      </w:r>
      <w:r w:rsidR="004212EC">
        <w:rPr>
          <w:rFonts w:ascii="Arial" w:hAnsi="Arial" w:cs="Arial"/>
          <w:sz w:val="20"/>
          <w:szCs w:val="20"/>
        </w:rPr>
        <w:t>os</w:t>
      </w:r>
      <w:r w:rsidR="004A6359">
        <w:rPr>
          <w:rFonts w:ascii="Arial" w:hAnsi="Arial" w:cs="Arial"/>
          <w:sz w:val="20"/>
          <w:szCs w:val="20"/>
        </w:rPr>
        <w:t xml:space="preserve"> coste</w:t>
      </w:r>
      <w:r w:rsidR="004212EC">
        <w:rPr>
          <w:rFonts w:ascii="Arial" w:hAnsi="Arial" w:cs="Arial"/>
          <w:sz w:val="20"/>
          <w:szCs w:val="20"/>
        </w:rPr>
        <w:t>s</w:t>
      </w:r>
      <w:r w:rsidR="004A6359">
        <w:rPr>
          <w:rFonts w:ascii="Arial" w:hAnsi="Arial" w:cs="Arial"/>
          <w:sz w:val="20"/>
          <w:szCs w:val="20"/>
        </w:rPr>
        <w:t xml:space="preserve"> asociado</w:t>
      </w:r>
      <w:r w:rsidR="004212EC">
        <w:rPr>
          <w:rFonts w:ascii="Arial" w:hAnsi="Arial" w:cs="Arial"/>
          <w:sz w:val="20"/>
          <w:szCs w:val="20"/>
        </w:rPr>
        <w:t>s</w:t>
      </w:r>
      <w:r w:rsidR="004A6359">
        <w:rPr>
          <w:rFonts w:ascii="Arial" w:hAnsi="Arial" w:cs="Arial"/>
          <w:sz w:val="20"/>
          <w:szCs w:val="20"/>
        </w:rPr>
        <w:t xml:space="preserve"> (diferentes al fármaco) elevado</w:t>
      </w:r>
      <w:r w:rsidR="004212EC">
        <w:rPr>
          <w:rFonts w:ascii="Arial" w:hAnsi="Arial" w:cs="Arial"/>
          <w:sz w:val="20"/>
          <w:szCs w:val="20"/>
        </w:rPr>
        <w:t>s</w:t>
      </w:r>
      <w:r w:rsidR="00186435">
        <w:rPr>
          <w:rFonts w:ascii="Arial" w:hAnsi="Arial" w:cs="Arial"/>
          <w:sz w:val="20"/>
          <w:szCs w:val="20"/>
        </w:rPr>
        <w:t>.</w:t>
      </w:r>
      <w:r w:rsidR="004A6359">
        <w:rPr>
          <w:rFonts w:ascii="Arial" w:hAnsi="Arial" w:cs="Arial"/>
          <w:sz w:val="20"/>
          <w:szCs w:val="20"/>
        </w:rPr>
        <w:t xml:space="preserve"> </w:t>
      </w:r>
    </w:p>
    <w:p w14:paraId="345878BC" w14:textId="77777777" w:rsidR="003B55D0" w:rsidRDefault="003B55D0" w:rsidP="00A01307">
      <w:pPr>
        <w:jc w:val="both"/>
        <w:rPr>
          <w:rFonts w:ascii="Arial" w:hAnsi="Arial" w:cs="Arial"/>
          <w:sz w:val="20"/>
          <w:szCs w:val="20"/>
        </w:rPr>
      </w:pPr>
    </w:p>
    <w:p w14:paraId="215ED079" w14:textId="77777777" w:rsidR="00EB1FB0" w:rsidRDefault="00186435" w:rsidP="00A01307">
      <w:pPr>
        <w:jc w:val="both"/>
        <w:rPr>
          <w:rFonts w:ascii="Arial" w:hAnsi="Arial" w:cs="Arial"/>
          <w:sz w:val="20"/>
          <w:szCs w:val="20"/>
        </w:rPr>
      </w:pPr>
      <w:r w:rsidRPr="00891EFE">
        <w:rPr>
          <w:rFonts w:ascii="Arial" w:hAnsi="Arial" w:cs="Arial"/>
          <w:sz w:val="20"/>
          <w:szCs w:val="20"/>
        </w:rPr>
        <w:t>Para una estimación precisa, los datos de la tabla 7.5.1.4 de costes directos sanitarios diferentes al del medicamento del informe ICER, deberían contrastarse con los costes directos de la atención sanitaria en nuestro ámbito</w:t>
      </w:r>
      <w:r w:rsidR="00FD03DD" w:rsidRPr="00FD03DD">
        <w:rPr>
          <w:rFonts w:ascii="Arial" w:hAnsi="Arial" w:cs="Arial"/>
          <w:sz w:val="20"/>
          <w:szCs w:val="20"/>
          <w:vertAlign w:val="superscript"/>
        </w:rPr>
        <w:fldChar w:fldCharType="begin"/>
      </w:r>
      <w:r w:rsidR="00FD03DD" w:rsidRPr="00FD03DD">
        <w:rPr>
          <w:rFonts w:ascii="Arial" w:hAnsi="Arial" w:cs="Arial"/>
          <w:sz w:val="20"/>
          <w:szCs w:val="20"/>
          <w:vertAlign w:val="superscript"/>
        </w:rPr>
        <w:instrText xml:space="preserve"> NOTEREF _Ref58499937 \h </w:instrText>
      </w:r>
      <w:r w:rsidR="00FD03DD">
        <w:rPr>
          <w:rFonts w:ascii="Arial" w:hAnsi="Arial" w:cs="Arial"/>
          <w:sz w:val="20"/>
          <w:szCs w:val="20"/>
          <w:vertAlign w:val="superscript"/>
        </w:rPr>
        <w:instrText xml:space="preserve"> \* MERGEFORMAT </w:instrText>
      </w:r>
      <w:r w:rsidR="00FD03DD" w:rsidRPr="00FD03DD">
        <w:rPr>
          <w:rFonts w:ascii="Arial" w:hAnsi="Arial" w:cs="Arial"/>
          <w:sz w:val="20"/>
          <w:szCs w:val="20"/>
          <w:vertAlign w:val="superscript"/>
        </w:rPr>
      </w:r>
      <w:r w:rsidR="00FD03DD" w:rsidRPr="00FD03DD">
        <w:rPr>
          <w:rFonts w:ascii="Arial" w:hAnsi="Arial" w:cs="Arial"/>
          <w:sz w:val="20"/>
          <w:szCs w:val="20"/>
          <w:vertAlign w:val="superscript"/>
        </w:rPr>
        <w:fldChar w:fldCharType="separate"/>
      </w:r>
      <w:r w:rsidR="00E277F2">
        <w:rPr>
          <w:rFonts w:ascii="Arial" w:hAnsi="Arial" w:cs="Arial"/>
          <w:sz w:val="20"/>
          <w:szCs w:val="20"/>
          <w:vertAlign w:val="superscript"/>
        </w:rPr>
        <w:t>6</w:t>
      </w:r>
      <w:r w:rsidR="00FD03DD" w:rsidRPr="00FD03DD">
        <w:rPr>
          <w:rFonts w:ascii="Arial" w:hAnsi="Arial" w:cs="Arial"/>
          <w:sz w:val="20"/>
          <w:szCs w:val="20"/>
          <w:vertAlign w:val="superscript"/>
        </w:rPr>
        <w:fldChar w:fldCharType="end"/>
      </w:r>
      <w:r w:rsidRPr="00891EFE">
        <w:rPr>
          <w:rFonts w:ascii="Arial" w:hAnsi="Arial" w:cs="Arial"/>
          <w:sz w:val="20"/>
          <w:szCs w:val="20"/>
        </w:rPr>
        <w:t xml:space="preserve"> </w:t>
      </w:r>
      <w:r>
        <w:rPr>
          <w:rFonts w:ascii="Arial" w:hAnsi="Arial" w:cs="Arial"/>
          <w:sz w:val="20"/>
          <w:szCs w:val="20"/>
        </w:rPr>
        <w:t>y considerarse otros costes no incluidos en el informe ICER.</w:t>
      </w:r>
      <w:r w:rsidRPr="00891EFE">
        <w:rPr>
          <w:rFonts w:ascii="Arial" w:hAnsi="Arial" w:cs="Arial"/>
          <w:sz w:val="20"/>
          <w:szCs w:val="20"/>
        </w:rPr>
        <w:t xml:space="preserve"> </w:t>
      </w:r>
    </w:p>
    <w:p w14:paraId="703FF355" w14:textId="77777777" w:rsidR="00EB1FB0" w:rsidRDefault="00EB1FB0" w:rsidP="00A01307">
      <w:pPr>
        <w:jc w:val="both"/>
        <w:rPr>
          <w:rFonts w:ascii="Arial" w:hAnsi="Arial" w:cs="Arial"/>
          <w:sz w:val="20"/>
          <w:szCs w:val="20"/>
        </w:rPr>
      </w:pPr>
    </w:p>
    <w:p w14:paraId="2FC5C3F8" w14:textId="4D708234" w:rsidR="001E1A94" w:rsidRDefault="004212EC" w:rsidP="00A01307">
      <w:pPr>
        <w:jc w:val="both"/>
        <w:rPr>
          <w:rFonts w:ascii="Arial" w:hAnsi="Arial" w:cs="Arial"/>
          <w:sz w:val="20"/>
          <w:szCs w:val="20"/>
        </w:rPr>
      </w:pPr>
      <w:r>
        <w:rPr>
          <w:rFonts w:ascii="Arial" w:hAnsi="Arial" w:cs="Arial"/>
          <w:sz w:val="20"/>
          <w:szCs w:val="20"/>
        </w:rPr>
        <w:t>A pesar de estas limitaciones,</w:t>
      </w:r>
      <w:r w:rsidR="00186435" w:rsidRPr="00891EFE">
        <w:rPr>
          <w:rFonts w:ascii="Arial" w:hAnsi="Arial" w:cs="Arial"/>
          <w:sz w:val="20"/>
          <w:szCs w:val="20"/>
        </w:rPr>
        <w:t xml:space="preserve"> en la tabla se puede observar que si se toma como referencia el umbral de 100.000 €/AVAC, el precio de adquisición de Zolgensma</w:t>
      </w:r>
      <w:r w:rsidR="00186435" w:rsidRPr="00575E3E">
        <w:rPr>
          <w:rFonts w:ascii="Arial" w:hAnsi="Arial" w:cs="Arial"/>
          <w:sz w:val="20"/>
          <w:szCs w:val="20"/>
          <w:vertAlign w:val="superscript"/>
        </w:rPr>
        <w:t>®</w:t>
      </w:r>
      <w:r w:rsidR="00186435" w:rsidRPr="00891EFE">
        <w:rPr>
          <w:rFonts w:ascii="Arial" w:hAnsi="Arial" w:cs="Arial"/>
          <w:sz w:val="20"/>
          <w:szCs w:val="20"/>
        </w:rPr>
        <w:t xml:space="preserve"> para no superarlo debería ser menor de </w:t>
      </w:r>
      <w:r w:rsidR="00186435" w:rsidRPr="00891EFE">
        <w:rPr>
          <w:rFonts w:ascii="Arial" w:hAnsi="Arial" w:cs="Arial"/>
          <w:b/>
          <w:sz w:val="20"/>
          <w:szCs w:val="20"/>
        </w:rPr>
        <w:t xml:space="preserve">245.494 € por unidad, </w:t>
      </w:r>
      <w:r w:rsidR="00186435" w:rsidRPr="00891EFE">
        <w:rPr>
          <w:rFonts w:ascii="Arial" w:hAnsi="Arial" w:cs="Arial"/>
          <w:sz w:val="20"/>
          <w:szCs w:val="20"/>
        </w:rPr>
        <w:t>cantidad muy inferior a 1.785.000 € (2.100.000 $).</w:t>
      </w:r>
    </w:p>
    <w:p w14:paraId="2D925408" w14:textId="77777777" w:rsidR="00186435" w:rsidRDefault="00186435" w:rsidP="00A01307">
      <w:pPr>
        <w:jc w:val="both"/>
        <w:rPr>
          <w:rFonts w:ascii="Arial" w:hAnsi="Arial" w:cs="Arial"/>
          <w:sz w:val="20"/>
          <w:szCs w:val="20"/>
        </w:rPr>
      </w:pPr>
    </w:p>
    <w:p w14:paraId="00FC60AD" w14:textId="71ED09C1" w:rsidR="00186435" w:rsidRDefault="0075093E" w:rsidP="00EB1FB0">
      <w:pPr>
        <w:ind w:left="-709"/>
        <w:rPr>
          <w:rFonts w:ascii="Arial" w:hAnsi="Arial" w:cs="Arial"/>
          <w:sz w:val="20"/>
          <w:szCs w:val="20"/>
        </w:rPr>
      </w:pPr>
      <w:r w:rsidRPr="0075093E">
        <w:rPr>
          <w:noProof/>
        </w:rPr>
        <w:lastRenderedPageBreak/>
        <w:drawing>
          <wp:inline distT="0" distB="0" distL="0" distR="0" wp14:anchorId="4D0FC847" wp14:editId="619DCDF9">
            <wp:extent cx="6377241" cy="4224759"/>
            <wp:effectExtent l="0" t="0" r="508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20171"/>
                    <a:stretch/>
                  </pic:blipFill>
                  <pic:spPr bwMode="auto">
                    <a:xfrm>
                      <a:off x="0" y="0"/>
                      <a:ext cx="6385104" cy="42299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drawing>
          <wp:inline distT="0" distB="0" distL="0" distR="0" wp14:anchorId="02A5A0DD" wp14:editId="7CA0014D">
            <wp:extent cx="6377651" cy="1073608"/>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79714"/>
                    <a:stretch/>
                  </pic:blipFill>
                  <pic:spPr bwMode="auto">
                    <a:xfrm>
                      <a:off x="0" y="0"/>
                      <a:ext cx="6398112" cy="1077052"/>
                    </a:xfrm>
                    <a:prstGeom prst="rect">
                      <a:avLst/>
                    </a:prstGeom>
                    <a:noFill/>
                    <a:ln>
                      <a:noFill/>
                    </a:ln>
                    <a:extLst>
                      <a:ext uri="{53640926-AAD7-44D8-BBD7-CCE9431645EC}">
                        <a14:shadowObscured xmlns:a14="http://schemas.microsoft.com/office/drawing/2010/main"/>
                      </a:ext>
                    </a:extLst>
                  </pic:spPr>
                </pic:pic>
              </a:graphicData>
            </a:graphic>
          </wp:inline>
        </w:drawing>
      </w:r>
    </w:p>
    <w:p w14:paraId="7A8B9F53" w14:textId="388127DE" w:rsidR="00EC7274" w:rsidRDefault="00EC7274" w:rsidP="00A01307">
      <w:pPr>
        <w:jc w:val="both"/>
        <w:rPr>
          <w:rFonts w:ascii="Arial" w:hAnsi="Arial" w:cs="Arial"/>
          <w:sz w:val="20"/>
          <w:szCs w:val="20"/>
        </w:rPr>
      </w:pPr>
    </w:p>
    <w:p w14:paraId="542EC768" w14:textId="77777777" w:rsidR="006D5118" w:rsidRPr="00891EFE" w:rsidRDefault="006D5118" w:rsidP="001F6887">
      <w:pPr>
        <w:jc w:val="both"/>
        <w:rPr>
          <w:rFonts w:ascii="Arial" w:hAnsi="Arial" w:cs="Arial"/>
          <w:sz w:val="20"/>
          <w:szCs w:val="20"/>
        </w:rPr>
      </w:pPr>
    </w:p>
    <w:tbl>
      <w:tblPr>
        <w:tblW w:w="864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640"/>
      </w:tblGrid>
      <w:tr w:rsidR="0060785D" w:rsidRPr="00891EFE" w14:paraId="080944FB" w14:textId="77777777" w:rsidTr="0060785D">
        <w:trPr>
          <w:trHeight w:val="228"/>
        </w:trPr>
        <w:tc>
          <w:tcPr>
            <w:tcW w:w="8637" w:type="dxa"/>
            <w:tcBorders>
              <w:top w:val="single" w:sz="4" w:space="0" w:color="auto"/>
              <w:left w:val="single" w:sz="4" w:space="0" w:color="auto"/>
              <w:bottom w:val="single" w:sz="4" w:space="0" w:color="auto"/>
              <w:right w:val="single" w:sz="4" w:space="0" w:color="auto"/>
            </w:tcBorders>
            <w:shd w:val="clear" w:color="auto" w:fill="B3B3B3"/>
            <w:hideMark/>
          </w:tcPr>
          <w:p w14:paraId="5661FBE4" w14:textId="77777777" w:rsidR="0060785D" w:rsidRPr="00891EFE" w:rsidRDefault="0060785D" w:rsidP="001F6887">
            <w:pPr>
              <w:pStyle w:val="Ttulo1"/>
              <w:shd w:val="clear" w:color="auto" w:fill="A6A6A6"/>
              <w:rPr>
                <w:rFonts w:ascii="Arial" w:hAnsi="Arial" w:cs="Arial"/>
                <w:kern w:val="0"/>
                <w:sz w:val="20"/>
                <w:szCs w:val="20"/>
              </w:rPr>
            </w:pPr>
            <w:bookmarkStart w:id="106" w:name="_Toc348931394"/>
            <w:bookmarkStart w:id="107" w:name="_Toc344399663"/>
            <w:r w:rsidRPr="00891EFE">
              <w:rPr>
                <w:rFonts w:ascii="Arial" w:hAnsi="Arial" w:cs="Arial"/>
                <w:kern w:val="0"/>
                <w:sz w:val="20"/>
                <w:szCs w:val="20"/>
              </w:rPr>
              <w:t>8. EVALUACIÓN DE LA CONVENIENCIA.</w:t>
            </w:r>
            <w:bookmarkEnd w:id="106"/>
            <w:bookmarkEnd w:id="107"/>
            <w:r w:rsidRPr="00891EFE">
              <w:rPr>
                <w:rFonts w:ascii="Arial" w:hAnsi="Arial" w:cs="Arial"/>
                <w:kern w:val="0"/>
                <w:sz w:val="20"/>
                <w:szCs w:val="20"/>
              </w:rPr>
              <w:t xml:space="preserve"> </w:t>
            </w:r>
          </w:p>
        </w:tc>
      </w:tr>
    </w:tbl>
    <w:p w14:paraId="66A7FAEB" w14:textId="77777777" w:rsidR="0060785D" w:rsidRPr="00891EFE" w:rsidRDefault="0060785D" w:rsidP="001F6887">
      <w:pPr>
        <w:rPr>
          <w:rFonts w:ascii="Arial" w:hAnsi="Arial" w:cs="Arial"/>
          <w:sz w:val="20"/>
          <w:szCs w:val="20"/>
        </w:rPr>
      </w:pPr>
    </w:p>
    <w:p w14:paraId="5551E9E1" w14:textId="77777777" w:rsidR="0060785D" w:rsidRPr="00891EFE" w:rsidRDefault="0060785D"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108" w:name="_Toc348931395"/>
      <w:bookmarkStart w:id="109" w:name="_Toc344399664"/>
      <w:r w:rsidRPr="00891EFE">
        <w:rPr>
          <w:rFonts w:ascii="Arial" w:hAnsi="Arial" w:cs="Arial"/>
          <w:sz w:val="20"/>
          <w:szCs w:val="20"/>
        </w:rPr>
        <w:t>8.1 Descripción de la conveniencia</w:t>
      </w:r>
      <w:bookmarkEnd w:id="108"/>
      <w:bookmarkEnd w:id="109"/>
    </w:p>
    <w:p w14:paraId="4641CBF6" w14:textId="77777777" w:rsidR="003A0794" w:rsidRPr="00891EFE" w:rsidRDefault="003A0794" w:rsidP="001F6887">
      <w:pPr>
        <w:pStyle w:val="Default"/>
        <w:spacing w:after="0" w:line="240" w:lineRule="auto"/>
        <w:jc w:val="both"/>
        <w:rPr>
          <w:rFonts w:ascii="Arial" w:hAnsi="Arial" w:cs="Arial"/>
          <w:color w:val="auto"/>
          <w:sz w:val="20"/>
          <w:szCs w:val="20"/>
        </w:rPr>
      </w:pPr>
    </w:p>
    <w:p w14:paraId="31A3A08B" w14:textId="3058DFD5" w:rsidR="0060785D" w:rsidRPr="00891EFE" w:rsidRDefault="001C61C4" w:rsidP="001F6887">
      <w:pPr>
        <w:pStyle w:val="Default"/>
        <w:spacing w:after="0" w:line="240" w:lineRule="auto"/>
        <w:jc w:val="both"/>
        <w:rPr>
          <w:rFonts w:ascii="Arial" w:eastAsia="等?" w:hAnsi="Arial" w:cs="Arial"/>
          <w:color w:val="auto"/>
          <w:lang w:eastAsia="es-ES"/>
        </w:rPr>
      </w:pPr>
      <w:r w:rsidRPr="00891EFE">
        <w:rPr>
          <w:rFonts w:ascii="Arial" w:hAnsi="Arial" w:cs="Arial"/>
          <w:color w:val="auto"/>
          <w:sz w:val="20"/>
          <w:szCs w:val="20"/>
        </w:rPr>
        <w:t xml:space="preserve">La principal diferencia en este aspecto entre los dos fármacos comercializados para tratar la AME es la vía de administración y la posología. </w:t>
      </w:r>
      <w:r w:rsidR="00231D03">
        <w:rPr>
          <w:rFonts w:ascii="Arial" w:hAnsi="Arial" w:cs="Arial"/>
          <w:color w:val="auto"/>
          <w:sz w:val="20"/>
          <w:szCs w:val="20"/>
        </w:rPr>
        <w:t>O</w:t>
      </w:r>
      <w:r w:rsidR="00CF32D1" w:rsidRPr="00891EFE">
        <w:rPr>
          <w:rFonts w:ascii="Arial" w:hAnsi="Arial" w:cs="Arial"/>
          <w:color w:val="auto"/>
          <w:sz w:val="20"/>
          <w:szCs w:val="20"/>
        </w:rPr>
        <w:t>nasemnogén abeparvovec</w:t>
      </w:r>
      <w:r w:rsidRPr="00891EFE">
        <w:rPr>
          <w:rFonts w:ascii="Arial" w:hAnsi="Arial" w:cs="Arial"/>
          <w:color w:val="auto"/>
          <w:sz w:val="20"/>
          <w:szCs w:val="20"/>
        </w:rPr>
        <w:t xml:space="preserve"> se administra por vía intravenosa en una dosis única mientras que </w:t>
      </w:r>
      <w:r w:rsidR="00CF32D1" w:rsidRPr="00891EFE">
        <w:rPr>
          <w:rFonts w:ascii="Arial" w:hAnsi="Arial" w:cs="Arial"/>
          <w:color w:val="auto"/>
          <w:sz w:val="20"/>
          <w:szCs w:val="20"/>
        </w:rPr>
        <w:t>nusinersen</w:t>
      </w:r>
      <w:r w:rsidRPr="00891EFE">
        <w:rPr>
          <w:rFonts w:ascii="Arial" w:hAnsi="Arial" w:cs="Arial"/>
          <w:color w:val="auto"/>
          <w:sz w:val="20"/>
          <w:szCs w:val="20"/>
        </w:rPr>
        <w:t xml:space="preserve"> requiere la vía intratecal para su administración cada 4 meses </w:t>
      </w:r>
      <w:r w:rsidR="00CF32D1" w:rsidRPr="00891EFE">
        <w:rPr>
          <w:rFonts w:ascii="Arial" w:hAnsi="Arial" w:cs="Arial"/>
          <w:color w:val="auto"/>
          <w:sz w:val="20"/>
          <w:szCs w:val="20"/>
        </w:rPr>
        <w:t xml:space="preserve">por tiempo indefinido </w:t>
      </w:r>
      <w:r w:rsidRPr="00891EFE">
        <w:rPr>
          <w:rFonts w:ascii="Arial" w:hAnsi="Arial" w:cs="Arial"/>
          <w:color w:val="auto"/>
          <w:sz w:val="20"/>
          <w:szCs w:val="20"/>
        </w:rPr>
        <w:t>(tras recibir cuatro dosis de carga separadas catorce días las 3 primeras y 35 días después la cuarta)</w:t>
      </w:r>
      <w:r w:rsidR="007A4E44" w:rsidRPr="00891EFE">
        <w:rPr>
          <w:rFonts w:ascii="Arial" w:hAnsi="Arial" w:cs="Arial"/>
          <w:color w:val="auto"/>
          <w:sz w:val="20"/>
          <w:szCs w:val="20"/>
        </w:rPr>
        <w:t>, lo que puede dar un perfil más favorable para la preferencia del paciente</w:t>
      </w:r>
      <w:r w:rsidR="00C011EB" w:rsidRPr="00891EFE">
        <w:rPr>
          <w:rFonts w:ascii="Arial" w:hAnsi="Arial" w:cs="Arial"/>
          <w:color w:val="auto"/>
          <w:sz w:val="20"/>
          <w:szCs w:val="20"/>
        </w:rPr>
        <w:t>/tutor</w:t>
      </w:r>
      <w:r w:rsidR="007A4E44" w:rsidRPr="00891EFE">
        <w:rPr>
          <w:rFonts w:ascii="Arial" w:hAnsi="Arial" w:cs="Arial"/>
          <w:color w:val="auto"/>
          <w:sz w:val="20"/>
          <w:szCs w:val="20"/>
        </w:rPr>
        <w:t xml:space="preserve"> hacia </w:t>
      </w:r>
      <w:r w:rsidR="00CF32D1" w:rsidRPr="00891EFE">
        <w:rPr>
          <w:rFonts w:ascii="Arial" w:hAnsi="Arial" w:cs="Arial"/>
          <w:bCs/>
          <w:color w:val="auto"/>
          <w:sz w:val="20"/>
          <w:szCs w:val="20"/>
        </w:rPr>
        <w:t>onasemnogén abeparvovec</w:t>
      </w:r>
      <w:r w:rsidR="007A4E44" w:rsidRPr="00891EFE">
        <w:rPr>
          <w:rFonts w:ascii="Arial" w:hAnsi="Arial" w:cs="Arial"/>
          <w:color w:val="auto"/>
          <w:sz w:val="20"/>
          <w:szCs w:val="20"/>
        </w:rPr>
        <w:t>.</w:t>
      </w:r>
    </w:p>
    <w:p w14:paraId="6F8955FF" w14:textId="565528A9" w:rsidR="003A0794" w:rsidRPr="00891EFE" w:rsidRDefault="0060785D" w:rsidP="001F6887">
      <w:pPr>
        <w:rPr>
          <w:rFonts w:ascii="Arial" w:hAnsi="Arial" w:cs="Arial"/>
          <w:sz w:val="20"/>
          <w:szCs w:val="20"/>
        </w:rPr>
      </w:pPr>
      <w:r w:rsidRPr="00891EFE">
        <w:rPr>
          <w:rFonts w:ascii="Arial" w:hAnsi="Arial" w:cs="Arial"/>
          <w:sz w:val="20"/>
          <w:szCs w:val="20"/>
        </w:rPr>
        <w:t xml:space="preserve"> </w:t>
      </w:r>
    </w:p>
    <w:p w14:paraId="41A70CF2" w14:textId="77777777" w:rsidR="007F6427" w:rsidRPr="00891EFE" w:rsidRDefault="007F6427" w:rsidP="001F6887">
      <w:pPr>
        <w:rPr>
          <w:rFonts w:ascii="Arial" w:hAnsi="Arial" w:cs="Arial"/>
          <w:sz w:val="20"/>
          <w:szCs w:val="20"/>
        </w:rPr>
      </w:pPr>
    </w:p>
    <w:tbl>
      <w:tblPr>
        <w:tblW w:w="889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892"/>
      </w:tblGrid>
      <w:tr w:rsidR="0060785D" w:rsidRPr="00891EFE" w14:paraId="4D4838AB" w14:textId="77777777" w:rsidTr="0060785D">
        <w:tc>
          <w:tcPr>
            <w:tcW w:w="8890" w:type="dxa"/>
            <w:tcBorders>
              <w:top w:val="single" w:sz="4" w:space="0" w:color="auto"/>
              <w:left w:val="single" w:sz="4" w:space="0" w:color="auto"/>
              <w:bottom w:val="single" w:sz="4" w:space="0" w:color="auto"/>
              <w:right w:val="single" w:sz="4" w:space="0" w:color="auto"/>
            </w:tcBorders>
            <w:shd w:val="clear" w:color="auto" w:fill="B3B3B3"/>
            <w:hideMark/>
          </w:tcPr>
          <w:p w14:paraId="1A4467A1" w14:textId="0B68EC6C" w:rsidR="0060785D" w:rsidRPr="00891EFE" w:rsidRDefault="0060785D" w:rsidP="001F6887">
            <w:pPr>
              <w:pStyle w:val="Ttulo1"/>
              <w:shd w:val="clear" w:color="auto" w:fill="A6A6A6"/>
              <w:rPr>
                <w:rFonts w:ascii="Arial" w:hAnsi="Arial" w:cs="Arial"/>
                <w:kern w:val="0"/>
                <w:sz w:val="20"/>
                <w:szCs w:val="20"/>
              </w:rPr>
            </w:pPr>
            <w:bookmarkStart w:id="110" w:name="_Toc348931397"/>
            <w:bookmarkStart w:id="111" w:name="_Toc344399666"/>
            <w:r w:rsidRPr="00891EFE">
              <w:rPr>
                <w:rFonts w:ascii="Arial" w:hAnsi="Arial" w:cs="Arial"/>
                <w:kern w:val="0"/>
                <w:sz w:val="20"/>
                <w:szCs w:val="20"/>
              </w:rPr>
              <w:t>9. AREA DE CONCLUSIONES.</w:t>
            </w:r>
            <w:bookmarkEnd w:id="110"/>
            <w:bookmarkEnd w:id="111"/>
          </w:p>
        </w:tc>
      </w:tr>
    </w:tbl>
    <w:p w14:paraId="66B2E643" w14:textId="77777777" w:rsidR="0060785D" w:rsidRPr="00891EFE" w:rsidRDefault="0060785D" w:rsidP="001F6887">
      <w:pPr>
        <w:pStyle w:val="Encabezado"/>
        <w:tabs>
          <w:tab w:val="left" w:pos="708"/>
        </w:tabs>
        <w:rPr>
          <w:rFonts w:ascii="Arial" w:hAnsi="Arial" w:cs="Arial"/>
          <w:b/>
          <w:bCs/>
          <w:sz w:val="20"/>
        </w:rPr>
      </w:pPr>
    </w:p>
    <w:p w14:paraId="783898FD" w14:textId="534297BE" w:rsidR="0060785D" w:rsidRPr="00891EFE" w:rsidRDefault="0060785D" w:rsidP="001F6887">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szCs w:val="20"/>
        </w:rPr>
      </w:pPr>
      <w:bookmarkStart w:id="112" w:name="_Toc344399667"/>
      <w:bookmarkStart w:id="113" w:name="_Toc348931398"/>
      <w:r w:rsidRPr="00891EFE">
        <w:rPr>
          <w:rFonts w:ascii="Arial" w:hAnsi="Arial" w:cs="Arial"/>
          <w:sz w:val="20"/>
          <w:szCs w:val="20"/>
        </w:rPr>
        <w:t>9.1 Resumen de los aspectos más significativos respecto a la alternativa y propuestas</w:t>
      </w:r>
      <w:bookmarkEnd w:id="112"/>
      <w:bookmarkEnd w:id="113"/>
    </w:p>
    <w:p w14:paraId="2E521D65" w14:textId="77777777" w:rsidR="0060785D" w:rsidRPr="00891EFE" w:rsidRDefault="0060785D" w:rsidP="001F6887">
      <w:pPr>
        <w:jc w:val="both"/>
        <w:rPr>
          <w:rFonts w:ascii="Arial" w:hAnsi="Arial" w:cs="Arial"/>
          <w:sz w:val="20"/>
          <w:szCs w:val="20"/>
        </w:rPr>
      </w:pPr>
    </w:p>
    <w:p w14:paraId="1F3E6C5B" w14:textId="77777777" w:rsidR="0060785D" w:rsidRPr="00891EFE" w:rsidRDefault="0060785D" w:rsidP="006A4D7F">
      <w:pPr>
        <w:pStyle w:val="Prrafodelista"/>
        <w:numPr>
          <w:ilvl w:val="0"/>
          <w:numId w:val="8"/>
        </w:numPr>
        <w:ind w:left="284"/>
        <w:jc w:val="both"/>
        <w:rPr>
          <w:rFonts w:ascii="Arial" w:hAnsi="Arial" w:cs="Arial"/>
          <w:b/>
          <w:bCs/>
          <w:sz w:val="20"/>
          <w:szCs w:val="20"/>
        </w:rPr>
      </w:pPr>
      <w:r w:rsidRPr="00891EFE">
        <w:rPr>
          <w:rFonts w:ascii="Arial" w:hAnsi="Arial" w:cs="Arial"/>
          <w:b/>
          <w:bCs/>
          <w:sz w:val="20"/>
          <w:szCs w:val="20"/>
        </w:rPr>
        <w:t>Indicación, posología y forma de administración:</w:t>
      </w:r>
    </w:p>
    <w:p w14:paraId="44D71B07" w14:textId="77777777" w:rsidR="004F0B1B" w:rsidRPr="00891EFE" w:rsidRDefault="004F0B1B" w:rsidP="006A4D7F">
      <w:pPr>
        <w:pStyle w:val="Prrafodelista"/>
        <w:ind w:left="284"/>
        <w:jc w:val="both"/>
        <w:rPr>
          <w:rFonts w:ascii="Arial" w:hAnsi="Arial" w:cs="Arial"/>
          <w:b/>
          <w:bCs/>
          <w:sz w:val="20"/>
          <w:szCs w:val="20"/>
          <w:u w:val="single"/>
        </w:rPr>
      </w:pPr>
    </w:p>
    <w:p w14:paraId="1077C096" w14:textId="500EE250" w:rsidR="00B5122F" w:rsidRDefault="0095303C" w:rsidP="0095303C">
      <w:pPr>
        <w:pStyle w:val="Prrafodelista"/>
        <w:numPr>
          <w:ilvl w:val="0"/>
          <w:numId w:val="35"/>
        </w:numPr>
        <w:shd w:val="clear" w:color="auto" w:fill="FFFFFF"/>
        <w:ind w:left="567" w:hanging="283"/>
        <w:jc w:val="both"/>
        <w:rPr>
          <w:rFonts w:ascii="Arial" w:hAnsi="Arial" w:cs="Arial"/>
          <w:sz w:val="20"/>
          <w:szCs w:val="20"/>
        </w:rPr>
      </w:pPr>
      <w:r w:rsidRPr="0095303C">
        <w:rPr>
          <w:rFonts w:ascii="Arial" w:hAnsi="Arial" w:cs="Arial"/>
          <w:sz w:val="20"/>
          <w:szCs w:val="20"/>
        </w:rPr>
        <w:lastRenderedPageBreak/>
        <w:t xml:space="preserve">Onasemnogén abeparvovec está indicado en AME en 5q con una mutación bialélica en el gen SMN1 y un diagnóstico clínico de AME tipo I </w:t>
      </w:r>
      <w:r>
        <w:rPr>
          <w:rFonts w:ascii="Arial" w:hAnsi="Arial" w:cs="Arial"/>
          <w:sz w:val="20"/>
          <w:szCs w:val="20"/>
        </w:rPr>
        <w:t>y</w:t>
      </w:r>
      <w:r w:rsidRPr="0095303C">
        <w:rPr>
          <w:rFonts w:ascii="Arial" w:hAnsi="Arial" w:cs="Arial"/>
          <w:sz w:val="20"/>
          <w:szCs w:val="20"/>
        </w:rPr>
        <w:t xml:space="preserve"> </w:t>
      </w:r>
      <w:r>
        <w:rPr>
          <w:rFonts w:ascii="Arial" w:hAnsi="Arial" w:cs="Arial"/>
          <w:sz w:val="20"/>
          <w:szCs w:val="20"/>
        </w:rPr>
        <w:t xml:space="preserve">en </w:t>
      </w:r>
      <w:r w:rsidRPr="0095303C">
        <w:rPr>
          <w:rFonts w:ascii="Arial" w:hAnsi="Arial" w:cs="Arial"/>
          <w:sz w:val="20"/>
          <w:szCs w:val="20"/>
        </w:rPr>
        <w:t>pacientes con AME en 5q con una mutación bialélica en el gen SMN1 y hasta 3 copias del gen SMN2.</w:t>
      </w:r>
    </w:p>
    <w:p w14:paraId="660CF40C" w14:textId="77777777" w:rsidR="0095303C" w:rsidRPr="00891EFE" w:rsidRDefault="0095303C" w:rsidP="0095303C">
      <w:pPr>
        <w:pStyle w:val="Prrafodelista"/>
        <w:shd w:val="clear" w:color="auto" w:fill="FFFFFF"/>
        <w:ind w:left="567"/>
        <w:jc w:val="both"/>
        <w:rPr>
          <w:rFonts w:ascii="Arial" w:hAnsi="Arial" w:cs="Arial"/>
          <w:sz w:val="20"/>
          <w:szCs w:val="20"/>
        </w:rPr>
      </w:pPr>
    </w:p>
    <w:p w14:paraId="61CAAF69" w14:textId="560603C8" w:rsidR="00B5122F" w:rsidRPr="00891EFE" w:rsidRDefault="0060785D" w:rsidP="006A4D7F">
      <w:pPr>
        <w:pStyle w:val="Prrafodelista"/>
        <w:numPr>
          <w:ilvl w:val="1"/>
          <w:numId w:val="20"/>
        </w:numPr>
        <w:ind w:left="567" w:hanging="283"/>
        <w:jc w:val="both"/>
        <w:rPr>
          <w:rFonts w:ascii="Arial" w:hAnsi="Arial" w:cs="Arial"/>
          <w:sz w:val="20"/>
          <w:szCs w:val="20"/>
        </w:rPr>
      </w:pPr>
      <w:r w:rsidRPr="00891EFE">
        <w:rPr>
          <w:rFonts w:ascii="Arial" w:hAnsi="Arial" w:cs="Arial"/>
          <w:sz w:val="20"/>
          <w:szCs w:val="20"/>
        </w:rPr>
        <w:t>El fármaco</w:t>
      </w:r>
      <w:r w:rsidRPr="00891EFE">
        <w:rPr>
          <w:rFonts w:ascii="Arial" w:hAnsi="Arial" w:cs="Arial"/>
        </w:rPr>
        <w:t xml:space="preserve"> </w:t>
      </w:r>
      <w:r w:rsidRPr="00891EFE">
        <w:rPr>
          <w:rFonts w:ascii="Arial" w:hAnsi="Arial" w:cs="Arial"/>
          <w:sz w:val="20"/>
          <w:szCs w:val="20"/>
        </w:rPr>
        <w:t xml:space="preserve">es una </w:t>
      </w:r>
      <w:r w:rsidR="00B5122F" w:rsidRPr="00891EFE">
        <w:rPr>
          <w:rFonts w:ascii="Arial" w:hAnsi="Arial" w:cs="Arial"/>
          <w:sz w:val="20"/>
          <w:szCs w:val="20"/>
        </w:rPr>
        <w:t xml:space="preserve">terapia génica diseñada para introducir una copia funcional del gen de supervivencia de las motoneuronas (SMN1) en las células transducidas lo que supone un abordaje de la causa de esta enfermedad monogénica. </w:t>
      </w:r>
    </w:p>
    <w:p w14:paraId="143372A4" w14:textId="77777777" w:rsidR="00444B40" w:rsidRPr="00891EFE" w:rsidRDefault="00444B40" w:rsidP="006A4D7F">
      <w:pPr>
        <w:ind w:left="567" w:hanging="283"/>
        <w:jc w:val="both"/>
        <w:rPr>
          <w:rFonts w:ascii="Arial" w:hAnsi="Arial" w:cs="Arial"/>
          <w:sz w:val="20"/>
          <w:szCs w:val="20"/>
        </w:rPr>
      </w:pPr>
    </w:p>
    <w:p w14:paraId="4A115ACA" w14:textId="40A88870" w:rsidR="00B5122F" w:rsidRPr="00891EFE" w:rsidRDefault="00B5122F" w:rsidP="006A4D7F">
      <w:pPr>
        <w:pStyle w:val="Prrafodelista"/>
        <w:numPr>
          <w:ilvl w:val="1"/>
          <w:numId w:val="20"/>
        </w:numPr>
        <w:ind w:left="567" w:hanging="283"/>
        <w:jc w:val="both"/>
        <w:rPr>
          <w:rFonts w:ascii="Arial" w:hAnsi="Arial" w:cs="Arial"/>
          <w:sz w:val="20"/>
          <w:szCs w:val="20"/>
        </w:rPr>
      </w:pPr>
      <w:r w:rsidRPr="00891EFE">
        <w:rPr>
          <w:rFonts w:ascii="Arial" w:hAnsi="Arial" w:cs="Arial"/>
          <w:sz w:val="20"/>
          <w:szCs w:val="20"/>
        </w:rPr>
        <w:t>Se administra a una dosis de 1,1 x 10</w:t>
      </w:r>
      <w:r w:rsidRPr="00891EFE">
        <w:rPr>
          <w:rFonts w:ascii="Arial" w:hAnsi="Arial" w:cs="Arial"/>
          <w:sz w:val="20"/>
          <w:szCs w:val="20"/>
          <w:vertAlign w:val="superscript"/>
        </w:rPr>
        <w:t xml:space="preserve">14 </w:t>
      </w:r>
      <w:r w:rsidRPr="00891EFE">
        <w:rPr>
          <w:rFonts w:ascii="Arial" w:hAnsi="Arial" w:cs="Arial"/>
          <w:sz w:val="20"/>
          <w:szCs w:val="20"/>
        </w:rPr>
        <w:t xml:space="preserve">vg/kg, en un volumen total que se determina en función del peso corporal del paciente, en una perfusión intravenosa en dosis única. </w:t>
      </w:r>
    </w:p>
    <w:p w14:paraId="5CD4D180" w14:textId="77777777" w:rsidR="00444B40" w:rsidRPr="00891EFE" w:rsidRDefault="00444B40" w:rsidP="006A4D7F">
      <w:pPr>
        <w:pStyle w:val="Prrafodelista"/>
        <w:ind w:left="567" w:hanging="283"/>
        <w:jc w:val="both"/>
        <w:rPr>
          <w:rFonts w:ascii="Arial" w:hAnsi="Arial" w:cs="Arial"/>
          <w:b/>
          <w:bCs/>
          <w:sz w:val="20"/>
          <w:szCs w:val="20"/>
        </w:rPr>
      </w:pPr>
    </w:p>
    <w:p w14:paraId="7885A358" w14:textId="77777777" w:rsidR="0060785D" w:rsidRPr="00891EFE" w:rsidRDefault="0060785D" w:rsidP="006A4D7F">
      <w:pPr>
        <w:pStyle w:val="Prrafodelista"/>
        <w:numPr>
          <w:ilvl w:val="0"/>
          <w:numId w:val="8"/>
        </w:numPr>
        <w:ind w:left="284"/>
        <w:jc w:val="both"/>
        <w:rPr>
          <w:rFonts w:ascii="Arial" w:hAnsi="Arial" w:cs="Arial"/>
          <w:b/>
          <w:bCs/>
          <w:sz w:val="20"/>
          <w:szCs w:val="20"/>
        </w:rPr>
      </w:pPr>
      <w:r w:rsidRPr="00891EFE">
        <w:rPr>
          <w:rFonts w:ascii="Arial" w:hAnsi="Arial" w:cs="Arial"/>
          <w:b/>
          <w:bCs/>
          <w:sz w:val="20"/>
          <w:szCs w:val="20"/>
        </w:rPr>
        <w:t>Eficacia:</w:t>
      </w:r>
    </w:p>
    <w:p w14:paraId="7B9401D4" w14:textId="77777777" w:rsidR="004F0B1B" w:rsidRPr="00891EFE" w:rsidRDefault="004F0B1B" w:rsidP="006A4D7F">
      <w:pPr>
        <w:pStyle w:val="Prrafodelista"/>
        <w:ind w:left="284"/>
        <w:jc w:val="both"/>
        <w:rPr>
          <w:rFonts w:ascii="Arial" w:hAnsi="Arial" w:cs="Arial"/>
          <w:b/>
          <w:bCs/>
          <w:sz w:val="20"/>
          <w:szCs w:val="20"/>
        </w:rPr>
      </w:pPr>
    </w:p>
    <w:p w14:paraId="04C501C2" w14:textId="5270E26F" w:rsidR="00444B40" w:rsidRPr="00891EFE" w:rsidRDefault="0060785D" w:rsidP="006A4D7F">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 xml:space="preserve">Los datos </w:t>
      </w:r>
      <w:r w:rsidR="001D0D24" w:rsidRPr="00891EFE">
        <w:rPr>
          <w:rFonts w:ascii="Arial" w:hAnsi="Arial" w:cs="Arial"/>
          <w:sz w:val="20"/>
          <w:szCs w:val="20"/>
        </w:rPr>
        <w:t>de</w:t>
      </w:r>
      <w:r w:rsidRPr="00891EFE">
        <w:rPr>
          <w:rFonts w:ascii="Arial" w:hAnsi="Arial" w:cs="Arial"/>
          <w:sz w:val="20"/>
          <w:szCs w:val="20"/>
        </w:rPr>
        <w:t xml:space="preserve"> eficacia de este fármaco se basan en </w:t>
      </w:r>
      <w:r w:rsidR="00126C72" w:rsidRPr="00891EFE">
        <w:rPr>
          <w:rFonts w:ascii="Arial" w:hAnsi="Arial" w:cs="Arial"/>
          <w:sz w:val="20"/>
          <w:szCs w:val="20"/>
        </w:rPr>
        <w:t>dos</w:t>
      </w:r>
      <w:r w:rsidRPr="00891EFE">
        <w:rPr>
          <w:rFonts w:ascii="Arial" w:hAnsi="Arial" w:cs="Arial"/>
          <w:sz w:val="20"/>
          <w:szCs w:val="20"/>
        </w:rPr>
        <w:t xml:space="preserve"> estudio</w:t>
      </w:r>
      <w:r w:rsidR="00126C72" w:rsidRPr="00891EFE">
        <w:rPr>
          <w:rFonts w:ascii="Arial" w:hAnsi="Arial" w:cs="Arial"/>
          <w:sz w:val="20"/>
          <w:szCs w:val="20"/>
        </w:rPr>
        <w:t>s</w:t>
      </w:r>
      <w:r w:rsidRPr="00891EFE">
        <w:rPr>
          <w:rFonts w:ascii="Arial" w:hAnsi="Arial" w:cs="Arial"/>
          <w:sz w:val="20"/>
          <w:szCs w:val="20"/>
        </w:rPr>
        <w:t xml:space="preserve"> pivotal</w:t>
      </w:r>
      <w:r w:rsidR="00126C72" w:rsidRPr="00891EFE">
        <w:rPr>
          <w:rFonts w:ascii="Arial" w:hAnsi="Arial" w:cs="Arial"/>
          <w:sz w:val="20"/>
          <w:szCs w:val="20"/>
        </w:rPr>
        <w:t>es</w:t>
      </w:r>
      <w:r w:rsidRPr="00891EFE">
        <w:rPr>
          <w:rFonts w:ascii="Arial" w:hAnsi="Arial" w:cs="Arial"/>
          <w:sz w:val="20"/>
          <w:szCs w:val="20"/>
        </w:rPr>
        <w:t xml:space="preserve"> fase I</w:t>
      </w:r>
      <w:r w:rsidR="00126C72" w:rsidRPr="00891EFE">
        <w:rPr>
          <w:rFonts w:ascii="Arial" w:hAnsi="Arial" w:cs="Arial"/>
          <w:sz w:val="20"/>
          <w:szCs w:val="20"/>
        </w:rPr>
        <w:t>I</w:t>
      </w:r>
      <w:r w:rsidRPr="00891EFE">
        <w:rPr>
          <w:rFonts w:ascii="Arial" w:hAnsi="Arial" w:cs="Arial"/>
          <w:sz w:val="20"/>
          <w:szCs w:val="20"/>
        </w:rPr>
        <w:t>I</w:t>
      </w:r>
      <w:r w:rsidR="00126C72" w:rsidRPr="00891EFE">
        <w:rPr>
          <w:rFonts w:ascii="Arial" w:hAnsi="Arial" w:cs="Arial"/>
          <w:sz w:val="20"/>
          <w:szCs w:val="20"/>
        </w:rPr>
        <w:t xml:space="preserve"> (uno para pacientes tipo I sintomáticos y otro para presintomáticos</w:t>
      </w:r>
      <w:r w:rsidR="00444B40" w:rsidRPr="00891EFE">
        <w:rPr>
          <w:rFonts w:ascii="Arial" w:hAnsi="Arial" w:cs="Arial"/>
          <w:sz w:val="20"/>
          <w:szCs w:val="20"/>
        </w:rPr>
        <w:t xml:space="preserve"> con un máximo de 3 copias de SMN2</w:t>
      </w:r>
      <w:r w:rsidR="00126C72" w:rsidRPr="00891EFE">
        <w:rPr>
          <w:rFonts w:ascii="Arial" w:hAnsi="Arial" w:cs="Arial"/>
          <w:sz w:val="20"/>
          <w:szCs w:val="20"/>
        </w:rPr>
        <w:t>)</w:t>
      </w:r>
      <w:r w:rsidR="00444B40" w:rsidRPr="00891EFE">
        <w:rPr>
          <w:rFonts w:ascii="Arial" w:hAnsi="Arial" w:cs="Arial"/>
          <w:sz w:val="20"/>
          <w:szCs w:val="20"/>
        </w:rPr>
        <w:t xml:space="preserve">. </w:t>
      </w:r>
      <w:r w:rsidR="00C441B8" w:rsidRPr="00891EFE">
        <w:rPr>
          <w:rFonts w:ascii="Arial" w:hAnsi="Arial" w:cs="Arial"/>
          <w:sz w:val="20"/>
          <w:szCs w:val="20"/>
        </w:rPr>
        <w:t>Además</w:t>
      </w:r>
      <w:r w:rsidR="00444B40" w:rsidRPr="00891EFE">
        <w:rPr>
          <w:rFonts w:ascii="Arial" w:hAnsi="Arial" w:cs="Arial"/>
          <w:sz w:val="20"/>
          <w:szCs w:val="20"/>
        </w:rPr>
        <w:t xml:space="preserve">, los resultados en pacientes tipo I se apoyan </w:t>
      </w:r>
      <w:r w:rsidR="00126C72" w:rsidRPr="00891EFE">
        <w:rPr>
          <w:rFonts w:ascii="Arial" w:hAnsi="Arial" w:cs="Arial"/>
          <w:sz w:val="20"/>
          <w:szCs w:val="20"/>
        </w:rPr>
        <w:t>en un</w:t>
      </w:r>
      <w:r w:rsidR="007E4815" w:rsidRPr="00891EFE">
        <w:rPr>
          <w:rFonts w:ascii="Arial" w:hAnsi="Arial" w:cs="Arial"/>
          <w:sz w:val="20"/>
          <w:szCs w:val="20"/>
        </w:rPr>
        <w:t xml:space="preserve"> ensayo</w:t>
      </w:r>
      <w:r w:rsidR="00126C72" w:rsidRPr="00891EFE">
        <w:rPr>
          <w:rFonts w:ascii="Arial" w:hAnsi="Arial" w:cs="Arial"/>
          <w:sz w:val="20"/>
          <w:szCs w:val="20"/>
        </w:rPr>
        <w:t xml:space="preserve"> fase I</w:t>
      </w:r>
      <w:r w:rsidR="007E4815" w:rsidRPr="00891EFE">
        <w:rPr>
          <w:rFonts w:ascii="Arial" w:hAnsi="Arial" w:cs="Arial"/>
          <w:sz w:val="20"/>
          <w:szCs w:val="20"/>
        </w:rPr>
        <w:t>. Todos</w:t>
      </w:r>
      <w:r w:rsidRPr="00891EFE">
        <w:rPr>
          <w:rFonts w:ascii="Arial" w:hAnsi="Arial" w:cs="Arial"/>
          <w:sz w:val="20"/>
          <w:szCs w:val="20"/>
        </w:rPr>
        <w:t xml:space="preserve"> </w:t>
      </w:r>
      <w:r w:rsidR="00426AA6" w:rsidRPr="00891EFE">
        <w:rPr>
          <w:rFonts w:ascii="Arial" w:hAnsi="Arial" w:cs="Arial"/>
          <w:sz w:val="20"/>
          <w:szCs w:val="20"/>
        </w:rPr>
        <w:t xml:space="preserve">ellos </w:t>
      </w:r>
      <w:r w:rsidRPr="00891EFE">
        <w:rPr>
          <w:rFonts w:ascii="Arial" w:hAnsi="Arial" w:cs="Arial"/>
          <w:sz w:val="20"/>
          <w:szCs w:val="20"/>
        </w:rPr>
        <w:t xml:space="preserve">son ensayos de un </w:t>
      </w:r>
      <w:r w:rsidRPr="00891EFE">
        <w:rPr>
          <w:rFonts w:ascii="Arial" w:hAnsi="Arial" w:cs="Arial"/>
          <w:b/>
          <w:sz w:val="20"/>
          <w:szCs w:val="20"/>
        </w:rPr>
        <w:t>único brazo</w:t>
      </w:r>
      <w:r w:rsidRPr="00891EFE">
        <w:rPr>
          <w:rFonts w:ascii="Arial" w:hAnsi="Arial" w:cs="Arial"/>
          <w:sz w:val="20"/>
          <w:szCs w:val="20"/>
        </w:rPr>
        <w:t>, por lo que no tenemos datos comparativos de eficacia</w:t>
      </w:r>
      <w:r w:rsidR="000E5CE3" w:rsidRPr="00891EFE">
        <w:rPr>
          <w:rFonts w:ascii="Arial" w:hAnsi="Arial" w:cs="Arial"/>
          <w:sz w:val="20"/>
          <w:szCs w:val="20"/>
        </w:rPr>
        <w:t xml:space="preserve">, y con un </w:t>
      </w:r>
      <w:r w:rsidR="000E5CE3" w:rsidRPr="00891EFE">
        <w:rPr>
          <w:rFonts w:ascii="Arial" w:hAnsi="Arial" w:cs="Arial"/>
          <w:b/>
          <w:sz w:val="20"/>
          <w:szCs w:val="20"/>
        </w:rPr>
        <w:t>pequeño tamaño muestral</w:t>
      </w:r>
      <w:r w:rsidR="000E5CE3" w:rsidRPr="00891EFE">
        <w:rPr>
          <w:rFonts w:ascii="Arial" w:hAnsi="Arial" w:cs="Arial"/>
          <w:sz w:val="20"/>
          <w:szCs w:val="20"/>
        </w:rPr>
        <w:t>.</w:t>
      </w:r>
      <w:r w:rsidR="00C441B8" w:rsidRPr="00891EFE">
        <w:rPr>
          <w:rFonts w:ascii="Arial" w:hAnsi="Arial" w:cs="Arial"/>
          <w:sz w:val="20"/>
          <w:szCs w:val="20"/>
        </w:rPr>
        <w:t xml:space="preserve"> Los resultados a larg</w:t>
      </w:r>
      <w:r w:rsidR="007F6427" w:rsidRPr="00891EFE">
        <w:rPr>
          <w:rFonts w:ascii="Arial" w:hAnsi="Arial" w:cs="Arial"/>
          <w:sz w:val="20"/>
          <w:szCs w:val="20"/>
        </w:rPr>
        <w:t>o plazo aún están inmaduros, lo</w:t>
      </w:r>
      <w:r w:rsidR="00C441B8" w:rsidRPr="00891EFE">
        <w:rPr>
          <w:rFonts w:ascii="Arial" w:hAnsi="Arial" w:cs="Arial"/>
          <w:sz w:val="20"/>
          <w:szCs w:val="20"/>
        </w:rPr>
        <w:t xml:space="preserve"> que también genera incertidumbre en cuanto a la eficacia a largo plazo.</w:t>
      </w:r>
    </w:p>
    <w:p w14:paraId="7818A483" w14:textId="77777777" w:rsidR="00444B40" w:rsidRPr="00891EFE" w:rsidRDefault="00444B40" w:rsidP="006A4D7F">
      <w:pPr>
        <w:pStyle w:val="Prrafodelista"/>
        <w:ind w:left="567"/>
        <w:jc w:val="both"/>
        <w:rPr>
          <w:rFonts w:ascii="Arial" w:hAnsi="Arial" w:cs="Arial"/>
          <w:sz w:val="20"/>
          <w:szCs w:val="20"/>
        </w:rPr>
      </w:pPr>
    </w:p>
    <w:p w14:paraId="3CB3237A" w14:textId="790C54CF" w:rsidR="0060785D" w:rsidRPr="00891EFE" w:rsidRDefault="0060785D" w:rsidP="006A4D7F">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 xml:space="preserve">El estudio </w:t>
      </w:r>
      <w:r w:rsidR="007E4815" w:rsidRPr="00891EFE">
        <w:rPr>
          <w:rFonts w:ascii="Arial" w:hAnsi="Arial" w:cs="Arial"/>
          <w:sz w:val="20"/>
          <w:szCs w:val="20"/>
        </w:rPr>
        <w:t>STR1VE</w:t>
      </w:r>
      <w:r w:rsidR="00444B40" w:rsidRPr="00891EFE">
        <w:rPr>
          <w:rFonts w:ascii="Arial" w:hAnsi="Arial" w:cs="Arial"/>
          <w:sz w:val="20"/>
          <w:szCs w:val="20"/>
          <w:vertAlign w:val="superscript"/>
        </w:rPr>
        <w:fldChar w:fldCharType="begin"/>
      </w:r>
      <w:r w:rsidR="00444B40" w:rsidRPr="00891EFE">
        <w:rPr>
          <w:rFonts w:ascii="Arial" w:hAnsi="Arial" w:cs="Arial"/>
          <w:sz w:val="20"/>
          <w:szCs w:val="20"/>
          <w:vertAlign w:val="superscript"/>
        </w:rPr>
        <w:instrText xml:space="preserve"> NOTEREF _Ref52276166 \h  \* MERGEFORMAT </w:instrText>
      </w:r>
      <w:r w:rsidR="00444B40" w:rsidRPr="00891EFE">
        <w:rPr>
          <w:rFonts w:ascii="Arial" w:hAnsi="Arial" w:cs="Arial"/>
          <w:sz w:val="20"/>
          <w:szCs w:val="20"/>
          <w:vertAlign w:val="superscript"/>
        </w:rPr>
      </w:r>
      <w:r w:rsidR="00444B40" w:rsidRPr="00891EFE">
        <w:rPr>
          <w:rFonts w:ascii="Arial" w:hAnsi="Arial" w:cs="Arial"/>
          <w:sz w:val="20"/>
          <w:szCs w:val="20"/>
          <w:vertAlign w:val="superscript"/>
        </w:rPr>
        <w:fldChar w:fldCharType="separate"/>
      </w:r>
      <w:r w:rsidR="00E277F2">
        <w:rPr>
          <w:rFonts w:ascii="Arial" w:hAnsi="Arial" w:cs="Arial"/>
          <w:sz w:val="20"/>
          <w:szCs w:val="20"/>
          <w:vertAlign w:val="superscript"/>
        </w:rPr>
        <w:t>14</w:t>
      </w:r>
      <w:r w:rsidR="00444B40" w:rsidRPr="00891EFE">
        <w:rPr>
          <w:rFonts w:ascii="Arial" w:hAnsi="Arial" w:cs="Arial"/>
          <w:sz w:val="20"/>
          <w:szCs w:val="20"/>
          <w:vertAlign w:val="superscript"/>
        </w:rPr>
        <w:fldChar w:fldCharType="end"/>
      </w:r>
      <w:r w:rsidR="00B13519" w:rsidRPr="00891EFE">
        <w:rPr>
          <w:rFonts w:ascii="Arial" w:hAnsi="Arial" w:cs="Arial"/>
          <w:sz w:val="20"/>
          <w:szCs w:val="20"/>
        </w:rPr>
        <w:t xml:space="preserve">, </w:t>
      </w:r>
      <w:r w:rsidR="0039307C" w:rsidRPr="00891EFE">
        <w:rPr>
          <w:rFonts w:ascii="Arial" w:hAnsi="Arial" w:cs="Arial"/>
          <w:sz w:val="20"/>
          <w:szCs w:val="20"/>
        </w:rPr>
        <w:t xml:space="preserve">realizado en 22 pacientes </w:t>
      </w:r>
      <w:r w:rsidR="00403A1F" w:rsidRPr="00891EFE">
        <w:rPr>
          <w:rFonts w:ascii="Arial" w:hAnsi="Arial" w:cs="Arial"/>
          <w:sz w:val="20"/>
          <w:szCs w:val="20"/>
        </w:rPr>
        <w:t xml:space="preserve">menores de 6 meses </w:t>
      </w:r>
      <w:r w:rsidR="0039307C" w:rsidRPr="00891EFE">
        <w:rPr>
          <w:rFonts w:ascii="Arial" w:hAnsi="Arial" w:cs="Arial"/>
          <w:sz w:val="20"/>
          <w:szCs w:val="20"/>
        </w:rPr>
        <w:t>con</w:t>
      </w:r>
      <w:r w:rsidR="00B13519" w:rsidRPr="00891EFE">
        <w:rPr>
          <w:rFonts w:ascii="Arial" w:hAnsi="Arial" w:cs="Arial"/>
          <w:sz w:val="20"/>
          <w:szCs w:val="20"/>
        </w:rPr>
        <w:t xml:space="preserve"> </w:t>
      </w:r>
      <w:r w:rsidR="00B13519" w:rsidRPr="00403A1F">
        <w:rPr>
          <w:rFonts w:ascii="Arial" w:hAnsi="Arial" w:cs="Arial"/>
          <w:b/>
          <w:sz w:val="20"/>
          <w:szCs w:val="20"/>
        </w:rPr>
        <w:t>AME tipo I</w:t>
      </w:r>
      <w:r w:rsidR="00B13519" w:rsidRPr="00891EFE">
        <w:rPr>
          <w:rFonts w:ascii="Arial" w:hAnsi="Arial" w:cs="Arial"/>
          <w:sz w:val="20"/>
          <w:szCs w:val="20"/>
        </w:rPr>
        <w:t xml:space="preserve"> sintomática,</w:t>
      </w:r>
      <w:r w:rsidR="007E4815" w:rsidRPr="00891EFE">
        <w:rPr>
          <w:rFonts w:ascii="Arial" w:hAnsi="Arial" w:cs="Arial"/>
          <w:sz w:val="20"/>
          <w:szCs w:val="20"/>
        </w:rPr>
        <w:t xml:space="preserve"> </w:t>
      </w:r>
      <w:r w:rsidRPr="00891EFE">
        <w:rPr>
          <w:rFonts w:ascii="Arial" w:hAnsi="Arial" w:cs="Arial"/>
          <w:sz w:val="20"/>
          <w:szCs w:val="20"/>
        </w:rPr>
        <w:t xml:space="preserve">muestra una </w:t>
      </w:r>
      <w:r w:rsidR="000E5CE3" w:rsidRPr="00891EFE">
        <w:rPr>
          <w:rFonts w:ascii="Arial" w:hAnsi="Arial" w:cs="Arial"/>
          <w:sz w:val="20"/>
          <w:szCs w:val="20"/>
        </w:rPr>
        <w:t xml:space="preserve">supervivencia libre de eventos (ni muerte ni ventilación permanente) </w:t>
      </w:r>
      <w:r w:rsidR="00444B40" w:rsidRPr="00891EFE">
        <w:rPr>
          <w:rFonts w:ascii="Arial" w:hAnsi="Arial" w:cs="Arial"/>
          <w:sz w:val="20"/>
          <w:szCs w:val="20"/>
        </w:rPr>
        <w:t>superior</w:t>
      </w:r>
      <w:r w:rsidR="000E5CE3" w:rsidRPr="00891EFE">
        <w:rPr>
          <w:rFonts w:ascii="Arial" w:hAnsi="Arial" w:cs="Arial"/>
          <w:sz w:val="20"/>
          <w:szCs w:val="20"/>
        </w:rPr>
        <w:t xml:space="preserve"> al 90% </w:t>
      </w:r>
      <w:r w:rsidR="0039307C" w:rsidRPr="00891EFE">
        <w:rPr>
          <w:rFonts w:ascii="Arial" w:hAnsi="Arial" w:cs="Arial"/>
          <w:sz w:val="20"/>
          <w:szCs w:val="20"/>
        </w:rPr>
        <w:t xml:space="preserve">cuando los pacientes alcanzan </w:t>
      </w:r>
      <w:r w:rsidR="000E5CE3" w:rsidRPr="00891EFE">
        <w:rPr>
          <w:rFonts w:ascii="Arial" w:hAnsi="Arial" w:cs="Arial"/>
          <w:sz w:val="20"/>
          <w:szCs w:val="20"/>
        </w:rPr>
        <w:t>los 1</w:t>
      </w:r>
      <w:r w:rsidR="007D5379" w:rsidRPr="00891EFE">
        <w:rPr>
          <w:rFonts w:ascii="Arial" w:hAnsi="Arial" w:cs="Arial"/>
          <w:sz w:val="20"/>
          <w:szCs w:val="20"/>
        </w:rPr>
        <w:t>4</w:t>
      </w:r>
      <w:r w:rsidR="000E5CE3" w:rsidRPr="00891EFE">
        <w:rPr>
          <w:rFonts w:ascii="Arial" w:hAnsi="Arial" w:cs="Arial"/>
          <w:sz w:val="20"/>
          <w:szCs w:val="20"/>
        </w:rPr>
        <w:t xml:space="preserve"> meses de </w:t>
      </w:r>
      <w:r w:rsidR="00444B40" w:rsidRPr="00891EFE">
        <w:rPr>
          <w:rFonts w:ascii="Arial" w:hAnsi="Arial" w:cs="Arial"/>
          <w:sz w:val="20"/>
          <w:szCs w:val="20"/>
        </w:rPr>
        <w:t>edad</w:t>
      </w:r>
      <w:r w:rsidR="0039307C" w:rsidRPr="00891EFE">
        <w:rPr>
          <w:rFonts w:ascii="Arial" w:hAnsi="Arial" w:cs="Arial"/>
          <w:sz w:val="20"/>
          <w:szCs w:val="20"/>
        </w:rPr>
        <w:t>. Además, entre un 64-85% de ello</w:t>
      </w:r>
      <w:r w:rsidR="000E5CE3" w:rsidRPr="00891EFE">
        <w:rPr>
          <w:rFonts w:ascii="Arial" w:hAnsi="Arial" w:cs="Arial"/>
          <w:sz w:val="20"/>
          <w:szCs w:val="20"/>
        </w:rPr>
        <w:t>s logran alcanzar hitos motores como el control de la cabeza o la capacidad de sentarse sin apoyo. Un paciente (4,5%) pudo incluso caminar con ayuda a los 12,9 meses. Tres pacientes no alcanzaron ningún objetivo motor (13,6%) y seis pacientes (27,2%) lograron control de la cabeza como objetivo motor máximo antes de la visita final del estudio a los 18 meses de edad</w:t>
      </w:r>
      <w:r w:rsidR="001D0D24" w:rsidRPr="00891EFE">
        <w:rPr>
          <w:rFonts w:ascii="Arial" w:hAnsi="Arial" w:cs="Arial"/>
          <w:sz w:val="20"/>
          <w:szCs w:val="20"/>
        </w:rPr>
        <w:t>.</w:t>
      </w:r>
    </w:p>
    <w:p w14:paraId="6DA82EDB" w14:textId="77777777" w:rsidR="004F0B1B" w:rsidRPr="00891EFE" w:rsidRDefault="004F0B1B" w:rsidP="006A4D7F">
      <w:pPr>
        <w:pStyle w:val="Prrafodelista"/>
        <w:ind w:left="567"/>
        <w:jc w:val="both"/>
        <w:rPr>
          <w:rFonts w:ascii="Arial" w:hAnsi="Arial" w:cs="Arial"/>
          <w:sz w:val="20"/>
          <w:szCs w:val="20"/>
        </w:rPr>
      </w:pPr>
    </w:p>
    <w:p w14:paraId="473C94EA" w14:textId="0634B953" w:rsidR="0042573A" w:rsidRPr="00891EFE" w:rsidRDefault="0060785D" w:rsidP="006A4D7F">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Estos datos son coherentes con el otro estudio publicado</w:t>
      </w:r>
      <w:r w:rsidR="000E5CE3" w:rsidRPr="00891EFE">
        <w:rPr>
          <w:rFonts w:ascii="Arial" w:hAnsi="Arial" w:cs="Arial"/>
          <w:sz w:val="20"/>
          <w:szCs w:val="20"/>
        </w:rPr>
        <w:t xml:space="preserve"> (SPR1NT) en </w:t>
      </w:r>
      <w:r w:rsidR="0039307C" w:rsidRPr="00891EFE">
        <w:rPr>
          <w:rFonts w:ascii="Arial" w:hAnsi="Arial" w:cs="Arial"/>
          <w:sz w:val="20"/>
          <w:szCs w:val="20"/>
        </w:rPr>
        <w:t xml:space="preserve">30 </w:t>
      </w:r>
      <w:r w:rsidR="000E5CE3" w:rsidRPr="00891EFE">
        <w:rPr>
          <w:rFonts w:ascii="Arial" w:hAnsi="Arial" w:cs="Arial"/>
          <w:sz w:val="20"/>
          <w:szCs w:val="20"/>
        </w:rPr>
        <w:t xml:space="preserve">pacientes </w:t>
      </w:r>
      <w:r w:rsidR="00A86B66" w:rsidRPr="00891EFE">
        <w:rPr>
          <w:rFonts w:ascii="Arial" w:hAnsi="Arial" w:cs="Arial"/>
          <w:sz w:val="20"/>
          <w:szCs w:val="20"/>
        </w:rPr>
        <w:t xml:space="preserve">menores de 6 semanas </w:t>
      </w:r>
      <w:r w:rsidR="000E5CE3" w:rsidRPr="00403A1F">
        <w:rPr>
          <w:rFonts w:ascii="Arial" w:hAnsi="Arial" w:cs="Arial"/>
          <w:b/>
          <w:sz w:val="20"/>
          <w:szCs w:val="20"/>
        </w:rPr>
        <w:t>presintomáticos</w:t>
      </w:r>
      <w:r w:rsidR="00E56361">
        <w:rPr>
          <w:rFonts w:ascii="Arial" w:hAnsi="Arial" w:cs="Arial"/>
          <w:sz w:val="20"/>
          <w:szCs w:val="20"/>
        </w:rPr>
        <w:t xml:space="preserve"> y 2 o 3 copias de SMN2</w:t>
      </w:r>
      <w:r w:rsidR="004F0B1B" w:rsidRPr="00891EFE">
        <w:rPr>
          <w:rFonts w:ascii="Arial" w:hAnsi="Arial" w:cs="Arial"/>
          <w:sz w:val="20"/>
          <w:szCs w:val="20"/>
          <w:vertAlign w:val="superscript"/>
        </w:rPr>
        <w:fldChar w:fldCharType="begin"/>
      </w:r>
      <w:r w:rsidR="004F0B1B" w:rsidRPr="00891EFE">
        <w:rPr>
          <w:rFonts w:ascii="Arial" w:hAnsi="Arial" w:cs="Arial"/>
          <w:sz w:val="20"/>
          <w:szCs w:val="20"/>
          <w:vertAlign w:val="superscript"/>
        </w:rPr>
        <w:instrText xml:space="preserve"> NOTEREF _Ref52276661 \h  \* MERGEFORMAT </w:instrText>
      </w:r>
      <w:r w:rsidR="004F0B1B" w:rsidRPr="00891EFE">
        <w:rPr>
          <w:rFonts w:ascii="Arial" w:hAnsi="Arial" w:cs="Arial"/>
          <w:sz w:val="20"/>
          <w:szCs w:val="20"/>
          <w:vertAlign w:val="superscript"/>
        </w:rPr>
      </w:r>
      <w:r w:rsidR="004F0B1B" w:rsidRPr="00891EFE">
        <w:rPr>
          <w:rFonts w:ascii="Arial" w:hAnsi="Arial" w:cs="Arial"/>
          <w:sz w:val="20"/>
          <w:szCs w:val="20"/>
          <w:vertAlign w:val="superscript"/>
        </w:rPr>
        <w:fldChar w:fldCharType="separate"/>
      </w:r>
      <w:r w:rsidR="00E277F2">
        <w:rPr>
          <w:rFonts w:ascii="Arial" w:hAnsi="Arial" w:cs="Arial"/>
          <w:sz w:val="20"/>
          <w:szCs w:val="20"/>
          <w:vertAlign w:val="superscript"/>
        </w:rPr>
        <w:t>17</w:t>
      </w:r>
      <w:r w:rsidR="004F0B1B" w:rsidRPr="00891EFE">
        <w:rPr>
          <w:rFonts w:ascii="Arial" w:hAnsi="Arial" w:cs="Arial"/>
          <w:sz w:val="20"/>
          <w:szCs w:val="20"/>
          <w:vertAlign w:val="superscript"/>
        </w:rPr>
        <w:fldChar w:fldCharType="end"/>
      </w:r>
      <w:r w:rsidR="000E5CE3" w:rsidRPr="00891EFE">
        <w:rPr>
          <w:rFonts w:ascii="Arial" w:hAnsi="Arial" w:cs="Arial"/>
          <w:sz w:val="20"/>
          <w:szCs w:val="20"/>
        </w:rPr>
        <w:t xml:space="preserve"> en el que, tras 11 meses de seguimiento, todos los pacientes estaban vivos y sin ventilación permanente y cuatro pacientes alcanzaron el obj</w:t>
      </w:r>
      <w:r w:rsidR="004F0B1B" w:rsidRPr="00891EFE">
        <w:rPr>
          <w:rFonts w:ascii="Arial" w:hAnsi="Arial" w:cs="Arial"/>
          <w:sz w:val="20"/>
          <w:szCs w:val="20"/>
        </w:rPr>
        <w:t>etivo de caminar solos (28,6%).</w:t>
      </w:r>
      <w:r w:rsidR="0021552C" w:rsidRPr="00891EFE">
        <w:rPr>
          <w:rFonts w:ascii="Arial" w:hAnsi="Arial" w:cs="Arial"/>
          <w:sz w:val="20"/>
          <w:szCs w:val="20"/>
        </w:rPr>
        <w:t xml:space="preserve"> Esta situación no es habitual, ya que actualmente el cribado de esta enfermedad no se realiza rutinariamente. Lo habitual es el diagnóstico tras la aparición de los primeros síntomas.</w:t>
      </w:r>
    </w:p>
    <w:p w14:paraId="44DBD393" w14:textId="77777777" w:rsidR="004F0B1B" w:rsidRPr="00891EFE" w:rsidRDefault="004F0B1B" w:rsidP="006A4D7F">
      <w:pPr>
        <w:pStyle w:val="Prrafodelista"/>
        <w:ind w:left="567"/>
        <w:jc w:val="both"/>
        <w:rPr>
          <w:rFonts w:ascii="Arial" w:hAnsi="Arial" w:cs="Arial"/>
          <w:sz w:val="20"/>
          <w:szCs w:val="20"/>
        </w:rPr>
      </w:pPr>
    </w:p>
    <w:p w14:paraId="66FAF10A" w14:textId="14777D9A" w:rsidR="00A86B66" w:rsidRPr="00891EFE" w:rsidRDefault="0060785D" w:rsidP="00A86B66">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Ambos estudios tienen el problema de su diseño no comparativo, lo que impide dimensionar la magnitud del efecto del fármaco</w:t>
      </w:r>
      <w:r w:rsidR="001D0D24" w:rsidRPr="00891EFE">
        <w:rPr>
          <w:rFonts w:ascii="Arial" w:hAnsi="Arial" w:cs="Arial"/>
          <w:sz w:val="20"/>
          <w:szCs w:val="20"/>
        </w:rPr>
        <w:t>,</w:t>
      </w:r>
      <w:r w:rsidR="0042573A" w:rsidRPr="00891EFE">
        <w:rPr>
          <w:rFonts w:ascii="Arial" w:hAnsi="Arial" w:cs="Arial"/>
          <w:sz w:val="20"/>
          <w:szCs w:val="20"/>
        </w:rPr>
        <w:t xml:space="preserve"> así como su impacto en la práctica clínica. El escaso tamaño muestral y el corto período de seguimiento también añaden incertidumbres a la duración d</w:t>
      </w:r>
      <w:r w:rsidR="000747CF" w:rsidRPr="00891EFE">
        <w:rPr>
          <w:rFonts w:ascii="Arial" w:hAnsi="Arial" w:cs="Arial"/>
          <w:sz w:val="20"/>
          <w:szCs w:val="20"/>
        </w:rPr>
        <w:t>e la eficacia de la dosis única.</w:t>
      </w:r>
    </w:p>
    <w:p w14:paraId="1A5AD5C8" w14:textId="77777777" w:rsidR="000747CF" w:rsidRPr="00891EFE" w:rsidRDefault="000747CF" w:rsidP="006A4D7F">
      <w:pPr>
        <w:ind w:left="567" w:hanging="283"/>
        <w:jc w:val="both"/>
        <w:rPr>
          <w:rFonts w:ascii="Arial" w:hAnsi="Arial" w:cs="Arial"/>
          <w:sz w:val="20"/>
          <w:szCs w:val="20"/>
        </w:rPr>
      </w:pPr>
    </w:p>
    <w:p w14:paraId="16AFA5C3" w14:textId="77777777" w:rsidR="0060785D" w:rsidRPr="00891EFE" w:rsidRDefault="0060785D" w:rsidP="006A4D7F">
      <w:pPr>
        <w:pStyle w:val="Prrafodelista"/>
        <w:numPr>
          <w:ilvl w:val="0"/>
          <w:numId w:val="8"/>
        </w:numPr>
        <w:ind w:left="284"/>
        <w:jc w:val="both"/>
        <w:rPr>
          <w:rFonts w:ascii="Arial" w:hAnsi="Arial" w:cs="Arial"/>
          <w:b/>
          <w:bCs/>
          <w:sz w:val="20"/>
          <w:szCs w:val="20"/>
        </w:rPr>
      </w:pPr>
      <w:r w:rsidRPr="00891EFE">
        <w:rPr>
          <w:rFonts w:ascii="Arial" w:hAnsi="Arial" w:cs="Arial"/>
          <w:b/>
          <w:bCs/>
          <w:sz w:val="20"/>
          <w:szCs w:val="20"/>
        </w:rPr>
        <w:t>Seguridad:</w:t>
      </w:r>
    </w:p>
    <w:p w14:paraId="79CC89FB" w14:textId="77777777" w:rsidR="004F0B1B" w:rsidRPr="00891EFE" w:rsidRDefault="004F0B1B" w:rsidP="006A4D7F">
      <w:pPr>
        <w:pStyle w:val="Prrafodelista"/>
        <w:ind w:left="284"/>
        <w:jc w:val="both"/>
        <w:rPr>
          <w:rFonts w:ascii="Arial" w:hAnsi="Arial" w:cs="Arial"/>
          <w:b/>
          <w:bCs/>
          <w:sz w:val="20"/>
          <w:szCs w:val="20"/>
        </w:rPr>
      </w:pPr>
    </w:p>
    <w:p w14:paraId="10A0F6F0" w14:textId="2CCBAE71" w:rsidR="0060785D" w:rsidRPr="00891EFE" w:rsidRDefault="009F371C" w:rsidP="006A4D7F">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Las reacciones adversas comunicadas con más frecuencia tras la administración fueron el aumento transitorio d</w:t>
      </w:r>
      <w:r w:rsidR="004F0B1B" w:rsidRPr="00891EFE">
        <w:rPr>
          <w:rFonts w:ascii="Arial" w:hAnsi="Arial" w:cs="Arial"/>
          <w:sz w:val="20"/>
          <w:szCs w:val="20"/>
        </w:rPr>
        <w:t>e transaminasas hepáticas (12,4</w:t>
      </w:r>
      <w:r w:rsidRPr="00891EFE">
        <w:rPr>
          <w:rFonts w:ascii="Arial" w:hAnsi="Arial" w:cs="Arial"/>
          <w:sz w:val="20"/>
          <w:szCs w:val="20"/>
        </w:rPr>
        <w:t>%) y vómitos (8,2%). Otras reacciones adversas frecuentes fueron trombocitopenia, pirexia y elevación de troponina I.</w:t>
      </w:r>
    </w:p>
    <w:p w14:paraId="71B6A608" w14:textId="77777777" w:rsidR="004F0B1B" w:rsidRPr="00891EFE" w:rsidRDefault="004F0B1B" w:rsidP="006A4D7F">
      <w:pPr>
        <w:pStyle w:val="Prrafodelista"/>
        <w:ind w:left="567"/>
        <w:jc w:val="both"/>
        <w:rPr>
          <w:rFonts w:ascii="Arial" w:hAnsi="Arial" w:cs="Arial"/>
          <w:sz w:val="20"/>
          <w:szCs w:val="20"/>
        </w:rPr>
      </w:pPr>
    </w:p>
    <w:p w14:paraId="63A1E1BB" w14:textId="4957A763" w:rsidR="004F0B1B" w:rsidRPr="00891EFE" w:rsidRDefault="004F0B1B" w:rsidP="006A4D7F">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 xml:space="preserve">Los principales efectos adversos graves estaban relacionados con el aparato respiratorio (distrés respiratorio, bronquiolitis y fallo </w:t>
      </w:r>
      <w:r w:rsidR="0039307C" w:rsidRPr="00891EFE">
        <w:rPr>
          <w:rFonts w:ascii="Arial" w:hAnsi="Arial" w:cs="Arial"/>
          <w:sz w:val="20"/>
          <w:szCs w:val="20"/>
        </w:rPr>
        <w:t>respiratorio</w:t>
      </w:r>
      <w:r w:rsidRPr="00891EFE">
        <w:rPr>
          <w:rFonts w:ascii="Arial" w:hAnsi="Arial" w:cs="Arial"/>
          <w:sz w:val="20"/>
          <w:szCs w:val="20"/>
        </w:rPr>
        <w:t>).</w:t>
      </w:r>
    </w:p>
    <w:p w14:paraId="4B395C5B" w14:textId="77777777" w:rsidR="000747CF" w:rsidRPr="00891EFE" w:rsidRDefault="000747CF" w:rsidP="006A4D7F">
      <w:pPr>
        <w:pStyle w:val="Prrafodelista"/>
        <w:ind w:left="567"/>
        <w:jc w:val="both"/>
        <w:rPr>
          <w:rFonts w:ascii="Arial" w:hAnsi="Arial" w:cs="Arial"/>
          <w:sz w:val="20"/>
          <w:szCs w:val="20"/>
        </w:rPr>
      </w:pPr>
    </w:p>
    <w:p w14:paraId="413F29C6" w14:textId="51664B8C" w:rsidR="000747CF" w:rsidRPr="00891EFE" w:rsidRDefault="000747CF" w:rsidP="006A4D7F">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Debido al escaso tamaño muestral y al corto periodo de seguimiento, hay incertidumbre en cuanto a la posible aparición de efectos adversos tardíos y desconocidos con las terapias génicas.</w:t>
      </w:r>
    </w:p>
    <w:p w14:paraId="23DC085B" w14:textId="21BA949D" w:rsidR="000747CF" w:rsidRPr="00891EFE" w:rsidRDefault="000747CF" w:rsidP="006A4D7F">
      <w:pPr>
        <w:pStyle w:val="Prrafodelista"/>
        <w:shd w:val="clear" w:color="auto" w:fill="FFFFFF"/>
        <w:ind w:left="1440"/>
        <w:jc w:val="both"/>
        <w:rPr>
          <w:rFonts w:ascii="Arial" w:hAnsi="Arial" w:cs="Arial"/>
          <w:sz w:val="20"/>
          <w:szCs w:val="20"/>
        </w:rPr>
      </w:pPr>
    </w:p>
    <w:p w14:paraId="1A772A2C" w14:textId="32C2C170" w:rsidR="00A35382" w:rsidRPr="00891EFE" w:rsidRDefault="00940691" w:rsidP="00A35382">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Los ensayo</w:t>
      </w:r>
      <w:r w:rsidR="006922E2">
        <w:rPr>
          <w:rFonts w:ascii="Arial" w:hAnsi="Arial" w:cs="Arial"/>
          <w:sz w:val="20"/>
          <w:szCs w:val="20"/>
        </w:rPr>
        <w:t>s</w:t>
      </w:r>
      <w:r w:rsidRPr="00891EFE">
        <w:rPr>
          <w:rFonts w:ascii="Arial" w:hAnsi="Arial" w:cs="Arial"/>
          <w:sz w:val="20"/>
          <w:szCs w:val="20"/>
        </w:rPr>
        <w:t xml:space="preserve"> clínicos no incluyeron pacientes</w:t>
      </w:r>
      <w:r w:rsidR="00A35382" w:rsidRPr="00891EFE">
        <w:rPr>
          <w:rFonts w:ascii="Arial" w:hAnsi="Arial" w:cs="Arial"/>
          <w:sz w:val="20"/>
          <w:szCs w:val="20"/>
        </w:rPr>
        <w:t xml:space="preserve"> mayores de 6 meses, ni pacientes con AME tipo III, ni con más de tres copias de SMN2.</w:t>
      </w:r>
      <w:r w:rsidRPr="00891EFE">
        <w:rPr>
          <w:rFonts w:ascii="Arial" w:hAnsi="Arial" w:cs="Arial"/>
          <w:sz w:val="20"/>
          <w:szCs w:val="20"/>
        </w:rPr>
        <w:t xml:space="preserve"> Tampoco se incluyeron pacientes ya tratados con nusinersen, aunque algunos pacientes con resultados sub-óptimos lo recibieron posteriormente.</w:t>
      </w:r>
    </w:p>
    <w:p w14:paraId="36D66C47" w14:textId="77777777" w:rsidR="004F0B1B" w:rsidRPr="00891EFE" w:rsidRDefault="004F0B1B" w:rsidP="006A4D7F">
      <w:pPr>
        <w:jc w:val="both"/>
        <w:rPr>
          <w:rFonts w:ascii="Arial" w:hAnsi="Arial" w:cs="Arial"/>
          <w:sz w:val="20"/>
          <w:szCs w:val="20"/>
        </w:rPr>
      </w:pPr>
    </w:p>
    <w:p w14:paraId="0B563A7A" w14:textId="5D9B8FEF" w:rsidR="0039307C" w:rsidRPr="00891EFE" w:rsidRDefault="0039307C" w:rsidP="006A4D7F">
      <w:pPr>
        <w:pStyle w:val="Prrafodelista"/>
        <w:numPr>
          <w:ilvl w:val="0"/>
          <w:numId w:val="8"/>
        </w:numPr>
        <w:ind w:left="284"/>
        <w:jc w:val="both"/>
        <w:rPr>
          <w:rFonts w:ascii="Arial" w:hAnsi="Arial" w:cs="Arial"/>
          <w:b/>
          <w:bCs/>
          <w:sz w:val="20"/>
          <w:szCs w:val="20"/>
        </w:rPr>
      </w:pPr>
      <w:r w:rsidRPr="00891EFE">
        <w:rPr>
          <w:rFonts w:ascii="Arial" w:hAnsi="Arial" w:cs="Arial"/>
          <w:b/>
          <w:bCs/>
          <w:sz w:val="20"/>
          <w:szCs w:val="20"/>
        </w:rPr>
        <w:lastRenderedPageBreak/>
        <w:t>Adecuación:</w:t>
      </w:r>
    </w:p>
    <w:p w14:paraId="2A5FB3CB" w14:textId="77777777" w:rsidR="0039307C" w:rsidRPr="00891EFE" w:rsidRDefault="0039307C" w:rsidP="0039307C">
      <w:pPr>
        <w:pStyle w:val="Prrafodelista"/>
        <w:ind w:left="284"/>
        <w:jc w:val="both"/>
        <w:rPr>
          <w:rFonts w:ascii="Arial" w:hAnsi="Arial" w:cs="Arial"/>
          <w:b/>
          <w:bCs/>
          <w:sz w:val="20"/>
          <w:szCs w:val="20"/>
        </w:rPr>
      </w:pPr>
    </w:p>
    <w:p w14:paraId="3143C778" w14:textId="16D5FD36" w:rsidR="0039307C" w:rsidRPr="00891EFE" w:rsidRDefault="0039307C" w:rsidP="0039307C">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Onasemnogén abeparvovec es un fármaco de administración intravenosa única, mientras que la alternativa nusinersen se administra por vía intratecal cada cuatro meses a partir del segundo año, con un primer año con seis administraciones.</w:t>
      </w:r>
    </w:p>
    <w:p w14:paraId="73AEE00B" w14:textId="77777777" w:rsidR="0039307C" w:rsidRPr="00891EFE" w:rsidRDefault="0039307C" w:rsidP="0039307C">
      <w:pPr>
        <w:pStyle w:val="Prrafodelista"/>
        <w:ind w:left="567"/>
        <w:jc w:val="both"/>
        <w:rPr>
          <w:rFonts w:ascii="Arial" w:hAnsi="Arial" w:cs="Arial"/>
          <w:sz w:val="20"/>
          <w:szCs w:val="20"/>
        </w:rPr>
      </w:pPr>
    </w:p>
    <w:p w14:paraId="657289A8" w14:textId="77777777" w:rsidR="0060785D" w:rsidRPr="00891EFE" w:rsidRDefault="0060785D" w:rsidP="006A4D7F">
      <w:pPr>
        <w:pStyle w:val="Prrafodelista"/>
        <w:numPr>
          <w:ilvl w:val="0"/>
          <w:numId w:val="8"/>
        </w:numPr>
        <w:ind w:left="284"/>
        <w:jc w:val="both"/>
        <w:rPr>
          <w:rFonts w:ascii="Arial" w:hAnsi="Arial" w:cs="Arial"/>
          <w:b/>
          <w:bCs/>
          <w:sz w:val="20"/>
          <w:szCs w:val="20"/>
        </w:rPr>
      </w:pPr>
      <w:r w:rsidRPr="00891EFE">
        <w:rPr>
          <w:rFonts w:ascii="Arial" w:hAnsi="Arial" w:cs="Arial"/>
          <w:b/>
          <w:bCs/>
          <w:sz w:val="20"/>
          <w:szCs w:val="20"/>
        </w:rPr>
        <w:t>Evaluación económica e impacto presupuestario:</w:t>
      </w:r>
    </w:p>
    <w:p w14:paraId="78171CF8" w14:textId="77777777" w:rsidR="004F0B1B" w:rsidRPr="00891EFE" w:rsidRDefault="004F0B1B" w:rsidP="006A4D7F">
      <w:pPr>
        <w:pStyle w:val="Prrafodelista"/>
        <w:ind w:left="284"/>
        <w:jc w:val="both"/>
        <w:rPr>
          <w:rFonts w:ascii="Arial" w:hAnsi="Arial" w:cs="Arial"/>
          <w:b/>
          <w:bCs/>
          <w:sz w:val="20"/>
          <w:szCs w:val="20"/>
        </w:rPr>
      </w:pPr>
    </w:p>
    <w:p w14:paraId="7617E38B" w14:textId="20A4810C" w:rsidR="0060785D" w:rsidRPr="00891EFE" w:rsidRDefault="0053263B" w:rsidP="006A4D7F">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Onasemnogén abeparvovec no</w:t>
      </w:r>
      <w:r w:rsidR="0060785D" w:rsidRPr="00891EFE">
        <w:rPr>
          <w:rFonts w:ascii="Arial" w:hAnsi="Arial" w:cs="Arial"/>
          <w:sz w:val="20"/>
          <w:szCs w:val="20"/>
        </w:rPr>
        <w:t xml:space="preserve"> dispone de decisión de precio y financiación en España</w:t>
      </w:r>
      <w:r w:rsidRPr="00891EFE">
        <w:rPr>
          <w:rFonts w:ascii="Arial" w:hAnsi="Arial" w:cs="Arial"/>
          <w:sz w:val="20"/>
          <w:szCs w:val="20"/>
        </w:rPr>
        <w:t>. Todos los cálculos presentes en este informe se han realizado adoptando el precio de venta en E</w:t>
      </w:r>
      <w:r w:rsidR="000747CF" w:rsidRPr="00891EFE">
        <w:rPr>
          <w:rFonts w:ascii="Arial" w:hAnsi="Arial" w:cs="Arial"/>
          <w:sz w:val="20"/>
          <w:szCs w:val="20"/>
        </w:rPr>
        <w:t>EUU.</w:t>
      </w:r>
    </w:p>
    <w:p w14:paraId="56DC94D3" w14:textId="77777777" w:rsidR="0096467C" w:rsidRPr="00891EFE" w:rsidRDefault="0096467C" w:rsidP="0096467C">
      <w:pPr>
        <w:pStyle w:val="Prrafodelista"/>
        <w:ind w:left="567"/>
        <w:jc w:val="both"/>
        <w:rPr>
          <w:rFonts w:ascii="Arial" w:hAnsi="Arial" w:cs="Arial"/>
          <w:sz w:val="20"/>
          <w:szCs w:val="20"/>
        </w:rPr>
      </w:pPr>
    </w:p>
    <w:p w14:paraId="30726799" w14:textId="587F9EF5" w:rsidR="0096467C" w:rsidRPr="00891EFE" w:rsidRDefault="0096467C" w:rsidP="0096467C">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El coste total por paciente calculado asciende a 1.785.000 € (usando precios de venta en EEUU) mientras que el de la alternativa disponible en el mercado (nusinersen) es de 1.</w:t>
      </w:r>
      <w:r w:rsidR="00E606C3">
        <w:rPr>
          <w:rFonts w:ascii="Arial" w:hAnsi="Arial" w:cs="Arial"/>
          <w:sz w:val="20"/>
          <w:szCs w:val="20"/>
        </w:rPr>
        <w:t>965.600</w:t>
      </w:r>
      <w:r w:rsidRPr="00891EFE">
        <w:rPr>
          <w:rFonts w:ascii="Arial" w:hAnsi="Arial" w:cs="Arial"/>
          <w:sz w:val="20"/>
          <w:szCs w:val="20"/>
        </w:rPr>
        <w:t xml:space="preserve"> € (en un</w:t>
      </w:r>
      <w:r w:rsidR="007A2E00">
        <w:rPr>
          <w:rFonts w:ascii="Arial" w:hAnsi="Arial" w:cs="Arial"/>
          <w:sz w:val="20"/>
          <w:szCs w:val="20"/>
        </w:rPr>
        <w:t xml:space="preserve"> horizonte temporal de 8 años), 1.671.300 € en el caso de aplicar un descuento comercial del 15%.</w:t>
      </w:r>
    </w:p>
    <w:p w14:paraId="6772228E" w14:textId="77777777" w:rsidR="000747CF" w:rsidRPr="00891EFE" w:rsidRDefault="000747CF" w:rsidP="006A4D7F">
      <w:pPr>
        <w:pStyle w:val="Prrafodelista"/>
        <w:ind w:left="567" w:hanging="283"/>
        <w:jc w:val="both"/>
        <w:rPr>
          <w:rFonts w:ascii="Arial" w:hAnsi="Arial" w:cs="Arial"/>
          <w:sz w:val="20"/>
          <w:szCs w:val="20"/>
        </w:rPr>
      </w:pPr>
    </w:p>
    <w:p w14:paraId="0D8152D2" w14:textId="5803288D" w:rsidR="0060785D" w:rsidRPr="00891EFE" w:rsidRDefault="0060785D" w:rsidP="006A4D7F">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 xml:space="preserve">Se ha encontrado en la literatura </w:t>
      </w:r>
      <w:r w:rsidR="0053263B" w:rsidRPr="00891EFE">
        <w:rPr>
          <w:rFonts w:ascii="Arial" w:hAnsi="Arial" w:cs="Arial"/>
          <w:sz w:val="20"/>
          <w:szCs w:val="20"/>
        </w:rPr>
        <w:t>una</w:t>
      </w:r>
      <w:r w:rsidRPr="00891EFE">
        <w:rPr>
          <w:rFonts w:ascii="Arial" w:hAnsi="Arial" w:cs="Arial"/>
          <w:sz w:val="20"/>
          <w:szCs w:val="20"/>
        </w:rPr>
        <w:t xml:space="preserve"> evaluaci</w:t>
      </w:r>
      <w:r w:rsidR="0053263B" w:rsidRPr="00891EFE">
        <w:rPr>
          <w:rFonts w:ascii="Arial" w:hAnsi="Arial" w:cs="Arial"/>
          <w:sz w:val="20"/>
          <w:szCs w:val="20"/>
        </w:rPr>
        <w:t>ón</w:t>
      </w:r>
      <w:r w:rsidRPr="00891EFE">
        <w:rPr>
          <w:rFonts w:ascii="Arial" w:hAnsi="Arial" w:cs="Arial"/>
          <w:sz w:val="20"/>
          <w:szCs w:val="20"/>
        </w:rPr>
        <w:t xml:space="preserve"> económica</w:t>
      </w:r>
      <w:r w:rsidR="000747CF" w:rsidRPr="00891EFE">
        <w:rPr>
          <w:rFonts w:ascii="Arial" w:hAnsi="Arial" w:cs="Arial"/>
          <w:sz w:val="20"/>
          <w:szCs w:val="20"/>
          <w:vertAlign w:val="superscript"/>
        </w:rPr>
        <w:fldChar w:fldCharType="begin"/>
      </w:r>
      <w:r w:rsidR="000747CF" w:rsidRPr="00891EFE">
        <w:rPr>
          <w:rFonts w:ascii="Arial" w:hAnsi="Arial" w:cs="Arial"/>
          <w:sz w:val="20"/>
          <w:szCs w:val="20"/>
          <w:vertAlign w:val="superscript"/>
        </w:rPr>
        <w:instrText xml:space="preserve"> NOTEREF _Ref52799961 \h  \* MERGEFORMAT </w:instrText>
      </w:r>
      <w:r w:rsidR="000747CF" w:rsidRPr="00891EFE">
        <w:rPr>
          <w:rFonts w:ascii="Arial" w:hAnsi="Arial" w:cs="Arial"/>
          <w:sz w:val="20"/>
          <w:szCs w:val="20"/>
          <w:vertAlign w:val="superscript"/>
        </w:rPr>
      </w:r>
      <w:r w:rsidR="000747CF" w:rsidRPr="00891EFE">
        <w:rPr>
          <w:rFonts w:ascii="Arial" w:hAnsi="Arial" w:cs="Arial"/>
          <w:sz w:val="20"/>
          <w:szCs w:val="20"/>
          <w:vertAlign w:val="superscript"/>
        </w:rPr>
        <w:fldChar w:fldCharType="separate"/>
      </w:r>
      <w:r w:rsidR="00E277F2">
        <w:rPr>
          <w:rFonts w:ascii="Arial" w:hAnsi="Arial" w:cs="Arial"/>
          <w:sz w:val="20"/>
          <w:szCs w:val="20"/>
          <w:vertAlign w:val="superscript"/>
        </w:rPr>
        <w:t>28</w:t>
      </w:r>
      <w:r w:rsidR="000747CF" w:rsidRPr="00891EFE">
        <w:rPr>
          <w:rFonts w:ascii="Arial" w:hAnsi="Arial" w:cs="Arial"/>
          <w:sz w:val="20"/>
          <w:szCs w:val="20"/>
          <w:vertAlign w:val="superscript"/>
        </w:rPr>
        <w:fldChar w:fldCharType="end"/>
      </w:r>
      <w:r w:rsidRPr="00891EFE">
        <w:rPr>
          <w:rFonts w:ascii="Arial" w:hAnsi="Arial" w:cs="Arial"/>
          <w:sz w:val="20"/>
          <w:szCs w:val="20"/>
        </w:rPr>
        <w:t xml:space="preserve"> publicada en el ámbito de EEUU</w:t>
      </w:r>
      <w:r w:rsidR="00DD3E10" w:rsidRPr="00891EFE">
        <w:rPr>
          <w:rFonts w:ascii="Arial" w:hAnsi="Arial" w:cs="Arial"/>
          <w:sz w:val="20"/>
          <w:szCs w:val="20"/>
        </w:rPr>
        <w:t xml:space="preserve"> realizada por el laboratorio fabricante</w:t>
      </w:r>
      <w:r w:rsidRPr="00891EFE">
        <w:rPr>
          <w:rFonts w:ascii="Arial" w:hAnsi="Arial" w:cs="Arial"/>
          <w:sz w:val="20"/>
          <w:szCs w:val="20"/>
        </w:rPr>
        <w:t xml:space="preserve">. </w:t>
      </w:r>
      <w:r w:rsidR="0053263B" w:rsidRPr="00891EFE">
        <w:rPr>
          <w:rFonts w:ascii="Arial" w:hAnsi="Arial" w:cs="Arial"/>
          <w:sz w:val="20"/>
          <w:szCs w:val="20"/>
        </w:rPr>
        <w:t>S</w:t>
      </w:r>
      <w:r w:rsidRPr="00891EFE">
        <w:rPr>
          <w:rFonts w:ascii="Arial" w:hAnsi="Arial" w:cs="Arial"/>
          <w:sz w:val="20"/>
          <w:szCs w:val="20"/>
        </w:rPr>
        <w:t xml:space="preserve">itúa </w:t>
      </w:r>
      <w:r w:rsidR="0039307C" w:rsidRPr="00891EFE">
        <w:rPr>
          <w:rFonts w:ascii="Arial" w:hAnsi="Arial" w:cs="Arial"/>
          <w:sz w:val="20"/>
          <w:szCs w:val="20"/>
        </w:rPr>
        <w:t>a</w:t>
      </w:r>
      <w:r w:rsidRPr="00891EFE">
        <w:rPr>
          <w:rFonts w:ascii="Arial" w:hAnsi="Arial" w:cs="Arial"/>
          <w:sz w:val="20"/>
          <w:szCs w:val="20"/>
        </w:rPr>
        <w:t>l</w:t>
      </w:r>
      <w:r w:rsidR="0053263B" w:rsidRPr="00891EFE">
        <w:rPr>
          <w:rFonts w:ascii="Arial" w:hAnsi="Arial" w:cs="Arial"/>
          <w:sz w:val="20"/>
          <w:szCs w:val="20"/>
        </w:rPr>
        <w:t xml:space="preserve"> fármaco como dominante en su</w:t>
      </w:r>
      <w:r w:rsidRPr="00891EFE">
        <w:rPr>
          <w:rFonts w:ascii="Arial" w:hAnsi="Arial" w:cs="Arial"/>
          <w:sz w:val="20"/>
          <w:szCs w:val="20"/>
        </w:rPr>
        <w:t xml:space="preserve"> RC</w:t>
      </w:r>
      <w:r w:rsidR="0053263B" w:rsidRPr="00891EFE">
        <w:rPr>
          <w:rFonts w:ascii="Arial" w:hAnsi="Arial" w:cs="Arial"/>
          <w:sz w:val="20"/>
          <w:szCs w:val="20"/>
        </w:rPr>
        <w:t>U</w:t>
      </w:r>
      <w:r w:rsidRPr="00891EFE">
        <w:rPr>
          <w:rFonts w:ascii="Arial" w:hAnsi="Arial" w:cs="Arial"/>
          <w:sz w:val="20"/>
          <w:szCs w:val="20"/>
        </w:rPr>
        <w:t>I</w:t>
      </w:r>
      <w:r w:rsidR="0053263B" w:rsidRPr="00891EFE">
        <w:rPr>
          <w:rFonts w:ascii="Arial" w:hAnsi="Arial" w:cs="Arial"/>
          <w:sz w:val="20"/>
          <w:szCs w:val="20"/>
        </w:rPr>
        <w:t xml:space="preserve"> respecto a </w:t>
      </w:r>
      <w:r w:rsidR="006C54DA" w:rsidRPr="00891EFE">
        <w:rPr>
          <w:rFonts w:ascii="Arial" w:hAnsi="Arial" w:cs="Arial"/>
          <w:sz w:val="20"/>
          <w:szCs w:val="20"/>
        </w:rPr>
        <w:t>n</w:t>
      </w:r>
      <w:r w:rsidR="0053263B" w:rsidRPr="00891EFE">
        <w:rPr>
          <w:rFonts w:ascii="Arial" w:hAnsi="Arial" w:cs="Arial"/>
          <w:sz w:val="20"/>
          <w:szCs w:val="20"/>
        </w:rPr>
        <w:t>usinersen (en un rango de coste del fármaco desde $2M a $4M</w:t>
      </w:r>
      <w:r w:rsidR="0096467C" w:rsidRPr="00891EFE">
        <w:rPr>
          <w:rFonts w:ascii="Arial" w:hAnsi="Arial" w:cs="Arial"/>
          <w:sz w:val="20"/>
          <w:szCs w:val="20"/>
        </w:rPr>
        <w:t>) o con un RCUI de $31.379/AVAC</w:t>
      </w:r>
      <w:r w:rsidRPr="00891EFE">
        <w:rPr>
          <w:rFonts w:ascii="Arial" w:hAnsi="Arial" w:cs="Arial"/>
          <w:sz w:val="20"/>
          <w:szCs w:val="20"/>
        </w:rPr>
        <w:t xml:space="preserve"> </w:t>
      </w:r>
      <w:r w:rsidR="0053263B" w:rsidRPr="00891EFE">
        <w:rPr>
          <w:rFonts w:ascii="Arial" w:hAnsi="Arial" w:cs="Arial"/>
          <w:sz w:val="20"/>
          <w:szCs w:val="20"/>
        </w:rPr>
        <w:t>si el precio de adquisición del fármaco fuera de $5M.</w:t>
      </w:r>
      <w:r w:rsidRPr="00891EFE">
        <w:rPr>
          <w:rFonts w:ascii="Arial" w:hAnsi="Arial" w:cs="Arial"/>
          <w:sz w:val="20"/>
          <w:szCs w:val="20"/>
        </w:rPr>
        <w:t xml:space="preserve"> </w:t>
      </w:r>
      <w:r w:rsidR="00DD3E10" w:rsidRPr="00891EFE">
        <w:rPr>
          <w:rFonts w:ascii="Arial" w:hAnsi="Arial" w:cs="Arial"/>
          <w:sz w:val="20"/>
          <w:szCs w:val="20"/>
        </w:rPr>
        <w:t>Ti</w:t>
      </w:r>
      <w:r w:rsidRPr="00891EFE">
        <w:rPr>
          <w:rFonts w:ascii="Arial" w:hAnsi="Arial" w:cs="Arial"/>
          <w:sz w:val="20"/>
          <w:szCs w:val="20"/>
        </w:rPr>
        <w:t xml:space="preserve">ene como </w:t>
      </w:r>
      <w:r w:rsidR="00DD3E10" w:rsidRPr="00891EFE">
        <w:rPr>
          <w:rFonts w:ascii="Arial" w:hAnsi="Arial" w:cs="Arial"/>
          <w:sz w:val="20"/>
          <w:szCs w:val="20"/>
        </w:rPr>
        <w:t>principal limitación</w:t>
      </w:r>
      <w:r w:rsidR="0039307C" w:rsidRPr="00891EFE">
        <w:rPr>
          <w:rFonts w:ascii="Arial" w:hAnsi="Arial" w:cs="Arial"/>
          <w:sz w:val="20"/>
          <w:szCs w:val="20"/>
        </w:rPr>
        <w:t>, a parte del conflicto de intereses,</w:t>
      </w:r>
      <w:r w:rsidR="00DD3E10" w:rsidRPr="00891EFE">
        <w:rPr>
          <w:rFonts w:ascii="Arial" w:hAnsi="Arial" w:cs="Arial"/>
          <w:sz w:val="20"/>
          <w:szCs w:val="20"/>
        </w:rPr>
        <w:t xml:space="preserve"> </w:t>
      </w:r>
      <w:r w:rsidR="0053263B" w:rsidRPr="00891EFE">
        <w:rPr>
          <w:rFonts w:ascii="Arial" w:hAnsi="Arial" w:cs="Arial"/>
          <w:sz w:val="20"/>
          <w:szCs w:val="20"/>
        </w:rPr>
        <w:t>que</w:t>
      </w:r>
      <w:r w:rsidR="00DD3E10" w:rsidRPr="00891EFE">
        <w:rPr>
          <w:rFonts w:ascii="Arial" w:hAnsi="Arial" w:cs="Arial"/>
          <w:sz w:val="20"/>
          <w:szCs w:val="20"/>
        </w:rPr>
        <w:t xml:space="preserve"> las</w:t>
      </w:r>
      <w:r w:rsidR="0053263B" w:rsidRPr="00891EFE">
        <w:rPr>
          <w:rFonts w:ascii="Arial" w:hAnsi="Arial" w:cs="Arial"/>
          <w:sz w:val="20"/>
          <w:szCs w:val="20"/>
        </w:rPr>
        <w:t xml:space="preserve"> comparaciones </w:t>
      </w:r>
      <w:r w:rsidR="00DD3E10" w:rsidRPr="00891EFE">
        <w:rPr>
          <w:rFonts w:ascii="Arial" w:hAnsi="Arial" w:cs="Arial"/>
          <w:sz w:val="20"/>
          <w:szCs w:val="20"/>
        </w:rPr>
        <w:t xml:space="preserve">se llevan a cabo </w:t>
      </w:r>
      <w:r w:rsidR="0053263B" w:rsidRPr="00891EFE">
        <w:rPr>
          <w:rFonts w:ascii="Arial" w:hAnsi="Arial" w:cs="Arial"/>
          <w:sz w:val="20"/>
          <w:szCs w:val="20"/>
        </w:rPr>
        <w:t>con estudios de un único brazo</w:t>
      </w:r>
      <w:r w:rsidR="00DD3E10" w:rsidRPr="00891EFE">
        <w:rPr>
          <w:rFonts w:ascii="Arial" w:hAnsi="Arial" w:cs="Arial"/>
          <w:sz w:val="20"/>
          <w:szCs w:val="20"/>
        </w:rPr>
        <w:t xml:space="preserve">. Además, </w:t>
      </w:r>
      <w:r w:rsidR="0053263B" w:rsidRPr="00891EFE">
        <w:rPr>
          <w:rFonts w:ascii="Arial" w:hAnsi="Arial" w:cs="Arial"/>
          <w:sz w:val="20"/>
          <w:szCs w:val="20"/>
        </w:rPr>
        <w:t>el escaso tiempo de seguimiento de los estudios obliga a que</w:t>
      </w:r>
      <w:r w:rsidR="0039307C" w:rsidRPr="00891EFE">
        <w:rPr>
          <w:rFonts w:ascii="Arial" w:hAnsi="Arial" w:cs="Arial"/>
          <w:sz w:val="20"/>
          <w:szCs w:val="20"/>
        </w:rPr>
        <w:t>,</w:t>
      </w:r>
      <w:r w:rsidR="0053263B" w:rsidRPr="00891EFE">
        <w:rPr>
          <w:rFonts w:ascii="Arial" w:hAnsi="Arial" w:cs="Arial"/>
          <w:sz w:val="20"/>
          <w:szCs w:val="20"/>
        </w:rPr>
        <w:t xml:space="preserve"> </w:t>
      </w:r>
      <w:r w:rsidR="00DD3E10" w:rsidRPr="00891EFE">
        <w:rPr>
          <w:rFonts w:ascii="Arial" w:hAnsi="Arial" w:cs="Arial"/>
          <w:sz w:val="20"/>
          <w:szCs w:val="20"/>
        </w:rPr>
        <w:t xml:space="preserve">en </w:t>
      </w:r>
      <w:r w:rsidR="0053263B" w:rsidRPr="00891EFE">
        <w:rPr>
          <w:rFonts w:ascii="Arial" w:hAnsi="Arial" w:cs="Arial"/>
          <w:sz w:val="20"/>
          <w:szCs w:val="20"/>
        </w:rPr>
        <w:t>el modelo</w:t>
      </w:r>
      <w:r w:rsidR="0039307C" w:rsidRPr="00891EFE">
        <w:rPr>
          <w:rFonts w:ascii="Arial" w:hAnsi="Arial" w:cs="Arial"/>
          <w:sz w:val="20"/>
          <w:szCs w:val="20"/>
        </w:rPr>
        <w:t>,</w:t>
      </w:r>
      <w:r w:rsidR="0053263B" w:rsidRPr="00891EFE">
        <w:rPr>
          <w:rFonts w:ascii="Arial" w:hAnsi="Arial" w:cs="Arial"/>
          <w:sz w:val="20"/>
          <w:szCs w:val="20"/>
        </w:rPr>
        <w:t xml:space="preserve"> casi la totalidad de hitos motores y de supervivencia de los pacientes </w:t>
      </w:r>
      <w:r w:rsidR="00DD3E10" w:rsidRPr="00891EFE">
        <w:rPr>
          <w:rFonts w:ascii="Arial" w:hAnsi="Arial" w:cs="Arial"/>
          <w:sz w:val="20"/>
          <w:szCs w:val="20"/>
        </w:rPr>
        <w:t xml:space="preserve">se basen </w:t>
      </w:r>
      <w:r w:rsidR="0053263B" w:rsidRPr="00891EFE">
        <w:rPr>
          <w:rFonts w:ascii="Arial" w:hAnsi="Arial" w:cs="Arial"/>
          <w:sz w:val="20"/>
          <w:szCs w:val="20"/>
        </w:rPr>
        <w:t>en extrapolaciones, lo que influye enormemente en u</w:t>
      </w:r>
      <w:r w:rsidR="00DD3E10" w:rsidRPr="00891EFE">
        <w:rPr>
          <w:rFonts w:ascii="Arial" w:hAnsi="Arial" w:cs="Arial"/>
          <w:sz w:val="20"/>
          <w:szCs w:val="20"/>
        </w:rPr>
        <w:t>na evaluación coste-utilidad de un</w:t>
      </w:r>
      <w:r w:rsidR="0053263B" w:rsidRPr="00891EFE">
        <w:rPr>
          <w:rFonts w:ascii="Arial" w:hAnsi="Arial" w:cs="Arial"/>
          <w:sz w:val="20"/>
          <w:szCs w:val="20"/>
        </w:rPr>
        <w:t xml:space="preserve"> fármaco </w:t>
      </w:r>
      <w:r w:rsidR="00DD3E10" w:rsidRPr="00891EFE">
        <w:rPr>
          <w:rFonts w:ascii="Arial" w:hAnsi="Arial" w:cs="Arial"/>
          <w:sz w:val="20"/>
          <w:szCs w:val="20"/>
        </w:rPr>
        <w:t>con</w:t>
      </w:r>
      <w:r w:rsidR="0053263B" w:rsidRPr="00891EFE">
        <w:rPr>
          <w:rFonts w:ascii="Arial" w:hAnsi="Arial" w:cs="Arial"/>
          <w:sz w:val="20"/>
          <w:szCs w:val="20"/>
        </w:rPr>
        <w:t xml:space="preserve"> el horizonte temporal de la vida.</w:t>
      </w:r>
    </w:p>
    <w:p w14:paraId="035D862F" w14:textId="77777777" w:rsidR="000747CF" w:rsidRPr="00891EFE" w:rsidRDefault="000747CF" w:rsidP="006A4D7F">
      <w:pPr>
        <w:ind w:left="567" w:hanging="283"/>
        <w:jc w:val="both"/>
        <w:rPr>
          <w:rFonts w:ascii="Arial" w:hAnsi="Arial" w:cs="Arial"/>
          <w:sz w:val="20"/>
          <w:szCs w:val="20"/>
        </w:rPr>
      </w:pPr>
    </w:p>
    <w:p w14:paraId="61131474" w14:textId="00464F64" w:rsidR="00867A3E" w:rsidRPr="00891EFE" w:rsidRDefault="00DD3E10" w:rsidP="006A4D7F">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 xml:space="preserve">El </w:t>
      </w:r>
      <w:r w:rsidR="002B66DD" w:rsidRPr="00891EFE">
        <w:rPr>
          <w:rFonts w:ascii="Arial" w:hAnsi="Arial" w:cs="Arial"/>
          <w:sz w:val="20"/>
          <w:szCs w:val="20"/>
        </w:rPr>
        <w:t>ICER</w:t>
      </w:r>
      <w:r w:rsidR="0060785D" w:rsidRPr="00891EFE">
        <w:rPr>
          <w:rFonts w:ascii="Arial" w:hAnsi="Arial" w:cs="Arial"/>
          <w:sz w:val="20"/>
          <w:szCs w:val="20"/>
        </w:rPr>
        <w:t xml:space="preserve"> ha publicado su evaluación económica</w:t>
      </w:r>
      <w:r w:rsidRPr="00891EFE">
        <w:rPr>
          <w:rFonts w:ascii="Arial" w:hAnsi="Arial" w:cs="Arial"/>
          <w:sz w:val="20"/>
          <w:szCs w:val="20"/>
          <w:vertAlign w:val="superscript"/>
        </w:rPr>
        <w:fldChar w:fldCharType="begin"/>
      </w:r>
      <w:r w:rsidRPr="00891EFE">
        <w:rPr>
          <w:rFonts w:ascii="Arial" w:hAnsi="Arial" w:cs="Arial"/>
          <w:sz w:val="20"/>
          <w:szCs w:val="20"/>
          <w:vertAlign w:val="superscript"/>
        </w:rPr>
        <w:instrText xml:space="preserve"> NOTEREF _Ref52799698 \h  \* MERGEFORMAT </w:instrText>
      </w:r>
      <w:r w:rsidRPr="00891EFE">
        <w:rPr>
          <w:rFonts w:ascii="Arial" w:hAnsi="Arial" w:cs="Arial"/>
          <w:sz w:val="20"/>
          <w:szCs w:val="20"/>
          <w:vertAlign w:val="superscript"/>
        </w:rPr>
      </w:r>
      <w:r w:rsidRPr="00891EFE">
        <w:rPr>
          <w:rFonts w:ascii="Arial" w:hAnsi="Arial" w:cs="Arial"/>
          <w:sz w:val="20"/>
          <w:szCs w:val="20"/>
          <w:vertAlign w:val="superscript"/>
        </w:rPr>
        <w:fldChar w:fldCharType="separate"/>
      </w:r>
      <w:r w:rsidR="00E277F2">
        <w:rPr>
          <w:rFonts w:ascii="Arial" w:hAnsi="Arial" w:cs="Arial"/>
          <w:sz w:val="20"/>
          <w:szCs w:val="20"/>
          <w:vertAlign w:val="superscript"/>
        </w:rPr>
        <w:t>26</w:t>
      </w:r>
      <w:r w:rsidRPr="00891EFE">
        <w:rPr>
          <w:rFonts w:ascii="Arial" w:hAnsi="Arial" w:cs="Arial"/>
          <w:sz w:val="20"/>
          <w:szCs w:val="20"/>
          <w:vertAlign w:val="superscript"/>
        </w:rPr>
        <w:fldChar w:fldCharType="end"/>
      </w:r>
      <w:r w:rsidR="0060785D" w:rsidRPr="00891EFE">
        <w:rPr>
          <w:rFonts w:ascii="Arial" w:hAnsi="Arial" w:cs="Arial"/>
          <w:sz w:val="20"/>
          <w:szCs w:val="20"/>
        </w:rPr>
        <w:t xml:space="preserve"> </w:t>
      </w:r>
      <w:r w:rsidR="00867A3E" w:rsidRPr="00891EFE">
        <w:rPr>
          <w:rFonts w:ascii="Arial" w:hAnsi="Arial" w:cs="Arial"/>
          <w:sz w:val="20"/>
          <w:szCs w:val="20"/>
        </w:rPr>
        <w:t>en pacientes con AME tipo I en la que</w:t>
      </w:r>
      <w:r w:rsidR="0060785D" w:rsidRPr="00891EFE">
        <w:rPr>
          <w:rFonts w:ascii="Arial" w:hAnsi="Arial" w:cs="Arial"/>
          <w:sz w:val="20"/>
          <w:szCs w:val="20"/>
        </w:rPr>
        <w:t xml:space="preserve"> concluye que </w:t>
      </w:r>
      <w:r w:rsidR="00867A3E" w:rsidRPr="00891EFE">
        <w:rPr>
          <w:rFonts w:ascii="Arial" w:hAnsi="Arial" w:cs="Arial"/>
          <w:sz w:val="20"/>
          <w:szCs w:val="20"/>
        </w:rPr>
        <w:t xml:space="preserve">el RCUI respecto a nusinersen es </w:t>
      </w:r>
      <w:r w:rsidR="002B66DD" w:rsidRPr="00891EFE">
        <w:rPr>
          <w:rFonts w:ascii="Arial" w:hAnsi="Arial" w:cs="Arial"/>
          <w:sz w:val="20"/>
          <w:szCs w:val="20"/>
        </w:rPr>
        <w:t>de aproximadamente $</w:t>
      </w:r>
      <w:r w:rsidR="00867A3E" w:rsidRPr="00891EFE">
        <w:rPr>
          <w:rFonts w:ascii="Arial" w:hAnsi="Arial" w:cs="Arial"/>
          <w:sz w:val="20"/>
          <w:szCs w:val="20"/>
        </w:rPr>
        <w:t>139.000</w:t>
      </w:r>
      <w:r w:rsidR="002B66DD" w:rsidRPr="00891EFE">
        <w:rPr>
          <w:rFonts w:ascii="Arial" w:hAnsi="Arial" w:cs="Arial"/>
          <w:sz w:val="20"/>
          <w:szCs w:val="20"/>
        </w:rPr>
        <w:t xml:space="preserve"> por AVAC (usando como precio de adquisición de </w:t>
      </w:r>
      <w:r w:rsidR="0039307C" w:rsidRPr="00891EFE">
        <w:rPr>
          <w:rFonts w:ascii="Arial" w:hAnsi="Arial" w:cs="Arial"/>
          <w:sz w:val="20"/>
          <w:szCs w:val="20"/>
        </w:rPr>
        <w:t>o</w:t>
      </w:r>
      <w:r w:rsidR="00867A3E" w:rsidRPr="00891EFE">
        <w:rPr>
          <w:rFonts w:ascii="Arial" w:hAnsi="Arial" w:cs="Arial"/>
          <w:sz w:val="20"/>
          <w:szCs w:val="20"/>
        </w:rPr>
        <w:t xml:space="preserve">nasemnogén abeparvovec </w:t>
      </w:r>
      <w:r w:rsidR="002B66DD" w:rsidRPr="00891EFE">
        <w:rPr>
          <w:rFonts w:ascii="Arial" w:hAnsi="Arial" w:cs="Arial"/>
          <w:sz w:val="20"/>
          <w:szCs w:val="20"/>
        </w:rPr>
        <w:t xml:space="preserve">un valor de $2.000.000). </w:t>
      </w:r>
      <w:r w:rsidR="005D3755" w:rsidRPr="00891EFE">
        <w:rPr>
          <w:rFonts w:ascii="Arial" w:hAnsi="Arial" w:cs="Arial"/>
          <w:sz w:val="20"/>
          <w:szCs w:val="20"/>
        </w:rPr>
        <w:t>El informe del ICER</w:t>
      </w:r>
      <w:r w:rsidR="00867A3E" w:rsidRPr="00891EFE">
        <w:rPr>
          <w:rFonts w:ascii="Arial" w:hAnsi="Arial" w:cs="Arial"/>
          <w:sz w:val="20"/>
          <w:szCs w:val="20"/>
        </w:rPr>
        <w:t>, que solo utiliza como fuente de resultados para onasemnogén abeparvovec el ensayo fase I,</w:t>
      </w:r>
      <w:r w:rsidR="005D3755" w:rsidRPr="00891EFE">
        <w:rPr>
          <w:rFonts w:ascii="Arial" w:hAnsi="Arial" w:cs="Arial"/>
          <w:sz w:val="20"/>
          <w:szCs w:val="20"/>
        </w:rPr>
        <w:t xml:space="preserve"> recalcó que la extrapolación de los datos de supervivencia libre de eventos aportaba una gran incertidumbre a los datos de coste utilidad</w:t>
      </w:r>
      <w:r w:rsidR="00045244" w:rsidRPr="00891EFE">
        <w:rPr>
          <w:rFonts w:ascii="Arial" w:hAnsi="Arial" w:cs="Arial"/>
          <w:sz w:val="20"/>
          <w:szCs w:val="20"/>
        </w:rPr>
        <w:t>.</w:t>
      </w:r>
    </w:p>
    <w:p w14:paraId="366F2631" w14:textId="77777777" w:rsidR="00867A3E" w:rsidRPr="00891EFE" w:rsidRDefault="00867A3E" w:rsidP="006A4D7F">
      <w:pPr>
        <w:ind w:left="567" w:hanging="283"/>
        <w:jc w:val="both"/>
        <w:rPr>
          <w:rFonts w:ascii="Arial" w:hAnsi="Arial" w:cs="Arial"/>
          <w:sz w:val="20"/>
          <w:szCs w:val="20"/>
        </w:rPr>
      </w:pPr>
    </w:p>
    <w:p w14:paraId="10AAB579" w14:textId="246069D9" w:rsidR="0096467C" w:rsidRPr="00891EFE" w:rsidRDefault="0096467C" w:rsidP="0096467C">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 xml:space="preserve">El informe ICER usando umbrales de coste utilidad de $100.000 y $150.000 por AVAC, obtiene un rango de precios basado en el valor que estaría entre $310.000 y $900.000 respectivamente, comparado con el mejor tratamiento posible en AME tipo I. </w:t>
      </w:r>
    </w:p>
    <w:p w14:paraId="00008D5F" w14:textId="77777777" w:rsidR="0096467C" w:rsidRPr="00891EFE" w:rsidRDefault="0096467C" w:rsidP="0096467C">
      <w:pPr>
        <w:pStyle w:val="Prrafodelista"/>
        <w:rPr>
          <w:rFonts w:ascii="Arial" w:hAnsi="Arial" w:cs="Arial"/>
          <w:sz w:val="20"/>
          <w:szCs w:val="20"/>
        </w:rPr>
      </w:pPr>
    </w:p>
    <w:p w14:paraId="303C21A5" w14:textId="64FCC019" w:rsidR="0096467C" w:rsidRPr="00891EFE" w:rsidRDefault="0096467C" w:rsidP="0096467C">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Tomando los resultados del ICER, la opción onasemnogén abeparvovec es dominada frente al mejor tratamiento posible, para unos umbrales por AVAC de 21.000 € o de 50.000 €. Ello Indica que Zolgensma</w:t>
      </w:r>
      <w:r w:rsidRPr="00575E3E">
        <w:rPr>
          <w:rFonts w:ascii="Arial" w:hAnsi="Arial" w:cs="Arial"/>
          <w:sz w:val="20"/>
          <w:szCs w:val="20"/>
          <w:vertAlign w:val="superscript"/>
        </w:rPr>
        <w:t>®</w:t>
      </w:r>
      <w:r w:rsidRPr="00891EFE">
        <w:rPr>
          <w:rFonts w:ascii="Arial" w:hAnsi="Arial" w:cs="Arial"/>
          <w:sz w:val="20"/>
          <w:szCs w:val="20"/>
        </w:rPr>
        <w:t xml:space="preserve"> no debería financiarse por el sistema público al precio de 1.785.000 €. </w:t>
      </w:r>
      <w:r w:rsidR="00F52462">
        <w:rPr>
          <w:rFonts w:ascii="Arial" w:hAnsi="Arial" w:cs="Arial"/>
          <w:sz w:val="20"/>
          <w:szCs w:val="20"/>
        </w:rPr>
        <w:t>Utilizando los AVAC y los costes diferentes al fármaco estimados en el informe del ICER para la comparación de Zolgensma</w:t>
      </w:r>
      <w:r w:rsidR="002B2D4F" w:rsidRPr="002B2D4F">
        <w:rPr>
          <w:rFonts w:ascii="Arial" w:hAnsi="Arial" w:cs="Arial"/>
          <w:sz w:val="20"/>
          <w:szCs w:val="20"/>
          <w:vertAlign w:val="superscript"/>
        </w:rPr>
        <w:t>®</w:t>
      </w:r>
      <w:r w:rsidR="00F52462">
        <w:rPr>
          <w:rFonts w:ascii="Arial" w:hAnsi="Arial" w:cs="Arial"/>
          <w:sz w:val="20"/>
          <w:szCs w:val="20"/>
        </w:rPr>
        <w:t xml:space="preserve"> frente a la mejor terapia de soporte y </w:t>
      </w:r>
      <w:r w:rsidR="00F75013">
        <w:rPr>
          <w:rFonts w:ascii="Arial" w:hAnsi="Arial" w:cs="Arial"/>
          <w:sz w:val="20"/>
          <w:szCs w:val="20"/>
        </w:rPr>
        <w:t xml:space="preserve">si </w:t>
      </w:r>
      <w:r w:rsidRPr="00891EFE">
        <w:rPr>
          <w:rFonts w:ascii="Arial" w:hAnsi="Arial" w:cs="Arial"/>
          <w:sz w:val="20"/>
          <w:szCs w:val="20"/>
        </w:rPr>
        <w:t>se toma como referencia el umbral de 100.000 €/AVAC, el precio de adquisición de Zolgensma</w:t>
      </w:r>
      <w:r w:rsidRPr="00575E3E">
        <w:rPr>
          <w:rFonts w:ascii="Arial" w:hAnsi="Arial" w:cs="Arial"/>
          <w:sz w:val="20"/>
          <w:szCs w:val="20"/>
          <w:vertAlign w:val="superscript"/>
        </w:rPr>
        <w:t>®</w:t>
      </w:r>
      <w:r w:rsidRPr="00891EFE">
        <w:rPr>
          <w:rFonts w:ascii="Arial" w:hAnsi="Arial" w:cs="Arial"/>
          <w:sz w:val="20"/>
          <w:szCs w:val="20"/>
        </w:rPr>
        <w:t xml:space="preserve"> para no superarlo debería ser menor de 245.494 € por unidad</w:t>
      </w:r>
      <w:r w:rsidR="00F52462">
        <w:rPr>
          <w:rFonts w:ascii="Arial" w:hAnsi="Arial" w:cs="Arial"/>
          <w:sz w:val="20"/>
          <w:szCs w:val="20"/>
        </w:rPr>
        <w:t>.</w:t>
      </w:r>
      <w:r w:rsidRPr="00891EFE">
        <w:rPr>
          <w:rFonts w:ascii="Arial" w:hAnsi="Arial" w:cs="Arial"/>
          <w:sz w:val="20"/>
          <w:szCs w:val="20"/>
        </w:rPr>
        <w:t xml:space="preserve"> </w:t>
      </w:r>
    </w:p>
    <w:p w14:paraId="755EB2BF" w14:textId="77777777" w:rsidR="001B2654" w:rsidRPr="00891EFE" w:rsidRDefault="001B2654" w:rsidP="0096467C">
      <w:pPr>
        <w:rPr>
          <w:rFonts w:ascii="Arial" w:hAnsi="Arial" w:cs="Arial"/>
          <w:sz w:val="20"/>
          <w:szCs w:val="20"/>
        </w:rPr>
      </w:pPr>
    </w:p>
    <w:p w14:paraId="2EBDDC47" w14:textId="4CB83012" w:rsidR="0096467C" w:rsidRPr="00891EFE" w:rsidRDefault="0096467C" w:rsidP="0096467C">
      <w:pPr>
        <w:pStyle w:val="Prrafodelista"/>
        <w:numPr>
          <w:ilvl w:val="1"/>
          <w:numId w:val="19"/>
        </w:numPr>
        <w:ind w:left="567" w:hanging="283"/>
        <w:jc w:val="both"/>
        <w:rPr>
          <w:rFonts w:ascii="Arial" w:hAnsi="Arial" w:cs="Arial"/>
          <w:sz w:val="20"/>
          <w:szCs w:val="20"/>
        </w:rPr>
      </w:pPr>
      <w:r w:rsidRPr="00891EFE">
        <w:rPr>
          <w:rFonts w:ascii="Arial" w:hAnsi="Arial" w:cs="Arial"/>
          <w:sz w:val="20"/>
          <w:szCs w:val="20"/>
        </w:rPr>
        <w:t>Se estima que 15.000 pacientes (horizonte de 10 años a 1</w:t>
      </w:r>
      <w:r w:rsidR="00575E3E">
        <w:rPr>
          <w:rFonts w:ascii="Arial" w:hAnsi="Arial" w:cs="Arial"/>
          <w:sz w:val="20"/>
          <w:szCs w:val="20"/>
        </w:rPr>
        <w:t>.</w:t>
      </w:r>
      <w:r w:rsidRPr="00891EFE">
        <w:rPr>
          <w:rFonts w:ascii="Arial" w:hAnsi="Arial" w:cs="Arial"/>
          <w:sz w:val="20"/>
          <w:szCs w:val="20"/>
        </w:rPr>
        <w:t>500 pacientes/año), podrán ser tratados con Zolgensma</w:t>
      </w:r>
      <w:r w:rsidRPr="00891EFE">
        <w:rPr>
          <w:rFonts w:ascii="Arial" w:hAnsi="Arial" w:cs="Arial"/>
          <w:sz w:val="20"/>
          <w:szCs w:val="20"/>
          <w:vertAlign w:val="superscript"/>
        </w:rPr>
        <w:t>®</w:t>
      </w:r>
      <w:r w:rsidRPr="00891EFE">
        <w:rPr>
          <w:rFonts w:ascii="Arial" w:hAnsi="Arial" w:cs="Arial"/>
          <w:sz w:val="20"/>
          <w:szCs w:val="20"/>
        </w:rPr>
        <w:t>. Para amortizar los 12-15 millones de € que dedicó a la investigación básica y los 500 millones recaudados para los ensayos cínicos, el precio por tratamiento se podría estimar en unos 30.000 €/tratamiento. Habría que sumar a esta cifra, el coste de producción, el de investigación fallida y un beneficio razonable. No disponemos de datos para calcular este precio final pero sería muy inferior al precio de venta aplicado por la compañía.</w:t>
      </w:r>
    </w:p>
    <w:p w14:paraId="5C2DC50A" w14:textId="77777777" w:rsidR="0060435F" w:rsidRPr="00891EFE" w:rsidRDefault="0060435F" w:rsidP="001E1A94">
      <w:pPr>
        <w:rPr>
          <w:rFonts w:ascii="Arial" w:hAnsi="Arial" w:cs="Arial"/>
          <w:sz w:val="20"/>
          <w:szCs w:val="20"/>
        </w:rPr>
      </w:pPr>
    </w:p>
    <w:p w14:paraId="3E5EBFA5" w14:textId="53BBAC1E" w:rsidR="00C74EA0" w:rsidRPr="00891EFE" w:rsidRDefault="00C74EA0" w:rsidP="00C74EA0">
      <w:pPr>
        <w:pStyle w:val="Prrafodelista"/>
        <w:numPr>
          <w:ilvl w:val="1"/>
          <w:numId w:val="19"/>
        </w:numPr>
        <w:ind w:left="567" w:hanging="283"/>
        <w:jc w:val="both"/>
        <w:rPr>
          <w:rFonts w:ascii="Arial" w:hAnsi="Arial" w:cs="Arial"/>
          <w:sz w:val="20"/>
          <w:szCs w:val="20"/>
          <w:u w:val="single"/>
        </w:rPr>
      </w:pPr>
      <w:r w:rsidRPr="00891EFE">
        <w:rPr>
          <w:rFonts w:ascii="Arial" w:hAnsi="Arial" w:cs="Arial"/>
          <w:sz w:val="20"/>
          <w:szCs w:val="20"/>
        </w:rPr>
        <w:t xml:space="preserve">Se prevé que en España la población diana sea de </w:t>
      </w:r>
      <w:r w:rsidRPr="00891EFE">
        <w:rPr>
          <w:rFonts w:ascii="Arial" w:hAnsi="Arial" w:cs="Arial"/>
          <w:b/>
          <w:sz w:val="20"/>
          <w:szCs w:val="20"/>
        </w:rPr>
        <w:t>18-22 pacientes con AME tipo 1</w:t>
      </w:r>
      <w:r w:rsidRPr="00891EFE">
        <w:rPr>
          <w:rFonts w:ascii="Arial" w:hAnsi="Arial" w:cs="Arial"/>
          <w:sz w:val="20"/>
          <w:szCs w:val="20"/>
        </w:rPr>
        <w:t xml:space="preserve"> por año, aproximadamente, lo que generaría un impacto presupuestario entre 32.130.000 € y 39.270.000 € (usando el precio de venta en EEUU). Asimismo, serán tratados otros </w:t>
      </w:r>
      <w:r w:rsidR="00DB7EDB">
        <w:rPr>
          <w:rFonts w:ascii="Arial" w:hAnsi="Arial" w:cs="Arial"/>
          <w:b/>
          <w:sz w:val="20"/>
          <w:szCs w:val="20"/>
        </w:rPr>
        <w:t xml:space="preserve">14 </w:t>
      </w:r>
      <w:r w:rsidRPr="00891EFE">
        <w:rPr>
          <w:rFonts w:ascii="Arial" w:hAnsi="Arial" w:cs="Arial"/>
          <w:b/>
          <w:sz w:val="20"/>
          <w:szCs w:val="20"/>
        </w:rPr>
        <w:t xml:space="preserve">pacientes </w:t>
      </w:r>
      <w:r w:rsidR="00DB7EDB">
        <w:rPr>
          <w:rFonts w:ascii="Arial" w:hAnsi="Arial" w:cs="Arial"/>
          <w:b/>
          <w:sz w:val="20"/>
          <w:szCs w:val="20"/>
        </w:rPr>
        <w:t xml:space="preserve">presintomáticos </w:t>
      </w:r>
      <w:r w:rsidRPr="00891EFE">
        <w:rPr>
          <w:rFonts w:ascii="Arial" w:hAnsi="Arial" w:cs="Arial"/>
          <w:b/>
          <w:sz w:val="20"/>
          <w:szCs w:val="20"/>
        </w:rPr>
        <w:t xml:space="preserve">con AME </w:t>
      </w:r>
      <w:r w:rsidR="00DB7EDB">
        <w:rPr>
          <w:rFonts w:ascii="Arial" w:hAnsi="Arial" w:cs="Arial"/>
          <w:b/>
          <w:sz w:val="20"/>
          <w:szCs w:val="20"/>
        </w:rPr>
        <w:t>y hasta</w:t>
      </w:r>
      <w:r w:rsidRPr="00891EFE">
        <w:rPr>
          <w:rFonts w:ascii="Arial" w:hAnsi="Arial" w:cs="Arial"/>
          <w:b/>
          <w:sz w:val="20"/>
          <w:szCs w:val="20"/>
        </w:rPr>
        <w:t xml:space="preserve"> 3 copias se SMN2</w:t>
      </w:r>
      <w:r w:rsidRPr="00891EFE">
        <w:rPr>
          <w:rFonts w:ascii="Arial" w:hAnsi="Arial" w:cs="Arial"/>
          <w:sz w:val="20"/>
          <w:szCs w:val="20"/>
        </w:rPr>
        <w:t xml:space="preserve">, lo que supondría un </w:t>
      </w:r>
      <w:r w:rsidRPr="00891EFE">
        <w:rPr>
          <w:rFonts w:ascii="Arial" w:hAnsi="Arial" w:cs="Arial"/>
          <w:sz w:val="20"/>
          <w:szCs w:val="20"/>
        </w:rPr>
        <w:lastRenderedPageBreak/>
        <w:t xml:space="preserve">impacto presupuestario de </w:t>
      </w:r>
      <w:r w:rsidR="00DB7EDB">
        <w:rPr>
          <w:rFonts w:ascii="Arial" w:hAnsi="Arial" w:cs="Arial"/>
          <w:sz w:val="20"/>
          <w:szCs w:val="20"/>
        </w:rPr>
        <w:t>24.990.000</w:t>
      </w:r>
      <w:r w:rsidRPr="00891EFE">
        <w:rPr>
          <w:rFonts w:ascii="Arial" w:hAnsi="Arial" w:cs="Arial"/>
          <w:sz w:val="20"/>
          <w:szCs w:val="20"/>
        </w:rPr>
        <w:t xml:space="preserve"> €. En ambos casos habría que restar el coste del tratamiento alternativo asumiendo que dejaría de administrarse (nusinersen).</w:t>
      </w:r>
    </w:p>
    <w:p w14:paraId="1CFE1E15" w14:textId="77777777" w:rsidR="003A0794" w:rsidRDefault="003A0794" w:rsidP="00122BB1">
      <w:pPr>
        <w:ind w:left="567" w:hanging="283"/>
        <w:jc w:val="both"/>
        <w:rPr>
          <w:rFonts w:ascii="Arial" w:hAnsi="Arial" w:cs="Arial"/>
          <w:color w:val="0000FF"/>
          <w:sz w:val="20"/>
          <w:szCs w:val="20"/>
          <w:u w:val="single"/>
        </w:rPr>
      </w:pPr>
    </w:p>
    <w:p w14:paraId="4E87AA5F" w14:textId="77777777" w:rsidR="00231B31" w:rsidRDefault="00231B31" w:rsidP="00122BB1">
      <w:pPr>
        <w:ind w:left="567" w:hanging="283"/>
        <w:jc w:val="both"/>
        <w:rPr>
          <w:rFonts w:ascii="Arial" w:hAnsi="Arial" w:cs="Arial"/>
          <w:color w:val="0000FF"/>
          <w:sz w:val="20"/>
          <w:szCs w:val="20"/>
          <w:u w:val="single"/>
        </w:rPr>
      </w:pPr>
    </w:p>
    <w:p w14:paraId="1D8AA522" w14:textId="77777777" w:rsidR="002E5420" w:rsidRPr="002E5420" w:rsidRDefault="002E5420" w:rsidP="002E5420">
      <w:pPr>
        <w:pStyle w:val="Ttulo2"/>
        <w:pBdr>
          <w:top w:val="single" w:sz="4" w:space="1" w:color="000000"/>
          <w:left w:val="single" w:sz="4" w:space="4" w:color="000000"/>
          <w:bottom w:val="single" w:sz="4" w:space="1" w:color="000000"/>
          <w:right w:val="single" w:sz="4" w:space="4" w:color="000000"/>
        </w:pBdr>
        <w:shd w:val="clear" w:color="auto" w:fill="D9D9D9"/>
        <w:tabs>
          <w:tab w:val="num" w:pos="0"/>
        </w:tabs>
        <w:rPr>
          <w:rFonts w:ascii="Arial" w:hAnsi="Arial" w:cs="Arial"/>
        </w:rPr>
      </w:pPr>
      <w:r w:rsidRPr="002E5420">
        <w:rPr>
          <w:rFonts w:ascii="Arial" w:hAnsi="Arial" w:cs="Arial"/>
          <w:sz w:val="20"/>
        </w:rPr>
        <w:t>9.2 Decisión</w:t>
      </w:r>
    </w:p>
    <w:p w14:paraId="697DEF5B" w14:textId="77777777" w:rsidR="00426AA6" w:rsidRDefault="00426AA6" w:rsidP="00690F11">
      <w:pPr>
        <w:jc w:val="both"/>
        <w:rPr>
          <w:rFonts w:ascii="Arial" w:hAnsi="Arial" w:cs="Arial"/>
          <w:color w:val="0000FF"/>
          <w:sz w:val="20"/>
          <w:szCs w:val="20"/>
          <w:u w:val="single"/>
        </w:rPr>
      </w:pPr>
    </w:p>
    <w:p w14:paraId="5C46FFB0" w14:textId="77777777" w:rsidR="009574D3" w:rsidRPr="00EC631F" w:rsidRDefault="009574D3" w:rsidP="009574D3">
      <w:pPr>
        <w:jc w:val="both"/>
        <w:rPr>
          <w:rFonts w:ascii="Arial" w:hAnsi="Arial" w:cs="Arial"/>
          <w:sz w:val="20"/>
          <w:szCs w:val="20"/>
        </w:rPr>
      </w:pPr>
      <w:r w:rsidRPr="00EC631F">
        <w:rPr>
          <w:rFonts w:ascii="Arial" w:hAnsi="Arial" w:cs="Arial"/>
          <w:sz w:val="20"/>
          <w:szCs w:val="20"/>
        </w:rPr>
        <w:t xml:space="preserve">La propuesta de los autores del informe es que sea clasificado como: </w:t>
      </w:r>
    </w:p>
    <w:p w14:paraId="2B171004" w14:textId="77777777" w:rsidR="005F1483" w:rsidRPr="00EC631F" w:rsidRDefault="005F1483" w:rsidP="00690F11">
      <w:pPr>
        <w:jc w:val="both"/>
        <w:rPr>
          <w:rFonts w:ascii="Arial" w:hAnsi="Arial" w:cs="Arial"/>
          <w:sz w:val="20"/>
          <w:szCs w:val="20"/>
          <w:u w:val="single"/>
        </w:rPr>
      </w:pPr>
    </w:p>
    <w:p w14:paraId="2BC7F8B3" w14:textId="77777777" w:rsidR="00EC631F" w:rsidRPr="00EC631F" w:rsidRDefault="00EC631F" w:rsidP="00EC631F">
      <w:pPr>
        <w:jc w:val="both"/>
        <w:rPr>
          <w:rFonts w:ascii="Arial" w:eastAsia="Times New Roman" w:hAnsi="Arial" w:cs="Arial"/>
          <w:b/>
          <w:bCs/>
          <w:sz w:val="20"/>
          <w:szCs w:val="20"/>
        </w:rPr>
      </w:pPr>
      <w:r w:rsidRPr="00EC631F">
        <w:rPr>
          <w:rFonts w:ascii="Arial" w:eastAsia="Times New Roman" w:hAnsi="Arial" w:cs="Arial"/>
          <w:b/>
          <w:bCs/>
          <w:sz w:val="20"/>
          <w:szCs w:val="20"/>
        </w:rPr>
        <w:t>D2. Se incluye en la GFT con recomendaciones específicas, y con el compromiso de revisión cuando existan nuevos datos.</w:t>
      </w:r>
    </w:p>
    <w:p w14:paraId="0DBB6276" w14:textId="77777777" w:rsidR="00EC631F" w:rsidRPr="00EC631F" w:rsidRDefault="00EC631F" w:rsidP="00EC631F">
      <w:pPr>
        <w:jc w:val="both"/>
        <w:rPr>
          <w:rFonts w:ascii="Arial" w:eastAsia="Times New Roman" w:hAnsi="Arial" w:cs="Arial"/>
          <w:sz w:val="20"/>
          <w:szCs w:val="20"/>
        </w:rPr>
      </w:pPr>
    </w:p>
    <w:p w14:paraId="261FBFE4" w14:textId="0F97EDBB" w:rsidR="00EC631F" w:rsidRDefault="0074644A" w:rsidP="00EC631F">
      <w:pPr>
        <w:jc w:val="both"/>
        <w:rPr>
          <w:rFonts w:ascii="Arial" w:hAnsi="Arial" w:cs="Arial"/>
          <w:sz w:val="20"/>
          <w:szCs w:val="20"/>
        </w:rPr>
      </w:pPr>
      <w:r w:rsidRPr="0074644A">
        <w:rPr>
          <w:rFonts w:ascii="Arial" w:hAnsi="Arial" w:cs="Arial"/>
          <w:sz w:val="20"/>
          <w:szCs w:val="20"/>
        </w:rPr>
        <w:t>Esta propuesta incluye que el precio del fármaco se considere razonable y coste-efectivo frente a la mejor terapia de soporte y frente a nusinersen, es decir, que el precio se encuentre entre un límite superior por debajo del precio cuya razón de coste-efectividad frente a estas dos alternativas no supere el umbral razonable y un límite inferior igual al coste de fabricación e investigación del medicamento</w:t>
      </w:r>
    </w:p>
    <w:p w14:paraId="5287CB37" w14:textId="77777777" w:rsidR="0074644A" w:rsidRPr="00EC631F" w:rsidRDefault="0074644A" w:rsidP="00EC631F">
      <w:pPr>
        <w:jc w:val="both"/>
        <w:rPr>
          <w:rFonts w:ascii="Arial" w:eastAsia="Times New Roman" w:hAnsi="Arial" w:cs="Arial"/>
          <w:sz w:val="20"/>
          <w:szCs w:val="20"/>
        </w:rPr>
      </w:pPr>
    </w:p>
    <w:p w14:paraId="76B35A35" w14:textId="1482FC1F" w:rsidR="00EC631F" w:rsidRDefault="00EC631F" w:rsidP="00EC631F">
      <w:pPr>
        <w:jc w:val="both"/>
        <w:rPr>
          <w:rFonts w:ascii="Arial" w:eastAsia="Times New Roman" w:hAnsi="Arial" w:cs="Arial"/>
          <w:sz w:val="20"/>
          <w:szCs w:val="20"/>
        </w:rPr>
      </w:pPr>
      <w:r w:rsidRPr="00EC631F">
        <w:rPr>
          <w:rFonts w:ascii="Arial" w:eastAsia="Times New Roman" w:hAnsi="Arial" w:cs="Arial"/>
          <w:sz w:val="20"/>
          <w:szCs w:val="20"/>
        </w:rPr>
        <w:t>Para ello, se propone:</w:t>
      </w:r>
    </w:p>
    <w:p w14:paraId="39CB3CE4" w14:textId="77777777" w:rsidR="008710EA" w:rsidRPr="00EC631F" w:rsidRDefault="008710EA" w:rsidP="00EC631F">
      <w:pPr>
        <w:jc w:val="both"/>
        <w:rPr>
          <w:rFonts w:ascii="Arial" w:eastAsia="Times New Roman" w:hAnsi="Arial" w:cs="Arial"/>
          <w:sz w:val="20"/>
          <w:szCs w:val="20"/>
        </w:rPr>
      </w:pPr>
    </w:p>
    <w:p w14:paraId="5998AB8C" w14:textId="44EBD444" w:rsidR="00EC631F" w:rsidRPr="00EC631F" w:rsidRDefault="00EC631F" w:rsidP="00EC631F">
      <w:pPr>
        <w:pStyle w:val="Prrafodelista"/>
        <w:numPr>
          <w:ilvl w:val="0"/>
          <w:numId w:val="47"/>
        </w:numPr>
        <w:jc w:val="both"/>
        <w:rPr>
          <w:rFonts w:ascii="Arial" w:hAnsi="Arial" w:cs="Arial"/>
          <w:sz w:val="20"/>
          <w:szCs w:val="20"/>
        </w:rPr>
      </w:pPr>
      <w:r w:rsidRPr="00EC631F">
        <w:rPr>
          <w:rFonts w:ascii="Arial" w:hAnsi="Arial" w:cs="Arial"/>
          <w:sz w:val="20"/>
          <w:szCs w:val="20"/>
        </w:rPr>
        <w:t xml:space="preserve">En función de los acuerdos de precio alcanzado, dividir el coste del tratamiento con onasemnogén abeparvovec en plazos anuales. </w:t>
      </w:r>
    </w:p>
    <w:p w14:paraId="50FA0348" w14:textId="21C3150B" w:rsidR="00EC631F" w:rsidRPr="00EC631F" w:rsidRDefault="00EC631F" w:rsidP="00EC631F">
      <w:pPr>
        <w:pStyle w:val="Prrafodelista"/>
        <w:numPr>
          <w:ilvl w:val="0"/>
          <w:numId w:val="47"/>
        </w:numPr>
        <w:jc w:val="both"/>
        <w:rPr>
          <w:rFonts w:ascii="Arial" w:hAnsi="Arial" w:cs="Arial"/>
          <w:sz w:val="20"/>
          <w:szCs w:val="20"/>
        </w:rPr>
      </w:pPr>
      <w:r w:rsidRPr="00EC631F">
        <w:rPr>
          <w:rFonts w:ascii="Arial" w:hAnsi="Arial" w:cs="Arial"/>
          <w:sz w:val="20"/>
          <w:szCs w:val="20"/>
        </w:rPr>
        <w:t>Abonar cada año el coste del tratamiento de los pacientes respondedores (hasta un máximo de años a determinar).</w:t>
      </w:r>
    </w:p>
    <w:p w14:paraId="11BBD8F7" w14:textId="77777777" w:rsidR="00EC631F" w:rsidRPr="00EC631F" w:rsidRDefault="00EC631F" w:rsidP="00EC631F">
      <w:pPr>
        <w:jc w:val="both"/>
        <w:rPr>
          <w:rFonts w:ascii="Arial" w:hAnsi="Arial" w:cs="Arial"/>
          <w:sz w:val="20"/>
          <w:szCs w:val="20"/>
        </w:rPr>
      </w:pPr>
    </w:p>
    <w:p w14:paraId="020B88E1" w14:textId="77777777" w:rsidR="00EC631F" w:rsidRPr="00EC631F" w:rsidRDefault="00EC631F" w:rsidP="00EC631F">
      <w:pPr>
        <w:jc w:val="both"/>
        <w:rPr>
          <w:rFonts w:ascii="Arial" w:hAnsi="Arial" w:cs="Arial"/>
          <w:sz w:val="20"/>
          <w:szCs w:val="20"/>
        </w:rPr>
      </w:pPr>
      <w:r w:rsidRPr="00EC631F">
        <w:rPr>
          <w:rFonts w:ascii="Arial" w:hAnsi="Arial" w:cs="Arial"/>
          <w:sz w:val="20"/>
          <w:szCs w:val="20"/>
        </w:rPr>
        <w:t xml:space="preserve">Se considerarán </w:t>
      </w:r>
      <w:r w:rsidRPr="008710EA">
        <w:rPr>
          <w:rFonts w:ascii="Arial" w:hAnsi="Arial" w:cs="Arial"/>
          <w:b/>
          <w:sz w:val="20"/>
          <w:szCs w:val="20"/>
        </w:rPr>
        <w:t>respondedores</w:t>
      </w:r>
      <w:r w:rsidRPr="00EC631F">
        <w:rPr>
          <w:rFonts w:ascii="Arial" w:hAnsi="Arial" w:cs="Arial"/>
          <w:sz w:val="20"/>
          <w:szCs w:val="20"/>
        </w:rPr>
        <w:t xml:space="preserve"> los pacientes que:</w:t>
      </w:r>
    </w:p>
    <w:p w14:paraId="0F8ECEB9" w14:textId="77777777" w:rsidR="00EC631F" w:rsidRDefault="00EC631F" w:rsidP="008710EA">
      <w:pPr>
        <w:pStyle w:val="Prrafodelista"/>
        <w:numPr>
          <w:ilvl w:val="1"/>
          <w:numId w:val="47"/>
        </w:numPr>
        <w:ind w:left="993" w:hanging="284"/>
        <w:jc w:val="both"/>
        <w:rPr>
          <w:rFonts w:ascii="Arial" w:hAnsi="Arial" w:cs="Arial"/>
          <w:sz w:val="20"/>
          <w:szCs w:val="20"/>
        </w:rPr>
      </w:pPr>
      <w:r>
        <w:rPr>
          <w:rFonts w:ascii="Arial" w:hAnsi="Arial" w:cs="Arial"/>
          <w:sz w:val="20"/>
          <w:szCs w:val="20"/>
        </w:rPr>
        <w:t xml:space="preserve">Se mantengan vivos y sin ventilación permanente (definida como </w:t>
      </w:r>
      <w:r w:rsidRPr="00FC1922">
        <w:rPr>
          <w:rFonts w:ascii="Arial" w:hAnsi="Arial" w:cs="Arial"/>
          <w:sz w:val="20"/>
          <w:szCs w:val="20"/>
        </w:rPr>
        <w:t>traqueotomía o requisito de ≥ 16 horas de asistencia respiratoria por día durante ≥ 14 días consecutivos en ausencia de una enfermedad aguda reversible, excluyendo ventilación perioperatoria</w:t>
      </w:r>
      <w:r>
        <w:rPr>
          <w:rFonts w:ascii="Arial" w:hAnsi="Arial" w:cs="Arial"/>
          <w:sz w:val="20"/>
          <w:szCs w:val="20"/>
        </w:rPr>
        <w:t>) y,</w:t>
      </w:r>
    </w:p>
    <w:p w14:paraId="749D3E69" w14:textId="77777777" w:rsidR="00EC631F" w:rsidRDefault="00EC631F" w:rsidP="008710EA">
      <w:pPr>
        <w:pStyle w:val="Prrafodelista"/>
        <w:numPr>
          <w:ilvl w:val="1"/>
          <w:numId w:val="47"/>
        </w:numPr>
        <w:ind w:left="993" w:hanging="284"/>
        <w:jc w:val="both"/>
        <w:rPr>
          <w:rFonts w:ascii="Arial" w:hAnsi="Arial" w:cs="Arial"/>
          <w:sz w:val="20"/>
          <w:szCs w:val="20"/>
        </w:rPr>
      </w:pPr>
      <w:r>
        <w:rPr>
          <w:rFonts w:ascii="Arial" w:hAnsi="Arial" w:cs="Arial"/>
          <w:sz w:val="20"/>
          <w:szCs w:val="20"/>
        </w:rPr>
        <w:t>Alcancen y mantengan la sedestación independiente a partir de los 18 meses de edad y,</w:t>
      </w:r>
    </w:p>
    <w:p w14:paraId="4F70439F" w14:textId="77777777" w:rsidR="00EC631F" w:rsidRDefault="00EC631F" w:rsidP="008710EA">
      <w:pPr>
        <w:pStyle w:val="Prrafodelista"/>
        <w:numPr>
          <w:ilvl w:val="1"/>
          <w:numId w:val="47"/>
        </w:numPr>
        <w:ind w:left="993" w:hanging="284"/>
        <w:jc w:val="both"/>
        <w:rPr>
          <w:rFonts w:ascii="Arial" w:hAnsi="Arial" w:cs="Arial"/>
          <w:sz w:val="20"/>
          <w:szCs w:val="20"/>
        </w:rPr>
      </w:pPr>
      <w:r>
        <w:rPr>
          <w:rFonts w:ascii="Arial" w:hAnsi="Arial" w:cs="Arial"/>
          <w:sz w:val="20"/>
          <w:szCs w:val="20"/>
        </w:rPr>
        <w:t xml:space="preserve">No presenten deterioro de su función motora y, </w:t>
      </w:r>
    </w:p>
    <w:p w14:paraId="20DEFFCF" w14:textId="77777777" w:rsidR="00EC631F" w:rsidRPr="009574D3" w:rsidRDefault="00EC631F" w:rsidP="008710EA">
      <w:pPr>
        <w:pStyle w:val="Prrafodelista"/>
        <w:numPr>
          <w:ilvl w:val="1"/>
          <w:numId w:val="47"/>
        </w:numPr>
        <w:ind w:left="993" w:hanging="284"/>
        <w:jc w:val="both"/>
        <w:rPr>
          <w:rFonts w:ascii="Arial" w:hAnsi="Arial" w:cs="Arial"/>
          <w:sz w:val="20"/>
          <w:szCs w:val="20"/>
        </w:rPr>
      </w:pPr>
      <w:r>
        <w:rPr>
          <w:rFonts w:ascii="Arial" w:hAnsi="Arial" w:cs="Arial"/>
          <w:sz w:val="20"/>
          <w:szCs w:val="20"/>
        </w:rPr>
        <w:t>No precisen tratamiento con ningún otro fármaco modificador de la enfermedad (nusinersen, ridisplam…)</w:t>
      </w:r>
    </w:p>
    <w:p w14:paraId="21A4D4DE" w14:textId="77777777" w:rsidR="009D389D" w:rsidRDefault="009D389D" w:rsidP="00690F11">
      <w:pPr>
        <w:jc w:val="both"/>
        <w:rPr>
          <w:rFonts w:ascii="Arial" w:hAnsi="Arial" w:cs="Arial"/>
          <w:color w:val="0000FF"/>
          <w:sz w:val="20"/>
          <w:szCs w:val="20"/>
          <w:u w:val="single"/>
        </w:rPr>
      </w:pPr>
    </w:p>
    <w:p w14:paraId="07671588" w14:textId="77777777" w:rsidR="008710EA" w:rsidRDefault="008710EA" w:rsidP="00690F11">
      <w:pPr>
        <w:jc w:val="both"/>
        <w:rPr>
          <w:rFonts w:ascii="Arial" w:hAnsi="Arial" w:cs="Arial"/>
          <w:color w:val="0000FF"/>
          <w:sz w:val="20"/>
          <w:szCs w:val="20"/>
          <w:u w:val="single"/>
        </w:rPr>
      </w:pPr>
    </w:p>
    <w:p w14:paraId="1E24D81F" w14:textId="59C3EA2C" w:rsidR="002E5420" w:rsidRPr="002E5420" w:rsidRDefault="00426AA6" w:rsidP="002E5420">
      <w:pPr>
        <w:pStyle w:val="Ttulo2"/>
        <w:pBdr>
          <w:top w:val="single" w:sz="4" w:space="1" w:color="000000"/>
          <w:left w:val="single" w:sz="4" w:space="4" w:color="000000"/>
          <w:bottom w:val="single" w:sz="4" w:space="1" w:color="000000"/>
          <w:right w:val="single" w:sz="4" w:space="4" w:color="000000"/>
        </w:pBdr>
        <w:shd w:val="clear" w:color="auto" w:fill="D9D9D9"/>
        <w:tabs>
          <w:tab w:val="num" w:pos="0"/>
        </w:tabs>
        <w:rPr>
          <w:rFonts w:ascii="Arial" w:hAnsi="Arial" w:cs="Arial"/>
        </w:rPr>
      </w:pPr>
      <w:r>
        <w:rPr>
          <w:rFonts w:ascii="Arial" w:hAnsi="Arial" w:cs="Arial"/>
          <w:sz w:val="20"/>
        </w:rPr>
        <w:t>9.3</w:t>
      </w:r>
      <w:r w:rsidR="002E5420">
        <w:rPr>
          <w:rFonts w:ascii="Arial" w:hAnsi="Arial" w:cs="Arial"/>
          <w:sz w:val="20"/>
        </w:rPr>
        <w:t xml:space="preserve"> Condiciones de uso</w:t>
      </w:r>
    </w:p>
    <w:p w14:paraId="7FCBEE95" w14:textId="77777777" w:rsidR="00426AA6" w:rsidRDefault="00426AA6" w:rsidP="00122BB1">
      <w:pPr>
        <w:ind w:left="567" w:hanging="283"/>
        <w:jc w:val="both"/>
        <w:rPr>
          <w:rFonts w:ascii="Arial" w:hAnsi="Arial" w:cs="Arial"/>
          <w:color w:val="0000FF"/>
          <w:sz w:val="20"/>
          <w:szCs w:val="20"/>
          <w:u w:val="single"/>
        </w:rPr>
      </w:pPr>
    </w:p>
    <w:p w14:paraId="6A295AE7" w14:textId="77777777" w:rsidR="00EC631F" w:rsidRPr="00EC631F" w:rsidRDefault="00EC631F" w:rsidP="008710EA">
      <w:pPr>
        <w:jc w:val="both"/>
        <w:rPr>
          <w:rFonts w:ascii="Helvetica" w:eastAsia="Times New Roman" w:hAnsi="Helvetica"/>
          <w:b/>
          <w:sz w:val="20"/>
          <w:szCs w:val="20"/>
        </w:rPr>
      </w:pPr>
      <w:r w:rsidRPr="00EC631F">
        <w:rPr>
          <w:rFonts w:ascii="Helvetica" w:eastAsia="Times New Roman" w:hAnsi="Helvetica"/>
          <w:sz w:val="20"/>
          <w:szCs w:val="20"/>
        </w:rPr>
        <w:t>1.</w:t>
      </w:r>
      <w:r w:rsidRPr="00EC631F">
        <w:rPr>
          <w:rFonts w:ascii="Helvetica" w:eastAsia="Times New Roman" w:hAnsi="Helvetica"/>
          <w:sz w:val="14"/>
          <w:szCs w:val="14"/>
        </w:rPr>
        <w:t>      </w:t>
      </w:r>
      <w:r w:rsidRPr="00EC631F">
        <w:rPr>
          <w:rFonts w:ascii="Helvetica" w:eastAsia="Times New Roman" w:hAnsi="Helvetica"/>
          <w:sz w:val="20"/>
          <w:szCs w:val="20"/>
        </w:rPr>
        <w:t xml:space="preserve">Pacientes con AME en 5q con una mutación bialélica en el gen SMN1 y un </w:t>
      </w:r>
      <w:r w:rsidRPr="00EC631F">
        <w:rPr>
          <w:rFonts w:ascii="Helvetica" w:eastAsia="Times New Roman" w:hAnsi="Helvetica"/>
          <w:b/>
          <w:sz w:val="20"/>
          <w:szCs w:val="20"/>
        </w:rPr>
        <w:t xml:space="preserve">diagnóstico clínico de AME tipo 1. </w:t>
      </w:r>
    </w:p>
    <w:p w14:paraId="4F914448" w14:textId="6FBEC45D" w:rsidR="00EC631F" w:rsidRPr="008710EA" w:rsidRDefault="00EC631F" w:rsidP="008710EA">
      <w:pPr>
        <w:pStyle w:val="Prrafodelista"/>
        <w:numPr>
          <w:ilvl w:val="0"/>
          <w:numId w:val="19"/>
        </w:numPr>
        <w:jc w:val="both"/>
        <w:rPr>
          <w:rFonts w:ascii="Helvetica" w:eastAsia="Times New Roman" w:hAnsi="Helvetica"/>
          <w:sz w:val="20"/>
          <w:szCs w:val="20"/>
        </w:rPr>
      </w:pPr>
      <w:r w:rsidRPr="008710EA">
        <w:rPr>
          <w:rFonts w:ascii="Helvetica" w:eastAsia="Times New Roman" w:hAnsi="Helvetica"/>
          <w:sz w:val="20"/>
          <w:szCs w:val="20"/>
        </w:rPr>
        <w:t xml:space="preserve">Menores de 6 meses. </w:t>
      </w:r>
    </w:p>
    <w:p w14:paraId="12F55B5F" w14:textId="19B812DF" w:rsidR="00EC631F" w:rsidRPr="008710EA" w:rsidRDefault="00EC631F" w:rsidP="008710EA">
      <w:pPr>
        <w:pStyle w:val="Prrafodelista"/>
        <w:numPr>
          <w:ilvl w:val="0"/>
          <w:numId w:val="19"/>
        </w:numPr>
        <w:jc w:val="both"/>
        <w:rPr>
          <w:rFonts w:ascii="Helvetica" w:eastAsia="Times New Roman" w:hAnsi="Helvetica"/>
          <w:sz w:val="20"/>
          <w:szCs w:val="20"/>
        </w:rPr>
      </w:pPr>
      <w:r w:rsidRPr="008710EA">
        <w:rPr>
          <w:rFonts w:ascii="Helvetica" w:eastAsia="Times New Roman" w:hAnsi="Helvetica"/>
          <w:sz w:val="20"/>
          <w:szCs w:val="20"/>
        </w:rPr>
        <w:t xml:space="preserve">2 copias de SMN2. </w:t>
      </w:r>
    </w:p>
    <w:p w14:paraId="69BEFD7D" w14:textId="673E6790" w:rsidR="00EC631F" w:rsidRPr="008710EA" w:rsidRDefault="00EC631F" w:rsidP="008710EA">
      <w:pPr>
        <w:pStyle w:val="Prrafodelista"/>
        <w:numPr>
          <w:ilvl w:val="0"/>
          <w:numId w:val="19"/>
        </w:numPr>
        <w:jc w:val="both"/>
        <w:rPr>
          <w:rFonts w:ascii="Helvetica" w:eastAsia="Times New Roman" w:hAnsi="Helvetica"/>
          <w:sz w:val="20"/>
          <w:szCs w:val="20"/>
        </w:rPr>
      </w:pPr>
      <w:r w:rsidRPr="008710EA">
        <w:rPr>
          <w:rFonts w:ascii="Helvetica" w:eastAsia="Times New Roman" w:hAnsi="Helvetica"/>
          <w:sz w:val="20"/>
          <w:szCs w:val="20"/>
        </w:rPr>
        <w:t>Peso inferior a 7,5 kg</w:t>
      </w:r>
    </w:p>
    <w:p w14:paraId="5F0F842B" w14:textId="629560DC" w:rsidR="00EC631F" w:rsidRPr="008710EA" w:rsidRDefault="00EC631F" w:rsidP="008710EA">
      <w:pPr>
        <w:pStyle w:val="Prrafodelista"/>
        <w:numPr>
          <w:ilvl w:val="0"/>
          <w:numId w:val="19"/>
        </w:numPr>
        <w:jc w:val="both"/>
        <w:rPr>
          <w:rFonts w:ascii="Helvetica" w:eastAsia="Times New Roman" w:hAnsi="Helvetica"/>
          <w:sz w:val="20"/>
          <w:szCs w:val="20"/>
        </w:rPr>
      </w:pPr>
      <w:r w:rsidRPr="008710EA">
        <w:rPr>
          <w:rFonts w:ascii="Helvetica" w:eastAsia="Times New Roman" w:hAnsi="Helvetica"/>
          <w:sz w:val="20"/>
          <w:szCs w:val="20"/>
        </w:rPr>
        <w:t>Saturación de oxigeno &gt; 96%</w:t>
      </w:r>
    </w:p>
    <w:p w14:paraId="714E44B4" w14:textId="16104470" w:rsidR="00EC631F" w:rsidRPr="008710EA" w:rsidRDefault="00EC631F" w:rsidP="008710EA">
      <w:pPr>
        <w:pStyle w:val="Prrafodelista"/>
        <w:numPr>
          <w:ilvl w:val="0"/>
          <w:numId w:val="19"/>
        </w:numPr>
        <w:jc w:val="both"/>
        <w:rPr>
          <w:rFonts w:ascii="Helvetica" w:eastAsia="Times New Roman" w:hAnsi="Helvetica"/>
          <w:sz w:val="20"/>
          <w:szCs w:val="20"/>
        </w:rPr>
      </w:pPr>
      <w:r w:rsidRPr="008710EA">
        <w:rPr>
          <w:rFonts w:ascii="Helvetica" w:eastAsia="Times New Roman" w:hAnsi="Helvetica"/>
          <w:sz w:val="20"/>
          <w:szCs w:val="20"/>
        </w:rPr>
        <w:t>Sin traqueotom</w:t>
      </w:r>
      <w:r w:rsidR="008710EA">
        <w:rPr>
          <w:rFonts w:ascii="Helvetica" w:eastAsia="Times New Roman" w:hAnsi="Helvetica"/>
          <w:sz w:val="20"/>
          <w:szCs w:val="20"/>
        </w:rPr>
        <w:t>í</w:t>
      </w:r>
      <w:r w:rsidRPr="008710EA">
        <w:rPr>
          <w:rFonts w:ascii="Helvetica" w:eastAsia="Times New Roman" w:hAnsi="Helvetica"/>
          <w:sz w:val="20"/>
          <w:szCs w:val="20"/>
        </w:rPr>
        <w:t>a ni necesidad de soporte ventilatorio no invasivo &gt; 6 horas</w:t>
      </w:r>
    </w:p>
    <w:p w14:paraId="62AE9A7C" w14:textId="2C98F9E8" w:rsidR="00EC631F" w:rsidRPr="008710EA" w:rsidRDefault="00EC631F" w:rsidP="008710EA">
      <w:pPr>
        <w:pStyle w:val="Prrafodelista"/>
        <w:numPr>
          <w:ilvl w:val="0"/>
          <w:numId w:val="19"/>
        </w:numPr>
        <w:jc w:val="both"/>
        <w:rPr>
          <w:rFonts w:ascii="Helvetica" w:eastAsia="Times New Roman" w:hAnsi="Helvetica"/>
          <w:sz w:val="20"/>
          <w:szCs w:val="20"/>
        </w:rPr>
      </w:pPr>
      <w:r w:rsidRPr="008710EA">
        <w:rPr>
          <w:rFonts w:ascii="Helvetica" w:eastAsia="Times New Roman" w:hAnsi="Helvetica"/>
          <w:sz w:val="20"/>
          <w:szCs w:val="20"/>
        </w:rPr>
        <w:t>Sin infección viral activa (VIH, serología positiva para hepatitis B o C)</w:t>
      </w:r>
    </w:p>
    <w:p w14:paraId="5F6972DE" w14:textId="6AAB4D9B" w:rsidR="00EC631F" w:rsidRPr="008710EA" w:rsidRDefault="00EC631F" w:rsidP="008710EA">
      <w:pPr>
        <w:pStyle w:val="Prrafodelista"/>
        <w:numPr>
          <w:ilvl w:val="0"/>
          <w:numId w:val="19"/>
        </w:numPr>
        <w:jc w:val="both"/>
        <w:rPr>
          <w:rFonts w:ascii="Helvetica" w:eastAsia="Times New Roman" w:hAnsi="Helvetica"/>
          <w:sz w:val="20"/>
          <w:szCs w:val="20"/>
        </w:rPr>
      </w:pPr>
      <w:r w:rsidRPr="008710EA">
        <w:rPr>
          <w:rFonts w:ascii="Helvetica" w:eastAsia="Times New Roman" w:hAnsi="Helvetica"/>
          <w:sz w:val="20"/>
          <w:szCs w:val="20"/>
        </w:rPr>
        <w:t>Sin enfermedades no respiratorias graves que requieran tratamiento sistémico u hospitalización.</w:t>
      </w:r>
    </w:p>
    <w:p w14:paraId="6B689719" w14:textId="25739ECB" w:rsidR="00EC631F" w:rsidRDefault="00EC631F" w:rsidP="008710EA">
      <w:pPr>
        <w:pStyle w:val="Prrafodelista"/>
        <w:numPr>
          <w:ilvl w:val="0"/>
          <w:numId w:val="19"/>
        </w:numPr>
        <w:jc w:val="both"/>
        <w:rPr>
          <w:rFonts w:ascii="Helvetica" w:eastAsia="Times New Roman" w:hAnsi="Helvetica"/>
          <w:sz w:val="20"/>
          <w:szCs w:val="20"/>
        </w:rPr>
      </w:pPr>
      <w:r w:rsidRPr="008710EA">
        <w:rPr>
          <w:rFonts w:ascii="Helvetica" w:eastAsia="Times New Roman" w:hAnsi="Helvetica"/>
          <w:sz w:val="20"/>
          <w:szCs w:val="20"/>
        </w:rPr>
        <w:t>Sin tratamiento previo con nusinersen o ridisplam.</w:t>
      </w:r>
    </w:p>
    <w:p w14:paraId="091E4645" w14:textId="77777777" w:rsidR="008710EA" w:rsidRDefault="008710EA" w:rsidP="008710EA">
      <w:pPr>
        <w:pStyle w:val="Prrafodelista"/>
        <w:ind w:left="720"/>
        <w:jc w:val="both"/>
        <w:rPr>
          <w:rFonts w:ascii="Helvetica" w:eastAsia="Times New Roman" w:hAnsi="Helvetica"/>
          <w:sz w:val="20"/>
          <w:szCs w:val="20"/>
        </w:rPr>
      </w:pPr>
    </w:p>
    <w:p w14:paraId="263AFB96" w14:textId="77777777" w:rsidR="008710EA" w:rsidRPr="008710EA" w:rsidRDefault="008710EA" w:rsidP="008710EA">
      <w:pPr>
        <w:pStyle w:val="Prrafodelista"/>
        <w:ind w:left="720"/>
        <w:jc w:val="both"/>
        <w:rPr>
          <w:rFonts w:ascii="Helvetica" w:eastAsia="Times New Roman" w:hAnsi="Helvetica"/>
          <w:sz w:val="20"/>
          <w:szCs w:val="20"/>
        </w:rPr>
      </w:pPr>
    </w:p>
    <w:p w14:paraId="26797BDE" w14:textId="77777777" w:rsidR="00EC631F" w:rsidRPr="00EC631F" w:rsidRDefault="00EC631F" w:rsidP="008710EA">
      <w:pPr>
        <w:jc w:val="both"/>
        <w:rPr>
          <w:rFonts w:ascii="Helvetica" w:eastAsia="Times New Roman" w:hAnsi="Helvetica"/>
          <w:b/>
          <w:sz w:val="20"/>
          <w:szCs w:val="20"/>
        </w:rPr>
      </w:pPr>
      <w:r w:rsidRPr="00EC631F">
        <w:rPr>
          <w:rFonts w:ascii="Helvetica" w:eastAsia="Times New Roman" w:hAnsi="Helvetica"/>
          <w:sz w:val="20"/>
          <w:szCs w:val="20"/>
        </w:rPr>
        <w:t>2.</w:t>
      </w:r>
      <w:r w:rsidRPr="00EC631F">
        <w:rPr>
          <w:rFonts w:ascii="Helvetica" w:eastAsia="Times New Roman" w:hAnsi="Helvetica"/>
          <w:sz w:val="14"/>
          <w:szCs w:val="14"/>
        </w:rPr>
        <w:t xml:space="preserve">       </w:t>
      </w:r>
      <w:r w:rsidRPr="00EC631F">
        <w:rPr>
          <w:rFonts w:ascii="Helvetica" w:eastAsia="Times New Roman" w:hAnsi="Helvetica"/>
          <w:sz w:val="20"/>
          <w:szCs w:val="20"/>
        </w:rPr>
        <w:t xml:space="preserve">Pacientes con AME en 5q con una mutación bialélica en el gen SMN1 y </w:t>
      </w:r>
      <w:r w:rsidRPr="00EC631F">
        <w:rPr>
          <w:rFonts w:ascii="Helvetica" w:eastAsia="Times New Roman" w:hAnsi="Helvetica"/>
          <w:b/>
          <w:sz w:val="20"/>
          <w:szCs w:val="20"/>
        </w:rPr>
        <w:t xml:space="preserve">hasta 3 copias del gen SMN2. </w:t>
      </w:r>
    </w:p>
    <w:p w14:paraId="1D91A8C6" w14:textId="283002D1" w:rsidR="00EC631F" w:rsidRPr="00EC631F" w:rsidRDefault="00EC631F" w:rsidP="008710EA">
      <w:pPr>
        <w:pStyle w:val="Prrafodelista"/>
        <w:numPr>
          <w:ilvl w:val="0"/>
          <w:numId w:val="19"/>
        </w:numPr>
        <w:jc w:val="both"/>
        <w:rPr>
          <w:rFonts w:ascii="Helvetica" w:eastAsia="Times New Roman" w:hAnsi="Helvetica"/>
          <w:sz w:val="20"/>
          <w:szCs w:val="20"/>
        </w:rPr>
      </w:pPr>
      <w:r w:rsidRPr="00EC631F">
        <w:rPr>
          <w:rFonts w:ascii="Helvetica" w:eastAsia="Times New Roman" w:hAnsi="Helvetica"/>
          <w:sz w:val="20"/>
          <w:szCs w:val="20"/>
        </w:rPr>
        <w:t xml:space="preserve">Presintomáticos. </w:t>
      </w:r>
    </w:p>
    <w:p w14:paraId="78048573" w14:textId="120E7840" w:rsidR="00EC631F" w:rsidRPr="00EC631F" w:rsidRDefault="00EC631F" w:rsidP="008710EA">
      <w:pPr>
        <w:pStyle w:val="Prrafodelista"/>
        <w:numPr>
          <w:ilvl w:val="0"/>
          <w:numId w:val="19"/>
        </w:numPr>
        <w:jc w:val="both"/>
        <w:rPr>
          <w:rFonts w:ascii="Helvetica" w:eastAsia="Times New Roman" w:hAnsi="Helvetica"/>
          <w:sz w:val="20"/>
          <w:szCs w:val="20"/>
        </w:rPr>
      </w:pPr>
      <w:r w:rsidRPr="00EC631F">
        <w:rPr>
          <w:rFonts w:ascii="Helvetica" w:eastAsia="Times New Roman" w:hAnsi="Helvetica"/>
          <w:sz w:val="20"/>
          <w:szCs w:val="20"/>
        </w:rPr>
        <w:t xml:space="preserve">Menores de 6 semanas. </w:t>
      </w:r>
    </w:p>
    <w:p w14:paraId="60807E97" w14:textId="7A2668DB" w:rsidR="00EC631F" w:rsidRPr="00EC631F" w:rsidRDefault="00EC631F" w:rsidP="008710EA">
      <w:pPr>
        <w:pStyle w:val="Prrafodelista"/>
        <w:numPr>
          <w:ilvl w:val="0"/>
          <w:numId w:val="19"/>
        </w:numPr>
        <w:jc w:val="both"/>
        <w:rPr>
          <w:rFonts w:ascii="Helvetica" w:eastAsia="Times New Roman" w:hAnsi="Helvetica"/>
          <w:sz w:val="20"/>
          <w:szCs w:val="20"/>
        </w:rPr>
      </w:pPr>
      <w:r w:rsidRPr="00EC631F">
        <w:rPr>
          <w:rFonts w:ascii="Helvetica" w:eastAsia="Times New Roman" w:hAnsi="Helvetica"/>
          <w:sz w:val="20"/>
          <w:szCs w:val="20"/>
        </w:rPr>
        <w:t xml:space="preserve">2 o 3 copias de SMN2. </w:t>
      </w:r>
    </w:p>
    <w:p w14:paraId="3C8563C3" w14:textId="2A38A8E3" w:rsidR="00EC631F" w:rsidRPr="00EC631F" w:rsidRDefault="00EC631F" w:rsidP="008710EA">
      <w:pPr>
        <w:pStyle w:val="Prrafodelista"/>
        <w:numPr>
          <w:ilvl w:val="0"/>
          <w:numId w:val="19"/>
        </w:numPr>
        <w:jc w:val="both"/>
        <w:rPr>
          <w:rFonts w:ascii="Helvetica" w:eastAsia="Times New Roman" w:hAnsi="Helvetica"/>
          <w:sz w:val="20"/>
          <w:szCs w:val="20"/>
        </w:rPr>
      </w:pPr>
      <w:r w:rsidRPr="00EC631F">
        <w:rPr>
          <w:rFonts w:ascii="Helvetica" w:eastAsia="Times New Roman" w:hAnsi="Helvetica"/>
          <w:sz w:val="20"/>
          <w:szCs w:val="20"/>
        </w:rPr>
        <w:t>Saturación de oxigeno &gt;96%</w:t>
      </w:r>
    </w:p>
    <w:p w14:paraId="645101CF" w14:textId="12ACE483" w:rsidR="00EC631F" w:rsidRPr="00EC631F" w:rsidRDefault="00EC631F" w:rsidP="008710EA">
      <w:pPr>
        <w:pStyle w:val="Prrafodelista"/>
        <w:numPr>
          <w:ilvl w:val="0"/>
          <w:numId w:val="19"/>
        </w:numPr>
        <w:jc w:val="both"/>
        <w:rPr>
          <w:rFonts w:ascii="Helvetica" w:eastAsia="Times New Roman" w:hAnsi="Helvetica"/>
          <w:sz w:val="20"/>
          <w:szCs w:val="20"/>
        </w:rPr>
      </w:pPr>
      <w:r w:rsidRPr="00EC631F">
        <w:rPr>
          <w:rFonts w:ascii="Helvetica" w:eastAsia="Times New Roman" w:hAnsi="Helvetica"/>
          <w:sz w:val="20"/>
          <w:szCs w:val="20"/>
        </w:rPr>
        <w:t>Sin traqueotomia ni necesidad de soporte ventilatorio no invasivo</w:t>
      </w:r>
    </w:p>
    <w:p w14:paraId="12BF5777" w14:textId="72F60F25" w:rsidR="00EC631F" w:rsidRPr="00EC631F" w:rsidRDefault="00EC631F" w:rsidP="008710EA">
      <w:pPr>
        <w:pStyle w:val="Prrafodelista"/>
        <w:numPr>
          <w:ilvl w:val="0"/>
          <w:numId w:val="19"/>
        </w:numPr>
        <w:jc w:val="both"/>
        <w:rPr>
          <w:rFonts w:ascii="Helvetica" w:eastAsia="Times New Roman" w:hAnsi="Helvetica"/>
          <w:sz w:val="20"/>
          <w:szCs w:val="20"/>
        </w:rPr>
      </w:pPr>
      <w:r w:rsidRPr="00EC631F">
        <w:rPr>
          <w:rFonts w:ascii="Helvetica" w:eastAsia="Times New Roman" w:hAnsi="Helvetica"/>
          <w:sz w:val="20"/>
          <w:szCs w:val="20"/>
        </w:rPr>
        <w:lastRenderedPageBreak/>
        <w:t>Sin enfermedades no respiratorias graves que requieren tratamiento sistémico u hospitalización</w:t>
      </w:r>
    </w:p>
    <w:p w14:paraId="518B2DF8" w14:textId="431B6FE4" w:rsidR="00EC631F" w:rsidRPr="00EC631F" w:rsidRDefault="00EC631F" w:rsidP="008710EA">
      <w:pPr>
        <w:pStyle w:val="Prrafodelista"/>
        <w:numPr>
          <w:ilvl w:val="0"/>
          <w:numId w:val="19"/>
        </w:numPr>
        <w:jc w:val="both"/>
        <w:rPr>
          <w:rFonts w:ascii="Helvetica" w:eastAsia="Times New Roman" w:hAnsi="Helvetica"/>
          <w:sz w:val="20"/>
          <w:szCs w:val="20"/>
        </w:rPr>
      </w:pPr>
      <w:r w:rsidRPr="00EC631F">
        <w:rPr>
          <w:rFonts w:ascii="Helvetica" w:eastAsia="Times New Roman" w:hAnsi="Helvetica"/>
          <w:sz w:val="20"/>
          <w:szCs w:val="20"/>
        </w:rPr>
        <w:t>Peso &gt;2 kg</w:t>
      </w:r>
    </w:p>
    <w:p w14:paraId="636F76B5" w14:textId="223E6224" w:rsidR="00EC631F" w:rsidRPr="00EC631F" w:rsidRDefault="00EC631F" w:rsidP="008710EA">
      <w:pPr>
        <w:pStyle w:val="Prrafodelista"/>
        <w:numPr>
          <w:ilvl w:val="0"/>
          <w:numId w:val="19"/>
        </w:numPr>
        <w:jc w:val="both"/>
        <w:rPr>
          <w:rFonts w:ascii="Helvetica" w:eastAsia="Times New Roman" w:hAnsi="Helvetica"/>
          <w:sz w:val="20"/>
          <w:szCs w:val="20"/>
        </w:rPr>
      </w:pPr>
      <w:r w:rsidRPr="00EC631F">
        <w:rPr>
          <w:rFonts w:ascii="Helvetica" w:eastAsia="Times New Roman" w:hAnsi="Helvetica"/>
          <w:sz w:val="20"/>
          <w:szCs w:val="20"/>
        </w:rPr>
        <w:t>Sin tratamiento previo con nusinersen o ridisplam.</w:t>
      </w:r>
    </w:p>
    <w:p w14:paraId="4629E202" w14:textId="77777777" w:rsidR="00EC631F" w:rsidRPr="00EC631F" w:rsidRDefault="00EC631F" w:rsidP="008710EA">
      <w:pPr>
        <w:rPr>
          <w:rFonts w:ascii="Helvetica" w:eastAsia="Times New Roman" w:hAnsi="Helvetica"/>
          <w:color w:val="26282A"/>
          <w:sz w:val="20"/>
          <w:szCs w:val="20"/>
        </w:rPr>
      </w:pPr>
      <w:r w:rsidRPr="00EC631F">
        <w:rPr>
          <w:rFonts w:ascii="Helvetica" w:eastAsia="Times New Roman" w:hAnsi="Helvetica"/>
          <w:color w:val="000000"/>
          <w:sz w:val="20"/>
          <w:szCs w:val="20"/>
          <w:lang w:val="en-GB"/>
        </w:rPr>
        <w:t> </w:t>
      </w:r>
    </w:p>
    <w:p w14:paraId="7B5FCDB7" w14:textId="77777777" w:rsidR="00E75ED2" w:rsidRPr="00B17E76" w:rsidRDefault="00E75ED2" w:rsidP="00122BB1">
      <w:pPr>
        <w:ind w:left="567" w:hanging="283"/>
        <w:jc w:val="both"/>
        <w:rPr>
          <w:rFonts w:ascii="Arial" w:hAnsi="Arial" w:cs="Arial"/>
          <w:sz w:val="20"/>
          <w:szCs w:val="20"/>
        </w:rPr>
      </w:pPr>
    </w:p>
    <w:p w14:paraId="5BB8EFC9" w14:textId="1DAAE507" w:rsidR="002E5420" w:rsidRPr="002E5420" w:rsidRDefault="00426AA6" w:rsidP="002E5420">
      <w:pPr>
        <w:pStyle w:val="Ttulo2"/>
        <w:pBdr>
          <w:top w:val="single" w:sz="4" w:space="1" w:color="000000"/>
          <w:left w:val="single" w:sz="4" w:space="4" w:color="000000"/>
          <w:bottom w:val="single" w:sz="4" w:space="1" w:color="000000"/>
          <w:right w:val="single" w:sz="4" w:space="4" w:color="000000"/>
        </w:pBdr>
        <w:shd w:val="clear" w:color="auto" w:fill="D9D9D9"/>
        <w:tabs>
          <w:tab w:val="num" w:pos="0"/>
        </w:tabs>
        <w:rPr>
          <w:rFonts w:ascii="Arial" w:hAnsi="Arial" w:cs="Arial"/>
        </w:rPr>
      </w:pPr>
      <w:r>
        <w:rPr>
          <w:rFonts w:ascii="Arial" w:hAnsi="Arial" w:cs="Arial"/>
          <w:sz w:val="20"/>
        </w:rPr>
        <w:t>9.4</w:t>
      </w:r>
      <w:r w:rsidR="002E5420" w:rsidRPr="002E5420">
        <w:rPr>
          <w:rFonts w:ascii="Arial" w:hAnsi="Arial" w:cs="Arial"/>
          <w:sz w:val="20"/>
        </w:rPr>
        <w:t xml:space="preserve"> </w:t>
      </w:r>
      <w:r w:rsidR="002E5420">
        <w:rPr>
          <w:rFonts w:ascii="Arial" w:hAnsi="Arial" w:cs="Arial"/>
          <w:sz w:val="20"/>
        </w:rPr>
        <w:t>Seguimiento</w:t>
      </w:r>
    </w:p>
    <w:p w14:paraId="5D316C92" w14:textId="77777777" w:rsidR="00ED67ED" w:rsidRDefault="00ED67ED" w:rsidP="00122BB1">
      <w:pPr>
        <w:ind w:left="567" w:hanging="283"/>
        <w:jc w:val="both"/>
        <w:rPr>
          <w:rFonts w:ascii="Arial" w:hAnsi="Arial" w:cs="Arial"/>
          <w:color w:val="0000FF"/>
          <w:sz w:val="20"/>
          <w:szCs w:val="20"/>
          <w:u w:val="single"/>
        </w:rPr>
      </w:pPr>
    </w:p>
    <w:p w14:paraId="1C93B3D7" w14:textId="77777777" w:rsidR="00EC631F" w:rsidRPr="008710EA" w:rsidRDefault="00EC631F" w:rsidP="008710EA">
      <w:pPr>
        <w:jc w:val="both"/>
        <w:rPr>
          <w:rFonts w:ascii="Helvetica" w:eastAsia="Times New Roman" w:hAnsi="Helvetica"/>
          <w:sz w:val="20"/>
          <w:szCs w:val="20"/>
        </w:rPr>
      </w:pPr>
      <w:r w:rsidRPr="008710EA">
        <w:rPr>
          <w:rFonts w:ascii="Helvetica" w:eastAsia="Times New Roman" w:hAnsi="Helvetica"/>
          <w:sz w:val="20"/>
          <w:szCs w:val="20"/>
        </w:rPr>
        <w:t>Se recomienda realizar un seguimiento cuatrimestral incluyendo los resultados  en un registro nacional incluyendo los siguientes parámetros de eficacia:</w:t>
      </w:r>
    </w:p>
    <w:p w14:paraId="69670A8E" w14:textId="4F178E6C" w:rsidR="00EC631F" w:rsidRPr="008710EA" w:rsidRDefault="00EC631F" w:rsidP="008710EA">
      <w:pPr>
        <w:pStyle w:val="Prrafodelista"/>
        <w:numPr>
          <w:ilvl w:val="0"/>
          <w:numId w:val="46"/>
        </w:numPr>
        <w:jc w:val="both"/>
        <w:rPr>
          <w:rFonts w:ascii="Helvetica" w:eastAsia="Times New Roman" w:hAnsi="Helvetica"/>
          <w:sz w:val="20"/>
          <w:szCs w:val="20"/>
        </w:rPr>
      </w:pPr>
      <w:r w:rsidRPr="008710EA">
        <w:rPr>
          <w:rFonts w:ascii="Helvetica" w:eastAsia="Times New Roman" w:hAnsi="Helvetica"/>
          <w:sz w:val="20"/>
          <w:szCs w:val="20"/>
        </w:rPr>
        <w:t xml:space="preserve">Escala Hammersmith Infant Neurological sección 2 (HINE-2). </w:t>
      </w:r>
    </w:p>
    <w:p w14:paraId="56F061E0" w14:textId="4A57A29C" w:rsidR="00EC631F" w:rsidRPr="008710EA" w:rsidRDefault="00EC631F" w:rsidP="008710EA">
      <w:pPr>
        <w:pStyle w:val="Prrafodelista"/>
        <w:numPr>
          <w:ilvl w:val="0"/>
          <w:numId w:val="46"/>
        </w:numPr>
        <w:jc w:val="both"/>
        <w:rPr>
          <w:rFonts w:ascii="Helvetica" w:eastAsia="Times New Roman" w:hAnsi="Helvetica"/>
          <w:sz w:val="20"/>
          <w:szCs w:val="20"/>
        </w:rPr>
      </w:pPr>
      <w:r w:rsidRPr="008710EA">
        <w:rPr>
          <w:rFonts w:ascii="Helvetica" w:eastAsia="Times New Roman" w:hAnsi="Helvetica"/>
          <w:sz w:val="20"/>
          <w:szCs w:val="20"/>
        </w:rPr>
        <w:t xml:space="preserve">Children´s Hospital of Philadelphia Infant Test for Neuromuscular Disease (CHOP-INTEND). </w:t>
      </w:r>
    </w:p>
    <w:p w14:paraId="5EE7A165" w14:textId="4A794040" w:rsidR="00EC631F" w:rsidRPr="008710EA" w:rsidRDefault="00EC631F" w:rsidP="008710EA">
      <w:pPr>
        <w:pStyle w:val="Prrafodelista"/>
        <w:numPr>
          <w:ilvl w:val="0"/>
          <w:numId w:val="46"/>
        </w:numPr>
        <w:jc w:val="both"/>
        <w:rPr>
          <w:rFonts w:ascii="Helvetica" w:eastAsia="Times New Roman" w:hAnsi="Helvetica"/>
          <w:sz w:val="20"/>
          <w:szCs w:val="20"/>
        </w:rPr>
      </w:pPr>
      <w:r w:rsidRPr="008710EA">
        <w:rPr>
          <w:rFonts w:ascii="Helvetica" w:eastAsia="Times New Roman" w:hAnsi="Helvetica"/>
          <w:sz w:val="20"/>
          <w:szCs w:val="20"/>
        </w:rPr>
        <w:t xml:space="preserve">Horas de soporte ventilatorio. </w:t>
      </w:r>
    </w:p>
    <w:p w14:paraId="7727836B" w14:textId="162D2084" w:rsidR="00EC631F" w:rsidRPr="008710EA" w:rsidRDefault="00EC631F" w:rsidP="008710EA">
      <w:pPr>
        <w:pStyle w:val="Prrafodelista"/>
        <w:numPr>
          <w:ilvl w:val="0"/>
          <w:numId w:val="46"/>
        </w:numPr>
        <w:jc w:val="both"/>
        <w:rPr>
          <w:rFonts w:ascii="Helvetica" w:eastAsia="Times New Roman" w:hAnsi="Helvetica"/>
          <w:sz w:val="20"/>
          <w:szCs w:val="20"/>
        </w:rPr>
      </w:pPr>
      <w:r w:rsidRPr="008710EA">
        <w:rPr>
          <w:rFonts w:ascii="Helvetica" w:eastAsia="Times New Roman" w:hAnsi="Helvetica"/>
          <w:sz w:val="20"/>
          <w:szCs w:val="20"/>
        </w:rPr>
        <w:t xml:space="preserve">Ventilación asistida </w:t>
      </w:r>
    </w:p>
    <w:p w14:paraId="41E99702" w14:textId="53B3261E" w:rsidR="00EC631F" w:rsidRPr="008710EA" w:rsidRDefault="00EC631F" w:rsidP="008710EA">
      <w:pPr>
        <w:pStyle w:val="Prrafodelista"/>
        <w:numPr>
          <w:ilvl w:val="0"/>
          <w:numId w:val="46"/>
        </w:numPr>
        <w:jc w:val="both"/>
        <w:rPr>
          <w:rFonts w:ascii="Helvetica" w:eastAsia="Times New Roman" w:hAnsi="Helvetica"/>
          <w:sz w:val="20"/>
          <w:szCs w:val="20"/>
        </w:rPr>
      </w:pPr>
      <w:r w:rsidRPr="008710EA">
        <w:rPr>
          <w:rFonts w:ascii="Helvetica" w:eastAsia="Times New Roman" w:hAnsi="Helvetica"/>
          <w:sz w:val="20"/>
          <w:szCs w:val="20"/>
        </w:rPr>
        <w:t xml:space="preserve">Control de cabeza </w:t>
      </w:r>
    </w:p>
    <w:p w14:paraId="3952FA60" w14:textId="2A3994FC" w:rsidR="00EC631F" w:rsidRPr="008710EA" w:rsidRDefault="00EC631F" w:rsidP="008710EA">
      <w:pPr>
        <w:pStyle w:val="Prrafodelista"/>
        <w:numPr>
          <w:ilvl w:val="0"/>
          <w:numId w:val="46"/>
        </w:numPr>
        <w:jc w:val="both"/>
        <w:rPr>
          <w:rFonts w:ascii="Helvetica" w:eastAsia="Times New Roman" w:hAnsi="Helvetica"/>
          <w:sz w:val="20"/>
          <w:szCs w:val="20"/>
        </w:rPr>
      </w:pPr>
      <w:r w:rsidRPr="008710EA">
        <w:rPr>
          <w:rFonts w:ascii="Helvetica" w:eastAsia="Times New Roman" w:hAnsi="Helvetica"/>
          <w:sz w:val="20"/>
          <w:szCs w:val="20"/>
        </w:rPr>
        <w:t xml:space="preserve">Sedestación </w:t>
      </w:r>
    </w:p>
    <w:p w14:paraId="3F5BF5C3" w14:textId="26217CC5" w:rsidR="00EC631F" w:rsidRPr="008710EA" w:rsidRDefault="00EC631F" w:rsidP="008710EA">
      <w:pPr>
        <w:pStyle w:val="Prrafodelista"/>
        <w:numPr>
          <w:ilvl w:val="0"/>
          <w:numId w:val="46"/>
        </w:numPr>
        <w:jc w:val="both"/>
        <w:rPr>
          <w:rFonts w:ascii="Helvetica" w:eastAsia="Times New Roman" w:hAnsi="Helvetica"/>
          <w:sz w:val="20"/>
          <w:szCs w:val="20"/>
        </w:rPr>
      </w:pPr>
      <w:r w:rsidRPr="008710EA">
        <w:rPr>
          <w:rFonts w:ascii="Helvetica" w:eastAsia="Times New Roman" w:hAnsi="Helvetica"/>
          <w:sz w:val="20"/>
          <w:szCs w:val="20"/>
        </w:rPr>
        <w:t xml:space="preserve">Deambulación; prueba de marcha en 6 minutos. </w:t>
      </w:r>
    </w:p>
    <w:p w14:paraId="45F01F38" w14:textId="5E80E078" w:rsidR="00EC631F" w:rsidRPr="008710EA" w:rsidRDefault="00EC631F" w:rsidP="008710EA">
      <w:pPr>
        <w:pStyle w:val="Prrafodelista"/>
        <w:numPr>
          <w:ilvl w:val="0"/>
          <w:numId w:val="46"/>
        </w:numPr>
        <w:jc w:val="both"/>
        <w:rPr>
          <w:rFonts w:ascii="Helvetica" w:eastAsia="Times New Roman" w:hAnsi="Helvetica"/>
          <w:sz w:val="20"/>
          <w:szCs w:val="20"/>
        </w:rPr>
      </w:pPr>
      <w:r w:rsidRPr="008710EA">
        <w:rPr>
          <w:rFonts w:ascii="Helvetica" w:eastAsia="Times New Roman" w:hAnsi="Helvetica"/>
          <w:sz w:val="20"/>
          <w:szCs w:val="20"/>
        </w:rPr>
        <w:t xml:space="preserve">Infecciones respiratorias y necesidad de ingresos hospitalarios. </w:t>
      </w:r>
    </w:p>
    <w:p w14:paraId="27EA77F8" w14:textId="3193712E" w:rsidR="00EC631F" w:rsidRPr="008710EA" w:rsidRDefault="00EC631F" w:rsidP="008710EA">
      <w:pPr>
        <w:pStyle w:val="Prrafodelista"/>
        <w:numPr>
          <w:ilvl w:val="0"/>
          <w:numId w:val="46"/>
        </w:numPr>
        <w:jc w:val="both"/>
        <w:rPr>
          <w:rFonts w:ascii="Helvetica" w:eastAsia="Times New Roman" w:hAnsi="Helvetica"/>
          <w:sz w:val="20"/>
          <w:szCs w:val="20"/>
        </w:rPr>
      </w:pPr>
      <w:r w:rsidRPr="008710EA">
        <w:rPr>
          <w:rFonts w:ascii="Helvetica" w:eastAsia="Times New Roman" w:hAnsi="Helvetica"/>
          <w:sz w:val="20"/>
          <w:szCs w:val="20"/>
        </w:rPr>
        <w:t>Necesidad de administrar otro fármaco modificador de la enfermedad.</w:t>
      </w:r>
    </w:p>
    <w:p w14:paraId="18AE3018" w14:textId="6D77D298" w:rsidR="008024A5" w:rsidRDefault="008024A5">
      <w:pPr>
        <w:rPr>
          <w:rFonts w:ascii="Arial" w:hAnsi="Arial" w:cs="Arial"/>
          <w:color w:val="0000FF"/>
          <w:sz w:val="20"/>
          <w:szCs w:val="20"/>
          <w:u w:val="single"/>
        </w:rPr>
      </w:pPr>
      <w:r>
        <w:rPr>
          <w:rFonts w:ascii="Arial" w:hAnsi="Arial" w:cs="Arial"/>
          <w:color w:val="0000FF"/>
          <w:sz w:val="20"/>
          <w:szCs w:val="20"/>
          <w:u w:val="single"/>
        </w:rPr>
        <w:br w:type="page"/>
      </w:r>
    </w:p>
    <w:p w14:paraId="2F40CF5E" w14:textId="77777777" w:rsidR="008024A5" w:rsidRDefault="008024A5" w:rsidP="008024A5">
      <w:pPr>
        <w:jc w:val="both"/>
        <w:rPr>
          <w:rFonts w:ascii="Arial" w:hAnsi="Arial" w:cs="Arial"/>
          <w:b/>
          <w:color w:val="000080"/>
          <w:sz w:val="20"/>
        </w:rPr>
      </w:pPr>
      <w:bookmarkStart w:id="114" w:name="_Hlk60051929"/>
      <w:r w:rsidRPr="00F06E7B">
        <w:rPr>
          <w:rFonts w:ascii="Arial" w:hAnsi="Arial" w:cs="Arial"/>
          <w:b/>
          <w:color w:val="000080"/>
          <w:sz w:val="20"/>
        </w:rPr>
        <w:lastRenderedPageBreak/>
        <w:t>ANEXO</w:t>
      </w:r>
      <w:r>
        <w:rPr>
          <w:rFonts w:ascii="Arial" w:hAnsi="Arial" w:cs="Arial"/>
          <w:b/>
          <w:color w:val="000080"/>
          <w:sz w:val="20"/>
        </w:rPr>
        <w:t xml:space="preserve"> 1</w:t>
      </w:r>
      <w:r w:rsidRPr="00F06E7B">
        <w:rPr>
          <w:rFonts w:ascii="Arial" w:hAnsi="Arial" w:cs="Arial"/>
          <w:b/>
          <w:color w:val="000080"/>
          <w:sz w:val="20"/>
        </w:rPr>
        <w:t xml:space="preserve">: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56EBB6EF" w14:textId="77777777" w:rsidR="008024A5" w:rsidRPr="00AF2224" w:rsidRDefault="008024A5" w:rsidP="008024A5">
      <w:pPr>
        <w:jc w:val="both"/>
        <w:rPr>
          <w:rFonts w:ascii="Arial" w:hAnsi="Arial" w:cs="Arial"/>
          <w:b/>
          <w:color w:val="000080"/>
          <w:sz w:val="20"/>
          <w:szCs w:val="20"/>
        </w:rPr>
      </w:pPr>
    </w:p>
    <w:p w14:paraId="00B93996" w14:textId="77777777" w:rsidR="008024A5" w:rsidRPr="008024A5" w:rsidRDefault="008024A5" w:rsidP="008024A5">
      <w:pPr>
        <w:jc w:val="both"/>
        <w:outlineLvl w:val="0"/>
        <w:rPr>
          <w:rFonts w:ascii="Arial" w:hAnsi="Arial" w:cs="Arial"/>
          <w:b/>
          <w:color w:val="000080"/>
          <w:sz w:val="20"/>
          <w:szCs w:val="20"/>
        </w:rPr>
      </w:pPr>
      <w:r w:rsidRPr="008024A5">
        <w:rPr>
          <w:rFonts w:ascii="Arial" w:hAnsi="Arial" w:cs="Arial"/>
          <w:b/>
          <w:color w:val="000080"/>
          <w:sz w:val="20"/>
          <w:szCs w:val="20"/>
        </w:rPr>
        <w:t xml:space="preserve">Nombre persona que hace la alegación propuesta: </w:t>
      </w:r>
      <w:r w:rsidRPr="008024A5">
        <w:rPr>
          <w:rFonts w:ascii="Arial" w:hAnsi="Arial" w:cs="Arial"/>
          <w:color w:val="000080"/>
          <w:sz w:val="20"/>
          <w:szCs w:val="20"/>
        </w:rPr>
        <w:t>Raúl Arocho</w:t>
      </w:r>
    </w:p>
    <w:p w14:paraId="5CE2D8DA" w14:textId="77777777" w:rsidR="008024A5" w:rsidRPr="008024A5" w:rsidRDefault="008024A5" w:rsidP="008024A5">
      <w:pPr>
        <w:jc w:val="both"/>
        <w:outlineLvl w:val="0"/>
        <w:rPr>
          <w:rFonts w:ascii="Arial" w:hAnsi="Arial" w:cs="Arial"/>
          <w:b/>
          <w:color w:val="000080"/>
          <w:sz w:val="20"/>
          <w:szCs w:val="20"/>
        </w:rPr>
      </w:pPr>
      <w:r w:rsidRPr="008024A5">
        <w:rPr>
          <w:rFonts w:ascii="Arial" w:hAnsi="Arial" w:cs="Arial"/>
          <w:b/>
          <w:color w:val="000080"/>
          <w:sz w:val="20"/>
          <w:szCs w:val="20"/>
        </w:rPr>
        <w:t xml:space="preserve">Cargo que ocupa: </w:t>
      </w:r>
      <w:r w:rsidRPr="008024A5">
        <w:rPr>
          <w:rFonts w:ascii="Arial" w:hAnsi="Arial" w:cs="Arial"/>
          <w:color w:val="000080"/>
          <w:sz w:val="20"/>
          <w:szCs w:val="20"/>
        </w:rPr>
        <w:t>Director de Acceso</w:t>
      </w:r>
    </w:p>
    <w:p w14:paraId="05A6073B" w14:textId="77777777" w:rsidR="008024A5" w:rsidRPr="008024A5" w:rsidRDefault="008024A5" w:rsidP="008024A5">
      <w:pPr>
        <w:jc w:val="both"/>
        <w:outlineLvl w:val="0"/>
        <w:rPr>
          <w:rFonts w:ascii="Arial" w:hAnsi="Arial" w:cs="Arial"/>
          <w:b/>
          <w:color w:val="000080"/>
          <w:sz w:val="20"/>
          <w:szCs w:val="20"/>
        </w:rPr>
      </w:pPr>
      <w:r w:rsidRPr="008024A5">
        <w:rPr>
          <w:rFonts w:ascii="Arial" w:hAnsi="Arial" w:cs="Arial"/>
          <w:b/>
          <w:color w:val="000080"/>
          <w:sz w:val="20"/>
          <w:szCs w:val="20"/>
        </w:rPr>
        <w:t xml:space="preserve">Centro, sociedad o empresa: </w:t>
      </w:r>
      <w:r w:rsidRPr="008024A5">
        <w:rPr>
          <w:rFonts w:ascii="Arial" w:hAnsi="Arial" w:cs="Arial"/>
          <w:color w:val="000080"/>
          <w:sz w:val="20"/>
          <w:szCs w:val="20"/>
        </w:rPr>
        <w:t>Novartis Gene Therapies</w:t>
      </w:r>
    </w:p>
    <w:p w14:paraId="4D700DD1" w14:textId="77777777" w:rsidR="008024A5" w:rsidRPr="008024A5" w:rsidRDefault="008024A5" w:rsidP="008024A5">
      <w:pPr>
        <w:jc w:val="both"/>
        <w:outlineLvl w:val="0"/>
        <w:rPr>
          <w:rFonts w:ascii="Arial" w:hAnsi="Arial" w:cs="Arial"/>
          <w:b/>
          <w:color w:val="000080"/>
          <w:sz w:val="20"/>
          <w:szCs w:val="20"/>
        </w:rPr>
      </w:pPr>
      <w:r w:rsidRPr="008024A5">
        <w:rPr>
          <w:rFonts w:ascii="Arial" w:hAnsi="Arial" w:cs="Arial"/>
          <w:b/>
          <w:color w:val="000080"/>
          <w:sz w:val="20"/>
          <w:szCs w:val="20"/>
        </w:rPr>
        <w:t xml:space="preserve">Teléfono de contacto: </w:t>
      </w:r>
      <w:r w:rsidRPr="008024A5">
        <w:rPr>
          <w:rFonts w:ascii="Arial" w:hAnsi="Arial" w:cs="Arial"/>
          <w:color w:val="000080"/>
          <w:sz w:val="20"/>
          <w:szCs w:val="20"/>
        </w:rPr>
        <w:t>+34 616399913</w:t>
      </w:r>
    </w:p>
    <w:p w14:paraId="60711FD1" w14:textId="77777777" w:rsidR="008024A5" w:rsidRDefault="008024A5" w:rsidP="008024A5">
      <w:pPr>
        <w:jc w:val="both"/>
        <w:outlineLvl w:val="0"/>
        <w:rPr>
          <w:rFonts w:ascii="Arial" w:hAnsi="Arial" w:cs="Arial"/>
          <w:b/>
          <w:color w:val="000080"/>
          <w:sz w:val="20"/>
          <w:szCs w:val="20"/>
        </w:rPr>
      </w:pPr>
    </w:p>
    <w:p w14:paraId="5D728144" w14:textId="3381FD1C" w:rsidR="008024A5" w:rsidRDefault="008024A5" w:rsidP="008024A5">
      <w:pPr>
        <w:jc w:val="both"/>
        <w:outlineLvl w:val="0"/>
        <w:rPr>
          <w:rFonts w:ascii="Arial" w:hAnsi="Arial" w:cs="Arial"/>
          <w:b/>
          <w:bCs/>
          <w:sz w:val="20"/>
          <w:szCs w:val="20"/>
        </w:rPr>
      </w:pPr>
      <w:r w:rsidRPr="008024A5">
        <w:rPr>
          <w:rFonts w:ascii="Arial" w:hAnsi="Arial" w:cs="Arial"/>
          <w:b/>
          <w:color w:val="000080"/>
          <w:sz w:val="20"/>
          <w:szCs w:val="20"/>
        </w:rPr>
        <w:t>FÁRMACO:</w:t>
      </w:r>
      <w:r>
        <w:rPr>
          <w:rFonts w:ascii="Arial" w:hAnsi="Arial" w:cs="Arial"/>
          <w:color w:val="000080"/>
          <w:sz w:val="20"/>
          <w:szCs w:val="20"/>
        </w:rPr>
        <w:t xml:space="preserve"> </w:t>
      </w:r>
      <w:r w:rsidR="00482C21">
        <w:rPr>
          <w:rFonts w:ascii="Arial" w:hAnsi="Arial" w:cs="Arial"/>
          <w:color w:val="000080"/>
          <w:sz w:val="20"/>
          <w:szCs w:val="20"/>
        </w:rPr>
        <w:t>Onasemnogén</w:t>
      </w:r>
      <w:r>
        <w:rPr>
          <w:rFonts w:ascii="Arial" w:hAnsi="Arial" w:cs="Arial"/>
          <w:color w:val="000080"/>
          <w:sz w:val="20"/>
          <w:szCs w:val="20"/>
        </w:rPr>
        <w:t xml:space="preserve"> Abeparvovec   </w:t>
      </w:r>
    </w:p>
    <w:p w14:paraId="0CD5E659" w14:textId="77777777" w:rsidR="008024A5" w:rsidRDefault="008024A5" w:rsidP="008024A5">
      <w:pPr>
        <w:jc w:val="both"/>
        <w:outlineLvl w:val="0"/>
        <w:rPr>
          <w:rFonts w:ascii="Arial" w:hAnsi="Arial" w:cs="Arial"/>
          <w:b/>
          <w:bCs/>
          <w:sz w:val="20"/>
          <w:szCs w:val="20"/>
        </w:rPr>
      </w:pPr>
    </w:p>
    <w:p w14:paraId="04F2933E" w14:textId="77777777" w:rsidR="008024A5" w:rsidRDefault="008024A5" w:rsidP="008024A5">
      <w:pPr>
        <w:jc w:val="both"/>
        <w:outlineLvl w:val="0"/>
        <w:rPr>
          <w:rFonts w:ascii="Arial" w:hAnsi="Arial" w:cs="Arial"/>
          <w:color w:val="000080"/>
          <w:sz w:val="20"/>
          <w:szCs w:val="20"/>
        </w:rPr>
      </w:pPr>
      <w:r w:rsidRPr="008024A5">
        <w:rPr>
          <w:rFonts w:ascii="Arial" w:hAnsi="Arial" w:cs="Arial"/>
          <w:b/>
          <w:color w:val="000080"/>
          <w:sz w:val="20"/>
          <w:szCs w:val="20"/>
        </w:rPr>
        <w:t>INDICACIÓN/ES.</w:t>
      </w:r>
      <w:r>
        <w:rPr>
          <w:rFonts w:ascii="Arial" w:hAnsi="Arial" w:cs="Arial"/>
          <w:color w:val="000080"/>
          <w:sz w:val="20"/>
          <w:szCs w:val="20"/>
        </w:rPr>
        <w:t xml:space="preserve"> Tratamiento de:</w:t>
      </w:r>
    </w:p>
    <w:p w14:paraId="690759C2" w14:textId="77777777" w:rsidR="008024A5" w:rsidRDefault="008024A5" w:rsidP="008024A5">
      <w:pPr>
        <w:jc w:val="both"/>
        <w:outlineLvl w:val="0"/>
        <w:rPr>
          <w:rFonts w:ascii="Arial" w:hAnsi="Arial" w:cs="Arial"/>
          <w:color w:val="000080"/>
          <w:sz w:val="20"/>
          <w:szCs w:val="20"/>
        </w:rPr>
      </w:pPr>
      <w:r>
        <w:rPr>
          <w:rFonts w:ascii="Arial" w:hAnsi="Arial" w:cs="Arial"/>
          <w:color w:val="000080"/>
          <w:sz w:val="20"/>
          <w:szCs w:val="20"/>
        </w:rPr>
        <w:t xml:space="preserve">-Atrofia Muscular Espinal (AME) en 5q con una mutación bialélica en el gen SMN1 y un diagnóstico clínico de AME tipo I, o </w:t>
      </w:r>
    </w:p>
    <w:p w14:paraId="5A0B5612" w14:textId="77777777" w:rsidR="008024A5" w:rsidRPr="00D04BE1" w:rsidRDefault="008024A5" w:rsidP="008024A5">
      <w:pPr>
        <w:jc w:val="both"/>
        <w:outlineLvl w:val="0"/>
        <w:rPr>
          <w:rFonts w:ascii="Arial" w:hAnsi="Arial" w:cs="Arial"/>
          <w:b/>
          <w:bCs/>
          <w:sz w:val="20"/>
          <w:szCs w:val="20"/>
        </w:rPr>
      </w:pPr>
      <w:r>
        <w:rPr>
          <w:rFonts w:ascii="Arial" w:hAnsi="Arial" w:cs="Arial"/>
          <w:color w:val="000080"/>
          <w:sz w:val="20"/>
          <w:szCs w:val="20"/>
        </w:rPr>
        <w:t xml:space="preserve">-pacientes con AME en 5q con una mutación bialélica en el gen SMN1 y hasta 3 copias del gen SMN2    </w:t>
      </w:r>
    </w:p>
    <w:p w14:paraId="7A83362F" w14:textId="77777777" w:rsidR="008024A5" w:rsidRPr="00F06E7B" w:rsidRDefault="008024A5" w:rsidP="008024A5">
      <w:pPr>
        <w:jc w:val="both"/>
        <w:rPr>
          <w:rFonts w:ascii="Arial" w:hAnsi="Arial" w:cs="Arial"/>
          <w:b/>
          <w:color w:val="000080"/>
          <w:sz w:val="20"/>
        </w:rPr>
      </w:pPr>
    </w:p>
    <w:p w14:paraId="16C29280" w14:textId="77777777" w:rsidR="008024A5" w:rsidRDefault="008024A5" w:rsidP="008024A5">
      <w:pPr>
        <w:jc w:val="both"/>
        <w:rPr>
          <w:rFonts w:ascii="Arial" w:hAnsi="Arial" w:cs="Arial"/>
          <w:b/>
          <w:color w:val="000080"/>
          <w:sz w:val="20"/>
        </w:rPr>
      </w:pPr>
      <w:r w:rsidRPr="00F06E7B">
        <w:rPr>
          <w:rFonts w:ascii="Arial" w:hAnsi="Arial" w:cs="Arial"/>
          <w:b/>
          <w:color w:val="000080"/>
          <w:sz w:val="20"/>
        </w:rPr>
        <w:t xml:space="preserve">Tutor: </w:t>
      </w:r>
      <w:r>
        <w:rPr>
          <w:rFonts w:ascii="Arial" w:hAnsi="Arial" w:cs="Arial"/>
          <w:b/>
          <w:color w:val="000080"/>
          <w:sz w:val="20"/>
        </w:rPr>
        <w:t>Vicente Arocas Casañ</w:t>
      </w:r>
    </w:p>
    <w:p w14:paraId="78BFAEA4" w14:textId="77777777" w:rsidR="008024A5" w:rsidRDefault="008024A5" w:rsidP="008024A5">
      <w:pPr>
        <w:jc w:val="both"/>
        <w:rPr>
          <w:rFonts w:ascii="Arial" w:hAnsi="Arial" w:cs="Arial"/>
          <w:b/>
          <w:color w:val="000080"/>
          <w:sz w:val="20"/>
        </w:rPr>
      </w:pPr>
    </w:p>
    <w:p w14:paraId="6C9BD53E" w14:textId="77777777" w:rsidR="008024A5" w:rsidRPr="00F06E7B" w:rsidRDefault="008024A5" w:rsidP="008024A5">
      <w:pPr>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429"/>
        <w:gridCol w:w="7513"/>
        <w:gridCol w:w="1734"/>
      </w:tblGrid>
      <w:tr w:rsidR="00E277F2" w:rsidRPr="00241AFD" w14:paraId="63D77F7B" w14:textId="77777777" w:rsidTr="00E277F2">
        <w:tc>
          <w:tcPr>
            <w:tcW w:w="8942" w:type="dxa"/>
            <w:gridSpan w:val="2"/>
          </w:tcPr>
          <w:p w14:paraId="54F138AA" w14:textId="77777777" w:rsidR="00E277F2" w:rsidRPr="00241AFD" w:rsidRDefault="00E277F2" w:rsidP="00E277F2">
            <w:pPr>
              <w:rPr>
                <w:rFonts w:ascii="Arial" w:hAnsi="Arial" w:cs="Arial"/>
                <w:b/>
                <w:color w:val="000080"/>
                <w:sz w:val="18"/>
                <w:szCs w:val="18"/>
              </w:rPr>
            </w:pPr>
            <w:r w:rsidRPr="00241AFD">
              <w:rPr>
                <w:rFonts w:ascii="Arial" w:hAnsi="Arial" w:cs="Arial"/>
                <w:b/>
                <w:color w:val="000080"/>
                <w:sz w:val="18"/>
                <w:szCs w:val="18"/>
              </w:rPr>
              <w:t>Alegaciones al borrador público (MAXIMO 3 IMPRESOS)</w:t>
            </w:r>
          </w:p>
        </w:tc>
        <w:tc>
          <w:tcPr>
            <w:tcW w:w="1734" w:type="dxa"/>
          </w:tcPr>
          <w:p w14:paraId="2EE00974" w14:textId="60F1EEF8" w:rsidR="00E277F2" w:rsidRPr="00241AFD" w:rsidRDefault="00E277F2" w:rsidP="00E277F2">
            <w:pPr>
              <w:rPr>
                <w:rFonts w:ascii="Arial" w:hAnsi="Arial" w:cs="Arial"/>
                <w:b/>
                <w:color w:val="000080"/>
                <w:sz w:val="18"/>
                <w:szCs w:val="18"/>
              </w:rPr>
            </w:pPr>
            <w:r w:rsidRPr="00241AFD">
              <w:rPr>
                <w:rFonts w:ascii="Arial" w:hAnsi="Arial" w:cs="Arial"/>
                <w:b/>
                <w:color w:val="000080"/>
                <w:sz w:val="18"/>
                <w:szCs w:val="18"/>
              </w:rPr>
              <w:t>Respuesta del tutor</w:t>
            </w:r>
          </w:p>
        </w:tc>
      </w:tr>
      <w:tr w:rsidR="008024A5" w:rsidRPr="00241AFD" w14:paraId="4CFAFE4B" w14:textId="77777777" w:rsidTr="00261E14">
        <w:tc>
          <w:tcPr>
            <w:tcW w:w="1429" w:type="dxa"/>
          </w:tcPr>
          <w:p w14:paraId="5906DB22" w14:textId="0A67E633" w:rsidR="008024A5" w:rsidRPr="00241AFD" w:rsidRDefault="008024A5"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Novartis Gene Therapies (NGTx) </w:t>
            </w:r>
          </w:p>
        </w:tc>
        <w:tc>
          <w:tcPr>
            <w:tcW w:w="7513" w:type="dxa"/>
          </w:tcPr>
          <w:p w14:paraId="7878C53C" w14:textId="4EF6DA9D" w:rsidR="008024A5" w:rsidRPr="00241AFD" w:rsidRDefault="008024A5" w:rsidP="008024A5">
            <w:pPr>
              <w:shd w:val="clear" w:color="auto" w:fill="FFFFFF"/>
              <w:jc w:val="both"/>
              <w:rPr>
                <w:rFonts w:ascii="Arial" w:hAnsi="Arial"/>
                <w:sz w:val="18"/>
                <w:szCs w:val="18"/>
              </w:rPr>
            </w:pPr>
            <w:r w:rsidRPr="00241AFD">
              <w:rPr>
                <w:rFonts w:ascii="Arial" w:hAnsi="Arial"/>
                <w:sz w:val="18"/>
                <w:szCs w:val="18"/>
              </w:rPr>
              <w:t xml:space="preserve">Pág. 4. Sección “Principales manifestaciones clínicas”: El cuadro clínico de los pacientes con AME incluye habitualmente contracturas, problemas respiratorios que requieren de soporte ventilatorio (Cuscó et al. Neurol Genet 2020;6(6):e530). La función respiratoria se encuentra afectada debido a la debilidad de los músculos intercostales, conservando la actividad del diafragma ocasionando una respiración paradójica. La denervación bulbar resulta en dificultad para la succión y deglución, aumentando el riesgo de neumonía por aspiración (Herrera-Rodríguez et al. Rev Med Hosp Gen Méx 2012;75(3):162-167). </w:t>
            </w:r>
          </w:p>
        </w:tc>
        <w:tc>
          <w:tcPr>
            <w:tcW w:w="1734" w:type="dxa"/>
          </w:tcPr>
          <w:p w14:paraId="6D756D9C" w14:textId="28E826A0" w:rsidR="008024A5" w:rsidRPr="00241AFD" w:rsidRDefault="00E277F2" w:rsidP="00E277F2">
            <w:pPr>
              <w:rPr>
                <w:rFonts w:ascii="Arial" w:hAnsi="Arial" w:cs="Arial"/>
                <w:color w:val="000080"/>
                <w:sz w:val="18"/>
                <w:szCs w:val="18"/>
              </w:rPr>
            </w:pPr>
            <w:r w:rsidRPr="00241AFD">
              <w:rPr>
                <w:rFonts w:ascii="Arial" w:hAnsi="Arial" w:cs="Arial"/>
                <w:color w:val="000080"/>
                <w:sz w:val="18"/>
                <w:szCs w:val="18"/>
              </w:rPr>
              <w:t>Se acepta.</w:t>
            </w:r>
          </w:p>
        </w:tc>
      </w:tr>
      <w:tr w:rsidR="002C436D" w:rsidRPr="00241AFD" w14:paraId="6448E399" w14:textId="77777777" w:rsidTr="00261E14">
        <w:tc>
          <w:tcPr>
            <w:tcW w:w="1429" w:type="dxa"/>
          </w:tcPr>
          <w:p w14:paraId="49BD450A" w14:textId="275AB8BE"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7D0E6CB7" w14:textId="5F478A9A" w:rsidR="002C436D" w:rsidRPr="00241AFD" w:rsidRDefault="002C436D" w:rsidP="008024A5">
            <w:pPr>
              <w:jc w:val="both"/>
              <w:rPr>
                <w:rFonts w:ascii="Arial" w:hAnsi="Arial"/>
                <w:sz w:val="18"/>
                <w:szCs w:val="18"/>
              </w:rPr>
            </w:pPr>
            <w:r w:rsidRPr="00241AFD">
              <w:rPr>
                <w:rFonts w:ascii="Arial" w:hAnsi="Arial"/>
                <w:sz w:val="18"/>
                <w:szCs w:val="18"/>
              </w:rPr>
              <w:t>Pág.</w:t>
            </w:r>
            <w:r w:rsidR="00E277F2" w:rsidRPr="00241AFD">
              <w:rPr>
                <w:rFonts w:ascii="Arial" w:hAnsi="Arial"/>
                <w:sz w:val="18"/>
                <w:szCs w:val="18"/>
              </w:rPr>
              <w:t xml:space="preserve"> 4.</w:t>
            </w:r>
            <w:r w:rsidRPr="00241AFD">
              <w:rPr>
                <w:rFonts w:ascii="Arial" w:hAnsi="Arial"/>
                <w:sz w:val="18"/>
                <w:szCs w:val="18"/>
              </w:rPr>
              <w:t xml:space="preserve"> Sección “Evolución/Pronóstico”: La enfermedad aparece entre los 6 y los 18 meses. En general, los niños afectados tienen dificultades para sentarse de forma independiente y son incapaces de mantenerse en pie y de caminar al año. La debilidad muscular afecta principalmente a las piernas y a los músculos del tronco, incluyendo los intercostales. Es común la insuficiencia respiratoria, que requiere soporte ventilatorio, y la escoliosis, que suele precisar corrección quirúrgica. La esperanza de vida es variable (Orphanet, 2009). </w:t>
            </w:r>
          </w:p>
        </w:tc>
        <w:tc>
          <w:tcPr>
            <w:tcW w:w="1734" w:type="dxa"/>
          </w:tcPr>
          <w:p w14:paraId="2D6DB1C0" w14:textId="685AA53E" w:rsidR="002C436D" w:rsidRPr="00241AFD" w:rsidRDefault="00FA13B7" w:rsidP="00FA13B7">
            <w:pPr>
              <w:rPr>
                <w:rFonts w:ascii="Arial" w:hAnsi="Arial" w:cs="Arial"/>
                <w:color w:val="000080"/>
                <w:sz w:val="18"/>
                <w:szCs w:val="18"/>
              </w:rPr>
            </w:pPr>
            <w:r w:rsidRPr="00241AFD">
              <w:rPr>
                <w:rFonts w:ascii="Arial" w:hAnsi="Arial" w:cs="Arial"/>
                <w:color w:val="000080"/>
                <w:sz w:val="18"/>
                <w:szCs w:val="18"/>
              </w:rPr>
              <w:t>Se acepta parcialmente. Algunos aspectos ya estaban reflejados en este apartado.</w:t>
            </w:r>
          </w:p>
        </w:tc>
      </w:tr>
      <w:tr w:rsidR="002C436D" w:rsidRPr="00241AFD" w14:paraId="78508406" w14:textId="77777777" w:rsidTr="00261E14">
        <w:tc>
          <w:tcPr>
            <w:tcW w:w="1429" w:type="dxa"/>
          </w:tcPr>
          <w:p w14:paraId="3069278E" w14:textId="177C5551"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Raúl Arocho, Director de Acceso, NGTx </w:t>
            </w:r>
          </w:p>
        </w:tc>
        <w:tc>
          <w:tcPr>
            <w:tcW w:w="7513" w:type="dxa"/>
          </w:tcPr>
          <w:p w14:paraId="4D1F3A38" w14:textId="17E1BE59" w:rsidR="002C436D" w:rsidRPr="00241AFD" w:rsidRDefault="002C436D" w:rsidP="008024A5">
            <w:pPr>
              <w:jc w:val="both"/>
              <w:rPr>
                <w:rFonts w:ascii="Arial" w:hAnsi="Arial"/>
                <w:sz w:val="18"/>
                <w:szCs w:val="18"/>
              </w:rPr>
            </w:pPr>
            <w:r w:rsidRPr="00241AFD">
              <w:rPr>
                <w:rFonts w:ascii="Arial" w:hAnsi="Arial"/>
                <w:sz w:val="18"/>
                <w:szCs w:val="18"/>
              </w:rPr>
              <w:t xml:space="preserve">Pág. 6. Sección “Carga de la enfermedad”: ampliar el impacto de la enfermedad sobre la calidad de vida de los pacientes, así como de sus cuidadores, evaluado específicamente para el entorno español a través del estudio de López-Bastida et al. (2017), en el que se mostró que los cuidadores informales de pacientes con AME dedican, de media, más de 4h al día a su atención. Además, se observó una puntuación media a través del cuestionario EQ-5D de 0,16 y 0,49 notificada por los pacientes y cuidadores. Ello representa un deterioro de la calidad de vida de pacientes y cuidadores del 84% y 50%, respectivamente frente a la población general emparejada por edad. Finalmente, la subpoblación más extensa de pacientes evaluada (AME tipo II; 74%) notificó una puntuación media del cuestionario EQ-5D inferior a cero, haciendo patente la carga clínica que padecen estos pacientes al notificar estados de salud valorados como peores que la muerte. </w:t>
            </w:r>
          </w:p>
        </w:tc>
        <w:tc>
          <w:tcPr>
            <w:tcW w:w="1734" w:type="dxa"/>
          </w:tcPr>
          <w:p w14:paraId="420942B2" w14:textId="3761353A" w:rsidR="002C436D" w:rsidRPr="00241AFD" w:rsidRDefault="004151DA" w:rsidP="004151DA">
            <w:pPr>
              <w:rPr>
                <w:rFonts w:ascii="Arial" w:hAnsi="Arial" w:cs="Arial"/>
                <w:color w:val="000080"/>
                <w:sz w:val="18"/>
                <w:szCs w:val="18"/>
              </w:rPr>
            </w:pPr>
            <w:r w:rsidRPr="00241AFD">
              <w:rPr>
                <w:rFonts w:ascii="Arial" w:hAnsi="Arial" w:cs="Arial"/>
                <w:color w:val="000080"/>
                <w:sz w:val="18"/>
                <w:szCs w:val="18"/>
              </w:rPr>
              <w:t>Se acepta.</w:t>
            </w:r>
          </w:p>
        </w:tc>
      </w:tr>
      <w:tr w:rsidR="002C436D" w:rsidRPr="00241AFD" w14:paraId="4502413C" w14:textId="77777777" w:rsidTr="00261E14">
        <w:tc>
          <w:tcPr>
            <w:tcW w:w="1429" w:type="dxa"/>
          </w:tcPr>
          <w:p w14:paraId="60152018" w14:textId="0AF0360E"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257D1F86" w14:textId="3C567F2B" w:rsidR="002C436D" w:rsidRPr="00241AFD" w:rsidRDefault="002C436D" w:rsidP="008024A5">
            <w:pPr>
              <w:jc w:val="both"/>
              <w:rPr>
                <w:rFonts w:ascii="Arial" w:hAnsi="Arial"/>
                <w:sz w:val="18"/>
                <w:szCs w:val="18"/>
              </w:rPr>
            </w:pPr>
            <w:r w:rsidRPr="00241AFD">
              <w:rPr>
                <w:rFonts w:ascii="Arial" w:hAnsi="Arial"/>
                <w:sz w:val="18"/>
                <w:szCs w:val="18"/>
              </w:rPr>
              <w:t xml:space="preserve">Pág. 7 Tabla 3.3: Inclusión registro RESTORE de seguimiento de los pacientes tratados durante 15 años (Finkel et al., J Neuromuscul Dis. 2020;7(2):145-152). </w:t>
            </w:r>
          </w:p>
        </w:tc>
        <w:tc>
          <w:tcPr>
            <w:tcW w:w="1734" w:type="dxa"/>
          </w:tcPr>
          <w:p w14:paraId="4C2F133F" w14:textId="2154C176" w:rsidR="002C436D" w:rsidRPr="00241AFD" w:rsidRDefault="00F85AF4" w:rsidP="00F85AF4">
            <w:pPr>
              <w:rPr>
                <w:rFonts w:ascii="Tahoma" w:hAnsi="Tahoma"/>
                <w:color w:val="000080"/>
                <w:sz w:val="18"/>
                <w:szCs w:val="18"/>
              </w:rPr>
            </w:pPr>
            <w:r w:rsidRPr="00241AFD">
              <w:rPr>
                <w:rFonts w:ascii="Tahoma" w:hAnsi="Tahoma"/>
                <w:color w:val="000080"/>
                <w:sz w:val="18"/>
                <w:szCs w:val="18"/>
              </w:rPr>
              <w:t>No acepada. No es una característica diferencial entre las dos alternativas que  se están comparando.</w:t>
            </w:r>
          </w:p>
        </w:tc>
      </w:tr>
      <w:tr w:rsidR="002C436D" w:rsidRPr="00241AFD" w14:paraId="7176CC1E" w14:textId="77777777" w:rsidTr="00261E14">
        <w:tc>
          <w:tcPr>
            <w:tcW w:w="1429" w:type="dxa"/>
          </w:tcPr>
          <w:p w14:paraId="09F98949" w14:textId="72282363"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45145E35" w14:textId="08E283E1" w:rsidR="002C436D" w:rsidRPr="00241AFD" w:rsidRDefault="002C436D" w:rsidP="008024A5">
            <w:pPr>
              <w:rPr>
                <w:rFonts w:ascii="Arial" w:hAnsi="Arial"/>
                <w:sz w:val="18"/>
                <w:szCs w:val="18"/>
              </w:rPr>
            </w:pPr>
            <w:r w:rsidRPr="00241AFD">
              <w:rPr>
                <w:rFonts w:ascii="Arial" w:hAnsi="Arial"/>
                <w:sz w:val="18"/>
                <w:szCs w:val="18"/>
              </w:rPr>
              <w:t xml:space="preserve">Pág. 8. Sección 4.2: incluir la aprobación de comercialización en Canadá, 16 de diciembre de 2020. </w:t>
            </w:r>
          </w:p>
        </w:tc>
        <w:tc>
          <w:tcPr>
            <w:tcW w:w="1734" w:type="dxa"/>
          </w:tcPr>
          <w:p w14:paraId="396EF9ED" w14:textId="5FC2CA2E" w:rsidR="002C436D" w:rsidRPr="00241AFD" w:rsidRDefault="00F85AF4" w:rsidP="008024A5">
            <w:pPr>
              <w:shd w:val="clear" w:color="auto" w:fill="FFFFFF"/>
              <w:jc w:val="both"/>
              <w:rPr>
                <w:rFonts w:ascii="Arial" w:hAnsi="Arial"/>
                <w:color w:val="000080"/>
                <w:sz w:val="18"/>
                <w:szCs w:val="18"/>
              </w:rPr>
            </w:pPr>
            <w:r w:rsidRPr="00241AFD">
              <w:rPr>
                <w:rFonts w:ascii="Arial" w:hAnsi="Arial"/>
                <w:color w:val="000080"/>
                <w:sz w:val="18"/>
                <w:szCs w:val="18"/>
              </w:rPr>
              <w:t>No procede.</w:t>
            </w:r>
          </w:p>
        </w:tc>
      </w:tr>
      <w:tr w:rsidR="002C436D" w:rsidRPr="00241AFD" w14:paraId="2F9E6ECD" w14:textId="77777777" w:rsidTr="00261E14">
        <w:tc>
          <w:tcPr>
            <w:tcW w:w="1429" w:type="dxa"/>
          </w:tcPr>
          <w:p w14:paraId="03E3B757" w14:textId="126EF15A"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51FD37C8" w14:textId="452DBBD3" w:rsidR="002C436D" w:rsidRPr="00241AFD" w:rsidRDefault="002C436D" w:rsidP="008024A5">
            <w:pPr>
              <w:rPr>
                <w:rFonts w:ascii="Arial" w:hAnsi="Arial"/>
                <w:sz w:val="18"/>
                <w:szCs w:val="18"/>
              </w:rPr>
            </w:pPr>
            <w:r w:rsidRPr="00241AFD">
              <w:rPr>
                <w:rFonts w:ascii="Arial" w:hAnsi="Arial"/>
                <w:sz w:val="18"/>
                <w:szCs w:val="18"/>
              </w:rPr>
              <w:t xml:space="preserve">Pág. 11. Tabla. 5.1b: revisar la descripción de las variables principales y secundarias de eficacia descritas para onasemnogén abeparvovec. La variable principal de eficacia del estudio STRIVE-EU fue la proporción de pacientes que alcanzaron la sedestación independiente, durante al menos 10 segundos. Asimismo, la supervivencia de los pacientes se estableció como variable de eficacia secundaria en los estudios START, STRIVE-US y SPRINT (subpoblación con 2 copias del gen SMN2). Sugeriríamos reestructurar la descripción indicada en al Tabla 5.1.b de forma que diferencie las variables de eficacia establecidas para los distintos ensayos clínicos pivotales y de soporte vinculados a la autorización de la EMA (es decir los STRIVE-US, STRIVE-EU, SPRINT, START y LT-011). </w:t>
            </w:r>
            <w:r w:rsidRPr="00241AFD">
              <w:rPr>
                <w:rFonts w:ascii="Arial" w:hAnsi="Arial"/>
                <w:sz w:val="18"/>
                <w:szCs w:val="18"/>
              </w:rPr>
              <w:lastRenderedPageBreak/>
              <w:t xml:space="preserve">Asimismo, sugeriríamos revisar el valor máximo indicado de la escala CHOP-INTEND, dado que es de 64 puntos (Mendell et al., N Engl J Med 2017; 377:1713-1722). </w:t>
            </w:r>
          </w:p>
        </w:tc>
        <w:tc>
          <w:tcPr>
            <w:tcW w:w="1734" w:type="dxa"/>
          </w:tcPr>
          <w:p w14:paraId="7A51CFD1" w14:textId="25F12F80" w:rsidR="002C436D" w:rsidRPr="00241AFD" w:rsidRDefault="00215DE5" w:rsidP="00215DE5">
            <w:pPr>
              <w:shd w:val="clear" w:color="auto" w:fill="FFFFFF"/>
              <w:rPr>
                <w:rFonts w:ascii="Arial" w:hAnsi="Arial"/>
                <w:color w:val="000080"/>
                <w:sz w:val="18"/>
                <w:szCs w:val="18"/>
              </w:rPr>
            </w:pPr>
            <w:r w:rsidRPr="00241AFD">
              <w:rPr>
                <w:rFonts w:ascii="Arial" w:hAnsi="Arial"/>
                <w:color w:val="000080"/>
                <w:sz w:val="18"/>
                <w:szCs w:val="18"/>
              </w:rPr>
              <w:lastRenderedPageBreak/>
              <w:t>Aceptada. Se reestructura la tabla y se rectifica el valor máximo de la escala CHOP-INTEND.</w:t>
            </w:r>
          </w:p>
        </w:tc>
      </w:tr>
      <w:tr w:rsidR="00890E86" w:rsidRPr="00241AFD" w14:paraId="79E665F4" w14:textId="77777777" w:rsidTr="00890E86">
        <w:trPr>
          <w:trHeight w:val="639"/>
        </w:trPr>
        <w:tc>
          <w:tcPr>
            <w:tcW w:w="1429" w:type="dxa"/>
          </w:tcPr>
          <w:p w14:paraId="5C3F0D3C" w14:textId="7F98E0E3" w:rsidR="00890E86" w:rsidRPr="00241AFD" w:rsidRDefault="00890E86" w:rsidP="008024A5">
            <w:pPr>
              <w:jc w:val="both"/>
              <w:rPr>
                <w:rFonts w:ascii="Arial" w:hAnsi="Arial"/>
                <w:color w:val="000080"/>
                <w:sz w:val="18"/>
                <w:szCs w:val="18"/>
              </w:rPr>
            </w:pPr>
            <w:r w:rsidRPr="00241AFD">
              <w:rPr>
                <w:rFonts w:ascii="Arial" w:hAnsi="Arial"/>
                <w:color w:val="000080"/>
                <w:sz w:val="18"/>
                <w:szCs w:val="18"/>
              </w:rPr>
              <w:lastRenderedPageBreak/>
              <w:t xml:space="preserve">Elena Martínez, Directora Médico, NGTx </w:t>
            </w:r>
          </w:p>
        </w:tc>
        <w:tc>
          <w:tcPr>
            <w:tcW w:w="7513" w:type="dxa"/>
          </w:tcPr>
          <w:p w14:paraId="26F85D67" w14:textId="77777777" w:rsidR="00890E86" w:rsidRPr="00241AFD" w:rsidRDefault="00890E86" w:rsidP="0057049A">
            <w:pPr>
              <w:pStyle w:val="Default"/>
              <w:spacing w:after="120"/>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Pág. 12 Tabla 5.2.1.a.1: </w:t>
            </w:r>
          </w:p>
          <w:p w14:paraId="79EBAAB5" w14:textId="4D3B952A" w:rsidR="00890E86" w:rsidRPr="00241AFD" w:rsidRDefault="00890E86" w:rsidP="0057049A">
            <w:pPr>
              <w:pStyle w:val="Default"/>
              <w:spacing w:after="120"/>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revisar los criterios de inclusión/exclusión descritos para el estudio STRIVE-US al no ser fieles a los criter</w:t>
            </w:r>
            <w:r w:rsidR="004B582B" w:rsidRPr="00241AFD">
              <w:rPr>
                <w:rFonts w:ascii="Arial" w:eastAsia="等?" w:hAnsi="Arial" w:cs="Times New Roman"/>
                <w:color w:val="auto"/>
                <w:sz w:val="18"/>
                <w:szCs w:val="18"/>
                <w:lang w:eastAsia="es-ES"/>
              </w:rPr>
              <w:t xml:space="preserve">ios estipulados en el estudio. </w:t>
            </w:r>
          </w:p>
        </w:tc>
        <w:tc>
          <w:tcPr>
            <w:tcW w:w="1734" w:type="dxa"/>
          </w:tcPr>
          <w:p w14:paraId="6100E1E1" w14:textId="108FA762" w:rsidR="00890E86" w:rsidRPr="00241AFD" w:rsidRDefault="004B582B" w:rsidP="00890E86">
            <w:pPr>
              <w:shd w:val="clear" w:color="auto" w:fill="FFFFFF"/>
              <w:rPr>
                <w:rFonts w:ascii="Arial" w:hAnsi="Arial"/>
                <w:color w:val="000080"/>
                <w:sz w:val="18"/>
                <w:szCs w:val="18"/>
              </w:rPr>
            </w:pPr>
            <w:r w:rsidRPr="00241AFD">
              <w:rPr>
                <w:rFonts w:ascii="Arial" w:hAnsi="Arial"/>
                <w:color w:val="000080"/>
                <w:sz w:val="18"/>
                <w:szCs w:val="18"/>
              </w:rPr>
              <w:t>Se revisan, pero no se incluyen todos los criterios, solo se resumen los más relevantes.</w:t>
            </w:r>
          </w:p>
        </w:tc>
      </w:tr>
      <w:tr w:rsidR="00890E86" w:rsidRPr="00241AFD" w14:paraId="4E5D1C9C" w14:textId="77777777" w:rsidTr="00261E14">
        <w:trPr>
          <w:trHeight w:val="637"/>
        </w:trPr>
        <w:tc>
          <w:tcPr>
            <w:tcW w:w="1429" w:type="dxa"/>
          </w:tcPr>
          <w:p w14:paraId="1FC27F32" w14:textId="4A000624" w:rsidR="00890E86" w:rsidRPr="00241AFD" w:rsidRDefault="004B582B" w:rsidP="008024A5">
            <w:pPr>
              <w:jc w:val="both"/>
              <w:rPr>
                <w:rFonts w:ascii="Arial" w:hAnsi="Arial"/>
                <w:color w:val="000080"/>
                <w:sz w:val="18"/>
                <w:szCs w:val="18"/>
              </w:rPr>
            </w:pPr>
            <w:r w:rsidRPr="00241AFD">
              <w:rPr>
                <w:rFonts w:ascii="Arial" w:hAnsi="Arial"/>
                <w:color w:val="000080"/>
                <w:sz w:val="18"/>
                <w:szCs w:val="18"/>
              </w:rPr>
              <w:t>Elena Martínez, Directora Médico, NGTx</w:t>
            </w:r>
          </w:p>
        </w:tc>
        <w:tc>
          <w:tcPr>
            <w:tcW w:w="7513" w:type="dxa"/>
          </w:tcPr>
          <w:p w14:paraId="6D9E0C64" w14:textId="77777777" w:rsidR="004B582B" w:rsidRPr="00241AFD" w:rsidRDefault="004B582B" w:rsidP="0057049A">
            <w:pPr>
              <w:pStyle w:val="Default"/>
              <w:spacing w:after="0"/>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Pág. 12 Tabla 5.2.1.a.1: </w:t>
            </w:r>
          </w:p>
          <w:p w14:paraId="4C8AEBAE" w14:textId="77777777" w:rsidR="0057049A" w:rsidRDefault="004B582B" w:rsidP="0057049A">
            <w:pPr>
              <w:pStyle w:val="Default"/>
              <w:spacing w:after="0"/>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Adecuar la descripción del motivo de las discontinuaciones observadas en el estudio: Dos pacientes discontinuaron el estudio antes de los 13,6 meses de edad. Un paciente murió a los 7,8 meses de edad por fallo respiratorio no relacionado con el tratamiento. Un paciente abandonó el estudio de forma voluntaria.</w:t>
            </w:r>
          </w:p>
          <w:p w14:paraId="03965817" w14:textId="088040E4" w:rsidR="00890E86" w:rsidRPr="00241AFD" w:rsidRDefault="004B582B" w:rsidP="0057049A">
            <w:pPr>
              <w:pStyle w:val="Default"/>
              <w:spacing w:after="0"/>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 </w:t>
            </w:r>
          </w:p>
        </w:tc>
        <w:tc>
          <w:tcPr>
            <w:tcW w:w="1734" w:type="dxa"/>
          </w:tcPr>
          <w:p w14:paraId="39BE234D" w14:textId="395B7100" w:rsidR="00890E86" w:rsidRPr="00241AFD" w:rsidRDefault="004B582B" w:rsidP="00890E86">
            <w:pPr>
              <w:shd w:val="clear" w:color="auto" w:fill="FFFFFF"/>
              <w:rPr>
                <w:rFonts w:ascii="Arial" w:hAnsi="Arial"/>
                <w:color w:val="000080"/>
                <w:sz w:val="18"/>
                <w:szCs w:val="18"/>
              </w:rPr>
            </w:pPr>
            <w:r w:rsidRPr="00241AFD">
              <w:rPr>
                <w:rFonts w:ascii="Arial" w:hAnsi="Arial"/>
                <w:color w:val="000080"/>
                <w:sz w:val="18"/>
                <w:szCs w:val="18"/>
              </w:rPr>
              <w:t>Aceptada</w:t>
            </w:r>
          </w:p>
        </w:tc>
      </w:tr>
      <w:tr w:rsidR="00890E86" w:rsidRPr="00241AFD" w14:paraId="7135135D" w14:textId="77777777" w:rsidTr="00261E14">
        <w:trPr>
          <w:trHeight w:val="637"/>
        </w:trPr>
        <w:tc>
          <w:tcPr>
            <w:tcW w:w="1429" w:type="dxa"/>
          </w:tcPr>
          <w:p w14:paraId="651F6C21" w14:textId="7DF874B5" w:rsidR="00890E86" w:rsidRPr="00241AFD" w:rsidRDefault="004B582B" w:rsidP="008024A5">
            <w:pPr>
              <w:jc w:val="both"/>
              <w:rPr>
                <w:rFonts w:ascii="Arial" w:hAnsi="Arial"/>
                <w:color w:val="000080"/>
                <w:sz w:val="18"/>
                <w:szCs w:val="18"/>
              </w:rPr>
            </w:pPr>
            <w:r w:rsidRPr="00241AFD">
              <w:rPr>
                <w:rFonts w:ascii="Arial" w:hAnsi="Arial"/>
                <w:color w:val="000080"/>
                <w:sz w:val="18"/>
                <w:szCs w:val="18"/>
              </w:rPr>
              <w:t>Elena Martínez, Directora Médico, NGTx</w:t>
            </w:r>
          </w:p>
        </w:tc>
        <w:tc>
          <w:tcPr>
            <w:tcW w:w="7513" w:type="dxa"/>
          </w:tcPr>
          <w:p w14:paraId="4B855ABF" w14:textId="77777777" w:rsidR="004B582B" w:rsidRPr="00241AFD" w:rsidRDefault="004B582B" w:rsidP="004B582B">
            <w:pPr>
              <w:pStyle w:val="Default"/>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Pág. 12 Tabla 5.2.1.a.1: </w:t>
            </w:r>
          </w:p>
          <w:p w14:paraId="01841791" w14:textId="55F71FC3" w:rsidR="00890E86" w:rsidRPr="00241AFD" w:rsidRDefault="004B582B">
            <w:pPr>
              <w:pStyle w:val="Default"/>
              <w:rPr>
                <w:rFonts w:ascii="Arial" w:eastAsia="等?" w:hAnsi="Arial" w:cs="Times New Roman"/>
                <w:color w:val="auto"/>
                <w:sz w:val="18"/>
                <w:szCs w:val="18"/>
                <w:lang w:eastAsia="es-ES"/>
              </w:rPr>
            </w:pPr>
            <w:r w:rsidRPr="00241AFD">
              <w:rPr>
                <w:rFonts w:ascii="Arial" w:hAnsi="Arial"/>
                <w:sz w:val="18"/>
                <w:szCs w:val="18"/>
              </w:rPr>
              <w:t>- Indicar “18 meses de edad” en la descripción de los resultados de la variable primaria de eficacia</w:t>
            </w:r>
          </w:p>
        </w:tc>
        <w:tc>
          <w:tcPr>
            <w:tcW w:w="1734" w:type="dxa"/>
          </w:tcPr>
          <w:p w14:paraId="4388C687" w14:textId="303863EF" w:rsidR="00890E86" w:rsidRPr="00241AFD" w:rsidRDefault="004B582B" w:rsidP="00890E86">
            <w:pPr>
              <w:shd w:val="clear" w:color="auto" w:fill="FFFFFF"/>
              <w:rPr>
                <w:rFonts w:ascii="Arial" w:hAnsi="Arial"/>
                <w:color w:val="000080"/>
                <w:sz w:val="18"/>
                <w:szCs w:val="18"/>
              </w:rPr>
            </w:pPr>
            <w:r w:rsidRPr="00241AFD">
              <w:rPr>
                <w:rFonts w:ascii="Arial" w:hAnsi="Arial"/>
                <w:color w:val="000080"/>
                <w:sz w:val="18"/>
                <w:szCs w:val="18"/>
              </w:rPr>
              <w:t>Aceptada</w:t>
            </w:r>
          </w:p>
        </w:tc>
      </w:tr>
      <w:tr w:rsidR="002C436D" w:rsidRPr="00241AFD" w14:paraId="191F4EFB" w14:textId="77777777" w:rsidTr="00261E14">
        <w:tc>
          <w:tcPr>
            <w:tcW w:w="1429" w:type="dxa"/>
          </w:tcPr>
          <w:p w14:paraId="7DE8911C" w14:textId="4D863154"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37E376E2" w14:textId="3698BD8A" w:rsidR="002C436D" w:rsidRPr="00241AFD" w:rsidRDefault="002C436D">
            <w:pPr>
              <w:pStyle w:val="Default"/>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Pág. 13: - El estudio START representó el ensayo clínico pivotal y de soporte para la autorización de comercialización de onasemnogén abeparvovec por la FDA y por la EMA. Ampliar su descripción a través de la tabla descriptiva del diseño, criterios de elegibilidad y resultados (Mendell et al. N Engl J Med 2017;377:1713-1722). </w:t>
            </w:r>
          </w:p>
          <w:p w14:paraId="5E13E37E" w14:textId="2C549B43" w:rsidR="002C436D" w:rsidRPr="00241AFD" w:rsidRDefault="002C436D" w:rsidP="008024A5">
            <w:pPr>
              <w:jc w:val="both"/>
              <w:rPr>
                <w:rFonts w:ascii="Arial" w:hAnsi="Arial"/>
                <w:sz w:val="18"/>
                <w:szCs w:val="18"/>
              </w:rPr>
            </w:pPr>
            <w:r w:rsidRPr="00241AFD">
              <w:rPr>
                <w:rFonts w:ascii="Arial" w:hAnsi="Arial"/>
                <w:sz w:val="18"/>
                <w:szCs w:val="18"/>
              </w:rPr>
              <w:t xml:space="preserve">- El estudio LT-001 es el estudio de extensión que posee el mayor horizonte temporal de seguimiento de los pacientes con AME de tipo 1 tratados con onasemnogén abeparvovec en el ensayo START. A 31 de diciembre de 2019, el seguimiento medio de los pacientes fue de 4,8 años (rango 4,1-5,7 años). Ampliar con tabla descriptiva de diseño, criterios de elegibilidad y resultados (EPAR,2020) </w:t>
            </w:r>
          </w:p>
        </w:tc>
        <w:tc>
          <w:tcPr>
            <w:tcW w:w="1734" w:type="dxa"/>
          </w:tcPr>
          <w:p w14:paraId="3C0B5096" w14:textId="15A913AE" w:rsidR="002C436D" w:rsidRPr="00241AFD" w:rsidRDefault="008737B1" w:rsidP="008737B1">
            <w:pPr>
              <w:shd w:val="clear" w:color="auto" w:fill="FFFFFF"/>
              <w:rPr>
                <w:rFonts w:ascii="Arial" w:hAnsi="Arial"/>
                <w:color w:val="000080"/>
                <w:sz w:val="18"/>
                <w:szCs w:val="18"/>
              </w:rPr>
            </w:pPr>
            <w:r w:rsidRPr="00241AFD">
              <w:rPr>
                <w:rFonts w:ascii="Arial" w:hAnsi="Arial"/>
                <w:color w:val="000080"/>
                <w:sz w:val="18"/>
                <w:szCs w:val="18"/>
              </w:rPr>
              <w:t>Tanto el ensayo START como su extensión (ensayo LT-001) son estudios se soporte y están convenientemente resumidos en el informe. No consideramos necesario desarrollar más la información referente a ellos.</w:t>
            </w:r>
          </w:p>
        </w:tc>
      </w:tr>
      <w:tr w:rsidR="002C436D" w:rsidRPr="00241AFD" w14:paraId="2322CA1B" w14:textId="77777777" w:rsidTr="00261E14">
        <w:tc>
          <w:tcPr>
            <w:tcW w:w="1429" w:type="dxa"/>
          </w:tcPr>
          <w:p w14:paraId="53D2707F" w14:textId="2D938E87"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4B3298DE" w14:textId="10CFA963" w:rsidR="002C436D" w:rsidRPr="00241AFD" w:rsidRDefault="002C436D" w:rsidP="008024A5">
            <w:pPr>
              <w:jc w:val="both"/>
              <w:rPr>
                <w:rFonts w:ascii="Arial" w:hAnsi="Arial"/>
                <w:sz w:val="18"/>
                <w:szCs w:val="18"/>
              </w:rPr>
            </w:pPr>
            <w:r w:rsidRPr="00241AFD">
              <w:rPr>
                <w:rFonts w:ascii="Arial" w:hAnsi="Arial"/>
                <w:sz w:val="18"/>
                <w:szCs w:val="18"/>
              </w:rPr>
              <w:t xml:space="preserve">Pág. 14, Tabla 5.2.a.2: criterios de inclusión/exclusión no fieles a los criterios estipulados en el estudio. </w:t>
            </w:r>
          </w:p>
        </w:tc>
        <w:tc>
          <w:tcPr>
            <w:tcW w:w="1734" w:type="dxa"/>
          </w:tcPr>
          <w:p w14:paraId="6F1F6997" w14:textId="65D567BD" w:rsidR="002C436D" w:rsidRPr="00241AFD" w:rsidRDefault="00083638" w:rsidP="00890E86">
            <w:pPr>
              <w:shd w:val="clear" w:color="auto" w:fill="FFFFFF"/>
              <w:rPr>
                <w:rFonts w:ascii="Arial" w:hAnsi="Arial"/>
                <w:color w:val="000080"/>
                <w:sz w:val="18"/>
                <w:szCs w:val="18"/>
              </w:rPr>
            </w:pPr>
            <w:r w:rsidRPr="00241AFD">
              <w:rPr>
                <w:rFonts w:ascii="Arial" w:hAnsi="Arial"/>
                <w:color w:val="000080"/>
                <w:sz w:val="18"/>
                <w:szCs w:val="18"/>
              </w:rPr>
              <w:t>Se revisan, pero no se incluyen todos los criterios, solo se resumen los más relevantes.</w:t>
            </w:r>
          </w:p>
        </w:tc>
      </w:tr>
      <w:tr w:rsidR="002C436D" w:rsidRPr="00241AFD" w14:paraId="27682915" w14:textId="77777777" w:rsidTr="00261E14">
        <w:tc>
          <w:tcPr>
            <w:tcW w:w="1429" w:type="dxa"/>
          </w:tcPr>
          <w:p w14:paraId="6B69579E" w14:textId="1823F89A"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435326BC" w14:textId="3704FB85" w:rsidR="002C436D" w:rsidRPr="00241AFD" w:rsidRDefault="002C436D" w:rsidP="008024A5">
            <w:pPr>
              <w:jc w:val="both"/>
              <w:rPr>
                <w:rFonts w:ascii="Arial" w:hAnsi="Arial"/>
                <w:sz w:val="18"/>
                <w:szCs w:val="18"/>
              </w:rPr>
            </w:pPr>
            <w:r w:rsidRPr="00241AFD">
              <w:rPr>
                <w:rFonts w:ascii="Arial" w:hAnsi="Arial"/>
                <w:sz w:val="18"/>
                <w:szCs w:val="18"/>
              </w:rPr>
              <w:t xml:space="preserve">Pág. 14: Descripción resultados de eficacia del estudio SPRINT; Cohorte 1: incluir el % de pacientes que lograron supervivencia libre de evento y sedestación independiente. Ampliar la descripción de los resultados de motricidad gruesa y fina según la escala Bayley. </w:t>
            </w:r>
          </w:p>
        </w:tc>
        <w:tc>
          <w:tcPr>
            <w:tcW w:w="1734" w:type="dxa"/>
          </w:tcPr>
          <w:p w14:paraId="6801C825" w14:textId="5CA65D94" w:rsidR="002C436D" w:rsidRPr="00241AFD" w:rsidRDefault="005A0D50" w:rsidP="00890E86">
            <w:pPr>
              <w:shd w:val="clear" w:color="auto" w:fill="FFFFFF"/>
              <w:rPr>
                <w:rFonts w:ascii="Arial" w:hAnsi="Arial"/>
                <w:color w:val="000080"/>
                <w:sz w:val="18"/>
                <w:szCs w:val="18"/>
              </w:rPr>
            </w:pPr>
            <w:r>
              <w:rPr>
                <w:rFonts w:ascii="Arial" w:hAnsi="Arial"/>
                <w:color w:val="000080"/>
                <w:sz w:val="18"/>
                <w:szCs w:val="18"/>
              </w:rPr>
              <w:t>Se incluyen los resultados de motricidad gruesa y fina según escala de Bayley.</w:t>
            </w:r>
          </w:p>
        </w:tc>
      </w:tr>
      <w:tr w:rsidR="002C436D" w:rsidRPr="00241AFD" w14:paraId="7D941719" w14:textId="77777777" w:rsidTr="00261E14">
        <w:tc>
          <w:tcPr>
            <w:tcW w:w="1429" w:type="dxa"/>
          </w:tcPr>
          <w:p w14:paraId="391897D8" w14:textId="786CB0AE"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7F85F93B" w14:textId="7CC2F5FF" w:rsidR="002C436D" w:rsidRPr="00241AFD" w:rsidRDefault="002C436D" w:rsidP="008024A5">
            <w:pPr>
              <w:shd w:val="clear" w:color="auto" w:fill="FFFFFF"/>
              <w:rPr>
                <w:rFonts w:ascii="Arial" w:hAnsi="Arial"/>
                <w:sz w:val="18"/>
                <w:szCs w:val="18"/>
              </w:rPr>
            </w:pPr>
            <w:r w:rsidRPr="00241AFD">
              <w:rPr>
                <w:rFonts w:ascii="Arial" w:hAnsi="Arial"/>
                <w:sz w:val="18"/>
                <w:szCs w:val="18"/>
              </w:rPr>
              <w:t xml:space="preserve">Pág. 15: Descripción resultados de eficacia del estudio SPRINT; Cohorte 2: incluir el % de pacientes que lograron supervivencia libre de evento y sedestación independiente. Ampliar la descripción de los resultados de motricidad gruesa y fina según la escala Bayley. Asimismo, los hitos motores observados en el estudio SPR1NT representan un apropiado desarrollo motor de la población pediátrica por edad, lo que demuestra el excepcional beneficio clínico atribuido al tratamiento temprano. En la fecha de corte de 31 de diciembre de 2019, determinados pacientes no alcanzaron los hitos motores debido a su limitada edad y seguimiento disponible hasta la fecha. </w:t>
            </w:r>
          </w:p>
        </w:tc>
        <w:tc>
          <w:tcPr>
            <w:tcW w:w="1734" w:type="dxa"/>
          </w:tcPr>
          <w:p w14:paraId="51B73C60" w14:textId="6F56A1A6" w:rsidR="002C436D" w:rsidRPr="00241AFD" w:rsidRDefault="005A0D50" w:rsidP="00890E86">
            <w:pPr>
              <w:shd w:val="clear" w:color="auto" w:fill="FFFFFF"/>
              <w:rPr>
                <w:rFonts w:ascii="Arial" w:hAnsi="Arial"/>
                <w:color w:val="000080"/>
                <w:sz w:val="18"/>
                <w:szCs w:val="18"/>
              </w:rPr>
            </w:pPr>
            <w:r w:rsidRPr="005A0D50">
              <w:rPr>
                <w:rFonts w:ascii="Arial" w:hAnsi="Arial"/>
                <w:color w:val="000080"/>
                <w:sz w:val="18"/>
                <w:szCs w:val="18"/>
              </w:rPr>
              <w:t>Se incluyen los resultados de motricidad gruesa y fina según escala de Bayley.</w:t>
            </w:r>
          </w:p>
        </w:tc>
      </w:tr>
      <w:tr w:rsidR="002C436D" w:rsidRPr="00241AFD" w14:paraId="0C7B4FDF" w14:textId="77777777" w:rsidTr="00261E14">
        <w:tc>
          <w:tcPr>
            <w:tcW w:w="1429" w:type="dxa"/>
          </w:tcPr>
          <w:p w14:paraId="01D6EAB8" w14:textId="6F6D2B9D"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2CF745D9" w14:textId="4A2F1394" w:rsidR="002C436D" w:rsidRPr="00241AFD" w:rsidRDefault="002C436D" w:rsidP="008024A5">
            <w:pPr>
              <w:pStyle w:val="Textocomentario"/>
              <w:rPr>
                <w:rFonts w:ascii="Arial" w:hAnsi="Arial"/>
                <w:sz w:val="18"/>
                <w:szCs w:val="18"/>
              </w:rPr>
            </w:pPr>
            <w:r w:rsidRPr="00241AFD">
              <w:rPr>
                <w:rFonts w:ascii="Arial" w:hAnsi="Arial"/>
                <w:sz w:val="18"/>
                <w:szCs w:val="18"/>
              </w:rPr>
              <w:t xml:space="preserve">Pág. 15, Secciones A y B: En el momento del diseño del programa de desarrollo clínico no había aprobado ningún tratamiento capaz de modificar el curso de la enfermedad, lo que imposibilitó el diseño de estudios con grupo comparador activo. Considerando el beneficio clínico de onasemnogén abeparvovec frente a la historia natural de los pacientes con AME tipo 1 sin tratamiento activo no se consideró ético el diseño de ensayos clínicos aleatorizados con grupo placebo. Ello fue validado a través de las distintas agencias regulatorias durante el diseño del programa de desarrollo clínico. Asimismo, se consensuó y aportó un extenso conjunto de datos demográficos y de resultados clínicos de la historia natural de pacientes con AME tipo 1 permitiendo así realizar comparaciones indirectas con cohortes de control adecuadamente emparejadas. Ello también fue considerado como válido por la EMA, entre otras agencias regulatorias. </w:t>
            </w:r>
          </w:p>
        </w:tc>
        <w:tc>
          <w:tcPr>
            <w:tcW w:w="1734" w:type="dxa"/>
          </w:tcPr>
          <w:p w14:paraId="253F67BC" w14:textId="6D2B7E1A" w:rsidR="002C436D" w:rsidRPr="00241AFD" w:rsidRDefault="00A413B3" w:rsidP="00A413B3">
            <w:pPr>
              <w:shd w:val="clear" w:color="auto" w:fill="FFFFFF"/>
              <w:rPr>
                <w:rFonts w:ascii="Arial" w:hAnsi="Arial"/>
                <w:color w:val="000080"/>
                <w:sz w:val="18"/>
                <w:szCs w:val="18"/>
              </w:rPr>
            </w:pPr>
            <w:r>
              <w:rPr>
                <w:rFonts w:ascii="Arial" w:hAnsi="Arial"/>
                <w:color w:val="000080"/>
                <w:sz w:val="18"/>
                <w:szCs w:val="18"/>
              </w:rPr>
              <w:t>En este apartado no se valora si el desarrollo clínico fue o no correcto, simplemente se comentan las limitaciones actuales para aplicar los resultados que disponemos a la práctica clínica.</w:t>
            </w:r>
          </w:p>
        </w:tc>
      </w:tr>
      <w:tr w:rsidR="002C436D" w:rsidRPr="00241AFD" w14:paraId="386DC5D7" w14:textId="77777777" w:rsidTr="00261E14">
        <w:tc>
          <w:tcPr>
            <w:tcW w:w="1429" w:type="dxa"/>
          </w:tcPr>
          <w:p w14:paraId="1B4490E7" w14:textId="6FEE1EF9"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3077AF55" w14:textId="1D2721AF" w:rsidR="002C436D" w:rsidRPr="00241AFD" w:rsidRDefault="002C436D" w:rsidP="008024A5">
            <w:pPr>
              <w:pStyle w:val="Textocomentario"/>
              <w:rPr>
                <w:sz w:val="18"/>
                <w:szCs w:val="18"/>
              </w:rPr>
            </w:pPr>
            <w:r w:rsidRPr="00241AFD">
              <w:rPr>
                <w:rFonts w:ascii="Arial" w:hAnsi="Arial"/>
                <w:sz w:val="18"/>
                <w:szCs w:val="18"/>
              </w:rPr>
              <w:t xml:space="preserve">Tal y como indica la EMA, las cohortes establecidas para definir la historia natural PNCR y NeuroNext fueron considerados como conjuntos de datos clínicamente relevantes y </w:t>
            </w:r>
            <w:r w:rsidRPr="00241AFD">
              <w:rPr>
                <w:rFonts w:ascii="Arial" w:hAnsi="Arial"/>
                <w:sz w:val="18"/>
                <w:szCs w:val="18"/>
              </w:rPr>
              <w:lastRenderedPageBreak/>
              <w:t xml:space="preserve">adecuadamente comparables para establecerse como grupos control apropiados para los estudio START, STR1VE-US y STR1VE-EU. </w:t>
            </w:r>
          </w:p>
        </w:tc>
        <w:tc>
          <w:tcPr>
            <w:tcW w:w="1734" w:type="dxa"/>
          </w:tcPr>
          <w:p w14:paraId="7A8E194E" w14:textId="394A3392" w:rsidR="002C436D" w:rsidRPr="00241AFD" w:rsidRDefault="0057049A" w:rsidP="00890E86">
            <w:pPr>
              <w:shd w:val="clear" w:color="auto" w:fill="FFFFFF"/>
              <w:rPr>
                <w:rFonts w:ascii="Arial" w:hAnsi="Arial"/>
                <w:color w:val="000080"/>
                <w:sz w:val="18"/>
                <w:szCs w:val="18"/>
              </w:rPr>
            </w:pPr>
            <w:r>
              <w:rPr>
                <w:rFonts w:ascii="Arial" w:hAnsi="Arial"/>
                <w:color w:val="000080"/>
                <w:sz w:val="18"/>
                <w:szCs w:val="18"/>
              </w:rPr>
              <w:lastRenderedPageBreak/>
              <w:t>No procede. Mantenemos el texto.</w:t>
            </w:r>
          </w:p>
        </w:tc>
      </w:tr>
      <w:tr w:rsidR="002C436D" w:rsidRPr="00241AFD" w14:paraId="229A0FE1" w14:textId="77777777" w:rsidTr="00261E14">
        <w:tc>
          <w:tcPr>
            <w:tcW w:w="1429" w:type="dxa"/>
          </w:tcPr>
          <w:p w14:paraId="7956BA0E" w14:textId="73D4FA71"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lastRenderedPageBreak/>
              <w:t xml:space="preserve">Elena Martínez, Directora Médico, NGTx </w:t>
            </w:r>
          </w:p>
        </w:tc>
        <w:tc>
          <w:tcPr>
            <w:tcW w:w="7513" w:type="dxa"/>
          </w:tcPr>
          <w:p w14:paraId="0F2C9124" w14:textId="4C98A468" w:rsidR="002C436D" w:rsidRPr="00241AFD" w:rsidRDefault="002C436D" w:rsidP="008024A5">
            <w:pPr>
              <w:pStyle w:val="Textocomentario"/>
              <w:rPr>
                <w:rFonts w:ascii="Arial" w:hAnsi="Arial"/>
                <w:sz w:val="18"/>
                <w:szCs w:val="18"/>
              </w:rPr>
            </w:pPr>
            <w:r w:rsidRPr="00241AFD">
              <w:rPr>
                <w:rFonts w:ascii="Arial" w:hAnsi="Arial"/>
                <w:sz w:val="18"/>
                <w:szCs w:val="18"/>
              </w:rPr>
              <w:t xml:space="preserve">Pág. 16, Sección C.2: Tal y como se explicita en el EPAR (2020), el tratamiento único de onasemnogén abeparvovec representa una ventaja para los pacientes en comparación con la necesidad de tratamiento crónico con nusinersen. Los datos evaluados claramente sugieren que la eficacia de onasemnogén abeparvovec en la población de pacientes prevista excederá la de nusinersen. Dada la diferencia en el mecanismo de acción entre nusinersen y onasemnogén abeparvovec, se espera que onasemnogén abeparvovec sea más eficaz que nusinersen en pacientes con 2 copias del gen SMN2. Por lo tanto, es de esperar una gran ventaja terapéutica asociada. </w:t>
            </w:r>
          </w:p>
        </w:tc>
        <w:tc>
          <w:tcPr>
            <w:tcW w:w="1734" w:type="dxa"/>
          </w:tcPr>
          <w:p w14:paraId="3BC8D4D7" w14:textId="4186B14B" w:rsidR="002C436D" w:rsidRPr="00241AFD" w:rsidRDefault="0057049A" w:rsidP="002115A3">
            <w:pPr>
              <w:shd w:val="clear" w:color="auto" w:fill="FFFFFF"/>
              <w:rPr>
                <w:rFonts w:ascii="Arial" w:hAnsi="Arial"/>
                <w:color w:val="000080"/>
                <w:sz w:val="18"/>
                <w:szCs w:val="18"/>
              </w:rPr>
            </w:pPr>
            <w:r>
              <w:rPr>
                <w:rFonts w:ascii="Arial" w:hAnsi="Arial"/>
                <w:color w:val="000080"/>
                <w:sz w:val="18"/>
                <w:szCs w:val="18"/>
              </w:rPr>
              <w:t>Nusinersen es</w:t>
            </w:r>
            <w:r w:rsidR="002115A3">
              <w:rPr>
                <w:rFonts w:ascii="Arial" w:hAnsi="Arial"/>
                <w:color w:val="000080"/>
                <w:sz w:val="18"/>
                <w:szCs w:val="18"/>
              </w:rPr>
              <w:t>, actualmente,</w:t>
            </w:r>
            <w:r>
              <w:rPr>
                <w:rFonts w:ascii="Arial" w:hAnsi="Arial"/>
                <w:color w:val="000080"/>
                <w:sz w:val="18"/>
                <w:szCs w:val="18"/>
              </w:rPr>
              <w:t xml:space="preserve"> el </w:t>
            </w:r>
            <w:r w:rsidR="002115A3">
              <w:rPr>
                <w:rFonts w:ascii="Arial" w:hAnsi="Arial"/>
                <w:color w:val="000080"/>
                <w:sz w:val="18"/>
                <w:szCs w:val="18"/>
              </w:rPr>
              <w:t>estándar de tratamiento</w:t>
            </w:r>
            <w:r>
              <w:rPr>
                <w:rFonts w:ascii="Arial" w:hAnsi="Arial"/>
                <w:color w:val="000080"/>
                <w:sz w:val="18"/>
                <w:szCs w:val="18"/>
              </w:rPr>
              <w:t xml:space="preserve"> y, por ta</w:t>
            </w:r>
            <w:r w:rsidR="002115A3">
              <w:rPr>
                <w:rFonts w:ascii="Arial" w:hAnsi="Arial"/>
                <w:color w:val="000080"/>
                <w:sz w:val="18"/>
                <w:szCs w:val="18"/>
              </w:rPr>
              <w:t xml:space="preserve">nto, </w:t>
            </w:r>
            <w:r>
              <w:rPr>
                <w:rFonts w:ascii="Arial" w:hAnsi="Arial"/>
                <w:color w:val="000080"/>
                <w:sz w:val="18"/>
                <w:szCs w:val="18"/>
              </w:rPr>
              <w:t>consideramos relevante presentar sus resultados de eficacia y seguridad.</w:t>
            </w:r>
          </w:p>
        </w:tc>
      </w:tr>
      <w:tr w:rsidR="002C436D" w:rsidRPr="00241AFD" w14:paraId="633187CD" w14:textId="77777777" w:rsidTr="00261E14">
        <w:tc>
          <w:tcPr>
            <w:tcW w:w="1429" w:type="dxa"/>
          </w:tcPr>
          <w:p w14:paraId="0E1FF71C" w14:textId="3716DC17"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7B57A9EF" w14:textId="2DF03A42" w:rsidR="002C436D" w:rsidRPr="00241AFD" w:rsidRDefault="002C436D" w:rsidP="001A6645">
            <w:pPr>
              <w:pStyle w:val="Textocomentario"/>
              <w:rPr>
                <w:rFonts w:ascii="Arial" w:hAnsi="Arial"/>
                <w:sz w:val="18"/>
                <w:szCs w:val="18"/>
              </w:rPr>
            </w:pPr>
            <w:r w:rsidRPr="00241AFD">
              <w:rPr>
                <w:rFonts w:ascii="Arial" w:hAnsi="Arial"/>
                <w:sz w:val="18"/>
                <w:szCs w:val="18"/>
              </w:rPr>
              <w:t>Pág. 18. Todos los pacientes del estudio START completaron el período de seguimiento de 24 meses sin recibir nusinersen y sin mostrar ninguna pérdida de los hitos alcanzados. En el momento en que se completaba el estudio START, la aprobación de nusinersen por la FDA lo convirtió en estándar de tratamiento para la AME. Lo que justificó que determinados pacientes iniciaran tratamiento con nusinersen entre la finalización del estudio START y el inicio del estudio LT-001 a pesar de la carencia de una justificación clínica para ello. Onasemnogén abeparvovec logra introducir un gen SMN humano completamente funcional y restaurar la expresión continua y sostenida de la proteína SMN, por ello el uso concomitante de nusinersen tras la administración de onasemnogén abeparvovec carece de justificación clínica. Asimismo, los datos del registro US MAP y RESTORE con fecha de corte del 31 de enero de 2020, indican que únicamente el 15,85% de los pacientes tratados con onasemnogén abeparvovec recibieron de forma posterior nusinersen (Servais et al. 2020; P.173). Consecuentemente, sugeriríamos rectificar dicha sección, valorando su omisión o la inclusión de la evidencia alegada.</w:t>
            </w:r>
          </w:p>
        </w:tc>
        <w:tc>
          <w:tcPr>
            <w:tcW w:w="1734" w:type="dxa"/>
          </w:tcPr>
          <w:p w14:paraId="6D1F41F0" w14:textId="3EC1EF50" w:rsidR="002C436D" w:rsidRPr="00241AFD" w:rsidRDefault="002115A3" w:rsidP="00890E86">
            <w:pPr>
              <w:shd w:val="clear" w:color="auto" w:fill="FFFFFF"/>
              <w:rPr>
                <w:rFonts w:ascii="Arial" w:hAnsi="Arial"/>
                <w:color w:val="000080"/>
                <w:sz w:val="18"/>
                <w:szCs w:val="18"/>
              </w:rPr>
            </w:pPr>
            <w:r>
              <w:rPr>
                <w:rFonts w:ascii="Arial" w:hAnsi="Arial"/>
                <w:color w:val="000080"/>
                <w:sz w:val="18"/>
                <w:szCs w:val="18"/>
              </w:rPr>
              <w:t>Se incluye el dato del registro US MAP y RESTORE aportado.</w:t>
            </w:r>
          </w:p>
        </w:tc>
      </w:tr>
      <w:tr w:rsidR="002C436D" w:rsidRPr="00241AFD" w14:paraId="45EFBB6D" w14:textId="77777777" w:rsidTr="00261E14">
        <w:tc>
          <w:tcPr>
            <w:tcW w:w="1429" w:type="dxa"/>
          </w:tcPr>
          <w:p w14:paraId="19703630" w14:textId="284A0DAE"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Elena Martínez, Directora Médico, NGTx </w:t>
            </w:r>
          </w:p>
        </w:tc>
        <w:tc>
          <w:tcPr>
            <w:tcW w:w="7513" w:type="dxa"/>
          </w:tcPr>
          <w:p w14:paraId="00DB9C65" w14:textId="3BFB9411" w:rsidR="002C436D" w:rsidRPr="00241AFD" w:rsidRDefault="002C436D" w:rsidP="008024A5">
            <w:pPr>
              <w:pStyle w:val="Textocomentario"/>
              <w:rPr>
                <w:rFonts w:ascii="Arial" w:hAnsi="Arial"/>
                <w:sz w:val="18"/>
                <w:szCs w:val="18"/>
              </w:rPr>
            </w:pPr>
            <w:r w:rsidRPr="00241AFD">
              <w:rPr>
                <w:rFonts w:ascii="Arial" w:hAnsi="Arial"/>
                <w:sz w:val="18"/>
                <w:szCs w:val="18"/>
              </w:rPr>
              <w:t xml:space="preserve">Pág. 24, Tabla 6.1: Sugeriríamos revisar los valores de la fila “elevación ALT y AST” dado que según la fuente indicada, la elevación de ALT se observó en el 0% (CL-101), 3% (CL-302), 4,5% (CL-303), 0% (CL-304 y 2,1% (total) de los pacientes. Mientras que la elevación de ASET se observó en el 0% (CL-101), 0% (CL-302), 4,5% (CL-303), 0% (CL-304) y 1% (total) de los pacientes. </w:t>
            </w:r>
          </w:p>
        </w:tc>
        <w:tc>
          <w:tcPr>
            <w:tcW w:w="1734" w:type="dxa"/>
          </w:tcPr>
          <w:p w14:paraId="040B70B6" w14:textId="5690A24F" w:rsidR="002C436D" w:rsidRPr="00241AFD" w:rsidRDefault="00D23092" w:rsidP="00890E86">
            <w:pPr>
              <w:shd w:val="clear" w:color="auto" w:fill="FFFFFF"/>
              <w:rPr>
                <w:rFonts w:ascii="Arial" w:hAnsi="Arial"/>
                <w:color w:val="000080"/>
                <w:sz w:val="18"/>
                <w:szCs w:val="18"/>
              </w:rPr>
            </w:pPr>
            <w:r>
              <w:rPr>
                <w:rFonts w:ascii="Arial" w:hAnsi="Arial"/>
                <w:color w:val="000080"/>
                <w:sz w:val="18"/>
                <w:szCs w:val="18"/>
              </w:rPr>
              <w:t>Aceptada</w:t>
            </w:r>
          </w:p>
        </w:tc>
      </w:tr>
      <w:tr w:rsidR="00C014F8" w:rsidRPr="00241AFD" w14:paraId="18E71BF8" w14:textId="77777777" w:rsidTr="00C014F8">
        <w:trPr>
          <w:trHeight w:val="1241"/>
        </w:trPr>
        <w:tc>
          <w:tcPr>
            <w:tcW w:w="1429" w:type="dxa"/>
          </w:tcPr>
          <w:p w14:paraId="21EC31C1" w14:textId="45D01004" w:rsidR="00C014F8" w:rsidRPr="00241AFD" w:rsidRDefault="00C014F8" w:rsidP="008024A5">
            <w:pPr>
              <w:jc w:val="both"/>
              <w:rPr>
                <w:rFonts w:ascii="Arial" w:hAnsi="Arial"/>
                <w:color w:val="000080"/>
                <w:sz w:val="18"/>
                <w:szCs w:val="18"/>
              </w:rPr>
            </w:pPr>
            <w:r w:rsidRPr="00241AFD">
              <w:rPr>
                <w:rFonts w:ascii="Arial" w:hAnsi="Arial"/>
                <w:color w:val="000080"/>
                <w:sz w:val="18"/>
                <w:szCs w:val="18"/>
              </w:rPr>
              <w:t xml:space="preserve">Raul Arocho, Director de Acceso, NGTx </w:t>
            </w:r>
          </w:p>
        </w:tc>
        <w:tc>
          <w:tcPr>
            <w:tcW w:w="7513" w:type="dxa"/>
          </w:tcPr>
          <w:p w14:paraId="5A034F0E" w14:textId="77777777" w:rsidR="00C014F8" w:rsidRPr="00241AFD" w:rsidRDefault="00C014F8">
            <w:pPr>
              <w:pStyle w:val="Default"/>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Alegaciones generales para la sección 7. Área económica: </w:t>
            </w:r>
          </w:p>
          <w:p w14:paraId="7D3D8191" w14:textId="33607B2B" w:rsidR="00C014F8" w:rsidRPr="00C014F8" w:rsidRDefault="00C014F8" w:rsidP="00C014F8">
            <w:pPr>
              <w:pStyle w:val="Default"/>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 En línea con las recomendaciones metodológicas de la SEFH-GENESIS (Ortega Eslava et al., 2016) sugeriríamos el uso de precios notificados para el caso base, valorando a modo de análisis de sensibilidad, potenciales deducciones asociadas al precio financiado, así como la inclusión de los costes asociados a la administración y monitorización </w:t>
            </w:r>
            <w:r>
              <w:rPr>
                <w:rFonts w:ascii="Arial" w:eastAsia="等?" w:hAnsi="Arial" w:cs="Times New Roman"/>
                <w:color w:val="auto"/>
                <w:sz w:val="18"/>
                <w:szCs w:val="18"/>
                <w:lang w:eastAsia="es-ES"/>
              </w:rPr>
              <w:t xml:space="preserve">de los tratamientos evaluados. </w:t>
            </w:r>
          </w:p>
        </w:tc>
        <w:tc>
          <w:tcPr>
            <w:tcW w:w="1734" w:type="dxa"/>
          </w:tcPr>
          <w:p w14:paraId="3BA08A51" w14:textId="00787888" w:rsidR="00C014F8" w:rsidRPr="00241AFD" w:rsidRDefault="00F2316D" w:rsidP="00890E86">
            <w:pPr>
              <w:shd w:val="clear" w:color="auto" w:fill="FFFFFF"/>
              <w:rPr>
                <w:rFonts w:ascii="Arial" w:hAnsi="Arial"/>
                <w:color w:val="000080"/>
                <w:sz w:val="18"/>
                <w:szCs w:val="18"/>
              </w:rPr>
            </w:pPr>
            <w:r>
              <w:rPr>
                <w:rFonts w:ascii="Arial" w:hAnsi="Arial"/>
                <w:color w:val="000080"/>
                <w:sz w:val="18"/>
                <w:szCs w:val="18"/>
              </w:rPr>
              <w:t>Aceptada. Realizamos nuevamente todos los cálculos utilizando el precio notificado –RD+IVA de nusinersen</w:t>
            </w:r>
            <w:r w:rsidR="007A2E00">
              <w:rPr>
                <w:rFonts w:ascii="Arial" w:hAnsi="Arial"/>
                <w:color w:val="000080"/>
                <w:sz w:val="18"/>
                <w:szCs w:val="18"/>
              </w:rPr>
              <w:t xml:space="preserve"> y aplicamos análisis de sensibilidad con descuento del 15% para nusinersen</w:t>
            </w:r>
            <w:r w:rsidR="008D70F4">
              <w:rPr>
                <w:rFonts w:ascii="Arial" w:hAnsi="Arial"/>
                <w:color w:val="000080"/>
                <w:sz w:val="18"/>
                <w:szCs w:val="18"/>
              </w:rPr>
              <w:t>.</w:t>
            </w:r>
          </w:p>
        </w:tc>
      </w:tr>
      <w:tr w:rsidR="00C014F8" w:rsidRPr="00241AFD" w14:paraId="39855DB6" w14:textId="77777777" w:rsidTr="00261E14">
        <w:trPr>
          <w:trHeight w:val="1240"/>
        </w:trPr>
        <w:tc>
          <w:tcPr>
            <w:tcW w:w="1429" w:type="dxa"/>
          </w:tcPr>
          <w:p w14:paraId="7B4DB7AF" w14:textId="10B4CE90" w:rsidR="00C014F8" w:rsidRPr="00241AFD" w:rsidRDefault="00C014F8" w:rsidP="008024A5">
            <w:pPr>
              <w:jc w:val="both"/>
              <w:rPr>
                <w:rFonts w:ascii="Arial" w:hAnsi="Arial"/>
                <w:color w:val="000080"/>
                <w:sz w:val="18"/>
                <w:szCs w:val="18"/>
              </w:rPr>
            </w:pPr>
            <w:r w:rsidRPr="00C014F8">
              <w:rPr>
                <w:rFonts w:ascii="Arial" w:hAnsi="Arial"/>
                <w:color w:val="000080"/>
                <w:sz w:val="18"/>
                <w:szCs w:val="18"/>
              </w:rPr>
              <w:t>Raul Arocho, Director de Acceso, NGTx</w:t>
            </w:r>
          </w:p>
        </w:tc>
        <w:tc>
          <w:tcPr>
            <w:tcW w:w="7513" w:type="dxa"/>
          </w:tcPr>
          <w:p w14:paraId="08A6EAEB" w14:textId="77777777" w:rsidR="00C014F8" w:rsidRPr="00241AFD" w:rsidRDefault="00C014F8" w:rsidP="0045536B">
            <w:pPr>
              <w:pStyle w:val="Default"/>
              <w:spacing w:after="0"/>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Alegaciones generales para la sección 7. Área económica: </w:t>
            </w:r>
          </w:p>
          <w:p w14:paraId="6F8CB7D9" w14:textId="25E36641" w:rsidR="00C014F8" w:rsidRPr="00241AFD" w:rsidRDefault="00C014F8" w:rsidP="0045536B">
            <w:pPr>
              <w:pStyle w:val="Default"/>
              <w:spacing w:after="0"/>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La duración media del tratamiento con nusinersen se ha asumido a través de la supervivencia modelizada de pacientes con AME tipo 1 tratados con nusinersen de la evaluación económica del ICER. Sugeriríamos considerar, bien para el caso base o como análisis de sensibilidad: la supervivencia modelizada para los pacientes presintomáticos (26,58 años de vida), que dicha supervivencia incluye una tasa de deducción anual por preferencia temporal del 3% sobre los años de vida, así como la supervivencia estimada para los pacientes con AME tipo 1 tratados con nusinersen de la evaluación econ</w:t>
            </w:r>
            <w:r>
              <w:rPr>
                <w:rFonts w:ascii="Arial" w:eastAsia="等?" w:hAnsi="Arial" w:cs="Times New Roman"/>
                <w:color w:val="auto"/>
                <w:sz w:val="18"/>
                <w:szCs w:val="18"/>
                <w:lang w:eastAsia="es-ES"/>
              </w:rPr>
              <w:t xml:space="preserve">ómica de Malone et al. (2019). </w:t>
            </w:r>
          </w:p>
        </w:tc>
        <w:tc>
          <w:tcPr>
            <w:tcW w:w="1734" w:type="dxa"/>
          </w:tcPr>
          <w:p w14:paraId="0475E2AB" w14:textId="7E7B83A0" w:rsidR="00C014F8" w:rsidRPr="00241AFD" w:rsidRDefault="00601B10" w:rsidP="00890E86">
            <w:pPr>
              <w:shd w:val="clear" w:color="auto" w:fill="FFFFFF"/>
              <w:rPr>
                <w:rFonts w:ascii="Arial" w:hAnsi="Arial"/>
                <w:color w:val="000080"/>
                <w:sz w:val="18"/>
                <w:szCs w:val="18"/>
              </w:rPr>
            </w:pPr>
            <w:r>
              <w:rPr>
                <w:rFonts w:ascii="Arial" w:hAnsi="Arial"/>
                <w:color w:val="000080"/>
                <w:sz w:val="18"/>
                <w:szCs w:val="18"/>
              </w:rPr>
              <w:t>Aceptada. Se incluye cos</w:t>
            </w:r>
            <w:r w:rsidR="0045536B">
              <w:rPr>
                <w:rFonts w:ascii="Arial" w:hAnsi="Arial"/>
                <w:color w:val="000080"/>
                <w:sz w:val="18"/>
                <w:szCs w:val="18"/>
              </w:rPr>
              <w:t>t</w:t>
            </w:r>
            <w:r>
              <w:rPr>
                <w:rFonts w:ascii="Arial" w:hAnsi="Arial"/>
                <w:color w:val="000080"/>
                <w:sz w:val="18"/>
                <w:szCs w:val="18"/>
              </w:rPr>
              <w:t>e incremental según horizonte temporal de 26 años para pacientes presintomáticos.</w:t>
            </w:r>
          </w:p>
        </w:tc>
      </w:tr>
      <w:tr w:rsidR="00C014F8" w:rsidRPr="00241AFD" w14:paraId="1FC8FD62" w14:textId="77777777" w:rsidTr="00261E14">
        <w:trPr>
          <w:trHeight w:val="1240"/>
        </w:trPr>
        <w:tc>
          <w:tcPr>
            <w:tcW w:w="1429" w:type="dxa"/>
          </w:tcPr>
          <w:p w14:paraId="4C68F3AC" w14:textId="4040BF05" w:rsidR="00C014F8" w:rsidRPr="00241AFD" w:rsidRDefault="00C014F8" w:rsidP="008024A5">
            <w:pPr>
              <w:jc w:val="both"/>
              <w:rPr>
                <w:rFonts w:ascii="Arial" w:hAnsi="Arial"/>
                <w:color w:val="000080"/>
                <w:sz w:val="18"/>
                <w:szCs w:val="18"/>
              </w:rPr>
            </w:pPr>
            <w:r w:rsidRPr="00C014F8">
              <w:rPr>
                <w:rFonts w:ascii="Arial" w:hAnsi="Arial"/>
                <w:color w:val="000080"/>
                <w:sz w:val="18"/>
                <w:szCs w:val="18"/>
              </w:rPr>
              <w:t>Raul Arocho, Director de Acceso, NGTx</w:t>
            </w:r>
          </w:p>
        </w:tc>
        <w:tc>
          <w:tcPr>
            <w:tcW w:w="7513" w:type="dxa"/>
          </w:tcPr>
          <w:p w14:paraId="54C44564" w14:textId="77777777" w:rsidR="00C014F8" w:rsidRPr="00241AFD" w:rsidRDefault="00C014F8" w:rsidP="00C014F8">
            <w:pPr>
              <w:pStyle w:val="Default"/>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Alegaciones generales para la sección 7. Área económica: </w:t>
            </w:r>
          </w:p>
          <w:p w14:paraId="7158DE2E" w14:textId="72A2BC33" w:rsidR="00C014F8" w:rsidRPr="00241AFD" w:rsidRDefault="00C014F8">
            <w:pPr>
              <w:pStyle w:val="Default"/>
              <w:rPr>
                <w:rFonts w:ascii="Arial" w:eastAsia="等?" w:hAnsi="Arial" w:cs="Times New Roman"/>
                <w:color w:val="auto"/>
                <w:sz w:val="18"/>
                <w:szCs w:val="18"/>
                <w:lang w:eastAsia="es-ES"/>
              </w:rPr>
            </w:pPr>
            <w:r w:rsidRPr="00241AFD">
              <w:rPr>
                <w:rFonts w:ascii="Arial" w:hAnsi="Arial"/>
                <w:sz w:val="18"/>
                <w:szCs w:val="18"/>
              </w:rPr>
              <w:t>- En España, nusinersen es el único tratamiento comercializado y financiado para el tratamiento de los pacientes con AME, excluyendo los tipos 0, 1A y 4, a través de un protocolo farmacoclínico y registro nacional de pacientes. Considerando las recomendaciones metodológicas de la SEFH-GENESIS (Ortega Eslava et al., 2016), nusinersen no puede ser obviado como tratamiento comparador de onasemnogén abeparvovec durante los análisis de coste-efectividad y los de impacto presupuestario.</w:t>
            </w:r>
          </w:p>
        </w:tc>
        <w:tc>
          <w:tcPr>
            <w:tcW w:w="1734" w:type="dxa"/>
          </w:tcPr>
          <w:p w14:paraId="79507C99" w14:textId="205B72FE" w:rsidR="00C014F8" w:rsidRPr="00241AFD" w:rsidRDefault="00601B10" w:rsidP="00890E86">
            <w:pPr>
              <w:shd w:val="clear" w:color="auto" w:fill="FFFFFF"/>
              <w:rPr>
                <w:rFonts w:ascii="Arial" w:hAnsi="Arial"/>
                <w:color w:val="000080"/>
                <w:sz w:val="18"/>
                <w:szCs w:val="18"/>
              </w:rPr>
            </w:pPr>
            <w:r>
              <w:rPr>
                <w:rFonts w:ascii="Arial" w:hAnsi="Arial"/>
                <w:color w:val="000080"/>
                <w:sz w:val="18"/>
                <w:szCs w:val="18"/>
              </w:rPr>
              <w:t>No aceptada. S</w:t>
            </w:r>
            <w:r w:rsidR="00D3295C">
              <w:rPr>
                <w:rFonts w:ascii="Arial" w:hAnsi="Arial"/>
                <w:color w:val="000080"/>
                <w:sz w:val="18"/>
                <w:szCs w:val="18"/>
              </w:rPr>
              <w:t xml:space="preserve">í </w:t>
            </w:r>
            <w:r>
              <w:rPr>
                <w:rFonts w:ascii="Arial" w:hAnsi="Arial"/>
                <w:color w:val="000080"/>
                <w:sz w:val="18"/>
                <w:szCs w:val="18"/>
              </w:rPr>
              <w:t>que se ha realizado un análisis coste –utilidad respec</w:t>
            </w:r>
            <w:r w:rsidR="00D3295C">
              <w:rPr>
                <w:rFonts w:ascii="Arial" w:hAnsi="Arial"/>
                <w:color w:val="000080"/>
                <w:sz w:val="18"/>
                <w:szCs w:val="18"/>
              </w:rPr>
              <w:t>t</w:t>
            </w:r>
            <w:r>
              <w:rPr>
                <w:rFonts w:ascii="Arial" w:hAnsi="Arial"/>
                <w:color w:val="000080"/>
                <w:sz w:val="18"/>
                <w:szCs w:val="18"/>
              </w:rPr>
              <w:t>o a nusinersen en pacientes con AME tipo 1. En pacientes presintomáticos, al no disponer de ninguna comparación de eficacia</w:t>
            </w:r>
            <w:r w:rsidR="00D3295C">
              <w:rPr>
                <w:rFonts w:ascii="Arial" w:hAnsi="Arial"/>
                <w:color w:val="000080"/>
                <w:sz w:val="18"/>
                <w:szCs w:val="18"/>
              </w:rPr>
              <w:t>,</w:t>
            </w:r>
            <w:r>
              <w:rPr>
                <w:rFonts w:ascii="Arial" w:hAnsi="Arial"/>
                <w:color w:val="000080"/>
                <w:sz w:val="18"/>
                <w:szCs w:val="18"/>
              </w:rPr>
              <w:t xml:space="preserve"> no se ha podido realizar. En el análisis de </w:t>
            </w:r>
            <w:r>
              <w:rPr>
                <w:rFonts w:ascii="Arial" w:hAnsi="Arial"/>
                <w:color w:val="000080"/>
                <w:sz w:val="18"/>
                <w:szCs w:val="18"/>
              </w:rPr>
              <w:lastRenderedPageBreak/>
              <w:t>impacto presupuestario ya se ha indicado que habría que descontar el coste de las dosis de nusinersen evitadas.</w:t>
            </w:r>
          </w:p>
        </w:tc>
      </w:tr>
      <w:tr w:rsidR="002C436D" w:rsidRPr="00241AFD" w14:paraId="7CDFAB8F" w14:textId="77777777" w:rsidTr="00261E14">
        <w:tc>
          <w:tcPr>
            <w:tcW w:w="1429" w:type="dxa"/>
          </w:tcPr>
          <w:p w14:paraId="6F15E47C" w14:textId="1F2930EA"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lastRenderedPageBreak/>
              <w:t xml:space="preserve">Raúl Arocho, Director de Acceso, NGTx </w:t>
            </w:r>
          </w:p>
        </w:tc>
        <w:tc>
          <w:tcPr>
            <w:tcW w:w="7513" w:type="dxa"/>
          </w:tcPr>
          <w:p w14:paraId="35EB4CDA" w14:textId="0A465348" w:rsidR="002C436D" w:rsidRPr="00241AFD" w:rsidRDefault="002C436D">
            <w:pPr>
              <w:pStyle w:val="Default"/>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Págs. 32-33; Sección 7.3.4. Adecuar los escenarios de uso concomitante de onasemnogén abeparvovec junto nusinersen a través de un umbral máximo del 16%, tal y como se observa a través de los registros US MAP y RESTORE (Servais et al. 2020; P.173). </w:t>
            </w:r>
          </w:p>
        </w:tc>
        <w:tc>
          <w:tcPr>
            <w:tcW w:w="1734" w:type="dxa"/>
          </w:tcPr>
          <w:p w14:paraId="1EF01EF0" w14:textId="70ED1242" w:rsidR="002C436D" w:rsidRPr="00241AFD" w:rsidRDefault="008D70F4" w:rsidP="008D70F4">
            <w:pPr>
              <w:rPr>
                <w:rFonts w:ascii="Arial Narrow" w:hAnsi="Arial Narrow"/>
                <w:color w:val="000080"/>
                <w:sz w:val="18"/>
                <w:szCs w:val="18"/>
              </w:rPr>
            </w:pPr>
            <w:r w:rsidRPr="008D70F4">
              <w:rPr>
                <w:rFonts w:ascii="Arial" w:hAnsi="Arial"/>
                <w:color w:val="000080"/>
                <w:sz w:val="18"/>
                <w:szCs w:val="18"/>
              </w:rPr>
              <w:t>Se añade este supuesto en el análisis de sensibilidad (tabla 7.3.4.1</w:t>
            </w:r>
          </w:p>
        </w:tc>
      </w:tr>
      <w:tr w:rsidR="002C436D" w:rsidRPr="00241AFD" w14:paraId="780F5EF8" w14:textId="77777777" w:rsidTr="00261E14">
        <w:tc>
          <w:tcPr>
            <w:tcW w:w="1429" w:type="dxa"/>
          </w:tcPr>
          <w:p w14:paraId="547CD097" w14:textId="62BC953E"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Raúl Arocho, Director de Acceso, NGTx </w:t>
            </w:r>
          </w:p>
        </w:tc>
        <w:tc>
          <w:tcPr>
            <w:tcW w:w="7513" w:type="dxa"/>
          </w:tcPr>
          <w:p w14:paraId="535B0659" w14:textId="77B643B6" w:rsidR="002C436D" w:rsidRPr="00241AFD" w:rsidRDefault="002C436D">
            <w:pPr>
              <w:pStyle w:val="Default"/>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Pág. 37. Estimaciones de coste de fabricación y de investigación del medicamento: En el entorno europeo el coste de fabricación e investigación de una tecnología sanitaria no representa el principal elemento de relevancia desde la perspectiva de la evaluación económica. Por el contrario, su objetivo es establecer las condiciones de precio y reembolso en base a su valor, demostrado a través de los análisis coste-efectividad y de impacto presupuestario, tal y como se describe en la guía metodológica de la SEFH-GENESIS (Ortega Eslava et al., 2016). Los sistemas de salud del entorno europeo así como la propia guía metodológica de la SEFH-GENESIS son explícitas respecto al hecho de establecer condiciones de precio y reembolso en base al valor clínico y económico que aportan las tecnologías sanitarias. Consecuentemente, recomendamos la omisión de la sección 7.4.4. </w:t>
            </w:r>
          </w:p>
        </w:tc>
        <w:tc>
          <w:tcPr>
            <w:tcW w:w="1734" w:type="dxa"/>
          </w:tcPr>
          <w:p w14:paraId="660F67D6" w14:textId="5D3CBA26" w:rsidR="002C436D" w:rsidRPr="00241AFD" w:rsidRDefault="008D70F4" w:rsidP="008D70F4">
            <w:pPr>
              <w:rPr>
                <w:rFonts w:ascii="Arial Narrow" w:hAnsi="Arial Narrow"/>
                <w:color w:val="000080"/>
                <w:sz w:val="18"/>
                <w:szCs w:val="18"/>
              </w:rPr>
            </w:pPr>
            <w:r>
              <w:rPr>
                <w:rFonts w:ascii="Arial Narrow" w:hAnsi="Arial Narrow"/>
                <w:color w:val="000080"/>
                <w:sz w:val="18"/>
                <w:szCs w:val="18"/>
              </w:rPr>
              <w:t>N</w:t>
            </w:r>
            <w:r w:rsidRPr="008D70F4">
              <w:rPr>
                <w:rFonts w:ascii="Arial" w:hAnsi="Arial"/>
                <w:color w:val="000080"/>
                <w:sz w:val="18"/>
                <w:szCs w:val="18"/>
              </w:rPr>
              <w:t xml:space="preserve">o aceptada. Consideramos la </w:t>
            </w:r>
            <w:r>
              <w:rPr>
                <w:rFonts w:ascii="Arial" w:hAnsi="Arial"/>
                <w:color w:val="000080"/>
                <w:sz w:val="18"/>
                <w:szCs w:val="18"/>
              </w:rPr>
              <w:t>información de este apartado muy relevante en u fármaco con este impacto presupuestario.</w:t>
            </w:r>
          </w:p>
        </w:tc>
      </w:tr>
      <w:tr w:rsidR="002C436D" w:rsidRPr="00241AFD" w14:paraId="52386759" w14:textId="77777777" w:rsidTr="00261E14">
        <w:tc>
          <w:tcPr>
            <w:tcW w:w="1429" w:type="dxa"/>
          </w:tcPr>
          <w:p w14:paraId="5361CDA8" w14:textId="02A1C256"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Raúl Arocho, Director de Acceso, NGTx </w:t>
            </w:r>
          </w:p>
        </w:tc>
        <w:tc>
          <w:tcPr>
            <w:tcW w:w="7513" w:type="dxa"/>
          </w:tcPr>
          <w:p w14:paraId="6A1B94D9" w14:textId="12A906E8" w:rsidR="002C436D" w:rsidRPr="00241AFD" w:rsidRDefault="002C436D">
            <w:pPr>
              <w:pStyle w:val="Default"/>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Pág. 40: En línea con las recomendaciones de la guía SEFH-GENESIS (Ortega Eslava et al., 2016), nusinersen no puede ser obviado para la estimación del precio máximo de onasemnogén abeparvovec para que su ratio coste-efectividad resulte por debajo del umbral de disponibilidad a pagar habitual de nuestro entorno, dado que representa hasta la fecha el único tratamiento modificador de la enfermedad indicado y financiado para el tratamiento de la AME. Asimismo, en el entorno europeo, la mayoría de los sistemas sanitarios han considerado nusinersen como terapia comparadora válida para estimar la eficiencia de onasemnogén abeparvovec en el tratamiento de la AME. </w:t>
            </w:r>
          </w:p>
        </w:tc>
        <w:tc>
          <w:tcPr>
            <w:tcW w:w="1734" w:type="dxa"/>
          </w:tcPr>
          <w:p w14:paraId="3F2A3B79" w14:textId="3F7837F3" w:rsidR="002C436D" w:rsidRPr="00241AFD" w:rsidRDefault="005F65E0" w:rsidP="00134AA0">
            <w:pPr>
              <w:rPr>
                <w:rFonts w:ascii="Arial Narrow" w:hAnsi="Arial Narrow"/>
                <w:color w:val="000080"/>
                <w:sz w:val="18"/>
                <w:szCs w:val="18"/>
              </w:rPr>
            </w:pPr>
            <w:r w:rsidRPr="005F65E0">
              <w:rPr>
                <w:rFonts w:ascii="Arial" w:hAnsi="Arial"/>
                <w:color w:val="000080"/>
                <w:sz w:val="18"/>
                <w:szCs w:val="18"/>
              </w:rPr>
              <w:t>No aceptada.</w:t>
            </w:r>
            <w:r w:rsidR="00134AA0">
              <w:rPr>
                <w:rFonts w:ascii="Arial" w:hAnsi="Arial"/>
                <w:color w:val="000080"/>
                <w:sz w:val="18"/>
                <w:szCs w:val="18"/>
              </w:rPr>
              <w:t xml:space="preserve"> El umbral máximo de disponibilidad a pagar en relación a las alternativas no tiene por qué ser la única variable a analizar para fijar el precio de un medicamento,</w:t>
            </w:r>
          </w:p>
        </w:tc>
      </w:tr>
      <w:tr w:rsidR="002C436D" w:rsidRPr="00241AFD" w14:paraId="55813B6C" w14:textId="77777777" w:rsidTr="00261E14">
        <w:tc>
          <w:tcPr>
            <w:tcW w:w="1429" w:type="dxa"/>
          </w:tcPr>
          <w:p w14:paraId="6F3AA3F4" w14:textId="2AC9918D" w:rsidR="002C436D" w:rsidRPr="00241AFD" w:rsidRDefault="002C436D" w:rsidP="008024A5">
            <w:pPr>
              <w:jc w:val="both"/>
              <w:rPr>
                <w:rFonts w:ascii="Arial" w:hAnsi="Arial"/>
                <w:color w:val="000080"/>
                <w:sz w:val="18"/>
                <w:szCs w:val="18"/>
              </w:rPr>
            </w:pPr>
            <w:r w:rsidRPr="00241AFD">
              <w:rPr>
                <w:rFonts w:ascii="Arial" w:hAnsi="Arial"/>
                <w:color w:val="000080"/>
                <w:sz w:val="18"/>
                <w:szCs w:val="18"/>
              </w:rPr>
              <w:t xml:space="preserve">Raúl Arocho, Director de Acceso, NGTx </w:t>
            </w:r>
          </w:p>
        </w:tc>
        <w:tc>
          <w:tcPr>
            <w:tcW w:w="7513" w:type="dxa"/>
          </w:tcPr>
          <w:p w14:paraId="37B0CA9E" w14:textId="11E18E84" w:rsidR="002C436D" w:rsidRPr="00241AFD" w:rsidRDefault="002C436D">
            <w:pPr>
              <w:pStyle w:val="Default"/>
              <w:rPr>
                <w:rFonts w:ascii="Arial" w:eastAsia="等?" w:hAnsi="Arial" w:cs="Times New Roman"/>
                <w:color w:val="auto"/>
                <w:sz w:val="18"/>
                <w:szCs w:val="18"/>
                <w:lang w:eastAsia="es-ES"/>
              </w:rPr>
            </w:pPr>
            <w:r w:rsidRPr="00241AFD">
              <w:rPr>
                <w:rFonts w:ascii="Arial" w:eastAsia="等?" w:hAnsi="Arial" w:cs="Times New Roman"/>
                <w:color w:val="auto"/>
                <w:sz w:val="18"/>
                <w:szCs w:val="18"/>
                <w:lang w:eastAsia="es-ES"/>
              </w:rPr>
              <w:t xml:space="preserve">Pág. 43, Sección 5: Sugerimos revisión de esta conclusión en función de las alegaciones generales propuestas para la sección 7. </w:t>
            </w:r>
          </w:p>
        </w:tc>
        <w:tc>
          <w:tcPr>
            <w:tcW w:w="1734" w:type="dxa"/>
          </w:tcPr>
          <w:p w14:paraId="1459D65C" w14:textId="3A640844" w:rsidR="002C436D" w:rsidRPr="00241AFD" w:rsidRDefault="00134AA0" w:rsidP="008024A5">
            <w:pPr>
              <w:jc w:val="both"/>
              <w:rPr>
                <w:rFonts w:ascii="Arial Narrow" w:hAnsi="Arial Narrow"/>
                <w:color w:val="000080"/>
                <w:sz w:val="18"/>
                <w:szCs w:val="18"/>
              </w:rPr>
            </w:pPr>
            <w:r w:rsidRPr="00134AA0">
              <w:rPr>
                <w:rFonts w:ascii="Arial" w:hAnsi="Arial"/>
                <w:color w:val="000080"/>
                <w:sz w:val="18"/>
                <w:szCs w:val="18"/>
              </w:rPr>
              <w:t>No aceptada</w:t>
            </w:r>
            <w:r>
              <w:rPr>
                <w:rFonts w:ascii="Arial" w:hAnsi="Arial"/>
                <w:color w:val="000080"/>
                <w:sz w:val="18"/>
                <w:szCs w:val="18"/>
              </w:rPr>
              <w:t>.</w:t>
            </w:r>
          </w:p>
        </w:tc>
      </w:tr>
    </w:tbl>
    <w:p w14:paraId="26EAC9D9" w14:textId="77777777" w:rsidR="008024A5" w:rsidRDefault="008024A5" w:rsidP="008024A5">
      <w:pPr>
        <w:jc w:val="both"/>
        <w:outlineLvl w:val="0"/>
        <w:rPr>
          <w:rFonts w:ascii="Arial" w:hAnsi="Arial" w:cs="Arial"/>
          <w:b/>
          <w:color w:val="000080"/>
          <w:sz w:val="20"/>
          <w:szCs w:val="20"/>
        </w:rPr>
      </w:pPr>
    </w:p>
    <w:p w14:paraId="68231D13" w14:textId="77777777" w:rsidR="001C1F50" w:rsidRDefault="001C1F50" w:rsidP="001C1F50">
      <w:pPr>
        <w:jc w:val="both"/>
        <w:outlineLvl w:val="0"/>
        <w:rPr>
          <w:rFonts w:ascii="Arial" w:hAnsi="Arial" w:cs="Arial"/>
          <w:b/>
          <w:color w:val="000080"/>
          <w:sz w:val="20"/>
          <w:szCs w:val="20"/>
        </w:rPr>
      </w:pPr>
    </w:p>
    <w:p w14:paraId="261F5C56" w14:textId="77777777" w:rsidR="001C1F50" w:rsidRDefault="001C1F50" w:rsidP="001C1F50">
      <w:pPr>
        <w:jc w:val="both"/>
        <w:outlineLvl w:val="0"/>
        <w:rPr>
          <w:rFonts w:ascii="Arial" w:hAnsi="Arial" w:cs="Arial"/>
          <w:b/>
          <w:color w:val="000080"/>
          <w:sz w:val="20"/>
          <w:szCs w:val="20"/>
        </w:rPr>
      </w:pPr>
    </w:p>
    <w:p w14:paraId="1C262171" w14:textId="77777777" w:rsidR="001C1F50" w:rsidRDefault="001C1F50" w:rsidP="001C1F50">
      <w:pPr>
        <w:jc w:val="both"/>
        <w:outlineLvl w:val="0"/>
        <w:rPr>
          <w:rFonts w:ascii="Arial" w:hAnsi="Arial" w:cs="Arial"/>
          <w:b/>
          <w:color w:val="000080"/>
          <w:sz w:val="20"/>
          <w:szCs w:val="20"/>
        </w:rPr>
      </w:pPr>
    </w:p>
    <w:p w14:paraId="7DDDA97D" w14:textId="77777777" w:rsidR="001C1F50" w:rsidRDefault="001C1F50" w:rsidP="001C1F50">
      <w:pPr>
        <w:jc w:val="both"/>
        <w:outlineLvl w:val="0"/>
        <w:rPr>
          <w:rFonts w:ascii="Arial" w:hAnsi="Arial" w:cs="Arial"/>
          <w:b/>
          <w:color w:val="000080"/>
          <w:sz w:val="20"/>
          <w:szCs w:val="20"/>
        </w:rPr>
      </w:pPr>
    </w:p>
    <w:p w14:paraId="3BBC1E84" w14:textId="77777777" w:rsidR="001C1F50" w:rsidRDefault="001C1F50" w:rsidP="001C1F50">
      <w:pPr>
        <w:jc w:val="both"/>
        <w:outlineLvl w:val="0"/>
        <w:rPr>
          <w:rFonts w:ascii="Arial" w:hAnsi="Arial" w:cs="Arial"/>
          <w:b/>
          <w:color w:val="000080"/>
          <w:sz w:val="20"/>
          <w:szCs w:val="20"/>
        </w:rPr>
      </w:pPr>
    </w:p>
    <w:p w14:paraId="3AEB7C67" w14:textId="77777777" w:rsidR="001C1F50" w:rsidRDefault="001C1F50" w:rsidP="001C1F50">
      <w:pPr>
        <w:jc w:val="both"/>
        <w:outlineLvl w:val="0"/>
        <w:rPr>
          <w:rFonts w:ascii="Arial" w:hAnsi="Arial" w:cs="Arial"/>
          <w:b/>
          <w:color w:val="000080"/>
          <w:sz w:val="20"/>
          <w:szCs w:val="20"/>
        </w:rPr>
      </w:pPr>
    </w:p>
    <w:p w14:paraId="77105C13" w14:textId="77777777" w:rsidR="001C1F50" w:rsidRDefault="001C1F50" w:rsidP="001C1F50">
      <w:pPr>
        <w:jc w:val="both"/>
        <w:outlineLvl w:val="0"/>
        <w:rPr>
          <w:rFonts w:ascii="Arial" w:hAnsi="Arial" w:cs="Arial"/>
          <w:b/>
          <w:color w:val="000080"/>
          <w:sz w:val="20"/>
          <w:szCs w:val="20"/>
        </w:rPr>
      </w:pPr>
    </w:p>
    <w:p w14:paraId="49A92AE1" w14:textId="77777777" w:rsidR="001C1F50" w:rsidRDefault="001C1F50" w:rsidP="001C1F50">
      <w:pPr>
        <w:jc w:val="both"/>
        <w:outlineLvl w:val="0"/>
        <w:rPr>
          <w:rFonts w:ascii="Arial" w:hAnsi="Arial" w:cs="Arial"/>
          <w:b/>
          <w:color w:val="000080"/>
          <w:sz w:val="20"/>
          <w:szCs w:val="20"/>
        </w:rPr>
      </w:pPr>
    </w:p>
    <w:p w14:paraId="0A9973E0" w14:textId="77777777" w:rsidR="001C1F50" w:rsidRDefault="001C1F50" w:rsidP="001C1F50">
      <w:pPr>
        <w:jc w:val="both"/>
        <w:outlineLvl w:val="0"/>
        <w:rPr>
          <w:rFonts w:ascii="Arial" w:hAnsi="Arial" w:cs="Arial"/>
          <w:b/>
          <w:color w:val="000080"/>
          <w:sz w:val="20"/>
          <w:szCs w:val="20"/>
        </w:rPr>
      </w:pPr>
    </w:p>
    <w:p w14:paraId="3BFF00FD" w14:textId="77777777" w:rsidR="001C1F50" w:rsidRDefault="001C1F50" w:rsidP="001C1F50">
      <w:pPr>
        <w:jc w:val="both"/>
        <w:outlineLvl w:val="0"/>
        <w:rPr>
          <w:rFonts w:ascii="Arial" w:hAnsi="Arial" w:cs="Arial"/>
          <w:b/>
          <w:color w:val="000080"/>
          <w:sz w:val="20"/>
          <w:szCs w:val="20"/>
        </w:rPr>
      </w:pPr>
    </w:p>
    <w:p w14:paraId="2C4A4A82" w14:textId="77777777" w:rsidR="00C014F8" w:rsidRDefault="00C014F8" w:rsidP="001C1F50">
      <w:pPr>
        <w:jc w:val="both"/>
        <w:outlineLvl w:val="0"/>
        <w:rPr>
          <w:rFonts w:ascii="Arial" w:hAnsi="Arial" w:cs="Arial"/>
          <w:b/>
          <w:color w:val="000080"/>
          <w:sz w:val="20"/>
          <w:szCs w:val="20"/>
        </w:rPr>
      </w:pPr>
    </w:p>
    <w:p w14:paraId="391934AB" w14:textId="77777777" w:rsidR="00C014F8" w:rsidRDefault="00C014F8" w:rsidP="001C1F50">
      <w:pPr>
        <w:jc w:val="both"/>
        <w:outlineLvl w:val="0"/>
        <w:rPr>
          <w:rFonts w:ascii="Arial" w:hAnsi="Arial" w:cs="Arial"/>
          <w:b/>
          <w:color w:val="000080"/>
          <w:sz w:val="20"/>
          <w:szCs w:val="20"/>
        </w:rPr>
      </w:pPr>
    </w:p>
    <w:p w14:paraId="17065CFD" w14:textId="77777777" w:rsidR="00C014F8" w:rsidRDefault="00C014F8" w:rsidP="001C1F50">
      <w:pPr>
        <w:jc w:val="both"/>
        <w:outlineLvl w:val="0"/>
        <w:rPr>
          <w:rFonts w:ascii="Arial" w:hAnsi="Arial" w:cs="Arial"/>
          <w:b/>
          <w:color w:val="000080"/>
          <w:sz w:val="20"/>
          <w:szCs w:val="20"/>
        </w:rPr>
      </w:pPr>
    </w:p>
    <w:p w14:paraId="6A2A19B8" w14:textId="77777777" w:rsidR="00C014F8" w:rsidRDefault="00C014F8" w:rsidP="001C1F50">
      <w:pPr>
        <w:jc w:val="both"/>
        <w:outlineLvl w:val="0"/>
        <w:rPr>
          <w:rFonts w:ascii="Arial" w:hAnsi="Arial" w:cs="Arial"/>
          <w:b/>
          <w:color w:val="000080"/>
          <w:sz w:val="20"/>
          <w:szCs w:val="20"/>
        </w:rPr>
      </w:pPr>
    </w:p>
    <w:p w14:paraId="6C299071" w14:textId="77777777" w:rsidR="00C014F8" w:rsidRDefault="00C014F8" w:rsidP="001C1F50">
      <w:pPr>
        <w:jc w:val="both"/>
        <w:outlineLvl w:val="0"/>
        <w:rPr>
          <w:rFonts w:ascii="Arial" w:hAnsi="Arial" w:cs="Arial"/>
          <w:b/>
          <w:color w:val="000080"/>
          <w:sz w:val="20"/>
          <w:szCs w:val="20"/>
        </w:rPr>
      </w:pPr>
    </w:p>
    <w:p w14:paraId="11972EC6" w14:textId="77777777" w:rsidR="00C014F8" w:rsidRDefault="00C014F8" w:rsidP="001C1F50">
      <w:pPr>
        <w:jc w:val="both"/>
        <w:outlineLvl w:val="0"/>
        <w:rPr>
          <w:rFonts w:ascii="Arial" w:hAnsi="Arial" w:cs="Arial"/>
          <w:b/>
          <w:color w:val="000080"/>
          <w:sz w:val="20"/>
          <w:szCs w:val="20"/>
        </w:rPr>
      </w:pPr>
    </w:p>
    <w:p w14:paraId="6FEA0ECF" w14:textId="77777777" w:rsidR="00C014F8" w:rsidRDefault="00C014F8" w:rsidP="001C1F50">
      <w:pPr>
        <w:jc w:val="both"/>
        <w:outlineLvl w:val="0"/>
        <w:rPr>
          <w:rFonts w:ascii="Arial" w:hAnsi="Arial" w:cs="Arial"/>
          <w:b/>
          <w:color w:val="000080"/>
          <w:sz w:val="20"/>
          <w:szCs w:val="20"/>
        </w:rPr>
      </w:pPr>
    </w:p>
    <w:p w14:paraId="014713D7" w14:textId="77777777" w:rsidR="00C014F8" w:rsidRDefault="00C014F8" w:rsidP="001C1F50">
      <w:pPr>
        <w:jc w:val="both"/>
        <w:outlineLvl w:val="0"/>
        <w:rPr>
          <w:rFonts w:ascii="Arial" w:hAnsi="Arial" w:cs="Arial"/>
          <w:b/>
          <w:color w:val="000080"/>
          <w:sz w:val="20"/>
          <w:szCs w:val="20"/>
        </w:rPr>
      </w:pPr>
    </w:p>
    <w:p w14:paraId="1ED0BD4E" w14:textId="77777777" w:rsidR="00C014F8" w:rsidRDefault="00C014F8" w:rsidP="001C1F50">
      <w:pPr>
        <w:jc w:val="both"/>
        <w:outlineLvl w:val="0"/>
        <w:rPr>
          <w:rFonts w:ascii="Arial" w:hAnsi="Arial" w:cs="Arial"/>
          <w:b/>
          <w:color w:val="000080"/>
          <w:sz w:val="20"/>
          <w:szCs w:val="20"/>
        </w:rPr>
      </w:pPr>
    </w:p>
    <w:p w14:paraId="48FB1488" w14:textId="77777777" w:rsidR="00C014F8" w:rsidRDefault="00C014F8" w:rsidP="001C1F50">
      <w:pPr>
        <w:jc w:val="both"/>
        <w:outlineLvl w:val="0"/>
        <w:rPr>
          <w:rFonts w:ascii="Arial" w:hAnsi="Arial" w:cs="Arial"/>
          <w:b/>
          <w:color w:val="000080"/>
          <w:sz w:val="20"/>
          <w:szCs w:val="20"/>
        </w:rPr>
      </w:pPr>
    </w:p>
    <w:p w14:paraId="634F776A" w14:textId="77777777" w:rsidR="00C014F8" w:rsidRDefault="00C014F8" w:rsidP="001C1F50">
      <w:pPr>
        <w:jc w:val="both"/>
        <w:outlineLvl w:val="0"/>
        <w:rPr>
          <w:rFonts w:ascii="Arial" w:hAnsi="Arial" w:cs="Arial"/>
          <w:b/>
          <w:color w:val="000080"/>
          <w:sz w:val="20"/>
          <w:szCs w:val="20"/>
        </w:rPr>
      </w:pPr>
    </w:p>
    <w:p w14:paraId="7AA5031B" w14:textId="77777777" w:rsidR="00C014F8" w:rsidRDefault="00C014F8" w:rsidP="001C1F50">
      <w:pPr>
        <w:jc w:val="both"/>
        <w:outlineLvl w:val="0"/>
        <w:rPr>
          <w:rFonts w:ascii="Arial" w:hAnsi="Arial" w:cs="Arial"/>
          <w:b/>
          <w:color w:val="000080"/>
          <w:sz w:val="20"/>
          <w:szCs w:val="20"/>
        </w:rPr>
      </w:pPr>
    </w:p>
    <w:p w14:paraId="27752EB4" w14:textId="77777777" w:rsidR="00C014F8" w:rsidRDefault="00C014F8" w:rsidP="001C1F50">
      <w:pPr>
        <w:jc w:val="both"/>
        <w:outlineLvl w:val="0"/>
        <w:rPr>
          <w:rFonts w:ascii="Arial" w:hAnsi="Arial" w:cs="Arial"/>
          <w:b/>
          <w:color w:val="000080"/>
          <w:sz w:val="20"/>
          <w:szCs w:val="20"/>
        </w:rPr>
      </w:pPr>
    </w:p>
    <w:p w14:paraId="558D67A9" w14:textId="77777777" w:rsidR="00C014F8" w:rsidRDefault="00C014F8" w:rsidP="001C1F50">
      <w:pPr>
        <w:jc w:val="both"/>
        <w:outlineLvl w:val="0"/>
        <w:rPr>
          <w:rFonts w:ascii="Arial" w:hAnsi="Arial" w:cs="Arial"/>
          <w:b/>
          <w:color w:val="000080"/>
          <w:sz w:val="20"/>
          <w:szCs w:val="20"/>
        </w:rPr>
      </w:pPr>
    </w:p>
    <w:p w14:paraId="2CCEA80B" w14:textId="77777777" w:rsidR="00C014F8" w:rsidRDefault="00C014F8" w:rsidP="001C1F50">
      <w:pPr>
        <w:jc w:val="both"/>
        <w:outlineLvl w:val="0"/>
        <w:rPr>
          <w:rFonts w:ascii="Arial" w:hAnsi="Arial" w:cs="Arial"/>
          <w:b/>
          <w:color w:val="000080"/>
          <w:sz w:val="20"/>
          <w:szCs w:val="20"/>
        </w:rPr>
      </w:pPr>
    </w:p>
    <w:p w14:paraId="453E24A4" w14:textId="77777777" w:rsidR="001C1F50" w:rsidRPr="001C1F50" w:rsidRDefault="001C1F50" w:rsidP="001C1F50">
      <w:pPr>
        <w:jc w:val="both"/>
        <w:outlineLvl w:val="0"/>
        <w:rPr>
          <w:rFonts w:ascii="Arial" w:hAnsi="Arial" w:cs="Arial"/>
          <w:b/>
          <w:color w:val="000080"/>
          <w:sz w:val="20"/>
          <w:szCs w:val="20"/>
        </w:rPr>
      </w:pPr>
      <w:r w:rsidRPr="001C1F50">
        <w:rPr>
          <w:rFonts w:ascii="Arial" w:hAnsi="Arial" w:cs="Arial"/>
          <w:b/>
          <w:color w:val="000080"/>
          <w:sz w:val="20"/>
          <w:szCs w:val="20"/>
        </w:rPr>
        <w:t xml:space="preserve">Nombre persona que hace la alegación propuesta: </w:t>
      </w:r>
      <w:r w:rsidRPr="001C1F50">
        <w:rPr>
          <w:rFonts w:ascii="Arial" w:hAnsi="Arial" w:cs="Arial"/>
          <w:color w:val="000080"/>
          <w:sz w:val="20"/>
          <w:szCs w:val="20"/>
        </w:rPr>
        <w:t>Beatriz Casado Caínzos</w:t>
      </w:r>
    </w:p>
    <w:p w14:paraId="7C108B4E" w14:textId="77777777" w:rsidR="001C1F50" w:rsidRPr="001C1F50" w:rsidRDefault="001C1F50" w:rsidP="001C1F50">
      <w:pPr>
        <w:jc w:val="both"/>
        <w:outlineLvl w:val="0"/>
        <w:rPr>
          <w:rFonts w:ascii="Arial" w:hAnsi="Arial" w:cs="Arial"/>
          <w:color w:val="000080"/>
          <w:sz w:val="20"/>
          <w:szCs w:val="20"/>
        </w:rPr>
      </w:pPr>
      <w:r w:rsidRPr="001C1F50">
        <w:rPr>
          <w:rFonts w:ascii="Arial" w:hAnsi="Arial" w:cs="Arial"/>
          <w:b/>
          <w:color w:val="000080"/>
          <w:sz w:val="20"/>
          <w:szCs w:val="20"/>
        </w:rPr>
        <w:t xml:space="preserve">Cargo que ocupa: </w:t>
      </w:r>
      <w:r w:rsidRPr="001C1F50">
        <w:rPr>
          <w:rFonts w:ascii="Arial" w:hAnsi="Arial" w:cs="Arial"/>
          <w:color w:val="000080"/>
          <w:sz w:val="20"/>
          <w:szCs w:val="20"/>
        </w:rPr>
        <w:t>Director de Acceso al Mercado</w:t>
      </w:r>
    </w:p>
    <w:p w14:paraId="21BD2679" w14:textId="77777777" w:rsidR="001C1F50" w:rsidRPr="001C1F50" w:rsidRDefault="001C1F50" w:rsidP="001C1F50">
      <w:pPr>
        <w:jc w:val="both"/>
        <w:outlineLvl w:val="0"/>
        <w:rPr>
          <w:rFonts w:ascii="Arial" w:hAnsi="Arial" w:cs="Arial"/>
          <w:b/>
          <w:color w:val="000080"/>
          <w:sz w:val="20"/>
          <w:szCs w:val="20"/>
        </w:rPr>
      </w:pPr>
      <w:r w:rsidRPr="001C1F50">
        <w:rPr>
          <w:rFonts w:ascii="Arial" w:hAnsi="Arial" w:cs="Arial"/>
          <w:b/>
          <w:color w:val="000080"/>
          <w:sz w:val="20"/>
          <w:szCs w:val="20"/>
        </w:rPr>
        <w:t xml:space="preserve">Centro, sociedad o empresa: </w:t>
      </w:r>
      <w:r w:rsidRPr="001C1F50">
        <w:rPr>
          <w:rFonts w:ascii="Arial" w:hAnsi="Arial" w:cs="Arial"/>
          <w:color w:val="000080"/>
          <w:sz w:val="20"/>
          <w:szCs w:val="20"/>
        </w:rPr>
        <w:t>Biogen</w:t>
      </w:r>
    </w:p>
    <w:p w14:paraId="6C52E888" w14:textId="7079C29A" w:rsidR="001C1F50" w:rsidRDefault="001C1F50" w:rsidP="001C1F50">
      <w:pPr>
        <w:jc w:val="both"/>
        <w:outlineLvl w:val="0"/>
        <w:rPr>
          <w:rFonts w:ascii="Arial" w:hAnsi="Arial" w:cs="Arial"/>
          <w:b/>
          <w:color w:val="000080"/>
          <w:sz w:val="20"/>
          <w:szCs w:val="20"/>
        </w:rPr>
      </w:pPr>
      <w:r w:rsidRPr="001C1F50">
        <w:rPr>
          <w:rFonts w:ascii="Arial" w:hAnsi="Arial" w:cs="Arial"/>
          <w:b/>
          <w:color w:val="000080"/>
          <w:sz w:val="20"/>
          <w:szCs w:val="20"/>
        </w:rPr>
        <w:t xml:space="preserve">Teléfono de contacto: </w:t>
      </w:r>
      <w:r w:rsidRPr="001C1F50">
        <w:rPr>
          <w:rFonts w:ascii="Arial" w:hAnsi="Arial" w:cs="Arial"/>
          <w:color w:val="000080"/>
          <w:sz w:val="20"/>
          <w:szCs w:val="20"/>
        </w:rPr>
        <w:t>620 933 349</w:t>
      </w:r>
    </w:p>
    <w:p w14:paraId="0A2B7533" w14:textId="77777777" w:rsidR="001C1F50" w:rsidRDefault="001C1F50" w:rsidP="001C1F50">
      <w:pPr>
        <w:jc w:val="both"/>
        <w:outlineLvl w:val="0"/>
        <w:rPr>
          <w:rFonts w:ascii="Arial" w:hAnsi="Arial" w:cs="Arial"/>
          <w:color w:val="000080"/>
          <w:sz w:val="20"/>
          <w:szCs w:val="20"/>
        </w:rPr>
      </w:pPr>
    </w:p>
    <w:p w14:paraId="43AFA005" w14:textId="225B3739" w:rsidR="001C1F50" w:rsidRDefault="001C1F50" w:rsidP="001C1F50">
      <w:pPr>
        <w:jc w:val="both"/>
        <w:outlineLvl w:val="0"/>
        <w:rPr>
          <w:rFonts w:ascii="Arial" w:hAnsi="Arial" w:cs="Arial"/>
          <w:b/>
          <w:bCs/>
          <w:sz w:val="20"/>
          <w:szCs w:val="20"/>
        </w:rPr>
      </w:pPr>
      <w:r w:rsidRPr="008024A5">
        <w:rPr>
          <w:rFonts w:ascii="Arial" w:hAnsi="Arial" w:cs="Arial"/>
          <w:b/>
          <w:color w:val="000080"/>
          <w:sz w:val="20"/>
          <w:szCs w:val="20"/>
        </w:rPr>
        <w:t>FÁRMACO:</w:t>
      </w:r>
      <w:r>
        <w:rPr>
          <w:rFonts w:ascii="Arial" w:hAnsi="Arial" w:cs="Arial"/>
          <w:color w:val="000080"/>
          <w:sz w:val="20"/>
          <w:szCs w:val="20"/>
        </w:rPr>
        <w:t xml:space="preserve"> </w:t>
      </w:r>
      <w:r w:rsidR="00482C21">
        <w:rPr>
          <w:rFonts w:ascii="Arial" w:hAnsi="Arial" w:cs="Arial"/>
          <w:color w:val="000080"/>
          <w:sz w:val="20"/>
          <w:szCs w:val="20"/>
        </w:rPr>
        <w:t>Onasemnogén</w:t>
      </w:r>
      <w:r>
        <w:rPr>
          <w:rFonts w:ascii="Arial" w:hAnsi="Arial" w:cs="Arial"/>
          <w:color w:val="000080"/>
          <w:sz w:val="20"/>
          <w:szCs w:val="20"/>
        </w:rPr>
        <w:t xml:space="preserve"> Abeparvovec   </w:t>
      </w:r>
    </w:p>
    <w:p w14:paraId="439AA7F9" w14:textId="77777777" w:rsidR="001C1F50" w:rsidRDefault="001C1F50" w:rsidP="001C1F50">
      <w:pPr>
        <w:jc w:val="both"/>
        <w:outlineLvl w:val="0"/>
        <w:rPr>
          <w:rFonts w:ascii="Arial" w:hAnsi="Arial" w:cs="Arial"/>
          <w:b/>
          <w:bCs/>
          <w:sz w:val="20"/>
          <w:szCs w:val="20"/>
        </w:rPr>
      </w:pPr>
    </w:p>
    <w:p w14:paraId="1F2AD23A" w14:textId="77777777" w:rsidR="001C1F50" w:rsidRDefault="001C1F50" w:rsidP="001C1F50">
      <w:pPr>
        <w:jc w:val="both"/>
        <w:outlineLvl w:val="0"/>
        <w:rPr>
          <w:rFonts w:ascii="Arial" w:hAnsi="Arial" w:cs="Arial"/>
          <w:color w:val="000080"/>
          <w:sz w:val="20"/>
          <w:szCs w:val="20"/>
        </w:rPr>
      </w:pPr>
      <w:r w:rsidRPr="008024A5">
        <w:rPr>
          <w:rFonts w:ascii="Arial" w:hAnsi="Arial" w:cs="Arial"/>
          <w:b/>
          <w:color w:val="000080"/>
          <w:sz w:val="20"/>
          <w:szCs w:val="20"/>
        </w:rPr>
        <w:t>INDICACIÓN/ES.</w:t>
      </w:r>
      <w:r>
        <w:rPr>
          <w:rFonts w:ascii="Arial" w:hAnsi="Arial" w:cs="Arial"/>
          <w:color w:val="000080"/>
          <w:sz w:val="20"/>
          <w:szCs w:val="20"/>
        </w:rPr>
        <w:t xml:space="preserve"> Tratamiento de:</w:t>
      </w:r>
    </w:p>
    <w:p w14:paraId="48CFBB95" w14:textId="77777777" w:rsidR="001C1F50" w:rsidRDefault="001C1F50" w:rsidP="001C1F50">
      <w:pPr>
        <w:jc w:val="both"/>
        <w:outlineLvl w:val="0"/>
        <w:rPr>
          <w:rFonts w:ascii="Arial" w:hAnsi="Arial" w:cs="Arial"/>
          <w:color w:val="000080"/>
          <w:sz w:val="20"/>
          <w:szCs w:val="20"/>
        </w:rPr>
      </w:pPr>
      <w:r>
        <w:rPr>
          <w:rFonts w:ascii="Arial" w:hAnsi="Arial" w:cs="Arial"/>
          <w:color w:val="000080"/>
          <w:sz w:val="20"/>
          <w:szCs w:val="20"/>
        </w:rPr>
        <w:t xml:space="preserve">-Atrofia Muscular Espinal (AME) en 5q con una mutación bialélica en el gen SMN1 y un diagnóstico clínico de AME tipo I, o </w:t>
      </w:r>
    </w:p>
    <w:p w14:paraId="645C2C07" w14:textId="77777777" w:rsidR="001C1F50" w:rsidRPr="00D04BE1" w:rsidRDefault="001C1F50" w:rsidP="001C1F50">
      <w:pPr>
        <w:jc w:val="both"/>
        <w:outlineLvl w:val="0"/>
        <w:rPr>
          <w:rFonts w:ascii="Arial" w:hAnsi="Arial" w:cs="Arial"/>
          <w:b/>
          <w:bCs/>
          <w:sz w:val="20"/>
          <w:szCs w:val="20"/>
        </w:rPr>
      </w:pPr>
      <w:r>
        <w:rPr>
          <w:rFonts w:ascii="Arial" w:hAnsi="Arial" w:cs="Arial"/>
          <w:color w:val="000080"/>
          <w:sz w:val="20"/>
          <w:szCs w:val="20"/>
        </w:rPr>
        <w:t xml:space="preserve">-pacientes con AME en 5q con una mutación bialélica en el gen SMN1 y hasta 3 copias del gen SMN2    </w:t>
      </w:r>
    </w:p>
    <w:p w14:paraId="3F11EDC5" w14:textId="77777777" w:rsidR="001C1F50" w:rsidRDefault="001C1F50" w:rsidP="001C1F50">
      <w:pPr>
        <w:jc w:val="both"/>
        <w:rPr>
          <w:rFonts w:ascii="Arial" w:hAnsi="Arial" w:cs="Arial"/>
        </w:rPr>
      </w:pPr>
    </w:p>
    <w:p w14:paraId="2DDB879E" w14:textId="77777777" w:rsidR="001C1F50" w:rsidRPr="00F06E7B" w:rsidRDefault="001C1F50" w:rsidP="001C1F50">
      <w:pPr>
        <w:jc w:val="both"/>
        <w:rPr>
          <w:rFonts w:ascii="Arial" w:hAnsi="Arial" w:cs="Arial"/>
          <w:b/>
          <w:color w:val="000080"/>
          <w:sz w:val="20"/>
        </w:rPr>
      </w:pPr>
    </w:p>
    <w:p w14:paraId="59EE8533" w14:textId="77777777" w:rsidR="001C1F50" w:rsidRPr="00F06E7B" w:rsidRDefault="001C1F50" w:rsidP="001C1F50">
      <w:pPr>
        <w:jc w:val="both"/>
        <w:rPr>
          <w:rFonts w:ascii="Arial" w:hAnsi="Arial" w:cs="Arial"/>
          <w:b/>
          <w:color w:val="000080"/>
          <w:sz w:val="20"/>
        </w:rPr>
      </w:pPr>
      <w:r w:rsidRPr="00F06E7B">
        <w:rPr>
          <w:rFonts w:ascii="Arial" w:hAnsi="Arial" w:cs="Arial"/>
          <w:b/>
          <w:color w:val="000080"/>
          <w:sz w:val="20"/>
        </w:rPr>
        <w:t xml:space="preserve">Tutor: </w:t>
      </w:r>
      <w:r>
        <w:rPr>
          <w:rFonts w:ascii="Arial" w:hAnsi="Arial" w:cs="Arial"/>
          <w:b/>
          <w:color w:val="000080"/>
          <w:sz w:val="20"/>
        </w:rPr>
        <w:t>Vicente Arocas Casañ</w:t>
      </w:r>
    </w:p>
    <w:p w14:paraId="184E45C7" w14:textId="77777777" w:rsidR="008024A5" w:rsidRDefault="008024A5" w:rsidP="008024A5">
      <w:pPr>
        <w:jc w:val="both"/>
        <w:outlineLvl w:val="0"/>
        <w:rPr>
          <w:rFonts w:ascii="Arial" w:hAnsi="Arial" w:cs="Arial"/>
          <w:b/>
          <w:color w:val="000080"/>
          <w:sz w:val="20"/>
          <w:szCs w:val="20"/>
        </w:rPr>
      </w:pPr>
    </w:p>
    <w:p w14:paraId="6687067F" w14:textId="77777777" w:rsidR="001C1F50" w:rsidRDefault="001C1F50" w:rsidP="008024A5">
      <w:pPr>
        <w:jc w:val="both"/>
        <w:outlineLvl w:val="0"/>
        <w:rPr>
          <w:rFonts w:ascii="Arial" w:hAnsi="Arial" w:cs="Arial"/>
          <w:b/>
          <w:color w:val="000080"/>
          <w:sz w:val="20"/>
          <w:szCs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429"/>
        <w:gridCol w:w="7513"/>
        <w:gridCol w:w="1734"/>
      </w:tblGrid>
      <w:tr w:rsidR="00261E14" w:rsidRPr="00241AFD" w14:paraId="38EC2752" w14:textId="77777777" w:rsidTr="00D36F17">
        <w:tc>
          <w:tcPr>
            <w:tcW w:w="8942" w:type="dxa"/>
            <w:gridSpan w:val="2"/>
          </w:tcPr>
          <w:p w14:paraId="030F71BF" w14:textId="77777777" w:rsidR="00261E14" w:rsidRPr="00241AFD" w:rsidRDefault="00261E14" w:rsidP="00D36F17">
            <w:pPr>
              <w:rPr>
                <w:rFonts w:ascii="Arial" w:hAnsi="Arial" w:cs="Arial"/>
                <w:b/>
                <w:color w:val="000080"/>
                <w:sz w:val="18"/>
                <w:szCs w:val="18"/>
              </w:rPr>
            </w:pPr>
            <w:r w:rsidRPr="00241AFD">
              <w:rPr>
                <w:rFonts w:ascii="Arial" w:hAnsi="Arial" w:cs="Arial"/>
                <w:b/>
                <w:color w:val="000080"/>
                <w:sz w:val="18"/>
                <w:szCs w:val="18"/>
              </w:rPr>
              <w:t>Alegaciones al borrador público (MAXIMO 3 IMPRESOS)</w:t>
            </w:r>
          </w:p>
        </w:tc>
        <w:tc>
          <w:tcPr>
            <w:tcW w:w="1734" w:type="dxa"/>
          </w:tcPr>
          <w:p w14:paraId="028B669C" w14:textId="77777777" w:rsidR="00261E14" w:rsidRPr="00241AFD" w:rsidRDefault="00261E14" w:rsidP="00D36F17">
            <w:pPr>
              <w:rPr>
                <w:rFonts w:ascii="Arial" w:hAnsi="Arial" w:cs="Arial"/>
                <w:b/>
                <w:color w:val="000080"/>
                <w:sz w:val="18"/>
                <w:szCs w:val="18"/>
              </w:rPr>
            </w:pPr>
            <w:r w:rsidRPr="00241AFD">
              <w:rPr>
                <w:rFonts w:ascii="Arial" w:hAnsi="Arial" w:cs="Arial"/>
                <w:b/>
                <w:color w:val="000080"/>
                <w:sz w:val="18"/>
                <w:szCs w:val="18"/>
              </w:rPr>
              <w:t>Respuesta del tutor</w:t>
            </w:r>
          </w:p>
        </w:tc>
      </w:tr>
      <w:tr w:rsidR="001C1F50" w:rsidRPr="00241AFD" w14:paraId="1C31C82B" w14:textId="77777777" w:rsidTr="00261E14">
        <w:tc>
          <w:tcPr>
            <w:tcW w:w="1429" w:type="dxa"/>
          </w:tcPr>
          <w:p w14:paraId="48CEAE58"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Cristina Puig.</w:t>
            </w:r>
          </w:p>
          <w:p w14:paraId="3C034068"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Responsable</w:t>
            </w:r>
          </w:p>
          <w:p w14:paraId="63CAB8D6"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 AME,</w:t>
            </w:r>
          </w:p>
          <w:p w14:paraId="7321C886"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Departamento</w:t>
            </w:r>
          </w:p>
          <w:p w14:paraId="7216B443"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Médico.</w:t>
            </w:r>
          </w:p>
          <w:p w14:paraId="75FEE427" w14:textId="6C0E6AA5" w:rsidR="001C1F50" w:rsidRPr="00241AFD" w:rsidRDefault="001C1F50" w:rsidP="001C1F50">
            <w:pPr>
              <w:jc w:val="both"/>
              <w:rPr>
                <w:rFonts w:ascii="Arial" w:hAnsi="Arial" w:cs="Arial"/>
                <w:color w:val="000080"/>
                <w:sz w:val="18"/>
                <w:szCs w:val="18"/>
                <w:lang w:val="it-IT"/>
              </w:rPr>
            </w:pPr>
            <w:r w:rsidRPr="00241AFD">
              <w:rPr>
                <w:rFonts w:ascii="Arial" w:hAnsi="Arial" w:cs="Arial"/>
                <w:color w:val="000081"/>
                <w:sz w:val="18"/>
                <w:szCs w:val="18"/>
              </w:rPr>
              <w:t>Biogen</w:t>
            </w:r>
          </w:p>
        </w:tc>
        <w:tc>
          <w:tcPr>
            <w:tcW w:w="7513" w:type="dxa"/>
          </w:tcPr>
          <w:p w14:paraId="4151C0A9" w14:textId="64A270DF"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La página 6 del informe establece que nusinersen no se evaluó en pacientes con</w:t>
            </w:r>
            <w:r w:rsidR="007D299B" w:rsidRPr="00241AFD">
              <w:rPr>
                <w:rFonts w:ascii="Arial" w:hAnsi="Arial" w:cs="Arial"/>
                <w:sz w:val="18"/>
                <w:szCs w:val="18"/>
              </w:rPr>
              <w:t xml:space="preserve"> </w:t>
            </w:r>
            <w:r w:rsidRPr="00241AFD">
              <w:rPr>
                <w:rFonts w:ascii="Arial" w:hAnsi="Arial" w:cs="Arial"/>
                <w:sz w:val="18"/>
                <w:szCs w:val="18"/>
              </w:rPr>
              <w:t>AME tipo II y III de larga evolución ni en la forma adulta (AME tipo IV).</w:t>
            </w:r>
            <w:r w:rsidR="007D299B" w:rsidRPr="00241AFD">
              <w:rPr>
                <w:rFonts w:ascii="Arial" w:hAnsi="Arial" w:cs="Arial"/>
                <w:sz w:val="18"/>
                <w:szCs w:val="18"/>
              </w:rPr>
              <w:t xml:space="preserve"> </w:t>
            </w:r>
            <w:r w:rsidRPr="00241AFD">
              <w:rPr>
                <w:rFonts w:ascii="Arial" w:hAnsi="Arial" w:cs="Arial"/>
                <w:sz w:val="18"/>
                <w:szCs w:val="18"/>
              </w:rPr>
              <w:t>Sin</w:t>
            </w:r>
            <w:r w:rsidR="00261E14" w:rsidRPr="00241AFD">
              <w:rPr>
                <w:rFonts w:ascii="Arial" w:hAnsi="Arial" w:cs="Arial"/>
                <w:sz w:val="18"/>
                <w:szCs w:val="18"/>
              </w:rPr>
              <w:t xml:space="preserve"> </w:t>
            </w:r>
            <w:r w:rsidRPr="00241AFD">
              <w:rPr>
                <w:rFonts w:ascii="Arial" w:hAnsi="Arial" w:cs="Arial"/>
                <w:sz w:val="18"/>
                <w:szCs w:val="18"/>
              </w:rPr>
              <w:t>embargo, existen datos de una pequeña cohorte de pacientes (n=7) del ensayo</w:t>
            </w:r>
            <w:r w:rsidR="007D299B" w:rsidRPr="00241AFD">
              <w:rPr>
                <w:rFonts w:ascii="Arial" w:hAnsi="Arial" w:cs="Arial"/>
                <w:sz w:val="18"/>
                <w:szCs w:val="18"/>
              </w:rPr>
              <w:t xml:space="preserve"> </w:t>
            </w:r>
            <w:r w:rsidRPr="00241AFD">
              <w:rPr>
                <w:rFonts w:ascii="Arial" w:hAnsi="Arial" w:cs="Arial"/>
                <w:sz w:val="18"/>
                <w:szCs w:val="18"/>
              </w:rPr>
              <w:t>CS2/CS12 que son actualmente</w:t>
            </w:r>
            <w:r w:rsidR="007D299B" w:rsidRPr="00241AFD">
              <w:rPr>
                <w:rFonts w:ascii="Arial" w:hAnsi="Arial" w:cs="Arial"/>
                <w:sz w:val="18"/>
                <w:szCs w:val="18"/>
              </w:rPr>
              <w:t xml:space="preserve"> </w:t>
            </w:r>
            <w:r w:rsidRPr="00241AFD">
              <w:rPr>
                <w:rFonts w:ascii="Arial" w:hAnsi="Arial" w:cs="Arial"/>
                <w:sz w:val="18"/>
                <w:szCs w:val="18"/>
              </w:rPr>
              <w:t>adultos con resultados en eficacia publicados.</w:t>
            </w:r>
            <w:r w:rsidRPr="00241AFD">
              <w:rPr>
                <w:rFonts w:ascii="Arial" w:hAnsi="Arial" w:cs="Arial"/>
                <w:sz w:val="18"/>
                <w:szCs w:val="18"/>
                <w:vertAlign w:val="superscript"/>
              </w:rPr>
              <w:t>1</w:t>
            </w:r>
          </w:p>
          <w:p w14:paraId="4E839272" w14:textId="46D100C4" w:rsidR="001C1F50" w:rsidRPr="00241AFD" w:rsidRDefault="001C1F50" w:rsidP="00261E14">
            <w:pPr>
              <w:autoSpaceDE w:val="0"/>
              <w:autoSpaceDN w:val="0"/>
              <w:adjustRightInd w:val="0"/>
              <w:rPr>
                <w:rFonts w:ascii="Arial" w:hAnsi="Arial" w:cs="Arial"/>
                <w:sz w:val="18"/>
                <w:szCs w:val="18"/>
              </w:rPr>
            </w:pPr>
            <w:r w:rsidRPr="00241AFD">
              <w:rPr>
                <w:rFonts w:ascii="Arial" w:hAnsi="Arial" w:cs="Arial"/>
                <w:sz w:val="18"/>
                <w:szCs w:val="18"/>
              </w:rPr>
              <w:t>Además existen datos de más de 11.000 pacientes con AME de</w:t>
            </w:r>
            <w:r w:rsidR="007D299B" w:rsidRPr="00241AFD">
              <w:rPr>
                <w:rFonts w:ascii="Arial" w:hAnsi="Arial" w:cs="Arial"/>
                <w:sz w:val="18"/>
                <w:szCs w:val="18"/>
              </w:rPr>
              <w:t xml:space="preserve"> </w:t>
            </w:r>
            <w:r w:rsidRPr="00241AFD">
              <w:rPr>
                <w:rFonts w:ascii="Arial" w:hAnsi="Arial" w:cs="Arial"/>
                <w:sz w:val="18"/>
                <w:szCs w:val="18"/>
              </w:rPr>
              <w:t>larga evolución de tipos II a IV tratados con nusinersen</w:t>
            </w:r>
            <w:r w:rsidRPr="00241AFD">
              <w:rPr>
                <w:rFonts w:ascii="Arial" w:hAnsi="Arial" w:cs="Arial"/>
                <w:sz w:val="18"/>
                <w:szCs w:val="18"/>
                <w:vertAlign w:val="superscript"/>
              </w:rPr>
              <w:t>2</w:t>
            </w:r>
            <w:r w:rsidRPr="00241AFD">
              <w:rPr>
                <w:rFonts w:ascii="Arial" w:hAnsi="Arial" w:cs="Arial"/>
                <w:sz w:val="18"/>
                <w:szCs w:val="18"/>
              </w:rPr>
              <w:t xml:space="preserve"> con datos</w:t>
            </w:r>
            <w:r w:rsidR="007D299B" w:rsidRPr="00241AFD">
              <w:rPr>
                <w:rFonts w:ascii="Arial" w:hAnsi="Arial" w:cs="Arial"/>
                <w:sz w:val="18"/>
                <w:szCs w:val="18"/>
              </w:rPr>
              <w:t xml:space="preserve"> </w:t>
            </w:r>
            <w:r w:rsidRPr="00241AFD">
              <w:rPr>
                <w:rFonts w:ascii="Arial" w:hAnsi="Arial" w:cs="Arial"/>
                <w:sz w:val="18"/>
                <w:szCs w:val="18"/>
              </w:rPr>
              <w:t>observacionales prospectivos de dos grandes cohortes de adultos.</w:t>
            </w:r>
            <w:r w:rsidRPr="00241AFD">
              <w:rPr>
                <w:rFonts w:ascii="Arial" w:hAnsi="Arial" w:cs="Arial"/>
                <w:sz w:val="18"/>
                <w:szCs w:val="18"/>
                <w:vertAlign w:val="superscript"/>
              </w:rPr>
              <w:t>3,4</w:t>
            </w:r>
          </w:p>
        </w:tc>
        <w:tc>
          <w:tcPr>
            <w:tcW w:w="1734" w:type="dxa"/>
          </w:tcPr>
          <w:p w14:paraId="2895F702" w14:textId="18815A8E" w:rsidR="001C1F50" w:rsidRPr="00241AFD" w:rsidRDefault="00261E14" w:rsidP="008024A5">
            <w:pPr>
              <w:jc w:val="both"/>
              <w:rPr>
                <w:rFonts w:ascii="Arial" w:hAnsi="Arial" w:cs="Arial"/>
                <w:color w:val="000080"/>
                <w:sz w:val="18"/>
                <w:szCs w:val="18"/>
              </w:rPr>
            </w:pPr>
            <w:r w:rsidRPr="00241AFD">
              <w:rPr>
                <w:rFonts w:ascii="Arial" w:hAnsi="Arial" w:cs="Arial"/>
                <w:color w:val="000080"/>
                <w:sz w:val="18"/>
                <w:szCs w:val="18"/>
              </w:rPr>
              <w:t>Se acepta.</w:t>
            </w:r>
          </w:p>
        </w:tc>
      </w:tr>
      <w:tr w:rsidR="008024A5" w:rsidRPr="00241AFD" w14:paraId="02719AFE" w14:textId="77777777" w:rsidTr="00261E14">
        <w:tc>
          <w:tcPr>
            <w:tcW w:w="1429" w:type="dxa"/>
          </w:tcPr>
          <w:p w14:paraId="059F6944"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Cristina Puig.</w:t>
            </w:r>
          </w:p>
          <w:p w14:paraId="4F961B03"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Responsable</w:t>
            </w:r>
          </w:p>
          <w:p w14:paraId="4C971C9A"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 AME,</w:t>
            </w:r>
          </w:p>
          <w:p w14:paraId="5C3129F8"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Departamento</w:t>
            </w:r>
          </w:p>
          <w:p w14:paraId="6523E9C1"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Médico.</w:t>
            </w:r>
          </w:p>
          <w:p w14:paraId="3CD8D531" w14:textId="2DCB8913" w:rsidR="008024A5" w:rsidRPr="00241AFD" w:rsidRDefault="001C1F50" w:rsidP="001C1F50">
            <w:pPr>
              <w:jc w:val="both"/>
              <w:rPr>
                <w:rFonts w:ascii="Arial" w:hAnsi="Arial" w:cs="Arial"/>
                <w:color w:val="000080"/>
                <w:sz w:val="18"/>
                <w:szCs w:val="18"/>
                <w:lang w:val="it-IT"/>
              </w:rPr>
            </w:pPr>
            <w:r w:rsidRPr="00241AFD">
              <w:rPr>
                <w:rFonts w:ascii="Arial" w:hAnsi="Arial" w:cs="Arial"/>
                <w:color w:val="000081"/>
                <w:sz w:val="18"/>
                <w:szCs w:val="18"/>
              </w:rPr>
              <w:t>Biogen</w:t>
            </w:r>
          </w:p>
        </w:tc>
        <w:tc>
          <w:tcPr>
            <w:tcW w:w="7513" w:type="dxa"/>
          </w:tcPr>
          <w:p w14:paraId="2AA91CAE" w14:textId="25EA457C"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La página 8 del informe, al describir el mecanismo de acción de onasemnogén</w:t>
            </w:r>
            <w:r w:rsidR="007D299B" w:rsidRPr="00241AFD">
              <w:rPr>
                <w:rFonts w:ascii="Arial" w:hAnsi="Arial" w:cs="Arial"/>
                <w:sz w:val="18"/>
                <w:szCs w:val="18"/>
              </w:rPr>
              <w:t xml:space="preserve"> </w:t>
            </w:r>
            <w:r w:rsidRPr="00241AFD">
              <w:rPr>
                <w:rFonts w:ascii="Arial" w:hAnsi="Arial" w:cs="Arial"/>
                <w:sz w:val="18"/>
                <w:szCs w:val="18"/>
              </w:rPr>
              <w:t>abeparvovec, establece que la causa de la enfermedad es debida a la falta del gen</w:t>
            </w:r>
            <w:r w:rsidR="007D299B" w:rsidRPr="00241AFD">
              <w:rPr>
                <w:rFonts w:ascii="Arial" w:hAnsi="Arial" w:cs="Arial"/>
                <w:sz w:val="18"/>
                <w:szCs w:val="18"/>
              </w:rPr>
              <w:t xml:space="preserve"> </w:t>
            </w:r>
            <w:r w:rsidRPr="00241AFD">
              <w:rPr>
                <w:rFonts w:ascii="Arial" w:hAnsi="Arial" w:cs="Arial"/>
                <w:sz w:val="18"/>
                <w:szCs w:val="18"/>
              </w:rPr>
              <w:t>SM1. Sin embargo, hay que tener en cuenta que es la síntesis insuficiente de</w:t>
            </w:r>
            <w:r w:rsidR="007D299B" w:rsidRPr="00241AFD">
              <w:rPr>
                <w:rFonts w:ascii="Arial" w:hAnsi="Arial" w:cs="Arial"/>
                <w:sz w:val="18"/>
                <w:szCs w:val="18"/>
              </w:rPr>
              <w:t xml:space="preserve"> </w:t>
            </w:r>
            <w:r w:rsidRPr="00241AFD">
              <w:rPr>
                <w:rFonts w:ascii="Arial" w:hAnsi="Arial" w:cs="Arial"/>
                <w:sz w:val="18"/>
                <w:szCs w:val="18"/>
              </w:rPr>
              <w:t>proteína SMN (survival motor neuron) funcional la causa de las alteraciones que</w:t>
            </w:r>
            <w:r w:rsidR="007D299B" w:rsidRPr="00241AFD">
              <w:rPr>
                <w:rFonts w:ascii="Arial" w:hAnsi="Arial" w:cs="Arial"/>
                <w:sz w:val="18"/>
                <w:szCs w:val="18"/>
              </w:rPr>
              <w:t xml:space="preserve"> </w:t>
            </w:r>
            <w:r w:rsidRPr="00241AFD">
              <w:rPr>
                <w:rFonts w:ascii="Arial" w:hAnsi="Arial" w:cs="Arial"/>
                <w:sz w:val="18"/>
                <w:szCs w:val="18"/>
              </w:rPr>
              <w:t>provoca la enfermedad. Por lo tanto, existen dos vías para aumentar su síntesis:</w:t>
            </w:r>
            <w:r w:rsidR="007D299B" w:rsidRPr="00241AFD">
              <w:rPr>
                <w:rFonts w:ascii="Arial" w:hAnsi="Arial" w:cs="Arial"/>
                <w:sz w:val="18"/>
                <w:szCs w:val="18"/>
              </w:rPr>
              <w:t xml:space="preserve"> </w:t>
            </w:r>
            <w:r w:rsidRPr="00241AFD">
              <w:rPr>
                <w:rFonts w:ascii="Arial" w:hAnsi="Arial" w:cs="Arial"/>
                <w:sz w:val="18"/>
                <w:szCs w:val="18"/>
              </w:rPr>
              <w:t>1) Reponer el gen SMN1 o 2) incrementar la síntesis a través del pseudogen</w:t>
            </w:r>
            <w:r w:rsidR="007D299B" w:rsidRPr="00241AFD">
              <w:rPr>
                <w:rFonts w:ascii="Arial" w:hAnsi="Arial" w:cs="Arial"/>
                <w:sz w:val="18"/>
                <w:szCs w:val="18"/>
              </w:rPr>
              <w:t xml:space="preserve"> </w:t>
            </w:r>
            <w:r w:rsidRPr="00241AFD">
              <w:rPr>
                <w:rFonts w:ascii="Arial" w:hAnsi="Arial" w:cs="Arial"/>
                <w:sz w:val="18"/>
                <w:szCs w:val="18"/>
              </w:rPr>
              <w:t>existente SMN2.</w:t>
            </w:r>
            <w:r w:rsidRPr="00241AFD">
              <w:rPr>
                <w:rFonts w:ascii="Arial" w:hAnsi="Arial" w:cs="Arial"/>
                <w:sz w:val="18"/>
                <w:szCs w:val="18"/>
                <w:vertAlign w:val="superscript"/>
              </w:rPr>
              <w:t>5</w:t>
            </w:r>
          </w:p>
          <w:p w14:paraId="65777BC9" w14:textId="5DF0AF93" w:rsidR="008024A5" w:rsidRPr="00241AFD" w:rsidRDefault="001C1F50" w:rsidP="007D299B">
            <w:pPr>
              <w:autoSpaceDE w:val="0"/>
              <w:autoSpaceDN w:val="0"/>
              <w:adjustRightInd w:val="0"/>
              <w:rPr>
                <w:rFonts w:ascii="Arial" w:hAnsi="Arial" w:cs="Arial"/>
                <w:sz w:val="18"/>
                <w:szCs w:val="18"/>
              </w:rPr>
            </w:pPr>
            <w:r w:rsidRPr="00241AFD">
              <w:rPr>
                <w:rFonts w:ascii="Arial" w:hAnsi="Arial" w:cs="Arial"/>
                <w:sz w:val="18"/>
                <w:szCs w:val="18"/>
              </w:rPr>
              <w:t>Además, al final de esta misma página 8 del informe, se establece que la expresión</w:t>
            </w:r>
            <w:r w:rsidR="007D299B" w:rsidRPr="00241AFD">
              <w:rPr>
                <w:rFonts w:ascii="Arial" w:hAnsi="Arial" w:cs="Arial"/>
                <w:sz w:val="18"/>
                <w:szCs w:val="18"/>
              </w:rPr>
              <w:t xml:space="preserve"> </w:t>
            </w:r>
            <w:r w:rsidRPr="00241AFD">
              <w:rPr>
                <w:rFonts w:ascii="Arial" w:hAnsi="Arial" w:cs="Arial"/>
                <w:sz w:val="18"/>
                <w:szCs w:val="18"/>
              </w:rPr>
              <w:t>del trasgén provoca la expresión continua y sostenida de la proteína SMN. Sin</w:t>
            </w:r>
            <w:r w:rsidR="007D299B" w:rsidRPr="00241AFD">
              <w:rPr>
                <w:rFonts w:ascii="Arial" w:hAnsi="Arial" w:cs="Arial"/>
                <w:sz w:val="18"/>
                <w:szCs w:val="18"/>
              </w:rPr>
              <w:t xml:space="preserve"> </w:t>
            </w:r>
            <w:r w:rsidRPr="00241AFD">
              <w:rPr>
                <w:rFonts w:ascii="Arial" w:hAnsi="Arial" w:cs="Arial"/>
                <w:sz w:val="18"/>
                <w:szCs w:val="18"/>
              </w:rPr>
              <w:t>embargo, esta afirmación no es posible en este momento dado que se desconoce</w:t>
            </w:r>
            <w:r w:rsidR="007D299B" w:rsidRPr="00241AFD">
              <w:rPr>
                <w:rFonts w:ascii="Arial" w:hAnsi="Arial" w:cs="Arial"/>
                <w:sz w:val="18"/>
                <w:szCs w:val="18"/>
              </w:rPr>
              <w:t xml:space="preserve"> </w:t>
            </w:r>
            <w:r w:rsidRPr="00241AFD">
              <w:rPr>
                <w:rFonts w:ascii="Arial" w:hAnsi="Arial" w:cs="Arial"/>
                <w:sz w:val="18"/>
                <w:szCs w:val="18"/>
              </w:rPr>
              <w:t>el efecto a largo plazo de la terapia génica en AME</w:t>
            </w:r>
          </w:p>
        </w:tc>
        <w:tc>
          <w:tcPr>
            <w:tcW w:w="1734" w:type="dxa"/>
          </w:tcPr>
          <w:p w14:paraId="33D4B6B2" w14:textId="2843FB3E" w:rsidR="008024A5" w:rsidRPr="00241AFD" w:rsidRDefault="00405D3F" w:rsidP="00F62D81">
            <w:pPr>
              <w:rPr>
                <w:rFonts w:ascii="Arial" w:hAnsi="Arial" w:cs="Arial"/>
                <w:color w:val="000080"/>
                <w:sz w:val="18"/>
                <w:szCs w:val="18"/>
              </w:rPr>
            </w:pPr>
            <w:r w:rsidRPr="00241AFD">
              <w:rPr>
                <w:rFonts w:ascii="Arial" w:hAnsi="Arial" w:cs="Arial"/>
                <w:color w:val="000080"/>
                <w:sz w:val="18"/>
                <w:szCs w:val="18"/>
              </w:rPr>
              <w:t>No acepada. Este apartado es una transcripción literal de la ficha técnica del pr</w:t>
            </w:r>
            <w:r w:rsidR="00F62D81" w:rsidRPr="00241AFD">
              <w:rPr>
                <w:rFonts w:ascii="Arial" w:hAnsi="Arial" w:cs="Arial"/>
                <w:color w:val="000080"/>
                <w:sz w:val="18"/>
                <w:szCs w:val="18"/>
              </w:rPr>
              <w:t>o</w:t>
            </w:r>
            <w:r w:rsidRPr="00241AFD">
              <w:rPr>
                <w:rFonts w:ascii="Arial" w:hAnsi="Arial" w:cs="Arial"/>
                <w:color w:val="000080"/>
                <w:sz w:val="18"/>
                <w:szCs w:val="18"/>
              </w:rPr>
              <w:t>ducto.</w:t>
            </w:r>
          </w:p>
        </w:tc>
      </w:tr>
      <w:tr w:rsidR="008024A5" w:rsidRPr="00241AFD" w14:paraId="7A932372" w14:textId="77777777" w:rsidTr="00261E14">
        <w:tc>
          <w:tcPr>
            <w:tcW w:w="1429" w:type="dxa"/>
          </w:tcPr>
          <w:p w14:paraId="74567052"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Cristina Puig.</w:t>
            </w:r>
          </w:p>
          <w:p w14:paraId="331FF280"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Responsable</w:t>
            </w:r>
          </w:p>
          <w:p w14:paraId="6BA6E3F3"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 AME,</w:t>
            </w:r>
          </w:p>
          <w:p w14:paraId="7C83DE1B"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Departamento</w:t>
            </w:r>
          </w:p>
          <w:p w14:paraId="69ECA353"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Médico.</w:t>
            </w:r>
          </w:p>
          <w:p w14:paraId="5B53AAF5" w14:textId="3642882F" w:rsidR="008024A5" w:rsidRPr="00241AFD" w:rsidRDefault="001C1F50" w:rsidP="001C1F50">
            <w:pPr>
              <w:jc w:val="both"/>
              <w:rPr>
                <w:rFonts w:ascii="Arial" w:hAnsi="Arial" w:cs="Arial"/>
                <w:color w:val="000080"/>
                <w:sz w:val="18"/>
                <w:szCs w:val="18"/>
                <w:lang w:val="it-IT"/>
              </w:rPr>
            </w:pPr>
            <w:r w:rsidRPr="00241AFD">
              <w:rPr>
                <w:rFonts w:ascii="Arial" w:hAnsi="Arial" w:cs="Arial"/>
                <w:color w:val="000081"/>
                <w:sz w:val="18"/>
                <w:szCs w:val="18"/>
              </w:rPr>
              <w:t>Biogen</w:t>
            </w:r>
          </w:p>
        </w:tc>
        <w:tc>
          <w:tcPr>
            <w:tcW w:w="7513" w:type="dxa"/>
          </w:tcPr>
          <w:p w14:paraId="44C5C182" w14:textId="46367273"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Al comentar los resultados del estudio START6 en la página 14 del informe, es</w:t>
            </w:r>
            <w:r w:rsidR="007D299B" w:rsidRPr="00241AFD">
              <w:rPr>
                <w:rFonts w:ascii="Arial" w:hAnsi="Arial" w:cs="Arial"/>
                <w:sz w:val="18"/>
                <w:szCs w:val="18"/>
              </w:rPr>
              <w:t xml:space="preserve"> </w:t>
            </w:r>
            <w:r w:rsidRPr="00241AFD">
              <w:rPr>
                <w:rFonts w:ascii="Arial" w:hAnsi="Arial" w:cs="Arial"/>
                <w:sz w:val="18"/>
                <w:szCs w:val="18"/>
              </w:rPr>
              <w:t>relevante notar que de los 15 pacientes tratados, 12 lo hicieron a dosis altas de 2.0</w:t>
            </w:r>
            <w:r w:rsidR="007D299B" w:rsidRPr="00241AFD">
              <w:rPr>
                <w:rFonts w:ascii="Arial" w:hAnsi="Arial" w:cs="Arial"/>
                <w:sz w:val="18"/>
                <w:szCs w:val="18"/>
              </w:rPr>
              <w:t xml:space="preserve"> </w:t>
            </w:r>
            <w:r w:rsidRPr="00241AFD">
              <w:rPr>
                <w:rFonts w:ascii="Arial" w:hAnsi="Arial" w:cs="Arial"/>
                <w:sz w:val="18"/>
                <w:szCs w:val="18"/>
              </w:rPr>
              <w:t>x 10</w:t>
            </w:r>
            <w:r w:rsidRPr="00241AFD">
              <w:rPr>
                <w:rFonts w:ascii="Arial" w:hAnsi="Arial" w:cs="Arial"/>
                <w:sz w:val="18"/>
                <w:szCs w:val="18"/>
                <w:vertAlign w:val="superscript"/>
              </w:rPr>
              <w:t>14</w:t>
            </w:r>
            <w:r w:rsidRPr="00241AFD">
              <w:rPr>
                <w:rFonts w:ascii="Arial" w:hAnsi="Arial" w:cs="Arial"/>
                <w:sz w:val="18"/>
                <w:szCs w:val="18"/>
              </w:rPr>
              <w:t xml:space="preserve"> vg/kg (por encima de la dosis indicada) y 3 a dosis baja (6.7×10</w:t>
            </w:r>
            <w:r w:rsidRPr="00241AFD">
              <w:rPr>
                <w:rFonts w:ascii="Arial" w:hAnsi="Arial" w:cs="Arial"/>
                <w:sz w:val="18"/>
                <w:szCs w:val="18"/>
                <w:vertAlign w:val="superscript"/>
              </w:rPr>
              <w:t>13</w:t>
            </w:r>
            <w:r w:rsidRPr="00241AFD">
              <w:rPr>
                <w:rFonts w:ascii="Arial" w:hAnsi="Arial" w:cs="Arial"/>
                <w:sz w:val="18"/>
                <w:szCs w:val="18"/>
              </w:rPr>
              <w:t xml:space="preserve"> vg/kg por</w:t>
            </w:r>
            <w:r w:rsidR="007D299B" w:rsidRPr="00241AFD">
              <w:rPr>
                <w:rFonts w:ascii="Arial" w:hAnsi="Arial" w:cs="Arial"/>
                <w:sz w:val="18"/>
                <w:szCs w:val="18"/>
              </w:rPr>
              <w:t xml:space="preserve"> </w:t>
            </w:r>
            <w:r w:rsidRPr="00241AFD">
              <w:rPr>
                <w:rFonts w:ascii="Arial" w:hAnsi="Arial" w:cs="Arial"/>
                <w:sz w:val="18"/>
                <w:szCs w:val="18"/>
              </w:rPr>
              <w:t>debajo de la dosis indicada).</w:t>
            </w:r>
          </w:p>
          <w:p w14:paraId="33D26B0C" w14:textId="7A86FD86" w:rsidR="008024A5" w:rsidRPr="00241AFD" w:rsidRDefault="001C1F50" w:rsidP="007D299B">
            <w:pPr>
              <w:autoSpaceDE w:val="0"/>
              <w:autoSpaceDN w:val="0"/>
              <w:adjustRightInd w:val="0"/>
              <w:rPr>
                <w:rFonts w:ascii="Arial" w:hAnsi="Arial" w:cs="Arial"/>
                <w:sz w:val="18"/>
                <w:szCs w:val="18"/>
              </w:rPr>
            </w:pPr>
            <w:r w:rsidRPr="00241AFD">
              <w:rPr>
                <w:rFonts w:ascii="Arial" w:hAnsi="Arial" w:cs="Arial"/>
                <w:sz w:val="18"/>
                <w:szCs w:val="18"/>
              </w:rPr>
              <w:t>Los resultados de eficacia recogidos en el documento hacen referencia a los</w:t>
            </w:r>
            <w:r w:rsidR="007D299B" w:rsidRPr="00241AFD">
              <w:rPr>
                <w:rFonts w:ascii="Arial" w:hAnsi="Arial" w:cs="Arial"/>
                <w:sz w:val="18"/>
                <w:szCs w:val="18"/>
              </w:rPr>
              <w:t xml:space="preserve"> </w:t>
            </w:r>
            <w:r w:rsidRPr="00241AFD">
              <w:rPr>
                <w:rFonts w:ascii="Arial" w:hAnsi="Arial" w:cs="Arial"/>
                <w:sz w:val="18"/>
                <w:szCs w:val="18"/>
              </w:rPr>
              <w:t xml:space="preserve">pacientes </w:t>
            </w:r>
            <w:r w:rsidR="007D299B" w:rsidRPr="00241AFD">
              <w:rPr>
                <w:rFonts w:ascii="Arial" w:hAnsi="Arial" w:cs="Arial"/>
                <w:sz w:val="18"/>
                <w:szCs w:val="18"/>
              </w:rPr>
              <w:t>t</w:t>
            </w:r>
            <w:r w:rsidRPr="00241AFD">
              <w:rPr>
                <w:rFonts w:ascii="Arial" w:hAnsi="Arial" w:cs="Arial"/>
                <w:sz w:val="18"/>
                <w:szCs w:val="18"/>
              </w:rPr>
              <w:t>ratados a dosis alta de onasemnogén abeparvovec.</w:t>
            </w:r>
            <w:r w:rsidR="007D299B" w:rsidRPr="00241AFD">
              <w:rPr>
                <w:rFonts w:ascii="Arial" w:hAnsi="Arial" w:cs="Arial"/>
                <w:sz w:val="18"/>
                <w:szCs w:val="18"/>
              </w:rPr>
              <w:t xml:space="preserve"> </w:t>
            </w:r>
            <w:r w:rsidRPr="00241AFD">
              <w:rPr>
                <w:rFonts w:ascii="Arial" w:hAnsi="Arial" w:cs="Arial"/>
                <w:sz w:val="18"/>
                <w:szCs w:val="18"/>
              </w:rPr>
              <w:t>Por tanto, la dosis autorizada en ficha técnica es menor que la dosis que</w:t>
            </w:r>
            <w:r w:rsidR="007D299B" w:rsidRPr="00241AFD">
              <w:rPr>
                <w:rFonts w:ascii="Arial" w:hAnsi="Arial" w:cs="Arial"/>
                <w:sz w:val="18"/>
                <w:szCs w:val="18"/>
              </w:rPr>
              <w:t xml:space="preserve"> </w:t>
            </w:r>
            <w:r w:rsidRPr="00241AFD">
              <w:rPr>
                <w:rFonts w:ascii="Arial" w:hAnsi="Arial" w:cs="Arial"/>
                <w:sz w:val="18"/>
                <w:szCs w:val="18"/>
              </w:rPr>
              <w:t>demostró eficacia en el estudio START.</w:t>
            </w:r>
          </w:p>
        </w:tc>
        <w:tc>
          <w:tcPr>
            <w:tcW w:w="1734" w:type="dxa"/>
          </w:tcPr>
          <w:p w14:paraId="2A61875F" w14:textId="3A84999F" w:rsidR="008024A5" w:rsidRPr="00241AFD" w:rsidRDefault="00DF1ED2" w:rsidP="00DF1ED2">
            <w:pPr>
              <w:rPr>
                <w:rFonts w:ascii="Arial" w:hAnsi="Arial" w:cs="Arial"/>
                <w:color w:val="000080"/>
                <w:sz w:val="18"/>
                <w:szCs w:val="18"/>
              </w:rPr>
            </w:pPr>
            <w:r>
              <w:rPr>
                <w:rFonts w:ascii="Arial" w:hAnsi="Arial" w:cs="Arial"/>
                <w:color w:val="000080"/>
                <w:sz w:val="18"/>
                <w:szCs w:val="18"/>
              </w:rPr>
              <w:t>Aceptada. Se incluye este aspecto en el apartado de aplicabilidad del ensayo clínico a la práctica habitual.</w:t>
            </w:r>
          </w:p>
        </w:tc>
      </w:tr>
      <w:tr w:rsidR="008024A5" w:rsidRPr="00241AFD" w14:paraId="43450129" w14:textId="77777777" w:rsidTr="00261E14">
        <w:tc>
          <w:tcPr>
            <w:tcW w:w="1429" w:type="dxa"/>
          </w:tcPr>
          <w:p w14:paraId="316F5588"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Cristina Puig.</w:t>
            </w:r>
          </w:p>
          <w:p w14:paraId="17310FCF"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Responsable</w:t>
            </w:r>
          </w:p>
          <w:p w14:paraId="50384407"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 AME,</w:t>
            </w:r>
          </w:p>
          <w:p w14:paraId="1996937E"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Departamento</w:t>
            </w:r>
          </w:p>
          <w:p w14:paraId="40A4FF2C"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Médico.</w:t>
            </w:r>
          </w:p>
          <w:p w14:paraId="79C3C7BE" w14:textId="14DE0FE2" w:rsidR="008024A5" w:rsidRPr="00241AFD" w:rsidRDefault="001C1F50" w:rsidP="001C1F50">
            <w:pPr>
              <w:jc w:val="both"/>
              <w:rPr>
                <w:rFonts w:ascii="Arial" w:hAnsi="Arial" w:cs="Arial"/>
                <w:color w:val="000080"/>
                <w:sz w:val="18"/>
                <w:szCs w:val="18"/>
                <w:lang w:val="it-IT"/>
              </w:rPr>
            </w:pPr>
            <w:r w:rsidRPr="00241AFD">
              <w:rPr>
                <w:rFonts w:ascii="Arial" w:hAnsi="Arial" w:cs="Arial"/>
                <w:color w:val="000081"/>
                <w:sz w:val="18"/>
                <w:szCs w:val="18"/>
              </w:rPr>
              <w:t>Biogen</w:t>
            </w:r>
          </w:p>
        </w:tc>
        <w:tc>
          <w:tcPr>
            <w:tcW w:w="7513" w:type="dxa"/>
          </w:tcPr>
          <w:p w14:paraId="3ABD0372" w14:textId="2266C729"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Aunque las indicaciones aprobadas para el tratamiento con onasemnogén</w:t>
            </w:r>
            <w:r w:rsidR="007D299B" w:rsidRPr="00241AFD">
              <w:rPr>
                <w:rFonts w:ascii="Arial" w:hAnsi="Arial" w:cs="Arial"/>
                <w:sz w:val="18"/>
                <w:szCs w:val="18"/>
              </w:rPr>
              <w:t xml:space="preserve"> </w:t>
            </w:r>
            <w:r w:rsidRPr="00241AFD">
              <w:rPr>
                <w:rFonts w:ascii="Arial" w:hAnsi="Arial" w:cs="Arial"/>
                <w:sz w:val="18"/>
                <w:szCs w:val="18"/>
              </w:rPr>
              <w:t>abeparvovec, y recogidas en la página 8 del informe, no definen un umbral de peso</w:t>
            </w:r>
            <w:r w:rsidR="007D299B" w:rsidRPr="00241AFD">
              <w:rPr>
                <w:rFonts w:ascii="Arial" w:hAnsi="Arial" w:cs="Arial"/>
                <w:sz w:val="18"/>
                <w:szCs w:val="18"/>
              </w:rPr>
              <w:t xml:space="preserve"> </w:t>
            </w:r>
            <w:r w:rsidRPr="00241AFD">
              <w:rPr>
                <w:rFonts w:ascii="Arial" w:hAnsi="Arial" w:cs="Arial"/>
                <w:sz w:val="18"/>
                <w:szCs w:val="18"/>
              </w:rPr>
              <w:t>para los pacientes, la ficha técnica del producto indica una posología para</w:t>
            </w:r>
            <w:r w:rsidR="007D299B" w:rsidRPr="00241AFD">
              <w:rPr>
                <w:rFonts w:ascii="Arial" w:hAnsi="Arial" w:cs="Arial"/>
                <w:sz w:val="18"/>
                <w:szCs w:val="18"/>
              </w:rPr>
              <w:t xml:space="preserve"> </w:t>
            </w:r>
            <w:r w:rsidRPr="00241AFD">
              <w:rPr>
                <w:rFonts w:ascii="Arial" w:hAnsi="Arial" w:cs="Arial"/>
                <w:sz w:val="18"/>
                <w:szCs w:val="18"/>
              </w:rPr>
              <w:t>pacientes de hasta 21 kg (ya que la dosis de onasemnogén abeparvovec es</w:t>
            </w:r>
            <w:r w:rsidR="007D299B" w:rsidRPr="00241AFD">
              <w:rPr>
                <w:rFonts w:ascii="Arial" w:hAnsi="Arial" w:cs="Arial"/>
                <w:sz w:val="18"/>
                <w:szCs w:val="18"/>
              </w:rPr>
              <w:t xml:space="preserve"> </w:t>
            </w:r>
            <w:r w:rsidRPr="00241AFD">
              <w:rPr>
                <w:rFonts w:ascii="Arial" w:hAnsi="Arial" w:cs="Arial"/>
                <w:sz w:val="18"/>
                <w:szCs w:val="18"/>
              </w:rPr>
              <w:t>dependiente del peso).</w:t>
            </w:r>
          </w:p>
          <w:p w14:paraId="555E9C43" w14:textId="77777777" w:rsidR="008024A5" w:rsidRDefault="001C1F50" w:rsidP="007D299B">
            <w:pPr>
              <w:autoSpaceDE w:val="0"/>
              <w:autoSpaceDN w:val="0"/>
              <w:adjustRightInd w:val="0"/>
              <w:rPr>
                <w:rFonts w:ascii="Arial" w:hAnsi="Arial" w:cs="Arial"/>
                <w:sz w:val="18"/>
                <w:szCs w:val="18"/>
              </w:rPr>
            </w:pPr>
            <w:r w:rsidRPr="00241AFD">
              <w:rPr>
                <w:rFonts w:ascii="Arial" w:hAnsi="Arial" w:cs="Arial"/>
                <w:sz w:val="18"/>
                <w:szCs w:val="18"/>
              </w:rPr>
              <w:t>Sin embargo, es importante hacer notar que la evidencia disponible para</w:t>
            </w:r>
            <w:r w:rsidR="007D299B" w:rsidRPr="00241AFD">
              <w:rPr>
                <w:rFonts w:ascii="Arial" w:hAnsi="Arial" w:cs="Arial"/>
                <w:sz w:val="18"/>
                <w:szCs w:val="18"/>
              </w:rPr>
              <w:t xml:space="preserve"> </w:t>
            </w:r>
            <w:r w:rsidRPr="00241AFD">
              <w:rPr>
                <w:rFonts w:ascii="Arial" w:hAnsi="Arial" w:cs="Arial"/>
                <w:sz w:val="18"/>
                <w:szCs w:val="18"/>
              </w:rPr>
              <w:t>onasemnogén abeparvovec es en pacientes de hasta 13,5 kg</w:t>
            </w:r>
            <w:r w:rsidRPr="00241AFD">
              <w:rPr>
                <w:rFonts w:ascii="Arial" w:hAnsi="Arial" w:cs="Arial"/>
                <w:sz w:val="18"/>
                <w:szCs w:val="18"/>
                <w:vertAlign w:val="superscript"/>
              </w:rPr>
              <w:t>6</w:t>
            </w:r>
            <w:r w:rsidRPr="00241AFD">
              <w:rPr>
                <w:rFonts w:ascii="Arial" w:hAnsi="Arial" w:cs="Arial"/>
                <w:sz w:val="18"/>
                <w:szCs w:val="18"/>
              </w:rPr>
              <w:t>. Su eficacia en</w:t>
            </w:r>
            <w:r w:rsidR="007D299B" w:rsidRPr="00241AFD">
              <w:rPr>
                <w:rFonts w:ascii="Arial" w:hAnsi="Arial" w:cs="Arial"/>
                <w:sz w:val="18"/>
                <w:szCs w:val="18"/>
              </w:rPr>
              <w:t xml:space="preserve"> </w:t>
            </w:r>
            <w:r w:rsidRPr="00241AFD">
              <w:rPr>
                <w:rFonts w:ascii="Arial" w:hAnsi="Arial" w:cs="Arial"/>
                <w:sz w:val="18"/>
                <w:szCs w:val="18"/>
              </w:rPr>
              <w:t>pacientes de más de 13,5</w:t>
            </w:r>
            <w:r w:rsidR="007D299B" w:rsidRPr="00241AFD">
              <w:rPr>
                <w:rFonts w:ascii="Arial" w:hAnsi="Arial" w:cs="Arial"/>
                <w:sz w:val="18"/>
                <w:szCs w:val="18"/>
              </w:rPr>
              <w:t xml:space="preserve"> </w:t>
            </w:r>
            <w:r w:rsidRPr="00241AFD">
              <w:rPr>
                <w:rFonts w:ascii="Arial" w:hAnsi="Arial" w:cs="Arial"/>
                <w:sz w:val="18"/>
                <w:szCs w:val="18"/>
              </w:rPr>
              <w:t>kg de peso no está respaldada por los datos</w:t>
            </w:r>
            <w:r w:rsidR="007D299B" w:rsidRPr="00241AFD">
              <w:rPr>
                <w:rFonts w:ascii="Arial" w:hAnsi="Arial" w:cs="Arial"/>
                <w:sz w:val="18"/>
                <w:szCs w:val="18"/>
              </w:rPr>
              <w:t xml:space="preserve"> </w:t>
            </w:r>
            <w:r w:rsidRPr="00241AFD">
              <w:rPr>
                <w:rFonts w:ascii="Arial" w:hAnsi="Arial" w:cs="Arial"/>
                <w:sz w:val="18"/>
                <w:szCs w:val="18"/>
              </w:rPr>
              <w:t>disponibles.</w:t>
            </w:r>
          </w:p>
          <w:p w14:paraId="66D2C3A0" w14:textId="277867B0" w:rsidR="00C014F8" w:rsidRPr="00241AFD" w:rsidRDefault="00C014F8" w:rsidP="007D299B">
            <w:pPr>
              <w:autoSpaceDE w:val="0"/>
              <w:autoSpaceDN w:val="0"/>
              <w:adjustRightInd w:val="0"/>
              <w:rPr>
                <w:rFonts w:ascii="Arial" w:hAnsi="Arial" w:cs="Arial"/>
                <w:sz w:val="18"/>
                <w:szCs w:val="18"/>
              </w:rPr>
            </w:pPr>
          </w:p>
        </w:tc>
        <w:tc>
          <w:tcPr>
            <w:tcW w:w="1734" w:type="dxa"/>
          </w:tcPr>
          <w:p w14:paraId="3EA7B7DA" w14:textId="1C20A3E0" w:rsidR="008024A5" w:rsidRPr="00241AFD" w:rsidRDefault="00F62D81" w:rsidP="00F62D81">
            <w:pPr>
              <w:rPr>
                <w:rFonts w:ascii="Arial" w:hAnsi="Arial" w:cs="Arial"/>
                <w:color w:val="000080"/>
                <w:sz w:val="18"/>
                <w:szCs w:val="18"/>
              </w:rPr>
            </w:pPr>
            <w:r w:rsidRPr="00241AFD">
              <w:rPr>
                <w:rFonts w:ascii="Arial" w:hAnsi="Arial" w:cs="Arial"/>
                <w:color w:val="000080"/>
                <w:sz w:val="18"/>
                <w:szCs w:val="18"/>
              </w:rPr>
              <w:t>Aceptada. Se incluye el texto “No se dispone de experiencia en pacientes con peso por encima de 13,5 kg.”</w:t>
            </w:r>
          </w:p>
        </w:tc>
      </w:tr>
      <w:tr w:rsidR="008024A5" w:rsidRPr="00241AFD" w14:paraId="0FB99395" w14:textId="77777777" w:rsidTr="00261E14">
        <w:tc>
          <w:tcPr>
            <w:tcW w:w="1429" w:type="dxa"/>
          </w:tcPr>
          <w:p w14:paraId="2613FCDD"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Cristina Puig.</w:t>
            </w:r>
          </w:p>
          <w:p w14:paraId="67D860C2"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Responsable</w:t>
            </w:r>
          </w:p>
          <w:p w14:paraId="7304CE56"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 AME,</w:t>
            </w:r>
          </w:p>
          <w:p w14:paraId="1A6CAD9C"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Departamento</w:t>
            </w:r>
          </w:p>
          <w:p w14:paraId="564CF098"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Médico.</w:t>
            </w:r>
          </w:p>
          <w:p w14:paraId="494A4900" w14:textId="60B6D687" w:rsidR="008024A5" w:rsidRPr="00241AFD" w:rsidRDefault="001C1F50" w:rsidP="001C1F50">
            <w:pPr>
              <w:jc w:val="both"/>
              <w:rPr>
                <w:rFonts w:ascii="Arial" w:hAnsi="Arial" w:cs="Arial"/>
                <w:color w:val="000080"/>
                <w:sz w:val="18"/>
                <w:szCs w:val="18"/>
                <w:lang w:val="it-IT"/>
              </w:rPr>
            </w:pPr>
            <w:r w:rsidRPr="00241AFD">
              <w:rPr>
                <w:rFonts w:ascii="Arial" w:hAnsi="Arial" w:cs="Arial"/>
                <w:color w:val="000081"/>
                <w:sz w:val="18"/>
                <w:szCs w:val="18"/>
              </w:rPr>
              <w:t>Biogen</w:t>
            </w:r>
          </w:p>
        </w:tc>
        <w:tc>
          <w:tcPr>
            <w:tcW w:w="7513" w:type="dxa"/>
          </w:tcPr>
          <w:p w14:paraId="19A7F0FD" w14:textId="7EFFE5FA"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No podemos concluir que onasemnogén abeparvovec tenga eficacia</w:t>
            </w:r>
            <w:r w:rsidR="007D299B" w:rsidRPr="00241AFD">
              <w:rPr>
                <w:rFonts w:ascii="Arial" w:hAnsi="Arial" w:cs="Arial"/>
                <w:sz w:val="18"/>
                <w:szCs w:val="18"/>
              </w:rPr>
              <w:t xml:space="preserve"> </w:t>
            </w:r>
            <w:r w:rsidRPr="00241AFD">
              <w:rPr>
                <w:rFonts w:ascii="Arial" w:hAnsi="Arial" w:cs="Arial"/>
                <w:sz w:val="18"/>
                <w:szCs w:val="18"/>
              </w:rPr>
              <w:t>demostrada en pacientes AME tipo II, tal como se recoge en la página 14 del</w:t>
            </w:r>
            <w:r w:rsidR="007D299B" w:rsidRPr="00241AFD">
              <w:rPr>
                <w:rFonts w:ascii="Arial" w:hAnsi="Arial" w:cs="Arial"/>
                <w:sz w:val="18"/>
                <w:szCs w:val="18"/>
              </w:rPr>
              <w:t xml:space="preserve"> </w:t>
            </w:r>
            <w:r w:rsidRPr="00241AFD">
              <w:rPr>
                <w:rFonts w:ascii="Arial" w:hAnsi="Arial" w:cs="Arial"/>
                <w:sz w:val="18"/>
                <w:szCs w:val="18"/>
              </w:rPr>
              <w:t>informe, al hablar de AME en pacientes presintomáticos.</w:t>
            </w:r>
            <w:r w:rsidR="007D299B" w:rsidRPr="00241AFD">
              <w:rPr>
                <w:rFonts w:ascii="Arial" w:eastAsia="CIDFont+F6" w:hAnsi="Arial" w:cs="Arial"/>
                <w:sz w:val="18"/>
                <w:szCs w:val="18"/>
              </w:rPr>
              <w:t xml:space="preserve"> </w:t>
            </w:r>
            <w:r w:rsidRPr="00241AFD">
              <w:rPr>
                <w:rFonts w:ascii="Arial" w:hAnsi="Arial" w:cs="Arial"/>
                <w:sz w:val="18"/>
                <w:szCs w:val="18"/>
              </w:rPr>
              <w:t>Como el diagnóstico del AME se basa actualmente en el máximo hito motor</w:t>
            </w:r>
            <w:r w:rsidR="007D299B" w:rsidRPr="00241AFD">
              <w:rPr>
                <w:rFonts w:ascii="Arial" w:hAnsi="Arial" w:cs="Arial"/>
                <w:sz w:val="18"/>
                <w:szCs w:val="18"/>
              </w:rPr>
              <w:t xml:space="preserve"> </w:t>
            </w:r>
            <w:r w:rsidRPr="00241AFD">
              <w:rPr>
                <w:rFonts w:ascii="Arial" w:hAnsi="Arial" w:cs="Arial"/>
                <w:sz w:val="18"/>
                <w:szCs w:val="18"/>
              </w:rPr>
              <w:t>alcanzado, no se puede clasificar a los pacientes presintomáticos según el</w:t>
            </w:r>
            <w:r w:rsidR="007D299B" w:rsidRPr="00241AFD">
              <w:rPr>
                <w:rFonts w:ascii="Arial" w:hAnsi="Arial" w:cs="Arial"/>
                <w:sz w:val="18"/>
                <w:szCs w:val="18"/>
              </w:rPr>
              <w:t xml:space="preserve"> </w:t>
            </w:r>
            <w:r w:rsidRPr="00241AFD">
              <w:rPr>
                <w:rFonts w:ascii="Arial" w:hAnsi="Arial" w:cs="Arial"/>
                <w:sz w:val="18"/>
                <w:szCs w:val="18"/>
              </w:rPr>
              <w:t>tipo de AME ya que no han desarrollado hitos motores, por lo tanto no</w:t>
            </w:r>
            <w:r w:rsidR="007D299B" w:rsidRPr="00241AFD">
              <w:rPr>
                <w:rFonts w:ascii="Arial" w:hAnsi="Arial" w:cs="Arial"/>
                <w:sz w:val="18"/>
                <w:szCs w:val="18"/>
              </w:rPr>
              <w:t xml:space="preserve"> </w:t>
            </w:r>
            <w:r w:rsidRPr="00241AFD">
              <w:rPr>
                <w:rFonts w:ascii="Arial" w:hAnsi="Arial" w:cs="Arial"/>
                <w:sz w:val="18"/>
                <w:szCs w:val="18"/>
              </w:rPr>
              <w:t>podemos asumir que onasemnogén abeparvovec haya sido probado</w:t>
            </w:r>
            <w:r w:rsidR="007D299B" w:rsidRPr="00241AFD">
              <w:rPr>
                <w:rFonts w:ascii="Arial" w:hAnsi="Arial" w:cs="Arial"/>
                <w:sz w:val="18"/>
                <w:szCs w:val="18"/>
              </w:rPr>
              <w:t xml:space="preserve"> </w:t>
            </w:r>
            <w:r w:rsidRPr="00241AFD">
              <w:rPr>
                <w:rFonts w:ascii="Arial" w:hAnsi="Arial" w:cs="Arial"/>
                <w:sz w:val="18"/>
                <w:szCs w:val="18"/>
              </w:rPr>
              <w:t>en pacientes AME tipo II</w:t>
            </w:r>
            <w:r w:rsidRPr="00241AFD">
              <w:rPr>
                <w:rFonts w:ascii="Arial" w:hAnsi="Arial" w:cs="Arial"/>
                <w:sz w:val="18"/>
                <w:szCs w:val="18"/>
                <w:vertAlign w:val="superscript"/>
              </w:rPr>
              <w:t>7</w:t>
            </w:r>
          </w:p>
          <w:p w14:paraId="2DB7065E" w14:textId="58ACE7B5" w:rsidR="008024A5" w:rsidRPr="00241AFD" w:rsidRDefault="001C1F50" w:rsidP="007D299B">
            <w:pPr>
              <w:autoSpaceDE w:val="0"/>
              <w:autoSpaceDN w:val="0"/>
              <w:adjustRightInd w:val="0"/>
              <w:rPr>
                <w:rFonts w:ascii="Arial" w:hAnsi="Arial" w:cs="Arial"/>
                <w:sz w:val="18"/>
                <w:szCs w:val="18"/>
              </w:rPr>
            </w:pPr>
            <w:r w:rsidRPr="00241AFD">
              <w:rPr>
                <w:rFonts w:ascii="Arial" w:hAnsi="Arial" w:cs="Arial"/>
                <w:sz w:val="18"/>
                <w:szCs w:val="18"/>
              </w:rPr>
              <w:t>Onasemnogén abeparvovec no dispone de evidencia en pacientes con AME tipo II</w:t>
            </w:r>
            <w:r w:rsidR="007D299B" w:rsidRPr="00241AFD">
              <w:rPr>
                <w:rFonts w:ascii="Arial" w:hAnsi="Arial" w:cs="Arial"/>
                <w:sz w:val="18"/>
                <w:szCs w:val="18"/>
              </w:rPr>
              <w:t xml:space="preserve"> </w:t>
            </w:r>
            <w:r w:rsidRPr="00241AFD">
              <w:rPr>
                <w:rFonts w:ascii="Arial" w:hAnsi="Arial" w:cs="Arial"/>
                <w:sz w:val="18"/>
                <w:szCs w:val="18"/>
              </w:rPr>
              <w:t>y III, se desconoce la eficacia y la seguridad del tratamiento en pacientes con debut</w:t>
            </w:r>
            <w:r w:rsidR="007D299B" w:rsidRPr="00241AFD">
              <w:rPr>
                <w:rFonts w:ascii="Arial" w:hAnsi="Arial" w:cs="Arial"/>
                <w:sz w:val="18"/>
                <w:szCs w:val="18"/>
              </w:rPr>
              <w:t xml:space="preserve"> </w:t>
            </w:r>
            <w:r w:rsidRPr="00241AFD">
              <w:rPr>
                <w:rFonts w:ascii="Arial" w:hAnsi="Arial" w:cs="Arial"/>
                <w:sz w:val="18"/>
                <w:szCs w:val="18"/>
              </w:rPr>
              <w:t>mayor de 6 meses de edad en administración intravenosa (mientras que</w:t>
            </w:r>
            <w:r w:rsidR="007D299B" w:rsidRPr="00241AFD">
              <w:rPr>
                <w:rFonts w:ascii="Arial" w:hAnsi="Arial" w:cs="Arial"/>
                <w:sz w:val="18"/>
                <w:szCs w:val="18"/>
              </w:rPr>
              <w:t xml:space="preserve"> </w:t>
            </w:r>
            <w:r w:rsidRPr="00241AFD">
              <w:rPr>
                <w:rFonts w:ascii="Arial" w:hAnsi="Arial" w:cs="Arial"/>
                <w:sz w:val="18"/>
                <w:szCs w:val="18"/>
              </w:rPr>
              <w:t>nusinersen cuenta con los datos del estudio CHERISH</w:t>
            </w:r>
            <w:r w:rsidRPr="00241AFD">
              <w:rPr>
                <w:rFonts w:ascii="Arial" w:hAnsi="Arial" w:cs="Arial"/>
                <w:sz w:val="18"/>
                <w:szCs w:val="18"/>
                <w:vertAlign w:val="superscript"/>
              </w:rPr>
              <w:t>8</w:t>
            </w:r>
            <w:r w:rsidRPr="00241AFD">
              <w:rPr>
                <w:rFonts w:ascii="Arial" w:hAnsi="Arial" w:cs="Arial"/>
                <w:sz w:val="18"/>
                <w:szCs w:val="18"/>
              </w:rPr>
              <w:t>).</w:t>
            </w:r>
          </w:p>
          <w:p w14:paraId="41DF6D4D" w14:textId="2E194FD7" w:rsidR="001C1F50" w:rsidRPr="00241AFD" w:rsidRDefault="001C1F50" w:rsidP="007D299B">
            <w:pPr>
              <w:autoSpaceDE w:val="0"/>
              <w:autoSpaceDN w:val="0"/>
              <w:adjustRightInd w:val="0"/>
              <w:rPr>
                <w:rFonts w:ascii="Arial" w:hAnsi="Arial" w:cs="Arial"/>
                <w:sz w:val="18"/>
                <w:szCs w:val="18"/>
              </w:rPr>
            </w:pPr>
            <w:r w:rsidRPr="00241AFD">
              <w:rPr>
                <w:rFonts w:ascii="Arial" w:hAnsi="Arial" w:cs="Arial"/>
                <w:sz w:val="18"/>
                <w:szCs w:val="18"/>
              </w:rPr>
              <w:lastRenderedPageBreak/>
              <w:t>Onasemnogén abeparvovec no dispone de evidencia en pacientes tratados</w:t>
            </w:r>
            <w:r w:rsidR="007D299B" w:rsidRPr="00241AFD">
              <w:rPr>
                <w:rFonts w:ascii="Arial" w:hAnsi="Arial" w:cs="Arial"/>
                <w:sz w:val="18"/>
                <w:szCs w:val="18"/>
              </w:rPr>
              <w:t xml:space="preserve"> </w:t>
            </w:r>
            <w:r w:rsidRPr="00241AFD">
              <w:rPr>
                <w:rFonts w:ascii="Arial" w:hAnsi="Arial" w:cs="Arial"/>
                <w:sz w:val="18"/>
                <w:szCs w:val="18"/>
              </w:rPr>
              <w:t>sintomáticamente con 3 copias (solo presintomáticos).</w:t>
            </w:r>
          </w:p>
        </w:tc>
        <w:tc>
          <w:tcPr>
            <w:tcW w:w="1734" w:type="dxa"/>
          </w:tcPr>
          <w:p w14:paraId="3370F6D2" w14:textId="5DCCEE55" w:rsidR="008024A5" w:rsidRPr="00241AFD" w:rsidRDefault="00FC7A3F" w:rsidP="00FC7A3F">
            <w:pPr>
              <w:shd w:val="clear" w:color="auto" w:fill="FFFFFF"/>
              <w:rPr>
                <w:rFonts w:ascii="Arial" w:hAnsi="Arial" w:cs="Arial"/>
                <w:color w:val="000080"/>
                <w:sz w:val="18"/>
                <w:szCs w:val="18"/>
              </w:rPr>
            </w:pPr>
            <w:r>
              <w:rPr>
                <w:rFonts w:ascii="Arial" w:hAnsi="Arial" w:cs="Arial"/>
                <w:color w:val="000080"/>
                <w:sz w:val="18"/>
                <w:szCs w:val="18"/>
              </w:rPr>
              <w:lastRenderedPageBreak/>
              <w:t>En este apartado no concluimos nada, solo presentamos los resultados publicados. No entendemos cual es la modificación propuesta.</w:t>
            </w:r>
          </w:p>
        </w:tc>
      </w:tr>
      <w:tr w:rsidR="008024A5" w:rsidRPr="00241AFD" w14:paraId="7C09D90C" w14:textId="77777777" w:rsidTr="00261E14">
        <w:tc>
          <w:tcPr>
            <w:tcW w:w="1429" w:type="dxa"/>
          </w:tcPr>
          <w:p w14:paraId="6150D4AE"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lastRenderedPageBreak/>
              <w:t>Cristina Puig.</w:t>
            </w:r>
          </w:p>
          <w:p w14:paraId="74FBF6AB"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Responsable</w:t>
            </w:r>
          </w:p>
          <w:p w14:paraId="0132E7B3"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 AME,</w:t>
            </w:r>
          </w:p>
          <w:p w14:paraId="18EF6EF5"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Departamento</w:t>
            </w:r>
          </w:p>
          <w:p w14:paraId="348077EF"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Médico.</w:t>
            </w:r>
          </w:p>
          <w:p w14:paraId="5D5F84EF" w14:textId="3F85E361" w:rsidR="008024A5" w:rsidRPr="00241AFD" w:rsidRDefault="001C1F50" w:rsidP="001C1F50">
            <w:pPr>
              <w:jc w:val="both"/>
              <w:rPr>
                <w:rFonts w:ascii="Arial" w:hAnsi="Arial" w:cs="Arial"/>
                <w:color w:val="000080"/>
                <w:sz w:val="18"/>
                <w:szCs w:val="18"/>
                <w:lang w:val="it-IT"/>
              </w:rPr>
            </w:pPr>
            <w:r w:rsidRPr="00241AFD">
              <w:rPr>
                <w:rFonts w:ascii="Arial" w:hAnsi="Arial" w:cs="Arial"/>
                <w:color w:val="000081"/>
                <w:sz w:val="18"/>
                <w:szCs w:val="18"/>
              </w:rPr>
              <w:t>Biogen</w:t>
            </w:r>
          </w:p>
        </w:tc>
        <w:tc>
          <w:tcPr>
            <w:tcW w:w="7513" w:type="dxa"/>
          </w:tcPr>
          <w:p w14:paraId="228A4864" w14:textId="6B313496"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En la página 15 del informe, a la hora de evaluar la validez y utilidad práctica de los</w:t>
            </w:r>
            <w:r w:rsidR="007D299B" w:rsidRPr="00241AFD">
              <w:rPr>
                <w:rFonts w:ascii="Arial" w:hAnsi="Arial" w:cs="Arial"/>
                <w:sz w:val="18"/>
                <w:szCs w:val="18"/>
              </w:rPr>
              <w:t xml:space="preserve"> </w:t>
            </w:r>
            <w:r w:rsidRPr="00241AFD">
              <w:rPr>
                <w:rFonts w:ascii="Arial" w:hAnsi="Arial" w:cs="Arial"/>
                <w:sz w:val="18"/>
                <w:szCs w:val="18"/>
              </w:rPr>
              <w:t>resultados disponibles, se comenta que el seguimiento de los pacientes fue</w:t>
            </w:r>
            <w:r w:rsidR="007D299B" w:rsidRPr="00241AFD">
              <w:rPr>
                <w:rFonts w:ascii="Arial" w:hAnsi="Arial" w:cs="Arial"/>
                <w:sz w:val="18"/>
                <w:szCs w:val="18"/>
              </w:rPr>
              <w:t xml:space="preserve"> </w:t>
            </w:r>
            <w:r w:rsidRPr="00241AFD">
              <w:rPr>
                <w:rFonts w:ascii="Arial" w:hAnsi="Arial" w:cs="Arial"/>
                <w:sz w:val="18"/>
                <w:szCs w:val="18"/>
              </w:rPr>
              <w:t>insuficiente para determinar si serían necesario el tratamiento con algún otro</w:t>
            </w:r>
            <w:r w:rsidR="007D299B" w:rsidRPr="00241AFD">
              <w:rPr>
                <w:rFonts w:ascii="Arial" w:hAnsi="Arial" w:cs="Arial"/>
                <w:sz w:val="18"/>
                <w:szCs w:val="18"/>
              </w:rPr>
              <w:t xml:space="preserve"> </w:t>
            </w:r>
            <w:r w:rsidRPr="00241AFD">
              <w:rPr>
                <w:rFonts w:ascii="Arial" w:hAnsi="Arial" w:cs="Arial"/>
                <w:sz w:val="18"/>
                <w:szCs w:val="18"/>
              </w:rPr>
              <w:t>fármaco. Sin embargo, existe evidencia disponible que demuestra que el 40% de</w:t>
            </w:r>
            <w:r w:rsidR="007D299B" w:rsidRPr="00241AFD">
              <w:rPr>
                <w:rFonts w:ascii="Arial" w:hAnsi="Arial" w:cs="Arial"/>
                <w:sz w:val="18"/>
                <w:szCs w:val="18"/>
              </w:rPr>
              <w:t xml:space="preserve"> </w:t>
            </w:r>
            <w:r w:rsidRPr="00241AFD">
              <w:rPr>
                <w:rFonts w:ascii="Arial" w:hAnsi="Arial" w:cs="Arial"/>
                <w:sz w:val="18"/>
                <w:szCs w:val="18"/>
              </w:rPr>
              <w:t>los pacientes tratados con onasemnogén abeparvovec requirieron de</w:t>
            </w:r>
            <w:r w:rsidR="007D299B" w:rsidRPr="00241AFD">
              <w:rPr>
                <w:rFonts w:ascii="Arial" w:hAnsi="Arial" w:cs="Arial"/>
                <w:sz w:val="18"/>
                <w:szCs w:val="18"/>
              </w:rPr>
              <w:t xml:space="preserve"> </w:t>
            </w:r>
            <w:r w:rsidRPr="00241AFD">
              <w:rPr>
                <w:rFonts w:ascii="Arial" w:hAnsi="Arial" w:cs="Arial"/>
                <w:sz w:val="18"/>
                <w:szCs w:val="18"/>
              </w:rPr>
              <w:t>tratamiento posterior con otro TME (nusinersen) a lo largo del tiempo de</w:t>
            </w:r>
            <w:r w:rsidR="007D299B" w:rsidRPr="00241AFD">
              <w:rPr>
                <w:rFonts w:ascii="Arial" w:hAnsi="Arial" w:cs="Arial"/>
                <w:sz w:val="18"/>
                <w:szCs w:val="18"/>
              </w:rPr>
              <w:t xml:space="preserve"> </w:t>
            </w:r>
            <w:r w:rsidRPr="00241AFD">
              <w:rPr>
                <w:rFonts w:ascii="Arial" w:hAnsi="Arial" w:cs="Arial"/>
                <w:sz w:val="18"/>
                <w:szCs w:val="18"/>
              </w:rPr>
              <w:t>seguimiento.</w:t>
            </w:r>
            <w:r w:rsidRPr="00241AFD">
              <w:rPr>
                <w:rFonts w:ascii="Arial" w:hAnsi="Arial" w:cs="Arial"/>
                <w:sz w:val="18"/>
                <w:szCs w:val="18"/>
                <w:vertAlign w:val="superscript"/>
              </w:rPr>
              <w:t>9</w:t>
            </w:r>
          </w:p>
          <w:p w14:paraId="347B9B71" w14:textId="1BABF07F" w:rsidR="008024A5" w:rsidRPr="00241AFD" w:rsidRDefault="001C1F50" w:rsidP="007D299B">
            <w:pPr>
              <w:autoSpaceDE w:val="0"/>
              <w:autoSpaceDN w:val="0"/>
              <w:adjustRightInd w:val="0"/>
              <w:rPr>
                <w:rFonts w:ascii="Arial" w:hAnsi="Arial" w:cs="Arial"/>
                <w:sz w:val="18"/>
                <w:szCs w:val="18"/>
              </w:rPr>
            </w:pPr>
            <w:r w:rsidRPr="00241AFD">
              <w:rPr>
                <w:rFonts w:ascii="Arial" w:hAnsi="Arial" w:cs="Arial"/>
                <w:sz w:val="18"/>
                <w:szCs w:val="18"/>
              </w:rPr>
              <w:t>Esta evidencia también es relevante en la evaluación económica del fármaco. En el</w:t>
            </w:r>
            <w:r w:rsidR="007D299B" w:rsidRPr="00241AFD">
              <w:rPr>
                <w:rFonts w:ascii="Arial" w:hAnsi="Arial" w:cs="Arial"/>
                <w:sz w:val="18"/>
                <w:szCs w:val="18"/>
              </w:rPr>
              <w:t xml:space="preserve"> </w:t>
            </w:r>
            <w:r w:rsidRPr="00241AFD">
              <w:rPr>
                <w:rFonts w:ascii="Arial" w:hAnsi="Arial" w:cs="Arial"/>
                <w:sz w:val="18"/>
                <w:szCs w:val="18"/>
              </w:rPr>
              <w:t>análisis de sensibilidad de la misma se analiza el coste-efectividad asumiendo un</w:t>
            </w:r>
            <w:r w:rsidR="007D299B" w:rsidRPr="00241AFD">
              <w:rPr>
                <w:rFonts w:ascii="Arial" w:hAnsi="Arial" w:cs="Arial"/>
                <w:sz w:val="18"/>
                <w:szCs w:val="18"/>
              </w:rPr>
              <w:t xml:space="preserve"> </w:t>
            </w:r>
            <w:r w:rsidRPr="00241AFD">
              <w:rPr>
                <w:rFonts w:ascii="Arial" w:hAnsi="Arial" w:cs="Arial"/>
                <w:sz w:val="18"/>
                <w:szCs w:val="18"/>
              </w:rPr>
              <w:t>33% de pacientes que tendrían que recibir tratamiento con nusinersen tras</w:t>
            </w:r>
            <w:r w:rsidR="007D299B" w:rsidRPr="00241AFD">
              <w:rPr>
                <w:rFonts w:ascii="Arial" w:hAnsi="Arial" w:cs="Arial"/>
                <w:sz w:val="18"/>
                <w:szCs w:val="18"/>
              </w:rPr>
              <w:t xml:space="preserve"> </w:t>
            </w:r>
            <w:r w:rsidRPr="00241AFD">
              <w:rPr>
                <w:rFonts w:ascii="Arial" w:hAnsi="Arial" w:cs="Arial"/>
                <w:sz w:val="18"/>
                <w:szCs w:val="18"/>
              </w:rPr>
              <w:t>tratamiento con onasemnogén abeparvovec. Siendo esta asunción más</w:t>
            </w:r>
            <w:r w:rsidR="007D299B" w:rsidRPr="00241AFD">
              <w:rPr>
                <w:rFonts w:ascii="Arial" w:hAnsi="Arial" w:cs="Arial"/>
                <w:sz w:val="18"/>
                <w:szCs w:val="18"/>
              </w:rPr>
              <w:t xml:space="preserve"> </w:t>
            </w:r>
            <w:r w:rsidRPr="00241AFD">
              <w:rPr>
                <w:rFonts w:ascii="Arial" w:hAnsi="Arial" w:cs="Arial"/>
                <w:sz w:val="18"/>
                <w:szCs w:val="18"/>
              </w:rPr>
              <w:t>conservadora que la</w:t>
            </w:r>
            <w:r w:rsidR="007D299B" w:rsidRPr="00241AFD">
              <w:rPr>
                <w:rFonts w:ascii="Arial" w:hAnsi="Arial" w:cs="Arial"/>
                <w:sz w:val="18"/>
                <w:szCs w:val="18"/>
              </w:rPr>
              <w:t xml:space="preserve"> </w:t>
            </w:r>
            <w:r w:rsidRPr="00241AFD">
              <w:rPr>
                <w:rFonts w:ascii="Arial" w:hAnsi="Arial" w:cs="Arial"/>
                <w:sz w:val="18"/>
                <w:szCs w:val="18"/>
              </w:rPr>
              <w:t>demostrada en la evidencia (40%).</w:t>
            </w:r>
            <w:r w:rsidR="007D299B" w:rsidRPr="00241AFD">
              <w:rPr>
                <w:rFonts w:ascii="Arial" w:hAnsi="Arial" w:cs="Arial"/>
                <w:sz w:val="18"/>
                <w:szCs w:val="18"/>
              </w:rPr>
              <w:t xml:space="preserve"> </w:t>
            </w:r>
            <w:r w:rsidRPr="00241AFD">
              <w:rPr>
                <w:rFonts w:ascii="Arial" w:hAnsi="Arial" w:cs="Arial"/>
                <w:sz w:val="18"/>
                <w:szCs w:val="18"/>
              </w:rPr>
              <w:t>Además esta misma referencia</w:t>
            </w:r>
            <w:r w:rsidRPr="001A6645">
              <w:rPr>
                <w:rFonts w:ascii="Arial" w:hAnsi="Arial" w:cs="Arial"/>
                <w:sz w:val="18"/>
                <w:szCs w:val="18"/>
                <w:vertAlign w:val="superscript"/>
              </w:rPr>
              <w:t>9</w:t>
            </w:r>
            <w:r w:rsidRPr="00241AFD">
              <w:rPr>
                <w:rFonts w:ascii="Arial" w:hAnsi="Arial" w:cs="Arial"/>
                <w:sz w:val="18"/>
                <w:szCs w:val="18"/>
              </w:rPr>
              <w:t xml:space="preserve"> indica que los pacientes tratados con</w:t>
            </w:r>
            <w:r w:rsidR="007D299B" w:rsidRPr="00241AFD">
              <w:rPr>
                <w:rFonts w:ascii="Arial" w:hAnsi="Arial" w:cs="Arial"/>
                <w:sz w:val="18"/>
                <w:szCs w:val="18"/>
              </w:rPr>
              <w:t xml:space="preserve"> </w:t>
            </w:r>
            <w:r w:rsidRPr="00241AFD">
              <w:rPr>
                <w:rFonts w:ascii="Arial" w:hAnsi="Arial" w:cs="Arial"/>
                <w:sz w:val="18"/>
                <w:szCs w:val="18"/>
              </w:rPr>
              <w:t>onasemnogén abeparvovec a dosis baja, estaban tratados con nusinersen.</w:t>
            </w:r>
          </w:p>
        </w:tc>
        <w:tc>
          <w:tcPr>
            <w:tcW w:w="1734" w:type="dxa"/>
          </w:tcPr>
          <w:p w14:paraId="050716FF" w14:textId="1002AF5A" w:rsidR="008024A5" w:rsidRPr="001A6645" w:rsidRDefault="001A6645" w:rsidP="001A6645">
            <w:pPr>
              <w:shd w:val="clear" w:color="auto" w:fill="FFFFFF"/>
              <w:rPr>
                <w:rFonts w:ascii="Arial" w:hAnsi="Arial" w:cs="Arial"/>
                <w:i/>
                <w:color w:val="000080"/>
                <w:sz w:val="18"/>
                <w:szCs w:val="18"/>
              </w:rPr>
            </w:pPr>
            <w:r>
              <w:rPr>
                <w:rFonts w:ascii="Arial" w:hAnsi="Arial" w:cs="Arial"/>
                <w:color w:val="000080"/>
                <w:sz w:val="18"/>
                <w:szCs w:val="18"/>
              </w:rPr>
              <w:t xml:space="preserve">Incluimos este aspecto en el apartado “Tratamiento secuencial” (pag 18): </w:t>
            </w:r>
            <w:r w:rsidRPr="001A6645">
              <w:rPr>
                <w:rFonts w:ascii="Arial" w:hAnsi="Arial" w:cs="Arial"/>
                <w:i/>
                <w:color w:val="000080"/>
                <w:sz w:val="18"/>
                <w:szCs w:val="18"/>
              </w:rPr>
              <w:t xml:space="preserve">Los datos disponibles en el estudio a largo plazo de </w:t>
            </w:r>
            <w:r w:rsidR="00482C21">
              <w:rPr>
                <w:rFonts w:ascii="Arial" w:hAnsi="Arial" w:cs="Arial"/>
                <w:i/>
                <w:color w:val="000080"/>
                <w:sz w:val="18"/>
                <w:szCs w:val="18"/>
              </w:rPr>
              <w:t>onasemnogén</w:t>
            </w:r>
            <w:r w:rsidRPr="001A6645">
              <w:rPr>
                <w:rFonts w:ascii="Arial" w:hAnsi="Arial" w:cs="Arial"/>
                <w:i/>
                <w:color w:val="000080"/>
                <w:sz w:val="18"/>
                <w:szCs w:val="18"/>
              </w:rPr>
              <w:t xml:space="preserve"> abeparvovec muestran que 4 de los 10 pacientes recibieron posteriormente tratamiento con nusinersen. Asimismo, los datos del registro US AMP y RESTORE indican que el 15,85% de los pacientes tratados con </w:t>
            </w:r>
            <w:r w:rsidR="00482C21">
              <w:rPr>
                <w:rFonts w:ascii="Arial" w:hAnsi="Arial" w:cs="Arial"/>
                <w:i/>
                <w:color w:val="000080"/>
                <w:sz w:val="18"/>
                <w:szCs w:val="18"/>
              </w:rPr>
              <w:t>onasemnogén</w:t>
            </w:r>
            <w:r w:rsidRPr="001A6645">
              <w:rPr>
                <w:rFonts w:ascii="Arial" w:hAnsi="Arial" w:cs="Arial"/>
                <w:i/>
                <w:color w:val="000080"/>
                <w:sz w:val="18"/>
                <w:szCs w:val="18"/>
              </w:rPr>
              <w:t xml:space="preserve"> abeparvovec recibieron posteriormente nusinersen (corte 31/1/2020).</w:t>
            </w:r>
          </w:p>
        </w:tc>
      </w:tr>
      <w:tr w:rsidR="008024A5" w:rsidRPr="00241AFD" w14:paraId="64EBCA18" w14:textId="77777777" w:rsidTr="00261E14">
        <w:tc>
          <w:tcPr>
            <w:tcW w:w="1429" w:type="dxa"/>
          </w:tcPr>
          <w:p w14:paraId="29655DF3"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Beatriz</w:t>
            </w:r>
          </w:p>
          <w:p w14:paraId="30D1FCA2"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Casado.</w:t>
            </w:r>
          </w:p>
          <w:p w14:paraId="02D5A607"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Directora de</w:t>
            </w:r>
          </w:p>
          <w:p w14:paraId="594EFF7B"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Acceso al</w:t>
            </w:r>
          </w:p>
          <w:p w14:paraId="46AC0094" w14:textId="77777777" w:rsidR="001C1F50" w:rsidRPr="00241AFD" w:rsidRDefault="001C1F50" w:rsidP="001C1F50">
            <w:pPr>
              <w:autoSpaceDE w:val="0"/>
              <w:autoSpaceDN w:val="0"/>
              <w:adjustRightInd w:val="0"/>
              <w:rPr>
                <w:rFonts w:ascii="Arial" w:hAnsi="Arial" w:cs="Arial"/>
                <w:color w:val="000081"/>
                <w:sz w:val="18"/>
                <w:szCs w:val="18"/>
              </w:rPr>
            </w:pPr>
            <w:r w:rsidRPr="00241AFD">
              <w:rPr>
                <w:rFonts w:ascii="Arial" w:hAnsi="Arial" w:cs="Arial"/>
                <w:color w:val="000081"/>
                <w:sz w:val="18"/>
                <w:szCs w:val="18"/>
              </w:rPr>
              <w:t>Mercado.</w:t>
            </w:r>
          </w:p>
          <w:p w14:paraId="20D8AC34" w14:textId="4F9F1803" w:rsidR="008024A5" w:rsidRPr="00241AFD" w:rsidRDefault="001C1F50" w:rsidP="001C1F50">
            <w:pPr>
              <w:jc w:val="both"/>
              <w:rPr>
                <w:rFonts w:ascii="Arial" w:hAnsi="Arial" w:cs="Arial"/>
                <w:color w:val="000080"/>
                <w:sz w:val="18"/>
                <w:szCs w:val="18"/>
                <w:lang w:val="it-IT"/>
              </w:rPr>
            </w:pPr>
            <w:r w:rsidRPr="00241AFD">
              <w:rPr>
                <w:rFonts w:ascii="Arial" w:hAnsi="Arial" w:cs="Arial"/>
                <w:color w:val="000081"/>
                <w:sz w:val="18"/>
                <w:szCs w:val="18"/>
              </w:rPr>
              <w:t>Biogen</w:t>
            </w:r>
          </w:p>
        </w:tc>
        <w:tc>
          <w:tcPr>
            <w:tcW w:w="7513" w:type="dxa"/>
          </w:tcPr>
          <w:p w14:paraId="4606671A" w14:textId="4854754A"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En relación al análisis económico comparativo de onasemnogén abeparvovec</w:t>
            </w:r>
            <w:r w:rsidR="007D299B" w:rsidRPr="00241AFD">
              <w:rPr>
                <w:rFonts w:ascii="Arial" w:hAnsi="Arial" w:cs="Arial"/>
                <w:sz w:val="18"/>
                <w:szCs w:val="18"/>
              </w:rPr>
              <w:t xml:space="preserve"> </w:t>
            </w:r>
            <w:r w:rsidRPr="00241AFD">
              <w:rPr>
                <w:rFonts w:ascii="Arial" w:hAnsi="Arial" w:cs="Arial"/>
                <w:sz w:val="18"/>
                <w:szCs w:val="18"/>
              </w:rPr>
              <w:t>frente a nusinersen que se desarrolla a partir de la página 26 del informe,</w:t>
            </w:r>
            <w:r w:rsidR="007D299B" w:rsidRPr="00241AFD">
              <w:rPr>
                <w:rFonts w:ascii="Arial" w:hAnsi="Arial" w:cs="Arial"/>
                <w:sz w:val="18"/>
                <w:szCs w:val="18"/>
              </w:rPr>
              <w:t xml:space="preserve"> </w:t>
            </w:r>
            <w:r w:rsidRPr="00241AFD">
              <w:rPr>
                <w:rFonts w:ascii="Arial" w:hAnsi="Arial" w:cs="Arial"/>
                <w:sz w:val="18"/>
                <w:szCs w:val="18"/>
              </w:rPr>
              <w:t>queremos reforzar el mensaje recogido en la página 31 respecto a las limitaciones</w:t>
            </w:r>
            <w:r w:rsidR="007D299B" w:rsidRPr="00241AFD">
              <w:rPr>
                <w:rFonts w:ascii="Arial" w:hAnsi="Arial" w:cs="Arial"/>
                <w:sz w:val="18"/>
                <w:szCs w:val="18"/>
              </w:rPr>
              <w:t xml:space="preserve"> </w:t>
            </w:r>
            <w:r w:rsidRPr="00241AFD">
              <w:rPr>
                <w:rFonts w:ascii="Arial" w:hAnsi="Arial" w:cs="Arial"/>
                <w:sz w:val="18"/>
                <w:szCs w:val="18"/>
              </w:rPr>
              <w:t>de su validez.</w:t>
            </w:r>
          </w:p>
          <w:p w14:paraId="4C1255CE" w14:textId="1581DC64"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Las comparaciones indirectas disponibles de ambos tratamientos (informe de</w:t>
            </w:r>
            <w:r w:rsidR="00BC4426" w:rsidRPr="00241AFD">
              <w:rPr>
                <w:rFonts w:ascii="Arial" w:hAnsi="Arial" w:cs="Arial"/>
                <w:sz w:val="18"/>
                <w:szCs w:val="18"/>
              </w:rPr>
              <w:t xml:space="preserve"> </w:t>
            </w:r>
            <w:r w:rsidRPr="00241AFD">
              <w:rPr>
                <w:rFonts w:ascii="Arial" w:hAnsi="Arial" w:cs="Arial"/>
                <w:sz w:val="18"/>
                <w:szCs w:val="18"/>
              </w:rPr>
              <w:t>ICER y publicación Malone DC, 2019) presentan numerosas limitaciones de las</w:t>
            </w:r>
            <w:r w:rsidR="00BC4426" w:rsidRPr="00241AFD">
              <w:rPr>
                <w:rFonts w:ascii="Arial" w:hAnsi="Arial" w:cs="Arial"/>
                <w:sz w:val="18"/>
                <w:szCs w:val="18"/>
              </w:rPr>
              <w:t xml:space="preserve"> </w:t>
            </w:r>
            <w:r w:rsidRPr="00241AFD">
              <w:rPr>
                <w:rFonts w:ascii="Arial" w:hAnsi="Arial" w:cs="Arial"/>
                <w:sz w:val="18"/>
                <w:szCs w:val="18"/>
              </w:rPr>
              <w:t>que a continuación comentamos las principales, y que hacen que cualquier</w:t>
            </w:r>
            <w:r w:rsidR="00BC4426" w:rsidRPr="00241AFD">
              <w:rPr>
                <w:rFonts w:ascii="Arial" w:hAnsi="Arial" w:cs="Arial"/>
                <w:sz w:val="18"/>
                <w:szCs w:val="18"/>
              </w:rPr>
              <w:t xml:space="preserve"> </w:t>
            </w:r>
            <w:r w:rsidRPr="00241AFD">
              <w:rPr>
                <w:rFonts w:ascii="Arial" w:hAnsi="Arial" w:cs="Arial"/>
                <w:sz w:val="18"/>
                <w:szCs w:val="18"/>
              </w:rPr>
              <w:t>comunicación o conclusión en torno a ellas deba ser interpretada con precaución,</w:t>
            </w:r>
            <w:r w:rsidR="00BC4426" w:rsidRPr="00241AFD">
              <w:rPr>
                <w:rFonts w:ascii="Arial" w:hAnsi="Arial" w:cs="Arial"/>
                <w:sz w:val="18"/>
                <w:szCs w:val="18"/>
              </w:rPr>
              <w:t xml:space="preserve"> </w:t>
            </w:r>
            <w:r w:rsidRPr="00241AFD">
              <w:rPr>
                <w:rFonts w:ascii="Arial" w:hAnsi="Arial" w:cs="Arial"/>
                <w:sz w:val="18"/>
                <w:szCs w:val="18"/>
              </w:rPr>
              <w:t>ya que se han empleado métodos de comparación inapropiados y no ajustados.</w:t>
            </w:r>
            <w:r w:rsidR="00BC4426" w:rsidRPr="00241AFD">
              <w:rPr>
                <w:rFonts w:ascii="Arial" w:hAnsi="Arial" w:cs="Arial"/>
                <w:sz w:val="18"/>
                <w:szCs w:val="18"/>
              </w:rPr>
              <w:t xml:space="preserve"> </w:t>
            </w:r>
            <w:r w:rsidRPr="00241AFD">
              <w:rPr>
                <w:rFonts w:ascii="Arial" w:hAnsi="Arial" w:cs="Arial"/>
                <w:sz w:val="18"/>
                <w:szCs w:val="18"/>
              </w:rPr>
              <w:t>Por tanto, el análisis económico llevado a cabo en el informe en base a los</w:t>
            </w:r>
            <w:r w:rsidR="00BC4426" w:rsidRPr="00241AFD">
              <w:rPr>
                <w:rFonts w:ascii="Arial" w:hAnsi="Arial" w:cs="Arial"/>
                <w:sz w:val="18"/>
                <w:szCs w:val="18"/>
              </w:rPr>
              <w:t xml:space="preserve"> </w:t>
            </w:r>
            <w:r w:rsidRPr="00241AFD">
              <w:rPr>
                <w:rFonts w:ascii="Arial" w:hAnsi="Arial" w:cs="Arial"/>
                <w:sz w:val="18"/>
                <w:szCs w:val="18"/>
              </w:rPr>
              <w:t>AV y AVAC del estudio ICER, reflejaría estas mismas limitaciones.</w:t>
            </w:r>
          </w:p>
          <w:p w14:paraId="76728C69" w14:textId="77777777"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Limitaciones de la evaluación económica del ICER</w:t>
            </w:r>
          </w:p>
          <w:p w14:paraId="2117E582" w14:textId="608C18F1" w:rsidR="001C1F50" w:rsidRPr="00241AFD" w:rsidRDefault="001C1F50" w:rsidP="001C1F50">
            <w:pPr>
              <w:autoSpaceDE w:val="0"/>
              <w:autoSpaceDN w:val="0"/>
              <w:adjustRightInd w:val="0"/>
              <w:rPr>
                <w:rFonts w:ascii="Arial" w:hAnsi="Arial" w:cs="Arial"/>
                <w:sz w:val="18"/>
                <w:szCs w:val="18"/>
              </w:rPr>
            </w:pPr>
            <w:r w:rsidRPr="00241AFD">
              <w:rPr>
                <w:rFonts w:ascii="Arial" w:eastAsia="CIDFont+F6" w:hAnsi="Arial" w:cs="Arial"/>
                <w:sz w:val="18"/>
                <w:szCs w:val="18"/>
              </w:rPr>
              <w:t xml:space="preserve"> </w:t>
            </w:r>
            <w:r w:rsidRPr="00241AFD">
              <w:rPr>
                <w:rFonts w:ascii="Arial" w:hAnsi="Arial" w:cs="Arial"/>
                <w:sz w:val="18"/>
                <w:szCs w:val="18"/>
              </w:rPr>
              <w:t>El informe del ICER no ajusta la evaluación económica de onasemnogén</w:t>
            </w:r>
            <w:r w:rsidR="00BC4426" w:rsidRPr="00241AFD">
              <w:rPr>
                <w:rFonts w:ascii="Arial" w:hAnsi="Arial" w:cs="Arial"/>
                <w:sz w:val="18"/>
                <w:szCs w:val="18"/>
              </w:rPr>
              <w:t xml:space="preserve"> </w:t>
            </w:r>
            <w:r w:rsidRPr="00241AFD">
              <w:rPr>
                <w:rFonts w:ascii="Arial" w:hAnsi="Arial" w:cs="Arial"/>
                <w:sz w:val="18"/>
                <w:szCs w:val="18"/>
              </w:rPr>
              <w:t>abeparvovec frente a nusinersen a pesar de las diferencias clínicamente</w:t>
            </w:r>
            <w:r w:rsidR="00BC4426" w:rsidRPr="00241AFD">
              <w:rPr>
                <w:rFonts w:ascii="Arial" w:hAnsi="Arial" w:cs="Arial"/>
                <w:sz w:val="18"/>
                <w:szCs w:val="18"/>
              </w:rPr>
              <w:t xml:space="preserve"> </w:t>
            </w:r>
            <w:r w:rsidRPr="00241AFD">
              <w:rPr>
                <w:rFonts w:ascii="Arial" w:hAnsi="Arial" w:cs="Arial"/>
                <w:sz w:val="18"/>
                <w:szCs w:val="18"/>
              </w:rPr>
              <w:t>significativas en las poblaciones y diseño de los estudios ENDEAR y</w:t>
            </w:r>
            <w:r w:rsidR="00BC4426" w:rsidRPr="00241AFD">
              <w:rPr>
                <w:rFonts w:ascii="Arial" w:hAnsi="Arial" w:cs="Arial"/>
                <w:sz w:val="18"/>
                <w:szCs w:val="18"/>
              </w:rPr>
              <w:t xml:space="preserve"> </w:t>
            </w:r>
            <w:r w:rsidRPr="00241AFD">
              <w:rPr>
                <w:rFonts w:ascii="Arial" w:hAnsi="Arial" w:cs="Arial"/>
                <w:sz w:val="18"/>
                <w:szCs w:val="18"/>
              </w:rPr>
              <w:t>CL-10110. De acuerdo a las propias palabras de ICER: ”Las diferencias en</w:t>
            </w:r>
            <w:r w:rsidR="00BC4426" w:rsidRPr="00241AFD">
              <w:rPr>
                <w:rFonts w:ascii="Arial" w:hAnsi="Arial" w:cs="Arial"/>
                <w:sz w:val="18"/>
                <w:szCs w:val="18"/>
              </w:rPr>
              <w:t xml:space="preserve"> </w:t>
            </w:r>
            <w:r w:rsidRPr="00241AFD">
              <w:rPr>
                <w:rFonts w:ascii="Arial" w:hAnsi="Arial" w:cs="Arial"/>
                <w:sz w:val="18"/>
                <w:szCs w:val="18"/>
              </w:rPr>
              <w:t>las poblaciones del ensayo relacionadas con la edad del paciente en el</w:t>
            </w:r>
            <w:r w:rsidR="00BC4426" w:rsidRPr="00241AFD">
              <w:rPr>
                <w:rFonts w:ascii="Arial" w:hAnsi="Arial" w:cs="Arial"/>
                <w:sz w:val="18"/>
                <w:szCs w:val="18"/>
              </w:rPr>
              <w:t xml:space="preserve"> </w:t>
            </w:r>
            <w:r w:rsidRPr="00241AFD">
              <w:rPr>
                <w:rFonts w:ascii="Arial" w:hAnsi="Arial" w:cs="Arial"/>
                <w:sz w:val="18"/>
                <w:szCs w:val="18"/>
              </w:rPr>
              <w:t>momentos de comenzar el tratamiento y la duración de la enfermedad,</w:t>
            </w:r>
            <w:r w:rsidR="00BC4426" w:rsidRPr="00241AFD">
              <w:rPr>
                <w:rFonts w:ascii="Arial" w:hAnsi="Arial" w:cs="Arial"/>
                <w:sz w:val="18"/>
                <w:szCs w:val="18"/>
              </w:rPr>
              <w:t xml:space="preserve"> </w:t>
            </w:r>
            <w:r w:rsidRPr="00241AFD">
              <w:rPr>
                <w:rFonts w:ascii="Arial" w:hAnsi="Arial" w:cs="Arial"/>
                <w:sz w:val="18"/>
                <w:szCs w:val="18"/>
              </w:rPr>
              <w:t>limitan nuestra capacidad para distinguir de manera adecuada el beneficio</w:t>
            </w:r>
            <w:r w:rsidR="00BC4426" w:rsidRPr="00241AFD">
              <w:rPr>
                <w:rFonts w:ascii="Arial" w:hAnsi="Arial" w:cs="Arial"/>
                <w:sz w:val="18"/>
                <w:szCs w:val="18"/>
              </w:rPr>
              <w:t xml:space="preserve"> </w:t>
            </w:r>
            <w:r w:rsidRPr="00241AFD">
              <w:rPr>
                <w:rFonts w:ascii="Arial" w:hAnsi="Arial" w:cs="Arial"/>
                <w:sz w:val="18"/>
                <w:szCs w:val="18"/>
              </w:rPr>
              <w:t>neto en salud de Zolgensma vs Spinraza en el tratamiento de pacientes</w:t>
            </w:r>
            <w:r w:rsidR="00BC4426" w:rsidRPr="00241AFD">
              <w:rPr>
                <w:rFonts w:ascii="Arial" w:hAnsi="Arial" w:cs="Arial"/>
                <w:sz w:val="18"/>
                <w:szCs w:val="18"/>
              </w:rPr>
              <w:t xml:space="preserve"> </w:t>
            </w:r>
            <w:r w:rsidRPr="00241AFD">
              <w:rPr>
                <w:rFonts w:ascii="Arial" w:hAnsi="Arial" w:cs="Arial"/>
                <w:sz w:val="18"/>
                <w:szCs w:val="18"/>
              </w:rPr>
              <w:t>con AME de inicio precoz. Por tanto, consideramos que la evidencia es</w:t>
            </w:r>
            <w:r w:rsidR="00BC4426" w:rsidRPr="00241AFD">
              <w:rPr>
                <w:rFonts w:ascii="Arial" w:hAnsi="Arial" w:cs="Arial"/>
                <w:sz w:val="18"/>
                <w:szCs w:val="18"/>
              </w:rPr>
              <w:t xml:space="preserve"> </w:t>
            </w:r>
            <w:r w:rsidRPr="00241AFD">
              <w:rPr>
                <w:rFonts w:ascii="Arial" w:hAnsi="Arial" w:cs="Arial"/>
                <w:sz w:val="18"/>
                <w:szCs w:val="18"/>
              </w:rPr>
              <w:t>insuficiente”.</w:t>
            </w:r>
            <w:r w:rsidRPr="00241AFD">
              <w:rPr>
                <w:rFonts w:ascii="Arial" w:hAnsi="Arial" w:cs="Arial"/>
                <w:sz w:val="18"/>
                <w:szCs w:val="18"/>
                <w:vertAlign w:val="superscript"/>
              </w:rPr>
              <w:t xml:space="preserve"> 11</w:t>
            </w:r>
          </w:p>
          <w:p w14:paraId="72C2DB97" w14:textId="6F184E6A" w:rsidR="001C1F50" w:rsidRPr="00241AFD" w:rsidRDefault="001C1F50" w:rsidP="001C1F50">
            <w:pPr>
              <w:autoSpaceDE w:val="0"/>
              <w:autoSpaceDN w:val="0"/>
              <w:adjustRightInd w:val="0"/>
              <w:rPr>
                <w:rFonts w:ascii="Arial" w:hAnsi="Arial" w:cs="Arial"/>
                <w:sz w:val="18"/>
                <w:szCs w:val="18"/>
              </w:rPr>
            </w:pPr>
            <w:r w:rsidRPr="00241AFD">
              <w:rPr>
                <w:rFonts w:ascii="Arial" w:eastAsia="CIDFont+F6" w:hAnsi="Arial" w:cs="Arial"/>
                <w:sz w:val="18"/>
                <w:szCs w:val="18"/>
              </w:rPr>
              <w:t xml:space="preserve"> </w:t>
            </w:r>
            <w:r w:rsidRPr="00241AFD">
              <w:rPr>
                <w:rFonts w:ascii="Arial" w:hAnsi="Arial" w:cs="Arial"/>
                <w:sz w:val="18"/>
                <w:szCs w:val="18"/>
              </w:rPr>
              <w:t>La justificación para las puntuaciones de evidencia otorgadas por ICER son</w:t>
            </w:r>
            <w:r w:rsidR="00BC4426" w:rsidRPr="00241AFD">
              <w:rPr>
                <w:rFonts w:ascii="Arial" w:hAnsi="Arial" w:cs="Arial"/>
                <w:sz w:val="18"/>
                <w:szCs w:val="18"/>
              </w:rPr>
              <w:t xml:space="preserve"> </w:t>
            </w:r>
            <w:r w:rsidRPr="00241AFD">
              <w:rPr>
                <w:rFonts w:ascii="Arial" w:hAnsi="Arial" w:cs="Arial"/>
                <w:sz w:val="18"/>
                <w:szCs w:val="18"/>
              </w:rPr>
              <w:t>inconsistentes. El informe del ICER reconoce las diferencias en cuanto</w:t>
            </w:r>
            <w:r w:rsidR="00BC4426" w:rsidRPr="00241AFD">
              <w:rPr>
                <w:rFonts w:ascii="Arial" w:hAnsi="Arial" w:cs="Arial"/>
                <w:sz w:val="18"/>
                <w:szCs w:val="18"/>
              </w:rPr>
              <w:t xml:space="preserve"> </w:t>
            </w:r>
            <w:r w:rsidRPr="00241AFD">
              <w:rPr>
                <w:rFonts w:ascii="Arial" w:hAnsi="Arial" w:cs="Arial"/>
                <w:sz w:val="18"/>
                <w:szCs w:val="18"/>
              </w:rPr>
              <w:t>a la potencia de la evidencia para nusinersen y onasemnogén</w:t>
            </w:r>
            <w:r w:rsidR="00BC4426" w:rsidRPr="00241AFD">
              <w:rPr>
                <w:rFonts w:ascii="Arial" w:hAnsi="Arial" w:cs="Arial"/>
                <w:sz w:val="18"/>
                <w:szCs w:val="18"/>
              </w:rPr>
              <w:t xml:space="preserve"> </w:t>
            </w:r>
            <w:r w:rsidRPr="00241AFD">
              <w:rPr>
                <w:rFonts w:ascii="Arial" w:hAnsi="Arial" w:cs="Arial"/>
                <w:sz w:val="18"/>
                <w:szCs w:val="18"/>
              </w:rPr>
              <w:t>abeparvovec pero aun así puntúa ambos estudios (ENDEAR y CL-101) al</w:t>
            </w:r>
            <w:r w:rsidR="00BC4426" w:rsidRPr="00241AFD">
              <w:rPr>
                <w:rFonts w:ascii="Arial" w:hAnsi="Arial" w:cs="Arial"/>
                <w:sz w:val="18"/>
                <w:szCs w:val="18"/>
              </w:rPr>
              <w:t xml:space="preserve"> </w:t>
            </w:r>
            <w:r w:rsidRPr="00241AFD">
              <w:rPr>
                <w:rFonts w:ascii="Arial" w:hAnsi="Arial" w:cs="Arial"/>
                <w:sz w:val="18"/>
                <w:szCs w:val="18"/>
              </w:rPr>
              <w:t>mismo nivel (puntuación A). De hecho, el estudio CL-101 no cumple</w:t>
            </w:r>
            <w:r w:rsidR="00BC4426" w:rsidRPr="00241AFD">
              <w:rPr>
                <w:rFonts w:ascii="Arial" w:hAnsi="Arial" w:cs="Arial"/>
                <w:sz w:val="18"/>
                <w:szCs w:val="18"/>
              </w:rPr>
              <w:t xml:space="preserve"> </w:t>
            </w:r>
            <w:r w:rsidRPr="00241AFD">
              <w:rPr>
                <w:rFonts w:ascii="Arial" w:hAnsi="Arial" w:cs="Arial"/>
                <w:sz w:val="18"/>
                <w:szCs w:val="18"/>
              </w:rPr>
              <w:t>algunos de los criterios establecidos por ICER para la categoría A de</w:t>
            </w:r>
          </w:p>
          <w:p w14:paraId="1B8B0D19" w14:textId="29B9F745"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evidencia, como por ejemplo, la disponibilidad de comparaciones directas,</w:t>
            </w:r>
            <w:r w:rsidR="00BC4426" w:rsidRPr="00241AFD">
              <w:rPr>
                <w:rFonts w:ascii="Arial" w:hAnsi="Arial" w:cs="Arial"/>
                <w:sz w:val="18"/>
                <w:szCs w:val="18"/>
              </w:rPr>
              <w:t xml:space="preserve"> </w:t>
            </w:r>
            <w:r w:rsidRPr="00241AFD">
              <w:rPr>
                <w:rFonts w:ascii="Arial" w:hAnsi="Arial" w:cs="Arial"/>
                <w:sz w:val="18"/>
                <w:szCs w:val="18"/>
              </w:rPr>
              <w:t xml:space="preserve">o la </w:t>
            </w:r>
            <w:r w:rsidR="00BC4426" w:rsidRPr="00241AFD">
              <w:rPr>
                <w:rFonts w:ascii="Arial" w:hAnsi="Arial" w:cs="Arial"/>
                <w:sz w:val="18"/>
                <w:szCs w:val="18"/>
              </w:rPr>
              <w:t>d</w:t>
            </w:r>
            <w:r w:rsidRPr="00241AFD">
              <w:rPr>
                <w:rFonts w:ascii="Arial" w:hAnsi="Arial" w:cs="Arial"/>
                <w:sz w:val="18"/>
                <w:szCs w:val="18"/>
              </w:rPr>
              <w:t>isponibilidad de datos a largo plazo en riesgo/beneficio</w:t>
            </w:r>
          </w:p>
          <w:p w14:paraId="024F7E34" w14:textId="0196F91C" w:rsidR="001C1F50" w:rsidRPr="00241AFD" w:rsidRDefault="001C1F50" w:rsidP="001C1F50">
            <w:pPr>
              <w:autoSpaceDE w:val="0"/>
              <w:autoSpaceDN w:val="0"/>
              <w:adjustRightInd w:val="0"/>
              <w:rPr>
                <w:rFonts w:ascii="Arial" w:hAnsi="Arial" w:cs="Arial"/>
                <w:sz w:val="18"/>
                <w:szCs w:val="18"/>
              </w:rPr>
            </w:pPr>
            <w:r w:rsidRPr="00241AFD">
              <w:rPr>
                <w:rFonts w:ascii="Arial" w:eastAsia="CIDFont+F6" w:hAnsi="Arial" w:cs="Arial"/>
                <w:sz w:val="18"/>
                <w:szCs w:val="18"/>
              </w:rPr>
              <w:t xml:space="preserve"> </w:t>
            </w:r>
            <w:r w:rsidRPr="00241AFD">
              <w:rPr>
                <w:rFonts w:ascii="Arial" w:hAnsi="Arial" w:cs="Arial"/>
                <w:sz w:val="18"/>
                <w:szCs w:val="18"/>
              </w:rPr>
              <w:t>Las asunciones en el informe del ICER en cuando a la duración del efecto</w:t>
            </w:r>
            <w:r w:rsidR="00BC4426" w:rsidRPr="00241AFD">
              <w:rPr>
                <w:rFonts w:ascii="Arial" w:hAnsi="Arial" w:cs="Arial"/>
                <w:sz w:val="18"/>
                <w:szCs w:val="18"/>
              </w:rPr>
              <w:t xml:space="preserve"> </w:t>
            </w:r>
            <w:r w:rsidRPr="00241AFD">
              <w:rPr>
                <w:rFonts w:ascii="Arial" w:hAnsi="Arial" w:cs="Arial"/>
                <w:sz w:val="18"/>
                <w:szCs w:val="18"/>
              </w:rPr>
              <w:t>del tratamiento para onasemnogén abeparvovec no considera posibles</w:t>
            </w:r>
            <w:r w:rsidR="00BC4426" w:rsidRPr="00241AFD">
              <w:rPr>
                <w:rFonts w:ascii="Arial" w:hAnsi="Arial" w:cs="Arial"/>
                <w:sz w:val="18"/>
                <w:szCs w:val="18"/>
              </w:rPr>
              <w:t xml:space="preserve"> </w:t>
            </w:r>
            <w:r w:rsidRPr="00241AFD">
              <w:rPr>
                <w:rFonts w:ascii="Arial" w:hAnsi="Arial" w:cs="Arial"/>
                <w:sz w:val="18"/>
                <w:szCs w:val="18"/>
              </w:rPr>
              <w:t>incertidumbres asociadas con la terapia génica</w:t>
            </w:r>
          </w:p>
          <w:p w14:paraId="335310B2" w14:textId="0DAD411D" w:rsidR="008024A5" w:rsidRPr="00241AFD" w:rsidRDefault="001C1F50" w:rsidP="00BC4426">
            <w:pPr>
              <w:autoSpaceDE w:val="0"/>
              <w:autoSpaceDN w:val="0"/>
              <w:adjustRightInd w:val="0"/>
              <w:rPr>
                <w:rFonts w:ascii="Arial" w:hAnsi="Arial" w:cs="Arial"/>
                <w:sz w:val="18"/>
                <w:szCs w:val="18"/>
              </w:rPr>
            </w:pPr>
            <w:r w:rsidRPr="00241AFD">
              <w:rPr>
                <w:rFonts w:ascii="Arial" w:eastAsia="CIDFont+F6" w:hAnsi="Arial" w:cs="Arial"/>
                <w:sz w:val="18"/>
                <w:szCs w:val="18"/>
              </w:rPr>
              <w:t xml:space="preserve"> </w:t>
            </w:r>
            <w:r w:rsidRPr="00241AFD">
              <w:rPr>
                <w:rFonts w:ascii="Arial" w:hAnsi="Arial" w:cs="Arial"/>
                <w:sz w:val="18"/>
                <w:szCs w:val="18"/>
              </w:rPr>
              <w:t>Agencias de evaluación como NICE en Reino Unido y TLV en Suecia, son</w:t>
            </w:r>
            <w:r w:rsidR="00BC4426" w:rsidRPr="00241AFD">
              <w:rPr>
                <w:rFonts w:ascii="Arial" w:hAnsi="Arial" w:cs="Arial"/>
                <w:sz w:val="18"/>
                <w:szCs w:val="18"/>
              </w:rPr>
              <w:t xml:space="preserve"> </w:t>
            </w:r>
            <w:r w:rsidRPr="00241AFD">
              <w:rPr>
                <w:rFonts w:ascii="Arial" w:hAnsi="Arial" w:cs="Arial"/>
                <w:sz w:val="18"/>
                <w:szCs w:val="18"/>
              </w:rPr>
              <w:t>cautas a la hora de llevar a cabo comparaciones de coste-efectividad naïve</w:t>
            </w:r>
            <w:r w:rsidR="00BC4426" w:rsidRPr="00241AFD">
              <w:rPr>
                <w:rFonts w:ascii="Arial" w:hAnsi="Arial" w:cs="Arial"/>
                <w:sz w:val="18"/>
                <w:szCs w:val="18"/>
              </w:rPr>
              <w:t xml:space="preserve"> </w:t>
            </w:r>
            <w:r w:rsidRPr="00241AFD">
              <w:rPr>
                <w:rFonts w:ascii="Arial" w:hAnsi="Arial" w:cs="Arial"/>
                <w:sz w:val="18"/>
                <w:szCs w:val="18"/>
              </w:rPr>
              <w:t>y solicitan</w:t>
            </w:r>
            <w:r w:rsidR="00BC4426" w:rsidRPr="00241AFD">
              <w:rPr>
                <w:rFonts w:ascii="Arial" w:hAnsi="Arial" w:cs="Arial"/>
                <w:sz w:val="18"/>
                <w:szCs w:val="18"/>
              </w:rPr>
              <w:t xml:space="preserve"> </w:t>
            </w:r>
            <w:r w:rsidRPr="00241AFD">
              <w:rPr>
                <w:rFonts w:ascii="Arial" w:hAnsi="Arial" w:cs="Arial"/>
                <w:sz w:val="18"/>
                <w:szCs w:val="18"/>
              </w:rPr>
              <w:t>comparaciones ajustadas</w:t>
            </w:r>
          </w:p>
        </w:tc>
        <w:tc>
          <w:tcPr>
            <w:tcW w:w="1734" w:type="dxa"/>
          </w:tcPr>
          <w:p w14:paraId="0AA3BE85" w14:textId="139360FE" w:rsidR="008024A5" w:rsidRDefault="00037A7D" w:rsidP="00037A7D">
            <w:pPr>
              <w:shd w:val="clear" w:color="auto" w:fill="FFFFFF"/>
              <w:rPr>
                <w:rFonts w:ascii="Arial" w:hAnsi="Arial" w:cs="Arial"/>
                <w:color w:val="000080"/>
                <w:sz w:val="18"/>
                <w:szCs w:val="18"/>
              </w:rPr>
            </w:pPr>
            <w:r>
              <w:rPr>
                <w:rFonts w:ascii="Arial" w:hAnsi="Arial" w:cs="Arial"/>
                <w:color w:val="000080"/>
                <w:sz w:val="18"/>
                <w:szCs w:val="18"/>
              </w:rPr>
              <w:t>No aceptada.  En el informe ya está incluida una valoración crítica del estudio, con una revisión de su validez interna y externa.</w:t>
            </w:r>
          </w:p>
          <w:p w14:paraId="46D0BDE5" w14:textId="77777777" w:rsidR="00037A7D" w:rsidRDefault="00037A7D" w:rsidP="008024A5">
            <w:pPr>
              <w:shd w:val="clear" w:color="auto" w:fill="FFFFFF"/>
              <w:jc w:val="both"/>
              <w:rPr>
                <w:rFonts w:ascii="Arial" w:hAnsi="Arial" w:cs="Arial"/>
                <w:color w:val="000080"/>
                <w:sz w:val="18"/>
                <w:szCs w:val="18"/>
              </w:rPr>
            </w:pPr>
          </w:p>
          <w:p w14:paraId="14B45349" w14:textId="76AB1120" w:rsidR="00037A7D" w:rsidRPr="00241AFD" w:rsidRDefault="00037A7D" w:rsidP="00037A7D">
            <w:pPr>
              <w:shd w:val="clear" w:color="auto" w:fill="FFFFFF"/>
              <w:rPr>
                <w:rFonts w:ascii="Arial" w:hAnsi="Arial" w:cs="Arial"/>
                <w:color w:val="000080"/>
                <w:sz w:val="18"/>
                <w:szCs w:val="18"/>
              </w:rPr>
            </w:pPr>
          </w:p>
        </w:tc>
      </w:tr>
      <w:tr w:rsidR="008024A5" w:rsidRPr="00241AFD" w14:paraId="5B578974" w14:textId="77777777" w:rsidTr="00261E14">
        <w:tc>
          <w:tcPr>
            <w:tcW w:w="1429" w:type="dxa"/>
          </w:tcPr>
          <w:p w14:paraId="28CA6410" w14:textId="77777777"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lastRenderedPageBreak/>
              <w:t>Beatriz</w:t>
            </w:r>
          </w:p>
          <w:p w14:paraId="776D8B1B" w14:textId="77777777"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Casado.</w:t>
            </w:r>
          </w:p>
          <w:p w14:paraId="407E8E15" w14:textId="77777777"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Directora de</w:t>
            </w:r>
          </w:p>
          <w:p w14:paraId="521D9E75" w14:textId="77777777"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Acceso al</w:t>
            </w:r>
          </w:p>
          <w:p w14:paraId="5554DEBF" w14:textId="77777777"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Mercado.</w:t>
            </w:r>
          </w:p>
          <w:p w14:paraId="44B4EBDC" w14:textId="33F222F9" w:rsidR="008024A5" w:rsidRPr="00241AFD" w:rsidRDefault="001C1F50" w:rsidP="001C1F50">
            <w:pPr>
              <w:jc w:val="both"/>
              <w:rPr>
                <w:rFonts w:ascii="Arial" w:hAnsi="Arial" w:cs="Arial"/>
                <w:sz w:val="18"/>
                <w:szCs w:val="18"/>
                <w:lang w:val="it-IT"/>
              </w:rPr>
            </w:pPr>
            <w:r w:rsidRPr="00241AFD">
              <w:rPr>
                <w:rFonts w:ascii="Arial" w:hAnsi="Arial" w:cs="Arial"/>
                <w:sz w:val="18"/>
                <w:szCs w:val="18"/>
              </w:rPr>
              <w:t>Biogen</w:t>
            </w:r>
          </w:p>
        </w:tc>
        <w:tc>
          <w:tcPr>
            <w:tcW w:w="7513" w:type="dxa"/>
          </w:tcPr>
          <w:p w14:paraId="31A3F49B" w14:textId="77777777" w:rsidR="001C1F50" w:rsidRPr="00241AFD" w:rsidRDefault="001C1F50" w:rsidP="001C1F50">
            <w:pPr>
              <w:autoSpaceDE w:val="0"/>
              <w:autoSpaceDN w:val="0"/>
              <w:adjustRightInd w:val="0"/>
              <w:rPr>
                <w:rFonts w:ascii="Arial" w:hAnsi="Arial" w:cs="Arial"/>
                <w:sz w:val="18"/>
                <w:szCs w:val="18"/>
              </w:rPr>
            </w:pPr>
            <w:r w:rsidRPr="00241AFD">
              <w:rPr>
                <w:rFonts w:ascii="Arial" w:hAnsi="Arial" w:cs="Arial"/>
                <w:sz w:val="18"/>
                <w:szCs w:val="18"/>
              </w:rPr>
              <w:t>Limitaciones en torno al manuscrito publicado por Malone et al.</w:t>
            </w:r>
          </w:p>
          <w:p w14:paraId="18778957" w14:textId="47E4C9EC" w:rsidR="001C1F50" w:rsidRPr="00241AFD" w:rsidRDefault="001C1F50" w:rsidP="001C1F50">
            <w:pPr>
              <w:autoSpaceDE w:val="0"/>
              <w:autoSpaceDN w:val="0"/>
              <w:adjustRightInd w:val="0"/>
              <w:rPr>
                <w:rFonts w:ascii="Arial" w:hAnsi="Arial" w:cs="Arial"/>
                <w:sz w:val="18"/>
                <w:szCs w:val="18"/>
              </w:rPr>
            </w:pPr>
            <w:r w:rsidRPr="00241AFD">
              <w:rPr>
                <w:rFonts w:ascii="Arial" w:eastAsia="CIDFont+F6" w:hAnsi="Arial" w:cs="Arial"/>
                <w:sz w:val="18"/>
                <w:szCs w:val="18"/>
              </w:rPr>
              <w:t xml:space="preserve"> </w:t>
            </w:r>
            <w:r w:rsidRPr="00241AFD">
              <w:rPr>
                <w:rFonts w:ascii="Arial" w:hAnsi="Arial" w:cs="Arial"/>
                <w:sz w:val="18"/>
                <w:szCs w:val="18"/>
              </w:rPr>
              <w:t>Poblaciones de pacientes: se asume de manera inapropiada que las</w:t>
            </w:r>
            <w:r w:rsidR="00BC4426" w:rsidRPr="00241AFD">
              <w:rPr>
                <w:rFonts w:ascii="Arial" w:hAnsi="Arial" w:cs="Arial"/>
                <w:sz w:val="18"/>
                <w:szCs w:val="18"/>
              </w:rPr>
              <w:t xml:space="preserve"> </w:t>
            </w:r>
            <w:r w:rsidRPr="00241AFD">
              <w:rPr>
                <w:rFonts w:ascii="Arial" w:hAnsi="Arial" w:cs="Arial"/>
                <w:sz w:val="18"/>
                <w:szCs w:val="18"/>
              </w:rPr>
              <w:t>poblaciones de pacientes incluidas en los estudios ENDEAR y CL-101/START son comparables</w:t>
            </w:r>
            <w:r w:rsidR="00BC4426" w:rsidRPr="00241AFD">
              <w:rPr>
                <w:rFonts w:ascii="Arial" w:hAnsi="Arial" w:cs="Arial"/>
                <w:sz w:val="18"/>
                <w:szCs w:val="18"/>
              </w:rPr>
              <w:t xml:space="preserve"> </w:t>
            </w:r>
            <w:r w:rsidRPr="00241AFD">
              <w:rPr>
                <w:rFonts w:ascii="Arial" w:hAnsi="Arial" w:cs="Arial"/>
                <w:sz w:val="18"/>
                <w:szCs w:val="18"/>
              </w:rPr>
              <w:t>mencionando que las puntuaciones CHOPINTEND</w:t>
            </w:r>
            <w:r w:rsidR="00BC4426" w:rsidRPr="00241AFD">
              <w:rPr>
                <w:rFonts w:ascii="Arial" w:hAnsi="Arial" w:cs="Arial"/>
                <w:sz w:val="18"/>
                <w:szCs w:val="18"/>
              </w:rPr>
              <w:t xml:space="preserve"> </w:t>
            </w:r>
            <w:r w:rsidRPr="00241AFD">
              <w:rPr>
                <w:rFonts w:ascii="Arial" w:hAnsi="Arial" w:cs="Arial"/>
                <w:sz w:val="18"/>
                <w:szCs w:val="18"/>
              </w:rPr>
              <w:t>al inicio eran comprables: 26.63 ± 8.13 vs 28, rango de 12–50</w:t>
            </w:r>
            <w:r w:rsidR="00BC4426" w:rsidRPr="00241AFD">
              <w:rPr>
                <w:rFonts w:ascii="Arial" w:hAnsi="Arial" w:cs="Arial"/>
                <w:sz w:val="18"/>
                <w:szCs w:val="18"/>
              </w:rPr>
              <w:t xml:space="preserve"> </w:t>
            </w:r>
            <w:r w:rsidRPr="00241AFD">
              <w:rPr>
                <w:rFonts w:ascii="Arial" w:hAnsi="Arial" w:cs="Arial"/>
                <w:sz w:val="18"/>
                <w:szCs w:val="18"/>
              </w:rPr>
              <w:t>para los estudios ENDEAR y CL-101, respectivamente.</w:t>
            </w:r>
          </w:p>
          <w:p w14:paraId="7D3414F5" w14:textId="101B6F3C" w:rsidR="001C1F50" w:rsidRPr="00241AFD" w:rsidRDefault="001C1F50" w:rsidP="001C1F50">
            <w:pPr>
              <w:autoSpaceDE w:val="0"/>
              <w:autoSpaceDN w:val="0"/>
              <w:adjustRightInd w:val="0"/>
              <w:rPr>
                <w:rFonts w:ascii="Arial" w:hAnsi="Arial" w:cs="Arial"/>
                <w:sz w:val="18"/>
                <w:szCs w:val="18"/>
              </w:rPr>
            </w:pPr>
            <w:r w:rsidRPr="00241AFD">
              <w:rPr>
                <w:rFonts w:ascii="Arial" w:eastAsia="CIDFont+F6" w:hAnsi="Arial" w:cs="Arial"/>
                <w:sz w:val="18"/>
                <w:szCs w:val="18"/>
              </w:rPr>
              <w:t xml:space="preserve"> </w:t>
            </w:r>
            <w:r w:rsidRPr="00241AFD">
              <w:rPr>
                <w:rFonts w:ascii="Arial" w:hAnsi="Arial" w:cs="Arial"/>
                <w:sz w:val="18"/>
                <w:szCs w:val="18"/>
              </w:rPr>
              <w:t>Costes del tratamiento con nusinersen: se establece un incremento del</w:t>
            </w:r>
            <w:r w:rsidR="00BC4426" w:rsidRPr="00241AFD">
              <w:rPr>
                <w:rFonts w:ascii="Arial" w:hAnsi="Arial" w:cs="Arial"/>
                <w:sz w:val="18"/>
                <w:szCs w:val="18"/>
              </w:rPr>
              <w:t xml:space="preserve"> </w:t>
            </w:r>
            <w:r w:rsidRPr="00241AFD">
              <w:rPr>
                <w:rFonts w:ascii="Arial" w:hAnsi="Arial" w:cs="Arial"/>
                <w:sz w:val="18"/>
                <w:szCs w:val="18"/>
              </w:rPr>
              <w:t>60% sobre el coste del tratamiento asumiendo que los pacientes tratados</w:t>
            </w:r>
            <w:r w:rsidR="00BC4426" w:rsidRPr="00241AFD">
              <w:rPr>
                <w:rFonts w:ascii="Arial" w:hAnsi="Arial" w:cs="Arial"/>
                <w:sz w:val="18"/>
                <w:szCs w:val="18"/>
              </w:rPr>
              <w:t xml:space="preserve"> </w:t>
            </w:r>
            <w:r w:rsidRPr="00241AFD">
              <w:rPr>
                <w:rFonts w:ascii="Arial" w:hAnsi="Arial" w:cs="Arial"/>
                <w:sz w:val="18"/>
                <w:szCs w:val="18"/>
              </w:rPr>
              <w:t>en el hospital con</w:t>
            </w:r>
            <w:r w:rsidR="00BC4426" w:rsidRPr="00241AFD">
              <w:rPr>
                <w:rFonts w:ascii="Arial" w:hAnsi="Arial" w:cs="Arial"/>
                <w:sz w:val="18"/>
                <w:szCs w:val="18"/>
              </w:rPr>
              <w:t xml:space="preserve"> </w:t>
            </w:r>
            <w:r w:rsidRPr="00241AFD">
              <w:rPr>
                <w:rFonts w:ascii="Arial" w:hAnsi="Arial" w:cs="Arial"/>
                <w:sz w:val="18"/>
                <w:szCs w:val="18"/>
              </w:rPr>
              <w:t>nusinersen están ingresados y en base a “opinión</w:t>
            </w:r>
            <w:r w:rsidR="00BC4426" w:rsidRPr="00241AFD">
              <w:rPr>
                <w:rFonts w:ascii="Arial" w:hAnsi="Arial" w:cs="Arial"/>
                <w:sz w:val="18"/>
                <w:szCs w:val="18"/>
              </w:rPr>
              <w:t xml:space="preserve"> </w:t>
            </w:r>
            <w:r w:rsidRPr="00241AFD">
              <w:rPr>
                <w:rFonts w:ascii="Arial" w:hAnsi="Arial" w:cs="Arial"/>
                <w:sz w:val="18"/>
                <w:szCs w:val="18"/>
              </w:rPr>
              <w:t>clínica”.</w:t>
            </w:r>
          </w:p>
          <w:p w14:paraId="57B72F3F" w14:textId="084CCFF0" w:rsidR="001C1F50" w:rsidRPr="00241AFD" w:rsidRDefault="001C1F50" w:rsidP="001C1F50">
            <w:pPr>
              <w:autoSpaceDE w:val="0"/>
              <w:autoSpaceDN w:val="0"/>
              <w:adjustRightInd w:val="0"/>
              <w:rPr>
                <w:rFonts w:ascii="Arial" w:hAnsi="Arial" w:cs="Arial"/>
                <w:sz w:val="18"/>
                <w:szCs w:val="18"/>
              </w:rPr>
            </w:pPr>
            <w:r w:rsidRPr="00241AFD">
              <w:rPr>
                <w:rFonts w:ascii="Arial" w:eastAsia="CIDFont+F6" w:hAnsi="Arial" w:cs="Arial"/>
                <w:sz w:val="18"/>
                <w:szCs w:val="18"/>
              </w:rPr>
              <w:t xml:space="preserve"> </w:t>
            </w:r>
            <w:r w:rsidRPr="00241AFD">
              <w:rPr>
                <w:rFonts w:ascii="Arial" w:hAnsi="Arial" w:cs="Arial"/>
                <w:sz w:val="18"/>
                <w:szCs w:val="18"/>
              </w:rPr>
              <w:t>Costes del tratamiento con onasemnogén abeparvovec: se asume que</w:t>
            </w:r>
            <w:r w:rsidR="00BC4426" w:rsidRPr="00241AFD">
              <w:rPr>
                <w:rFonts w:ascii="Arial" w:hAnsi="Arial" w:cs="Arial"/>
                <w:sz w:val="18"/>
                <w:szCs w:val="18"/>
              </w:rPr>
              <w:t xml:space="preserve"> </w:t>
            </w:r>
            <w:r w:rsidRPr="00241AFD">
              <w:rPr>
                <w:rFonts w:ascii="Arial" w:hAnsi="Arial" w:cs="Arial"/>
                <w:sz w:val="18"/>
                <w:szCs w:val="18"/>
              </w:rPr>
              <w:t>la</w:t>
            </w:r>
            <w:r w:rsidR="00BC4426" w:rsidRPr="00241AFD">
              <w:rPr>
                <w:rFonts w:ascii="Arial" w:hAnsi="Arial" w:cs="Arial"/>
                <w:sz w:val="18"/>
                <w:szCs w:val="18"/>
              </w:rPr>
              <w:t xml:space="preserve"> </w:t>
            </w:r>
            <w:r w:rsidRPr="00241AFD">
              <w:rPr>
                <w:rFonts w:ascii="Arial" w:hAnsi="Arial" w:cs="Arial"/>
                <w:sz w:val="18"/>
                <w:szCs w:val="18"/>
              </w:rPr>
              <w:t>administración de onasemnogén abeparvovec es ambulatoria. No</w:t>
            </w:r>
            <w:r w:rsidR="00BC4426" w:rsidRPr="00241AFD">
              <w:rPr>
                <w:rFonts w:ascii="Arial" w:hAnsi="Arial" w:cs="Arial"/>
                <w:sz w:val="18"/>
                <w:szCs w:val="18"/>
              </w:rPr>
              <w:t xml:space="preserve"> </w:t>
            </w:r>
            <w:r w:rsidRPr="00241AFD">
              <w:rPr>
                <w:rFonts w:ascii="Arial" w:hAnsi="Arial" w:cs="Arial"/>
                <w:sz w:val="18"/>
                <w:szCs w:val="18"/>
              </w:rPr>
              <w:t>considera costes relacionados con la administración de Spinraza para</w:t>
            </w:r>
            <w:r w:rsidR="00BC4426" w:rsidRPr="00241AFD">
              <w:rPr>
                <w:rFonts w:ascii="Arial" w:hAnsi="Arial" w:cs="Arial"/>
                <w:sz w:val="18"/>
                <w:szCs w:val="18"/>
              </w:rPr>
              <w:t xml:space="preserve"> </w:t>
            </w:r>
            <w:r w:rsidRPr="00241AFD">
              <w:rPr>
                <w:rFonts w:ascii="Arial" w:hAnsi="Arial" w:cs="Arial"/>
                <w:sz w:val="18"/>
                <w:szCs w:val="18"/>
              </w:rPr>
              <w:t>pacientes tratados con</w:t>
            </w:r>
            <w:r w:rsidR="00BC4426" w:rsidRPr="00241AFD">
              <w:rPr>
                <w:rFonts w:ascii="Arial" w:hAnsi="Arial" w:cs="Arial"/>
                <w:sz w:val="18"/>
                <w:szCs w:val="18"/>
              </w:rPr>
              <w:t xml:space="preserve"> </w:t>
            </w:r>
            <w:r w:rsidRPr="00241AFD">
              <w:rPr>
                <w:rFonts w:ascii="Arial" w:hAnsi="Arial" w:cs="Arial"/>
                <w:sz w:val="18"/>
                <w:szCs w:val="18"/>
              </w:rPr>
              <w:t>onasemnogén abeparvovec, ni efectos adversos</w:t>
            </w:r>
            <w:r w:rsidR="00BC4426" w:rsidRPr="00241AFD">
              <w:rPr>
                <w:rFonts w:ascii="Arial" w:hAnsi="Arial" w:cs="Arial"/>
                <w:sz w:val="18"/>
                <w:szCs w:val="18"/>
              </w:rPr>
              <w:t xml:space="preserve"> </w:t>
            </w:r>
            <w:r w:rsidRPr="00241AFD">
              <w:rPr>
                <w:rFonts w:ascii="Arial" w:hAnsi="Arial" w:cs="Arial"/>
                <w:sz w:val="18"/>
                <w:szCs w:val="18"/>
              </w:rPr>
              <w:t>relacionados con el tratamiento con onasemnogén abeparvovec.</w:t>
            </w:r>
          </w:p>
          <w:p w14:paraId="6C1A5C14" w14:textId="2370AA62" w:rsidR="001C1F50" w:rsidRPr="00241AFD" w:rsidRDefault="001C1F50" w:rsidP="001C1F50">
            <w:pPr>
              <w:autoSpaceDE w:val="0"/>
              <w:autoSpaceDN w:val="0"/>
              <w:adjustRightInd w:val="0"/>
              <w:rPr>
                <w:rFonts w:ascii="Arial" w:hAnsi="Arial" w:cs="Arial"/>
                <w:sz w:val="18"/>
                <w:szCs w:val="18"/>
              </w:rPr>
            </w:pPr>
            <w:r w:rsidRPr="00241AFD">
              <w:rPr>
                <w:rFonts w:ascii="Arial" w:eastAsia="CIDFont+F6" w:hAnsi="Arial" w:cs="Arial"/>
                <w:sz w:val="18"/>
                <w:szCs w:val="18"/>
              </w:rPr>
              <w:t xml:space="preserve"> </w:t>
            </w:r>
            <w:r w:rsidRPr="00241AFD">
              <w:rPr>
                <w:rFonts w:ascii="Arial" w:hAnsi="Arial" w:cs="Arial"/>
                <w:sz w:val="18"/>
                <w:szCs w:val="18"/>
              </w:rPr>
              <w:t>Extrapolación del estudio/Duración del efecto del tratamiento: La</w:t>
            </w:r>
            <w:r w:rsidR="00BC4426" w:rsidRPr="00241AFD">
              <w:rPr>
                <w:rFonts w:ascii="Arial" w:hAnsi="Arial" w:cs="Arial"/>
                <w:sz w:val="18"/>
                <w:szCs w:val="18"/>
              </w:rPr>
              <w:t xml:space="preserve"> </w:t>
            </w:r>
            <w:r w:rsidRPr="00241AFD">
              <w:rPr>
                <w:rFonts w:ascii="Arial" w:hAnsi="Arial" w:cs="Arial"/>
                <w:sz w:val="18"/>
                <w:szCs w:val="18"/>
              </w:rPr>
              <w:t>media de las puntuaciones CHOP-INTEND se proyectaron a futuro</w:t>
            </w:r>
            <w:r w:rsidR="00BC4426" w:rsidRPr="00241AFD">
              <w:rPr>
                <w:rFonts w:ascii="Arial" w:hAnsi="Arial" w:cs="Arial"/>
                <w:sz w:val="18"/>
                <w:szCs w:val="18"/>
              </w:rPr>
              <w:t xml:space="preserve"> </w:t>
            </w:r>
            <w:r w:rsidRPr="00241AFD">
              <w:rPr>
                <w:rFonts w:ascii="Arial" w:hAnsi="Arial" w:cs="Arial"/>
                <w:sz w:val="18"/>
                <w:szCs w:val="18"/>
              </w:rPr>
              <w:t>utilizando curvas logarítmicas, que reflejan incrementos iniciales rápidos,</w:t>
            </w:r>
            <w:r w:rsidR="00BC4426" w:rsidRPr="00241AFD">
              <w:rPr>
                <w:rFonts w:ascii="Arial" w:hAnsi="Arial" w:cs="Arial"/>
                <w:sz w:val="18"/>
                <w:szCs w:val="18"/>
              </w:rPr>
              <w:t xml:space="preserve"> </w:t>
            </w:r>
            <w:r w:rsidRPr="00241AFD">
              <w:rPr>
                <w:rFonts w:ascii="Arial" w:hAnsi="Arial" w:cs="Arial"/>
                <w:sz w:val="18"/>
                <w:szCs w:val="18"/>
              </w:rPr>
              <w:t>seguidos de un aplanamiento de las</w:t>
            </w:r>
            <w:r w:rsidR="00BC4426" w:rsidRPr="00241AFD">
              <w:rPr>
                <w:rFonts w:ascii="Arial" w:hAnsi="Arial" w:cs="Arial"/>
                <w:sz w:val="18"/>
                <w:szCs w:val="18"/>
              </w:rPr>
              <w:t xml:space="preserve"> </w:t>
            </w:r>
            <w:r w:rsidRPr="00241AFD">
              <w:rPr>
                <w:rFonts w:ascii="Arial" w:hAnsi="Arial" w:cs="Arial"/>
                <w:sz w:val="18"/>
                <w:szCs w:val="18"/>
              </w:rPr>
              <w:t>puntuaciones medias (efecto plateau).</w:t>
            </w:r>
            <w:r w:rsidR="00BC4426" w:rsidRPr="00241AFD">
              <w:rPr>
                <w:rFonts w:ascii="Arial" w:hAnsi="Arial" w:cs="Arial"/>
                <w:sz w:val="18"/>
                <w:szCs w:val="18"/>
              </w:rPr>
              <w:t xml:space="preserve"> </w:t>
            </w:r>
            <w:r w:rsidRPr="00241AFD">
              <w:rPr>
                <w:rFonts w:ascii="Arial" w:hAnsi="Arial" w:cs="Arial"/>
                <w:sz w:val="18"/>
                <w:szCs w:val="18"/>
              </w:rPr>
              <w:t>Se asume un efecto del tratamiento con</w:t>
            </w:r>
            <w:r w:rsidR="00BC4426" w:rsidRPr="00241AFD">
              <w:rPr>
                <w:rFonts w:ascii="Arial" w:hAnsi="Arial" w:cs="Arial"/>
                <w:sz w:val="18"/>
                <w:szCs w:val="18"/>
              </w:rPr>
              <w:t xml:space="preserve"> </w:t>
            </w:r>
            <w:r w:rsidRPr="00241AFD">
              <w:rPr>
                <w:rFonts w:ascii="Arial" w:hAnsi="Arial" w:cs="Arial"/>
                <w:sz w:val="18"/>
                <w:szCs w:val="18"/>
              </w:rPr>
              <w:t>onasemnogén abeparvovec para</w:t>
            </w:r>
            <w:r w:rsidR="00BC4426" w:rsidRPr="00241AFD">
              <w:rPr>
                <w:rFonts w:ascii="Arial" w:hAnsi="Arial" w:cs="Arial"/>
                <w:sz w:val="18"/>
                <w:szCs w:val="18"/>
              </w:rPr>
              <w:t xml:space="preserve"> </w:t>
            </w:r>
            <w:r w:rsidRPr="00241AFD">
              <w:rPr>
                <w:rFonts w:ascii="Arial" w:hAnsi="Arial" w:cs="Arial"/>
                <w:sz w:val="18"/>
                <w:szCs w:val="18"/>
              </w:rPr>
              <w:t>pacientes con AME tipo I permanente. Mientras que la eficacia y seguridad</w:t>
            </w:r>
            <w:r w:rsidR="00BC4426" w:rsidRPr="00241AFD">
              <w:rPr>
                <w:rFonts w:ascii="Arial" w:hAnsi="Arial" w:cs="Arial"/>
                <w:sz w:val="18"/>
                <w:szCs w:val="18"/>
              </w:rPr>
              <w:t xml:space="preserve"> </w:t>
            </w:r>
            <w:r w:rsidRPr="00241AFD">
              <w:rPr>
                <w:rFonts w:ascii="Arial" w:hAnsi="Arial" w:cs="Arial"/>
                <w:sz w:val="18"/>
                <w:szCs w:val="18"/>
              </w:rPr>
              <w:t>de la terapia génica en AME es hoy en día desconocida</w:t>
            </w:r>
            <w:r w:rsidR="00BC4426" w:rsidRPr="00241AFD">
              <w:rPr>
                <w:rFonts w:ascii="Arial" w:hAnsi="Arial" w:cs="Arial"/>
                <w:sz w:val="18"/>
                <w:szCs w:val="18"/>
              </w:rPr>
              <w:t xml:space="preserve">. </w:t>
            </w:r>
            <w:r w:rsidRPr="00241AFD">
              <w:rPr>
                <w:rFonts w:ascii="Arial" w:hAnsi="Arial" w:cs="Arial"/>
                <w:sz w:val="18"/>
                <w:szCs w:val="18"/>
              </w:rPr>
              <w:t>Cabe señalar que recientemente, se ha publicado en ISPOR una comparación</w:t>
            </w:r>
            <w:r w:rsidR="00BC4426" w:rsidRPr="00241AFD">
              <w:rPr>
                <w:rFonts w:ascii="Arial" w:hAnsi="Arial" w:cs="Arial"/>
                <w:sz w:val="18"/>
                <w:szCs w:val="18"/>
              </w:rPr>
              <w:t xml:space="preserve"> </w:t>
            </w:r>
            <w:r w:rsidRPr="00241AFD">
              <w:rPr>
                <w:rFonts w:ascii="Arial" w:hAnsi="Arial" w:cs="Arial"/>
                <w:sz w:val="18"/>
                <w:szCs w:val="18"/>
              </w:rPr>
              <w:t>indirecta ajustada de onasemnogén abeparvovec y nusinersen en el tratamiento de</w:t>
            </w:r>
            <w:r w:rsidR="00BC4426" w:rsidRPr="00241AFD">
              <w:rPr>
                <w:rFonts w:ascii="Arial" w:hAnsi="Arial" w:cs="Arial"/>
                <w:sz w:val="18"/>
                <w:szCs w:val="18"/>
              </w:rPr>
              <w:t xml:space="preserve"> </w:t>
            </w:r>
            <w:r w:rsidRPr="00241AFD">
              <w:rPr>
                <w:rFonts w:ascii="Arial" w:hAnsi="Arial" w:cs="Arial"/>
                <w:sz w:val="18"/>
                <w:szCs w:val="18"/>
              </w:rPr>
              <w:t>pacientes con AME tipo I, no recogida en el informe</w:t>
            </w:r>
            <w:r w:rsidRPr="00241AFD">
              <w:rPr>
                <w:rFonts w:ascii="Arial" w:hAnsi="Arial" w:cs="Arial"/>
                <w:sz w:val="18"/>
                <w:szCs w:val="18"/>
                <w:vertAlign w:val="superscript"/>
              </w:rPr>
              <w:t>12</w:t>
            </w:r>
            <w:r w:rsidRPr="00241AFD">
              <w:rPr>
                <w:rFonts w:ascii="Arial" w:hAnsi="Arial" w:cs="Arial"/>
                <w:sz w:val="18"/>
                <w:szCs w:val="18"/>
              </w:rPr>
              <w:t>.</w:t>
            </w:r>
          </w:p>
          <w:p w14:paraId="6BC93B66" w14:textId="18DFFDC1" w:rsidR="008024A5" w:rsidRPr="00241AFD" w:rsidRDefault="001C1F50" w:rsidP="00BC4426">
            <w:pPr>
              <w:autoSpaceDE w:val="0"/>
              <w:autoSpaceDN w:val="0"/>
              <w:adjustRightInd w:val="0"/>
              <w:rPr>
                <w:rFonts w:ascii="Arial" w:hAnsi="Arial" w:cs="Arial"/>
                <w:sz w:val="18"/>
                <w:szCs w:val="18"/>
              </w:rPr>
            </w:pPr>
            <w:r w:rsidRPr="00241AFD">
              <w:rPr>
                <w:rFonts w:ascii="Arial" w:hAnsi="Arial" w:cs="Arial"/>
                <w:sz w:val="18"/>
                <w:szCs w:val="18"/>
              </w:rPr>
              <w:t>El programa clínico de nusinersen abarca a más de 300 pacientes con AME, a lo</w:t>
            </w:r>
            <w:r w:rsidR="00BC4426" w:rsidRPr="00241AFD">
              <w:rPr>
                <w:rFonts w:ascii="Arial" w:hAnsi="Arial" w:cs="Arial"/>
                <w:sz w:val="18"/>
                <w:szCs w:val="18"/>
              </w:rPr>
              <w:t xml:space="preserve"> </w:t>
            </w:r>
            <w:r w:rsidRPr="00241AFD">
              <w:rPr>
                <w:rFonts w:ascii="Arial" w:hAnsi="Arial" w:cs="Arial"/>
                <w:sz w:val="18"/>
                <w:szCs w:val="18"/>
              </w:rPr>
              <w:t>largo de múltiples ensayos, con pacientes desde recién nacidos hasta población</w:t>
            </w:r>
            <w:r w:rsidR="00BC4426" w:rsidRPr="00241AFD">
              <w:rPr>
                <w:rFonts w:ascii="Arial" w:hAnsi="Arial" w:cs="Arial"/>
                <w:sz w:val="18"/>
                <w:szCs w:val="18"/>
              </w:rPr>
              <w:t xml:space="preserve"> </w:t>
            </w:r>
            <w:r w:rsidRPr="00241AFD">
              <w:rPr>
                <w:rFonts w:ascii="Arial" w:hAnsi="Arial" w:cs="Arial"/>
                <w:sz w:val="18"/>
                <w:szCs w:val="18"/>
              </w:rPr>
              <w:t>joven. A julio de 2020, más de 11.000 pacientes con AME (recién nacidos, niños y</w:t>
            </w:r>
            <w:r w:rsidR="00BC4426" w:rsidRPr="00241AFD">
              <w:rPr>
                <w:rFonts w:ascii="Arial" w:hAnsi="Arial" w:cs="Arial"/>
                <w:sz w:val="18"/>
                <w:szCs w:val="18"/>
              </w:rPr>
              <w:t xml:space="preserve"> </w:t>
            </w:r>
            <w:r w:rsidRPr="00241AFD">
              <w:rPr>
                <w:rFonts w:ascii="Arial" w:hAnsi="Arial" w:cs="Arial"/>
                <w:sz w:val="18"/>
                <w:szCs w:val="18"/>
              </w:rPr>
              <w:t>adultos) han sido tratados con nusinersen en el mundo entero</w:t>
            </w:r>
            <w:r w:rsidRPr="00241AFD">
              <w:rPr>
                <w:rFonts w:ascii="Arial" w:hAnsi="Arial" w:cs="Arial"/>
                <w:sz w:val="18"/>
                <w:szCs w:val="18"/>
                <w:vertAlign w:val="superscript"/>
              </w:rPr>
              <w:t>13</w:t>
            </w:r>
            <w:r w:rsidRPr="00241AFD">
              <w:rPr>
                <w:rFonts w:ascii="Arial" w:hAnsi="Arial" w:cs="Arial"/>
                <w:sz w:val="18"/>
                <w:szCs w:val="18"/>
              </w:rPr>
              <w:t>.</w:t>
            </w:r>
          </w:p>
        </w:tc>
        <w:tc>
          <w:tcPr>
            <w:tcW w:w="1734" w:type="dxa"/>
          </w:tcPr>
          <w:p w14:paraId="3E7F5F20" w14:textId="2043878B" w:rsidR="00037A7D" w:rsidRDefault="00037A7D" w:rsidP="00037A7D">
            <w:pPr>
              <w:shd w:val="clear" w:color="auto" w:fill="FFFFFF"/>
              <w:rPr>
                <w:rFonts w:ascii="Arial" w:hAnsi="Arial" w:cs="Arial"/>
                <w:color w:val="000080"/>
                <w:sz w:val="18"/>
                <w:szCs w:val="18"/>
              </w:rPr>
            </w:pPr>
            <w:r>
              <w:rPr>
                <w:rFonts w:ascii="Arial" w:hAnsi="Arial" w:cs="Arial"/>
                <w:color w:val="000080"/>
                <w:sz w:val="18"/>
                <w:szCs w:val="18"/>
              </w:rPr>
              <w:t>No aceptada.  En el informe ya está incluida una valoración crítica del estudio, con una revisión de su validez interna y externa.</w:t>
            </w:r>
          </w:p>
          <w:p w14:paraId="59B3954B" w14:textId="77777777" w:rsidR="00037A7D" w:rsidRDefault="00037A7D" w:rsidP="008024A5">
            <w:pPr>
              <w:shd w:val="clear" w:color="auto" w:fill="FFFFFF"/>
              <w:jc w:val="both"/>
              <w:rPr>
                <w:rFonts w:ascii="Arial" w:hAnsi="Arial" w:cs="Arial"/>
                <w:color w:val="000080"/>
                <w:sz w:val="18"/>
                <w:szCs w:val="18"/>
              </w:rPr>
            </w:pPr>
          </w:p>
          <w:p w14:paraId="21F8A826" w14:textId="1BBCE041" w:rsidR="008024A5" w:rsidRPr="00241AFD" w:rsidRDefault="00037A7D" w:rsidP="00037A7D">
            <w:pPr>
              <w:shd w:val="clear" w:color="auto" w:fill="FFFFFF"/>
              <w:rPr>
                <w:rFonts w:ascii="Arial" w:hAnsi="Arial" w:cs="Arial"/>
                <w:sz w:val="18"/>
                <w:szCs w:val="18"/>
              </w:rPr>
            </w:pPr>
            <w:r>
              <w:rPr>
                <w:rFonts w:ascii="Arial" w:hAnsi="Arial" w:cs="Arial"/>
                <w:color w:val="000080"/>
                <w:sz w:val="18"/>
                <w:szCs w:val="18"/>
              </w:rPr>
              <w:t xml:space="preserve">Tampoco se incluye la comparación indirecta ajustada entre </w:t>
            </w:r>
            <w:r w:rsidRPr="00037A7D">
              <w:rPr>
                <w:rFonts w:ascii="Arial" w:hAnsi="Arial" w:cs="Arial"/>
                <w:color w:val="000080"/>
                <w:sz w:val="18"/>
                <w:szCs w:val="18"/>
              </w:rPr>
              <w:t>nusinersen y onasemnogén abeparvovec</w:t>
            </w:r>
            <w:r>
              <w:rPr>
                <w:rFonts w:ascii="Arial" w:hAnsi="Arial" w:cs="Arial"/>
                <w:color w:val="000080"/>
                <w:sz w:val="18"/>
                <w:szCs w:val="18"/>
              </w:rPr>
              <w:t xml:space="preserve"> porque no se ha publicado, solo se dispone de la comunicación a un congreso.</w:t>
            </w:r>
          </w:p>
        </w:tc>
      </w:tr>
    </w:tbl>
    <w:p w14:paraId="0DD7A2C3" w14:textId="77777777" w:rsidR="008024A5" w:rsidRPr="001C1F50" w:rsidRDefault="008024A5" w:rsidP="008024A5">
      <w:pPr>
        <w:jc w:val="both"/>
        <w:outlineLvl w:val="0"/>
        <w:rPr>
          <w:rFonts w:ascii="Arial" w:hAnsi="Arial" w:cs="Arial"/>
          <w:b/>
          <w:sz w:val="20"/>
          <w:szCs w:val="20"/>
        </w:rPr>
      </w:pPr>
    </w:p>
    <w:p w14:paraId="59C84B25" w14:textId="77777777"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Referencias:</w:t>
      </w:r>
    </w:p>
    <w:p w14:paraId="7606EB90" w14:textId="7B7DBD75"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1. Darras BT, Day JW, Swoboda KJ. Nusinersen in Adolescents and Young Adults with SMA: Longitudinal Experience</w:t>
      </w:r>
      <w:r w:rsidR="007D299B">
        <w:rPr>
          <w:rFonts w:ascii="Arial" w:hAnsi="Arial" w:cs="Arial"/>
          <w:sz w:val="18"/>
          <w:szCs w:val="18"/>
        </w:rPr>
        <w:t xml:space="preserve"> </w:t>
      </w:r>
      <w:r w:rsidRPr="007D299B">
        <w:rPr>
          <w:rFonts w:ascii="Arial" w:hAnsi="Arial" w:cs="Arial"/>
          <w:sz w:val="18"/>
          <w:szCs w:val="18"/>
        </w:rPr>
        <w:t>From an Expanded Cohort of CS2/CS12 and SHINE Participants. Presentado en Cure Spinal Muscular Atrophy (CSMA)</w:t>
      </w:r>
      <w:r w:rsidR="007D299B">
        <w:rPr>
          <w:rFonts w:ascii="Arial" w:hAnsi="Arial" w:cs="Arial"/>
          <w:sz w:val="18"/>
          <w:szCs w:val="18"/>
        </w:rPr>
        <w:t xml:space="preserve"> </w:t>
      </w:r>
      <w:r w:rsidRPr="007D299B">
        <w:rPr>
          <w:rFonts w:ascii="Arial" w:hAnsi="Arial" w:cs="Arial"/>
          <w:sz w:val="18"/>
          <w:szCs w:val="18"/>
        </w:rPr>
        <w:t>2020, Jun 11th - Jun 14th, 2020; Orlando, Florida, USA.</w:t>
      </w:r>
    </w:p>
    <w:p w14:paraId="0287E356" w14:textId="3D4F7BC7"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 xml:space="preserve">2. Biogen. </w:t>
      </w:r>
      <w:hyperlink r:id="rId21" w:history="1">
        <w:r w:rsidR="007D299B" w:rsidRPr="00E75638">
          <w:rPr>
            <w:rStyle w:val="Hipervnculo"/>
            <w:rFonts w:ascii="Arial" w:hAnsi="Arial" w:cs="Arial"/>
            <w:sz w:val="18"/>
            <w:szCs w:val="18"/>
          </w:rPr>
          <w:t>https://investors.biogen.com/static-files/7d40149f-af6a-4bcb-8bd0-97b18ff2d9fd</w:t>
        </w:r>
      </w:hyperlink>
      <w:r w:rsidR="007D299B">
        <w:rPr>
          <w:rFonts w:ascii="Arial" w:hAnsi="Arial" w:cs="Arial"/>
          <w:sz w:val="18"/>
          <w:szCs w:val="18"/>
        </w:rPr>
        <w:t>. A</w:t>
      </w:r>
      <w:r w:rsidRPr="007D299B">
        <w:rPr>
          <w:rFonts w:ascii="Arial" w:hAnsi="Arial" w:cs="Arial"/>
          <w:sz w:val="18"/>
          <w:szCs w:val="18"/>
        </w:rPr>
        <w:t>ccessed October 2020</w:t>
      </w:r>
    </w:p>
    <w:p w14:paraId="3228FCA3" w14:textId="77777777"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3. Maggi L et al. 2020;91:1166-1174.</w:t>
      </w:r>
    </w:p>
    <w:p w14:paraId="6970BB01" w14:textId="77777777"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4. Hagenacker T et al. Lancet Neurol 2020; 19: 317–25</w:t>
      </w:r>
    </w:p>
    <w:p w14:paraId="65D54A42" w14:textId="554415BD"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5. Mercuri E, Pera MC, Scoto M, Finkel R, Muntoni F. Spinal muscular atrophy - insights and challenges in the treatment</w:t>
      </w:r>
      <w:r w:rsidR="007D299B">
        <w:rPr>
          <w:rFonts w:ascii="Arial" w:hAnsi="Arial" w:cs="Arial"/>
          <w:sz w:val="18"/>
          <w:szCs w:val="18"/>
        </w:rPr>
        <w:t xml:space="preserve"> </w:t>
      </w:r>
      <w:r w:rsidRPr="007D299B">
        <w:rPr>
          <w:rFonts w:ascii="Arial" w:hAnsi="Arial" w:cs="Arial"/>
          <w:sz w:val="18"/>
          <w:szCs w:val="18"/>
        </w:rPr>
        <w:t>era. Nat Rev Neurol. 2020 Dec;16(12):706-715. doi: 10.1038/s41582-020-00413-4. Epub 2020 Oc</w:t>
      </w:r>
      <w:r w:rsidR="007D299B">
        <w:rPr>
          <w:rFonts w:ascii="Arial" w:hAnsi="Arial" w:cs="Arial"/>
          <w:sz w:val="18"/>
          <w:szCs w:val="18"/>
        </w:rPr>
        <w:t xml:space="preserve">t 14. PMID: 33057172 </w:t>
      </w:r>
    </w:p>
    <w:p w14:paraId="77F15FED" w14:textId="7F0E58A4"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6. Mendell JR, Single-Dose Gene-Replacement Therapy for Spinal Muscular Atrophy. N Engl J Med. 2017 Nov</w:t>
      </w:r>
      <w:r w:rsidR="007D299B">
        <w:rPr>
          <w:rFonts w:ascii="Arial" w:hAnsi="Arial" w:cs="Arial"/>
          <w:sz w:val="18"/>
          <w:szCs w:val="18"/>
        </w:rPr>
        <w:t xml:space="preserve"> </w:t>
      </w:r>
      <w:r w:rsidRPr="007D299B">
        <w:rPr>
          <w:rFonts w:ascii="Arial" w:hAnsi="Arial" w:cs="Arial"/>
          <w:sz w:val="18"/>
          <w:szCs w:val="18"/>
        </w:rPr>
        <w:t>2;377(18):1713-1722.</w:t>
      </w:r>
    </w:p>
    <w:p w14:paraId="6F364F4F" w14:textId="61A6EF36"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7. International SMA Consortium Meeting (26–28 June 1992, Bonn, Germany). Neuromuscular Disorders. 1992;2(5-6):423-428</w:t>
      </w:r>
    </w:p>
    <w:p w14:paraId="7941A198" w14:textId="5C33DCF5"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8. Mercuri E et al. Nusinersen versus Sham Control in Later-Onset Spinal Muscular Atrophy. N Engl J Med 2018; 378:625-635. DOI: 10.1056/NEJMoa1710504</w:t>
      </w:r>
    </w:p>
    <w:p w14:paraId="0C7B26E3" w14:textId="2AC06FFC"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9. Mendell JR, et al. Poster 261. Long-Term Follow-Up of Onasemnogene Abeparvovec Gene Therapy in Spinal Muscular</w:t>
      </w:r>
      <w:r w:rsidR="007D299B">
        <w:rPr>
          <w:rFonts w:ascii="Arial" w:hAnsi="Arial" w:cs="Arial"/>
          <w:sz w:val="18"/>
          <w:szCs w:val="18"/>
        </w:rPr>
        <w:t xml:space="preserve"> </w:t>
      </w:r>
      <w:r w:rsidRPr="007D299B">
        <w:rPr>
          <w:rFonts w:ascii="Arial" w:hAnsi="Arial" w:cs="Arial"/>
          <w:sz w:val="18"/>
          <w:szCs w:val="18"/>
        </w:rPr>
        <w:t>Atrophy Type 1, Presented at WMS 2020.</w:t>
      </w:r>
    </w:p>
    <w:p w14:paraId="7B9C6586" w14:textId="7335DEE0"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10. Finkel RS, Farwell W. Reply letter to the editor. Therapy for Spinal Muscular Atrophy [correspondence]. New Engl J Med.</w:t>
      </w:r>
      <w:r w:rsidR="007D299B">
        <w:rPr>
          <w:rFonts w:ascii="Arial" w:hAnsi="Arial" w:cs="Arial"/>
          <w:sz w:val="18"/>
          <w:szCs w:val="18"/>
        </w:rPr>
        <w:t xml:space="preserve"> </w:t>
      </w:r>
      <w:r w:rsidRPr="007D299B">
        <w:rPr>
          <w:rFonts w:ascii="Arial" w:hAnsi="Arial" w:cs="Arial"/>
          <w:sz w:val="18"/>
          <w:szCs w:val="18"/>
        </w:rPr>
        <w:t>2018; 378;5:487-488. Available at: https://www.nejm.org/doi/pdf/10.1056/NEJMc1715769. Accessed July 3, 2018.</w:t>
      </w:r>
    </w:p>
    <w:p w14:paraId="3B0C28F1" w14:textId="74B437B9"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11. ICER Final Evidence Report, page ES19 and page 49. https://icer-review.org/wpcontent/uploads/2018/07/ICER_SMA_Final_Evidence_Report_052419.pdf</w:t>
      </w:r>
    </w:p>
    <w:p w14:paraId="3F7A4E05" w14:textId="30D401C4" w:rsidR="001C1F50" w:rsidRPr="007D299B" w:rsidRDefault="001C1F50" w:rsidP="007D299B">
      <w:pPr>
        <w:autoSpaceDE w:val="0"/>
        <w:autoSpaceDN w:val="0"/>
        <w:adjustRightInd w:val="0"/>
        <w:jc w:val="both"/>
        <w:rPr>
          <w:rFonts w:ascii="Arial" w:hAnsi="Arial" w:cs="Arial"/>
          <w:sz w:val="18"/>
          <w:szCs w:val="18"/>
        </w:rPr>
      </w:pPr>
      <w:r w:rsidRPr="007D299B">
        <w:rPr>
          <w:rFonts w:ascii="Arial" w:hAnsi="Arial" w:cs="Arial"/>
          <w:sz w:val="18"/>
          <w:szCs w:val="18"/>
        </w:rPr>
        <w:t>12. Bischof M., Lorenzi M., Lee J., Dabbous O. PND8 Matching-Adjusted Indirect Comparison of Onasemnogene</w:t>
      </w:r>
      <w:r w:rsidR="007D299B">
        <w:rPr>
          <w:rFonts w:ascii="Arial" w:hAnsi="Arial" w:cs="Arial"/>
          <w:sz w:val="18"/>
          <w:szCs w:val="18"/>
        </w:rPr>
        <w:t xml:space="preserve"> </w:t>
      </w:r>
      <w:r w:rsidRPr="007D299B">
        <w:rPr>
          <w:rFonts w:ascii="Arial" w:hAnsi="Arial" w:cs="Arial"/>
          <w:sz w:val="18"/>
          <w:szCs w:val="18"/>
        </w:rPr>
        <w:t>Abeparvovec and Nusinersen for the Treatment of Spinal Muscular Atrophy Type 1 (SMA1). ISPOR Value in Health.</w:t>
      </w:r>
      <w:r w:rsidR="007D299B">
        <w:rPr>
          <w:rFonts w:ascii="Arial" w:hAnsi="Arial" w:cs="Arial"/>
          <w:sz w:val="18"/>
          <w:szCs w:val="18"/>
        </w:rPr>
        <w:t xml:space="preserve"> </w:t>
      </w:r>
      <w:r w:rsidRPr="007D299B">
        <w:rPr>
          <w:rFonts w:ascii="Arial" w:hAnsi="Arial" w:cs="Arial"/>
          <w:sz w:val="18"/>
          <w:szCs w:val="18"/>
        </w:rPr>
        <w:t>VOLUME 23, SUPPLEMENT 2, S623-S624, DECEMBER 01, 2020. DOI:</w:t>
      </w:r>
      <w:r w:rsidR="007D299B">
        <w:rPr>
          <w:rFonts w:ascii="Arial" w:hAnsi="Arial" w:cs="Arial"/>
          <w:sz w:val="18"/>
          <w:szCs w:val="18"/>
        </w:rPr>
        <w:t xml:space="preserve"> </w:t>
      </w:r>
      <w:hyperlink r:id="rId22" w:history="1">
        <w:r w:rsidR="007D299B" w:rsidRPr="00E75638">
          <w:rPr>
            <w:rStyle w:val="Hipervnculo"/>
            <w:rFonts w:ascii="Arial" w:hAnsi="Arial" w:cs="Arial"/>
            <w:sz w:val="18"/>
            <w:szCs w:val="18"/>
          </w:rPr>
          <w:t>https://doi.org/10.1016/j.jval.2020.08.1333</w:t>
        </w:r>
      </w:hyperlink>
      <w:r w:rsidR="007D299B">
        <w:rPr>
          <w:rFonts w:ascii="Arial" w:hAnsi="Arial" w:cs="Arial"/>
          <w:sz w:val="18"/>
          <w:szCs w:val="18"/>
        </w:rPr>
        <w:t xml:space="preserve"> </w:t>
      </w:r>
    </w:p>
    <w:p w14:paraId="248BC08C" w14:textId="4E2B37EF" w:rsidR="008024A5" w:rsidRPr="007D299B" w:rsidRDefault="001C1F50" w:rsidP="007D299B">
      <w:pPr>
        <w:autoSpaceDE w:val="0"/>
        <w:autoSpaceDN w:val="0"/>
        <w:adjustRightInd w:val="0"/>
        <w:rPr>
          <w:rFonts w:ascii="Arial" w:hAnsi="Arial" w:cs="Arial"/>
          <w:sz w:val="18"/>
          <w:szCs w:val="18"/>
        </w:rPr>
      </w:pPr>
      <w:r w:rsidRPr="007D299B">
        <w:rPr>
          <w:rFonts w:ascii="Arial" w:hAnsi="Arial" w:cs="Arial"/>
          <w:sz w:val="18"/>
          <w:szCs w:val="18"/>
        </w:rPr>
        <w:t xml:space="preserve">13. </w:t>
      </w:r>
      <w:hyperlink r:id="rId23" w:history="1">
        <w:r w:rsidR="007D299B" w:rsidRPr="00E75638">
          <w:rPr>
            <w:rStyle w:val="Hipervnculo"/>
            <w:rFonts w:ascii="Arial" w:hAnsi="Arial" w:cs="Arial"/>
            <w:sz w:val="18"/>
            <w:szCs w:val="18"/>
          </w:rPr>
          <w:t>https://www.marketscreener.com/quote/stock/BIOGEN-INC-4853/news/Biogen-Q2-2020-Biogen-Earnings-Presentation-30968809/</w:t>
        </w:r>
      </w:hyperlink>
      <w:r w:rsidR="007D299B">
        <w:rPr>
          <w:rFonts w:ascii="Arial" w:hAnsi="Arial" w:cs="Arial"/>
          <w:sz w:val="18"/>
          <w:szCs w:val="18"/>
        </w:rPr>
        <w:t xml:space="preserve"> </w:t>
      </w:r>
    </w:p>
    <w:p w14:paraId="2E5254B8" w14:textId="77777777" w:rsidR="001C1F50" w:rsidRDefault="001C1F50" w:rsidP="001C1F50">
      <w:pPr>
        <w:jc w:val="both"/>
        <w:outlineLvl w:val="0"/>
        <w:rPr>
          <w:rFonts w:ascii="CIDFont+F3" w:hAnsi="CIDFont+F3" w:cs="CIDFont+F3"/>
          <w:color w:val="000081"/>
          <w:sz w:val="17"/>
          <w:szCs w:val="17"/>
        </w:rPr>
      </w:pPr>
    </w:p>
    <w:p w14:paraId="2788EF90" w14:textId="77777777" w:rsidR="001C1F50" w:rsidRDefault="001C1F50" w:rsidP="001C1F50">
      <w:pPr>
        <w:jc w:val="both"/>
        <w:outlineLvl w:val="0"/>
        <w:rPr>
          <w:rFonts w:ascii="Arial" w:hAnsi="Arial" w:cs="Arial"/>
          <w:b/>
          <w:color w:val="000080"/>
          <w:sz w:val="20"/>
          <w:szCs w:val="20"/>
        </w:rPr>
      </w:pPr>
    </w:p>
    <w:p w14:paraId="15533D20" w14:textId="77777777" w:rsidR="00BC4426" w:rsidRDefault="00BC4426" w:rsidP="001C1F50">
      <w:pPr>
        <w:jc w:val="both"/>
        <w:outlineLvl w:val="0"/>
        <w:rPr>
          <w:rFonts w:ascii="Arial" w:hAnsi="Arial" w:cs="Arial"/>
          <w:b/>
          <w:color w:val="000080"/>
          <w:sz w:val="20"/>
          <w:szCs w:val="20"/>
        </w:rPr>
      </w:pPr>
    </w:p>
    <w:p w14:paraId="63CC916F" w14:textId="77777777" w:rsidR="00890E86" w:rsidRDefault="00890E86" w:rsidP="001C1F50">
      <w:pPr>
        <w:jc w:val="both"/>
        <w:outlineLvl w:val="0"/>
        <w:rPr>
          <w:rFonts w:ascii="Arial" w:hAnsi="Arial" w:cs="Arial"/>
          <w:b/>
          <w:color w:val="000080"/>
          <w:sz w:val="20"/>
          <w:szCs w:val="20"/>
        </w:rPr>
      </w:pPr>
    </w:p>
    <w:p w14:paraId="5C8FABAB" w14:textId="77777777" w:rsidR="00231D03" w:rsidRDefault="00231D03" w:rsidP="001C1F50">
      <w:pPr>
        <w:jc w:val="both"/>
        <w:outlineLvl w:val="0"/>
        <w:rPr>
          <w:rFonts w:ascii="Arial" w:hAnsi="Arial" w:cs="Arial"/>
          <w:b/>
          <w:color w:val="000080"/>
          <w:sz w:val="20"/>
          <w:szCs w:val="20"/>
        </w:rPr>
      </w:pPr>
    </w:p>
    <w:p w14:paraId="0EB9AF4B" w14:textId="77777777" w:rsidR="00231D03" w:rsidRDefault="00231D03" w:rsidP="001C1F50">
      <w:pPr>
        <w:jc w:val="both"/>
        <w:outlineLvl w:val="0"/>
        <w:rPr>
          <w:rFonts w:ascii="Arial" w:hAnsi="Arial" w:cs="Arial"/>
          <w:b/>
          <w:color w:val="000080"/>
          <w:sz w:val="20"/>
          <w:szCs w:val="20"/>
        </w:rPr>
      </w:pPr>
    </w:p>
    <w:p w14:paraId="04868081" w14:textId="77777777" w:rsidR="00231D03" w:rsidRDefault="00231D03" w:rsidP="001C1F50">
      <w:pPr>
        <w:jc w:val="both"/>
        <w:outlineLvl w:val="0"/>
        <w:rPr>
          <w:rFonts w:ascii="Arial" w:hAnsi="Arial" w:cs="Arial"/>
          <w:b/>
          <w:color w:val="000080"/>
          <w:sz w:val="20"/>
          <w:szCs w:val="20"/>
        </w:rPr>
      </w:pPr>
    </w:p>
    <w:p w14:paraId="36FC8771" w14:textId="77777777" w:rsidR="00231D03" w:rsidRDefault="00231D03" w:rsidP="001C1F50">
      <w:pPr>
        <w:jc w:val="both"/>
        <w:outlineLvl w:val="0"/>
        <w:rPr>
          <w:rFonts w:ascii="Arial" w:hAnsi="Arial" w:cs="Arial"/>
          <w:b/>
          <w:color w:val="000080"/>
          <w:sz w:val="20"/>
          <w:szCs w:val="20"/>
        </w:rPr>
      </w:pPr>
    </w:p>
    <w:p w14:paraId="10E4C4D5" w14:textId="77777777" w:rsidR="00231D03" w:rsidRDefault="00231D03" w:rsidP="001C1F50">
      <w:pPr>
        <w:jc w:val="both"/>
        <w:outlineLvl w:val="0"/>
        <w:rPr>
          <w:rFonts w:ascii="Arial" w:hAnsi="Arial" w:cs="Arial"/>
          <w:b/>
          <w:color w:val="000080"/>
          <w:sz w:val="20"/>
          <w:szCs w:val="20"/>
        </w:rPr>
      </w:pPr>
    </w:p>
    <w:p w14:paraId="39F43647" w14:textId="77777777" w:rsidR="00890E86" w:rsidRDefault="00890E86" w:rsidP="001C1F50">
      <w:pPr>
        <w:jc w:val="both"/>
        <w:outlineLvl w:val="0"/>
        <w:rPr>
          <w:rFonts w:ascii="Arial" w:hAnsi="Arial" w:cs="Arial"/>
          <w:b/>
          <w:color w:val="000080"/>
          <w:sz w:val="20"/>
          <w:szCs w:val="20"/>
        </w:rPr>
      </w:pPr>
    </w:p>
    <w:p w14:paraId="68D30B4C" w14:textId="77777777" w:rsidR="00890E86" w:rsidRDefault="00890E86" w:rsidP="001C1F50">
      <w:pPr>
        <w:jc w:val="both"/>
        <w:outlineLvl w:val="0"/>
        <w:rPr>
          <w:rFonts w:ascii="Arial" w:hAnsi="Arial" w:cs="Arial"/>
          <w:b/>
          <w:color w:val="000080"/>
          <w:sz w:val="20"/>
          <w:szCs w:val="20"/>
        </w:rPr>
      </w:pPr>
    </w:p>
    <w:p w14:paraId="2BD5CE96" w14:textId="77777777" w:rsidR="008024A5" w:rsidRPr="00AF2224" w:rsidRDefault="008024A5" w:rsidP="008024A5">
      <w:pPr>
        <w:jc w:val="both"/>
        <w:outlineLvl w:val="0"/>
        <w:rPr>
          <w:rFonts w:ascii="Arial" w:hAnsi="Arial" w:cs="Arial"/>
          <w:color w:val="000080"/>
          <w:sz w:val="20"/>
          <w:szCs w:val="20"/>
        </w:rPr>
      </w:pPr>
      <w:r w:rsidRPr="008024A5">
        <w:rPr>
          <w:rFonts w:ascii="Arial" w:hAnsi="Arial" w:cs="Arial"/>
          <w:b/>
          <w:color w:val="000080"/>
          <w:sz w:val="20"/>
          <w:szCs w:val="20"/>
        </w:rPr>
        <w:t>Nombre persona que hace la alegación propuesta:</w:t>
      </w:r>
      <w:r w:rsidRPr="00AF2224">
        <w:rPr>
          <w:rFonts w:ascii="Arial" w:hAnsi="Arial" w:cs="Arial"/>
          <w:color w:val="000080"/>
          <w:sz w:val="20"/>
          <w:szCs w:val="20"/>
        </w:rPr>
        <w:t xml:space="preserve"> </w:t>
      </w:r>
      <w:r>
        <w:rPr>
          <w:rFonts w:ascii="Arial" w:hAnsi="Arial" w:cs="Arial"/>
          <w:color w:val="000080"/>
          <w:sz w:val="20"/>
          <w:szCs w:val="20"/>
        </w:rPr>
        <w:t xml:space="preserve">Maria Grazia Cattinari </w:t>
      </w:r>
    </w:p>
    <w:p w14:paraId="44630937" w14:textId="77777777" w:rsidR="008024A5" w:rsidRPr="00AF2224" w:rsidRDefault="008024A5" w:rsidP="008024A5">
      <w:pPr>
        <w:jc w:val="both"/>
        <w:outlineLvl w:val="0"/>
        <w:rPr>
          <w:rFonts w:ascii="Arial" w:hAnsi="Arial" w:cs="Arial"/>
          <w:color w:val="000080"/>
          <w:sz w:val="20"/>
          <w:szCs w:val="20"/>
        </w:rPr>
      </w:pPr>
      <w:r w:rsidRPr="008024A5">
        <w:rPr>
          <w:rFonts w:ascii="Arial" w:hAnsi="Arial" w:cs="Arial"/>
          <w:b/>
          <w:color w:val="000080"/>
          <w:sz w:val="20"/>
          <w:szCs w:val="20"/>
        </w:rPr>
        <w:t xml:space="preserve">Cargo que ocupa: </w:t>
      </w:r>
      <w:r>
        <w:rPr>
          <w:rFonts w:ascii="Arial" w:hAnsi="Arial" w:cs="Arial"/>
          <w:color w:val="000080"/>
          <w:sz w:val="20"/>
          <w:szCs w:val="20"/>
        </w:rPr>
        <w:t>directora médica</w:t>
      </w:r>
    </w:p>
    <w:p w14:paraId="266549B7" w14:textId="77777777" w:rsidR="008024A5" w:rsidRPr="00AF2224" w:rsidRDefault="008024A5" w:rsidP="008024A5">
      <w:pPr>
        <w:jc w:val="both"/>
        <w:outlineLvl w:val="0"/>
        <w:rPr>
          <w:rFonts w:ascii="Arial" w:hAnsi="Arial" w:cs="Arial"/>
          <w:color w:val="000080"/>
          <w:sz w:val="20"/>
          <w:szCs w:val="20"/>
        </w:rPr>
      </w:pPr>
      <w:r w:rsidRPr="008024A5">
        <w:rPr>
          <w:rFonts w:ascii="Arial" w:hAnsi="Arial" w:cs="Arial"/>
          <w:b/>
          <w:color w:val="000080"/>
          <w:sz w:val="20"/>
          <w:szCs w:val="20"/>
        </w:rPr>
        <w:t>Centro, sociedad o empresa:</w:t>
      </w:r>
      <w:r w:rsidRPr="00AF2224">
        <w:rPr>
          <w:rFonts w:ascii="Arial" w:hAnsi="Arial" w:cs="Arial"/>
          <w:color w:val="000080"/>
          <w:sz w:val="20"/>
          <w:szCs w:val="20"/>
        </w:rPr>
        <w:t xml:space="preserve"> </w:t>
      </w:r>
      <w:r>
        <w:rPr>
          <w:rFonts w:ascii="Arial" w:hAnsi="Arial" w:cs="Arial"/>
          <w:color w:val="000080"/>
          <w:sz w:val="20"/>
          <w:szCs w:val="20"/>
        </w:rPr>
        <w:t>FundAME Fundación atrofia muscular espinal</w:t>
      </w:r>
    </w:p>
    <w:p w14:paraId="16C9B6F1" w14:textId="77777777" w:rsidR="008024A5" w:rsidRDefault="008024A5" w:rsidP="008024A5">
      <w:pPr>
        <w:jc w:val="both"/>
        <w:outlineLvl w:val="0"/>
        <w:rPr>
          <w:rFonts w:ascii="Arial" w:hAnsi="Arial" w:cs="Arial"/>
          <w:color w:val="000080"/>
          <w:sz w:val="20"/>
          <w:szCs w:val="20"/>
        </w:rPr>
      </w:pPr>
      <w:r w:rsidRPr="008024A5">
        <w:rPr>
          <w:rFonts w:ascii="Arial" w:hAnsi="Arial" w:cs="Arial"/>
          <w:b/>
          <w:color w:val="000080"/>
          <w:sz w:val="20"/>
          <w:szCs w:val="20"/>
        </w:rPr>
        <w:t>Teléfono de contacto:</w:t>
      </w:r>
      <w:r>
        <w:rPr>
          <w:rFonts w:ascii="Arial" w:hAnsi="Arial" w:cs="Arial"/>
          <w:color w:val="000080"/>
          <w:sz w:val="20"/>
          <w:szCs w:val="20"/>
        </w:rPr>
        <w:t xml:space="preserve"> 606 66 70 40 </w:t>
      </w:r>
    </w:p>
    <w:p w14:paraId="537BFDA3" w14:textId="77777777" w:rsidR="008024A5" w:rsidRDefault="008024A5" w:rsidP="008024A5">
      <w:pPr>
        <w:jc w:val="both"/>
        <w:outlineLvl w:val="0"/>
        <w:rPr>
          <w:rFonts w:ascii="Arial" w:hAnsi="Arial" w:cs="Arial"/>
          <w:color w:val="000080"/>
          <w:sz w:val="20"/>
          <w:szCs w:val="20"/>
        </w:rPr>
      </w:pPr>
    </w:p>
    <w:p w14:paraId="56BE37FF" w14:textId="77777777" w:rsidR="008024A5" w:rsidRDefault="008024A5" w:rsidP="008024A5">
      <w:pPr>
        <w:jc w:val="both"/>
        <w:outlineLvl w:val="0"/>
        <w:rPr>
          <w:rFonts w:ascii="Arial" w:hAnsi="Arial" w:cs="Arial"/>
          <w:b/>
          <w:bCs/>
          <w:sz w:val="20"/>
          <w:szCs w:val="20"/>
        </w:rPr>
      </w:pPr>
      <w:r w:rsidRPr="008024A5">
        <w:rPr>
          <w:rFonts w:ascii="Arial" w:hAnsi="Arial" w:cs="Arial"/>
          <w:b/>
          <w:color w:val="000080"/>
          <w:sz w:val="20"/>
          <w:szCs w:val="20"/>
        </w:rPr>
        <w:t>FÁRMACO:</w:t>
      </w:r>
      <w:r>
        <w:rPr>
          <w:rFonts w:ascii="Arial" w:hAnsi="Arial" w:cs="Arial"/>
          <w:color w:val="000080"/>
          <w:sz w:val="20"/>
          <w:szCs w:val="20"/>
        </w:rPr>
        <w:t xml:space="preserve"> Onasemnogen Abeparvovec   </w:t>
      </w:r>
    </w:p>
    <w:p w14:paraId="5A770D0C" w14:textId="77777777" w:rsidR="008024A5" w:rsidRDefault="008024A5" w:rsidP="008024A5">
      <w:pPr>
        <w:jc w:val="both"/>
        <w:outlineLvl w:val="0"/>
        <w:rPr>
          <w:rFonts w:ascii="Arial" w:hAnsi="Arial" w:cs="Arial"/>
          <w:b/>
          <w:bCs/>
          <w:sz w:val="20"/>
          <w:szCs w:val="20"/>
        </w:rPr>
      </w:pPr>
    </w:p>
    <w:p w14:paraId="243C7647" w14:textId="189B3237" w:rsidR="008024A5" w:rsidRDefault="008024A5" w:rsidP="008024A5">
      <w:pPr>
        <w:jc w:val="both"/>
        <w:outlineLvl w:val="0"/>
        <w:rPr>
          <w:rFonts w:ascii="Arial" w:hAnsi="Arial" w:cs="Arial"/>
          <w:color w:val="000080"/>
          <w:sz w:val="20"/>
          <w:szCs w:val="20"/>
        </w:rPr>
      </w:pPr>
      <w:r w:rsidRPr="008024A5">
        <w:rPr>
          <w:rFonts w:ascii="Arial" w:hAnsi="Arial" w:cs="Arial"/>
          <w:b/>
          <w:color w:val="000080"/>
          <w:sz w:val="20"/>
          <w:szCs w:val="20"/>
        </w:rPr>
        <w:t>INDICACIÓN/ES.</w:t>
      </w:r>
      <w:r>
        <w:rPr>
          <w:rFonts w:ascii="Arial" w:hAnsi="Arial" w:cs="Arial"/>
          <w:color w:val="000080"/>
          <w:sz w:val="20"/>
          <w:szCs w:val="20"/>
        </w:rPr>
        <w:t xml:space="preserve"> Tratamiento de:</w:t>
      </w:r>
    </w:p>
    <w:p w14:paraId="3E92515E" w14:textId="77777777" w:rsidR="008024A5" w:rsidRDefault="008024A5" w:rsidP="008024A5">
      <w:pPr>
        <w:jc w:val="both"/>
        <w:outlineLvl w:val="0"/>
        <w:rPr>
          <w:rFonts w:ascii="Arial" w:hAnsi="Arial" w:cs="Arial"/>
          <w:color w:val="000080"/>
          <w:sz w:val="20"/>
          <w:szCs w:val="20"/>
        </w:rPr>
      </w:pPr>
      <w:r>
        <w:rPr>
          <w:rFonts w:ascii="Arial" w:hAnsi="Arial" w:cs="Arial"/>
          <w:color w:val="000080"/>
          <w:sz w:val="20"/>
          <w:szCs w:val="20"/>
        </w:rPr>
        <w:t xml:space="preserve">-Atrofia Muscular Espinal (AME) en 5q con una mutación bialélica en el gen SMN1 y un diagnóstico clínico de AME tipo I, o </w:t>
      </w:r>
    </w:p>
    <w:p w14:paraId="0E48593F" w14:textId="77777777" w:rsidR="008024A5" w:rsidRPr="00D04BE1" w:rsidRDefault="008024A5" w:rsidP="008024A5">
      <w:pPr>
        <w:jc w:val="both"/>
        <w:outlineLvl w:val="0"/>
        <w:rPr>
          <w:rFonts w:ascii="Arial" w:hAnsi="Arial" w:cs="Arial"/>
          <w:b/>
          <w:bCs/>
          <w:sz w:val="20"/>
          <w:szCs w:val="20"/>
        </w:rPr>
      </w:pPr>
      <w:r>
        <w:rPr>
          <w:rFonts w:ascii="Arial" w:hAnsi="Arial" w:cs="Arial"/>
          <w:color w:val="000080"/>
          <w:sz w:val="20"/>
          <w:szCs w:val="20"/>
        </w:rPr>
        <w:t xml:space="preserve">-pacientes con AME en 5q con una mutación bialélica en el gen SMN1 y hasta 3 copias del gen SMN2    </w:t>
      </w:r>
    </w:p>
    <w:p w14:paraId="08946E0D" w14:textId="77777777" w:rsidR="008024A5" w:rsidRDefault="008024A5" w:rsidP="008024A5">
      <w:pPr>
        <w:jc w:val="both"/>
        <w:rPr>
          <w:rFonts w:ascii="Arial" w:hAnsi="Arial" w:cs="Arial"/>
        </w:rPr>
      </w:pPr>
    </w:p>
    <w:p w14:paraId="7798E232" w14:textId="77777777" w:rsidR="008024A5" w:rsidRPr="00F06E7B" w:rsidRDefault="008024A5" w:rsidP="008024A5">
      <w:pPr>
        <w:jc w:val="both"/>
        <w:rPr>
          <w:rFonts w:ascii="Arial" w:hAnsi="Arial" w:cs="Arial"/>
          <w:b/>
          <w:color w:val="000080"/>
          <w:sz w:val="20"/>
        </w:rPr>
      </w:pPr>
    </w:p>
    <w:p w14:paraId="3F2A96B8" w14:textId="3595DCFA" w:rsidR="008024A5" w:rsidRPr="00F06E7B" w:rsidRDefault="008024A5" w:rsidP="008024A5">
      <w:pPr>
        <w:jc w:val="both"/>
        <w:rPr>
          <w:rFonts w:ascii="Arial" w:hAnsi="Arial" w:cs="Arial"/>
          <w:b/>
          <w:color w:val="000080"/>
          <w:sz w:val="20"/>
        </w:rPr>
      </w:pPr>
      <w:r w:rsidRPr="00F06E7B">
        <w:rPr>
          <w:rFonts w:ascii="Arial" w:hAnsi="Arial" w:cs="Arial"/>
          <w:b/>
          <w:color w:val="000080"/>
          <w:sz w:val="20"/>
        </w:rPr>
        <w:t xml:space="preserve">Tutor: </w:t>
      </w:r>
      <w:r>
        <w:rPr>
          <w:rFonts w:ascii="Arial" w:hAnsi="Arial" w:cs="Arial"/>
          <w:b/>
          <w:color w:val="000080"/>
          <w:sz w:val="20"/>
        </w:rPr>
        <w:t>Vicente Arocas Casañ</w:t>
      </w:r>
    </w:p>
    <w:p w14:paraId="5FE4E2BD" w14:textId="77777777" w:rsidR="008024A5" w:rsidRPr="00F06E7B" w:rsidRDefault="008024A5" w:rsidP="008024A5">
      <w:pPr>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862"/>
        <w:gridCol w:w="1734"/>
      </w:tblGrid>
      <w:tr w:rsidR="00B64993" w:rsidRPr="00241AFD" w14:paraId="638AD847" w14:textId="77777777" w:rsidTr="00B2691F">
        <w:tc>
          <w:tcPr>
            <w:tcW w:w="8942" w:type="dxa"/>
            <w:gridSpan w:val="2"/>
          </w:tcPr>
          <w:p w14:paraId="5BB06009" w14:textId="77777777" w:rsidR="00B64993" w:rsidRPr="00241AFD" w:rsidRDefault="00B64993" w:rsidP="00B2691F">
            <w:pPr>
              <w:rPr>
                <w:rFonts w:ascii="Arial" w:hAnsi="Arial" w:cs="Arial"/>
                <w:b/>
                <w:color w:val="000080"/>
                <w:sz w:val="18"/>
                <w:szCs w:val="18"/>
              </w:rPr>
            </w:pPr>
            <w:r w:rsidRPr="00241AFD">
              <w:rPr>
                <w:rFonts w:ascii="Arial" w:hAnsi="Arial" w:cs="Arial"/>
                <w:b/>
                <w:color w:val="000080"/>
                <w:sz w:val="18"/>
                <w:szCs w:val="18"/>
              </w:rPr>
              <w:t>Alegaciones al borrador público (MAXIMO 3 IMPRESOS)</w:t>
            </w:r>
          </w:p>
        </w:tc>
        <w:tc>
          <w:tcPr>
            <w:tcW w:w="1734" w:type="dxa"/>
          </w:tcPr>
          <w:p w14:paraId="18613069" w14:textId="77777777" w:rsidR="00B64993" w:rsidRPr="00241AFD" w:rsidRDefault="00B64993" w:rsidP="00B2691F">
            <w:pPr>
              <w:rPr>
                <w:rFonts w:ascii="Arial" w:hAnsi="Arial" w:cs="Arial"/>
                <w:b/>
                <w:color w:val="000080"/>
                <w:sz w:val="18"/>
                <w:szCs w:val="18"/>
              </w:rPr>
            </w:pPr>
            <w:r w:rsidRPr="00241AFD">
              <w:rPr>
                <w:rFonts w:ascii="Arial" w:hAnsi="Arial" w:cs="Arial"/>
                <w:b/>
                <w:color w:val="000080"/>
                <w:sz w:val="18"/>
                <w:szCs w:val="18"/>
              </w:rPr>
              <w:t>Respuesta del tutor</w:t>
            </w:r>
          </w:p>
        </w:tc>
      </w:tr>
      <w:tr w:rsidR="008024A5" w:rsidRPr="00241AFD" w14:paraId="667A2CCA" w14:textId="77777777" w:rsidTr="00B64993">
        <w:tc>
          <w:tcPr>
            <w:tcW w:w="1080" w:type="dxa"/>
          </w:tcPr>
          <w:p w14:paraId="51A25399"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5B6E0366"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268552B2" w14:textId="77777777" w:rsidR="008024A5" w:rsidRPr="00241AFD" w:rsidRDefault="008024A5" w:rsidP="008024A5">
            <w:pPr>
              <w:jc w:val="both"/>
              <w:rPr>
                <w:rFonts w:ascii="Arial" w:hAnsi="Arial" w:cs="Arial"/>
                <w:sz w:val="18"/>
                <w:szCs w:val="18"/>
              </w:rPr>
            </w:pPr>
            <w:r w:rsidRPr="00241AFD">
              <w:rPr>
                <w:rFonts w:ascii="Arial" w:hAnsi="Arial" w:cs="Arial"/>
                <w:sz w:val="18"/>
                <w:szCs w:val="18"/>
              </w:rPr>
              <w:t xml:space="preserve">9.1 1 Indicación, posología y forma de administración, pág. 45. </w:t>
            </w:r>
            <w:r w:rsidRPr="00241AFD">
              <w:rPr>
                <w:rFonts w:ascii="Arial" w:hAnsi="Arial" w:cs="Arial"/>
                <w:color w:val="000080"/>
                <w:sz w:val="18"/>
                <w:szCs w:val="18"/>
              </w:rPr>
              <w:t>Sugerimos revisar:</w:t>
            </w:r>
          </w:p>
          <w:p w14:paraId="63C24D0E" w14:textId="77777777" w:rsidR="008024A5" w:rsidRPr="00241AFD" w:rsidRDefault="008024A5" w:rsidP="008024A5">
            <w:pPr>
              <w:shd w:val="clear" w:color="auto" w:fill="FFFFFF"/>
              <w:jc w:val="both"/>
              <w:rPr>
                <w:rFonts w:ascii="Arial" w:hAnsi="Arial" w:cs="Arial"/>
                <w:sz w:val="18"/>
                <w:szCs w:val="18"/>
              </w:rPr>
            </w:pPr>
            <w:r w:rsidRPr="00241AFD">
              <w:rPr>
                <w:rFonts w:ascii="Arial" w:hAnsi="Arial" w:cs="Arial"/>
                <w:sz w:val="18"/>
                <w:szCs w:val="18"/>
              </w:rPr>
              <w:t xml:space="preserve">“Onasemnogén abeparvovec está indicado en pacientes </w:t>
            </w:r>
            <w:r w:rsidRPr="00241AFD">
              <w:rPr>
                <w:rFonts w:ascii="Arial" w:hAnsi="Arial" w:cs="Arial"/>
                <w:sz w:val="18"/>
                <w:szCs w:val="18"/>
                <w:lang w:val="ca-ES"/>
              </w:rPr>
              <w:t xml:space="preserve">con AME en 5q con una mutación bialélica en el gen SMN1 y un diagnóstico clínico o genético de AME tipo 1 </w:t>
            </w:r>
            <w:r w:rsidRPr="00241AFD">
              <w:rPr>
                <w:rFonts w:ascii="Arial" w:hAnsi="Arial" w:cs="Arial"/>
                <w:sz w:val="18"/>
                <w:szCs w:val="18"/>
              </w:rPr>
              <w:t xml:space="preserve">y hasta 3 copias del gen SMN2. </w:t>
            </w:r>
            <w:r w:rsidRPr="00241AFD">
              <w:rPr>
                <w:rFonts w:ascii="Arial" w:hAnsi="Arial" w:cs="Arial"/>
                <w:color w:val="000080"/>
                <w:sz w:val="18"/>
                <w:szCs w:val="18"/>
              </w:rPr>
              <w:t xml:space="preserve">Texto de la alegación. </w:t>
            </w:r>
            <w:r w:rsidRPr="00241AFD">
              <w:rPr>
                <w:rFonts w:ascii="Arial" w:hAnsi="Arial" w:cs="Arial"/>
                <w:color w:val="000000" w:themeColor="text1"/>
                <w:sz w:val="18"/>
                <w:szCs w:val="18"/>
              </w:rPr>
              <w:t xml:space="preserve">Estas indicaciones no corresponden a las establecidas por la EMA. La EMA establece tipos 1 sin limitar al número de copias y en el resto de los tipos (que incluiría además a presintomáticos), pacientes hasta 3 copias. </w:t>
            </w:r>
            <w:r w:rsidRPr="00241AFD">
              <w:rPr>
                <w:rFonts w:ascii="Arial" w:hAnsi="Arial" w:cs="Arial"/>
                <w:color w:val="000080"/>
                <w:sz w:val="18"/>
                <w:szCs w:val="18"/>
              </w:rPr>
              <w:t xml:space="preserve">Sugerimos, por lo tanto, modificar este párrafo </w:t>
            </w:r>
            <w:r w:rsidRPr="00241AFD">
              <w:rPr>
                <w:rFonts w:ascii="Arial" w:hAnsi="Arial" w:cs="Arial"/>
                <w:color w:val="000000" w:themeColor="text1"/>
                <w:sz w:val="18"/>
                <w:szCs w:val="18"/>
              </w:rPr>
              <w:t xml:space="preserve">a la </w:t>
            </w:r>
            <w:r w:rsidRPr="00241AFD">
              <w:rPr>
                <w:rFonts w:ascii="Arial" w:hAnsi="Arial" w:cs="Arial"/>
                <w:sz w:val="18"/>
                <w:szCs w:val="18"/>
              </w:rPr>
              <w:t xml:space="preserve">indicación de la EMA: Onasemnogén abeparvovec está indicado en Atrofia Muscular Espinal (AME) en 5q con una mutación bialélica en el gen SMN1 y un diagnóstico clínico de AME tipo I o pacientes con AME en 5q con una mutación bialélica en el gen SMN1 y hasta 3 copias del gen SMN2. </w:t>
            </w:r>
          </w:p>
        </w:tc>
        <w:tc>
          <w:tcPr>
            <w:tcW w:w="1734" w:type="dxa"/>
          </w:tcPr>
          <w:p w14:paraId="636CF830" w14:textId="39BC0BAD" w:rsidR="008024A5" w:rsidRPr="00241AFD" w:rsidRDefault="0095303C" w:rsidP="0081091D">
            <w:pPr>
              <w:rPr>
                <w:rFonts w:ascii="Tahoma" w:hAnsi="Tahoma"/>
                <w:color w:val="000080"/>
                <w:sz w:val="18"/>
                <w:szCs w:val="18"/>
              </w:rPr>
            </w:pPr>
            <w:r>
              <w:rPr>
                <w:rFonts w:ascii="Tahoma" w:hAnsi="Tahoma"/>
                <w:color w:val="000080"/>
                <w:sz w:val="18"/>
                <w:szCs w:val="18"/>
              </w:rPr>
              <w:t>Se acepta</w:t>
            </w:r>
          </w:p>
        </w:tc>
      </w:tr>
      <w:tr w:rsidR="008024A5" w:rsidRPr="00241AFD" w14:paraId="5A53F2DA" w14:textId="77777777" w:rsidTr="00B64993">
        <w:tc>
          <w:tcPr>
            <w:tcW w:w="1080" w:type="dxa"/>
          </w:tcPr>
          <w:p w14:paraId="78153C0A"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61AD32BB"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4C802DBD" w14:textId="77777777" w:rsidR="008024A5" w:rsidRPr="00241AFD" w:rsidRDefault="008024A5" w:rsidP="008024A5">
            <w:pPr>
              <w:jc w:val="both"/>
              <w:rPr>
                <w:rFonts w:ascii="Arial" w:hAnsi="Arial" w:cs="Arial"/>
                <w:sz w:val="18"/>
                <w:szCs w:val="18"/>
              </w:rPr>
            </w:pPr>
            <w:r w:rsidRPr="00241AFD">
              <w:rPr>
                <w:rFonts w:ascii="Arial" w:hAnsi="Arial" w:cs="Arial"/>
                <w:sz w:val="18"/>
                <w:szCs w:val="18"/>
              </w:rPr>
              <w:t>Tabla 7.4.1.2 Estimación de la población diana en tratamiento, pag, 34. Pag 36 (entre otros). .</w:t>
            </w:r>
            <w:r w:rsidRPr="00241AFD">
              <w:rPr>
                <w:rFonts w:ascii="Arial" w:hAnsi="Arial" w:cs="Arial"/>
                <w:color w:val="000080"/>
                <w:sz w:val="18"/>
                <w:szCs w:val="18"/>
              </w:rPr>
              <w:t xml:space="preserve">Sugerimos revisar: </w:t>
            </w:r>
            <w:r w:rsidRPr="00241AFD">
              <w:rPr>
                <w:rStyle w:val="normaltextrun"/>
                <w:rFonts w:ascii="Arial" w:hAnsi="Arial" w:cs="Arial"/>
                <w:color w:val="000000"/>
                <w:sz w:val="18"/>
                <w:szCs w:val="18"/>
                <w:bdr w:val="none" w:sz="0" w:space="0" w:color="auto" w:frame="1"/>
              </w:rPr>
              <w:t xml:space="preserve">el emplear a los “AME tipo II y tres copias de SMN2” excluyendo los AME tipos 2 con 2 copias, para establecer el cálculo de la población diana y las indicaciones del tratamiento. Se descarta a los pacientes AME tipo II con 2 copias de SMN2. La indicación de la EMA establece hasta 3 copias. Sugerimos por lo tanto modificar la orientación de las indicaciones, población diana etc, a los pacientes AME tipo II </w:t>
            </w:r>
            <w:r w:rsidRPr="00241AFD">
              <w:rPr>
                <w:rStyle w:val="normaltextrun"/>
                <w:rFonts w:ascii="Arial" w:hAnsi="Arial" w:cs="Arial"/>
                <w:b/>
                <w:bCs/>
                <w:color w:val="000000"/>
                <w:sz w:val="18"/>
                <w:szCs w:val="18"/>
                <w:u w:val="single"/>
                <w:bdr w:val="none" w:sz="0" w:space="0" w:color="auto" w:frame="1"/>
              </w:rPr>
              <w:t>con hasta 3 copias</w:t>
            </w:r>
            <w:r w:rsidRPr="00241AFD">
              <w:rPr>
                <w:rStyle w:val="normaltextrun"/>
                <w:rFonts w:ascii="Arial" w:hAnsi="Arial" w:cs="Arial"/>
                <w:color w:val="000000"/>
                <w:sz w:val="18"/>
                <w:szCs w:val="18"/>
                <w:bdr w:val="none" w:sz="0" w:space="0" w:color="auto" w:frame="1"/>
              </w:rPr>
              <w:t xml:space="preserve">. </w:t>
            </w:r>
          </w:p>
        </w:tc>
        <w:tc>
          <w:tcPr>
            <w:tcW w:w="1734" w:type="dxa"/>
          </w:tcPr>
          <w:p w14:paraId="6C678486" w14:textId="35A55681" w:rsidR="008024A5" w:rsidRPr="00241AFD" w:rsidRDefault="00DB7EDB" w:rsidP="0081091D">
            <w:pPr>
              <w:rPr>
                <w:rFonts w:ascii="Tahoma" w:hAnsi="Tahoma"/>
                <w:color w:val="000080"/>
                <w:sz w:val="18"/>
                <w:szCs w:val="18"/>
              </w:rPr>
            </w:pPr>
            <w:r>
              <w:rPr>
                <w:rFonts w:ascii="Tahoma" w:hAnsi="Tahoma"/>
                <w:color w:val="000080"/>
                <w:sz w:val="18"/>
                <w:szCs w:val="18"/>
              </w:rPr>
              <w:t>Aceptada. Se rectifica la población diana y el impacto presupuestario</w:t>
            </w:r>
          </w:p>
        </w:tc>
      </w:tr>
      <w:tr w:rsidR="008024A5" w:rsidRPr="00241AFD" w14:paraId="007A271C" w14:textId="77777777" w:rsidTr="00B64993">
        <w:tc>
          <w:tcPr>
            <w:tcW w:w="1080" w:type="dxa"/>
          </w:tcPr>
          <w:p w14:paraId="61987DDE"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3221A456"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4FAA464A" w14:textId="77777777" w:rsidR="008024A5" w:rsidRPr="00241AFD" w:rsidRDefault="008024A5" w:rsidP="008024A5">
            <w:pPr>
              <w:jc w:val="both"/>
              <w:rPr>
                <w:rFonts w:ascii="Arial" w:hAnsi="Arial" w:cs="Arial"/>
                <w:sz w:val="18"/>
                <w:szCs w:val="18"/>
              </w:rPr>
            </w:pPr>
            <w:r w:rsidRPr="00241AFD">
              <w:rPr>
                <w:rFonts w:ascii="Arial" w:hAnsi="Arial" w:cs="Arial"/>
                <w:color w:val="000080"/>
                <w:sz w:val="18"/>
                <w:szCs w:val="18"/>
              </w:rPr>
              <w:t xml:space="preserve">3.2.b </w:t>
            </w:r>
            <w:r w:rsidRPr="00241AFD">
              <w:rPr>
                <w:rFonts w:ascii="Arial" w:hAnsi="Arial" w:cs="Arial"/>
                <w:sz w:val="18"/>
                <w:szCs w:val="18"/>
              </w:rPr>
              <w:t>Tratamiento actual de la enfermedad: evidencias pág 6.</w:t>
            </w:r>
            <w:r w:rsidRPr="00241AFD">
              <w:rPr>
                <w:rFonts w:ascii="Arial" w:hAnsi="Arial" w:cs="Arial"/>
                <w:color w:val="000080"/>
                <w:sz w:val="18"/>
                <w:szCs w:val="18"/>
              </w:rPr>
              <w:t xml:space="preserve"> Sugerimos revisar</w:t>
            </w:r>
            <w:r w:rsidRPr="00241AFD">
              <w:rPr>
                <w:rFonts w:ascii="Arial" w:hAnsi="Arial" w:cs="Arial"/>
                <w:sz w:val="18"/>
                <w:szCs w:val="18"/>
              </w:rPr>
              <w:t xml:space="preserve">: ”debido a la existencia de formas más precoces y graves de AME, se considera que estas últimas serían </w:t>
            </w:r>
            <w:r w:rsidRPr="00241AFD">
              <w:rPr>
                <w:rFonts w:ascii="Arial" w:hAnsi="Arial" w:cs="Arial"/>
                <w:sz w:val="18"/>
                <w:szCs w:val="18"/>
                <w:u w:val="single"/>
              </w:rPr>
              <w:t>poblaciones más prioritarias en cuanto a la necesidad de tratamiento</w:t>
            </w:r>
            <w:r w:rsidRPr="00241AFD">
              <w:rPr>
                <w:rFonts w:ascii="Arial" w:hAnsi="Arial" w:cs="Arial"/>
                <w:sz w:val="18"/>
                <w:szCs w:val="18"/>
              </w:rPr>
              <w:t xml:space="preserve">”. </w:t>
            </w:r>
            <w:r w:rsidRPr="00241AFD">
              <w:rPr>
                <w:rFonts w:ascii="Arial" w:hAnsi="Arial" w:cs="Arial"/>
                <w:color w:val="000080"/>
                <w:sz w:val="18"/>
                <w:szCs w:val="18"/>
              </w:rPr>
              <w:t xml:space="preserve">Texto de la alegación: </w:t>
            </w:r>
            <w:r w:rsidRPr="00241AFD">
              <w:rPr>
                <w:rFonts w:ascii="Arial" w:hAnsi="Arial" w:cs="Arial"/>
                <w:sz w:val="18"/>
                <w:szCs w:val="18"/>
              </w:rPr>
              <w:t xml:space="preserve">Al ser una enfermedad degenerativa, muy grave y altamente discapacitante en todas sus presentaciones no sería ético (principio de beneficencia) “priorizar” pacientes. No se puede priorizar el derecho a la salud. Si la eficacia del tratamiento se establece en todos los tipos, todos los tipos son prioritarios para dicho tratamiento. Si el mecanismo de acción es el mismo y se espera que los resultados sean positivos, es un contrasentido establecer prioridades en función de que sean o no formas precoces. </w:t>
            </w:r>
          </w:p>
        </w:tc>
        <w:tc>
          <w:tcPr>
            <w:tcW w:w="1734" w:type="dxa"/>
          </w:tcPr>
          <w:p w14:paraId="525776EC" w14:textId="2900F04D" w:rsidR="008024A5" w:rsidRPr="00241AFD" w:rsidRDefault="0081091D" w:rsidP="0081091D">
            <w:pPr>
              <w:rPr>
                <w:rFonts w:ascii="Tahoma" w:hAnsi="Tahoma"/>
                <w:color w:val="000080"/>
                <w:sz w:val="18"/>
                <w:szCs w:val="18"/>
              </w:rPr>
            </w:pPr>
            <w:r w:rsidRPr="00241AFD">
              <w:rPr>
                <w:rFonts w:ascii="Tahoma" w:hAnsi="Tahoma"/>
                <w:color w:val="000080"/>
                <w:sz w:val="18"/>
                <w:szCs w:val="18"/>
              </w:rPr>
              <w:t>Se acepta. Se elimina la última parte del párrafo</w:t>
            </w:r>
          </w:p>
        </w:tc>
      </w:tr>
      <w:tr w:rsidR="008024A5" w:rsidRPr="00241AFD" w14:paraId="08B2537A" w14:textId="77777777" w:rsidTr="00B64993">
        <w:tc>
          <w:tcPr>
            <w:tcW w:w="1080" w:type="dxa"/>
          </w:tcPr>
          <w:p w14:paraId="693B1BCF"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1BA6CEB6"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6954DA61" w14:textId="77777777" w:rsidR="008024A5" w:rsidRPr="00241AFD" w:rsidRDefault="008024A5" w:rsidP="008024A5">
            <w:pPr>
              <w:jc w:val="both"/>
              <w:rPr>
                <w:rFonts w:ascii="Arial" w:hAnsi="Arial" w:cs="Arial"/>
                <w:color w:val="000080"/>
                <w:sz w:val="18"/>
                <w:szCs w:val="18"/>
              </w:rPr>
            </w:pPr>
            <w:r w:rsidRPr="00241AFD">
              <w:rPr>
                <w:rFonts w:ascii="Arial" w:hAnsi="Arial" w:cs="Arial"/>
                <w:color w:val="000080"/>
                <w:sz w:val="18"/>
                <w:szCs w:val="18"/>
              </w:rPr>
              <w:t xml:space="preserve">3.2.b </w:t>
            </w:r>
            <w:r w:rsidRPr="00241AFD">
              <w:rPr>
                <w:rFonts w:ascii="Arial" w:hAnsi="Arial" w:cs="Arial"/>
                <w:sz w:val="18"/>
                <w:szCs w:val="18"/>
              </w:rPr>
              <w:t>Tratamiento actual de la enfermedad: evidencias</w:t>
            </w:r>
            <w:r w:rsidRPr="00241AFD">
              <w:rPr>
                <w:rFonts w:ascii="Arial" w:hAnsi="Arial" w:cs="Arial"/>
                <w:color w:val="000080"/>
                <w:sz w:val="18"/>
                <w:szCs w:val="18"/>
              </w:rPr>
              <w:t>, pàg 6 Sugerimos revisar</w:t>
            </w:r>
            <w:r w:rsidRPr="00241AFD">
              <w:rPr>
                <w:rFonts w:ascii="Arial" w:hAnsi="Arial" w:cs="Arial"/>
                <w:sz w:val="18"/>
                <w:szCs w:val="18"/>
              </w:rPr>
              <w:t xml:space="preserve">: “El mecanismo de acción en estos tipos de AME es el mismo y podrían, por tanto, esperarse resultados positivos en estos pacientes; </w:t>
            </w:r>
            <w:r w:rsidRPr="00241AFD">
              <w:rPr>
                <w:rFonts w:ascii="Arial" w:hAnsi="Arial" w:cs="Arial"/>
                <w:sz w:val="18"/>
                <w:szCs w:val="18"/>
                <w:u w:val="single"/>
              </w:rPr>
              <w:t>sin embargo, se desconoce cuál sería el beneficio neto del tratamiento en esta población</w:t>
            </w:r>
            <w:r w:rsidRPr="00241AFD">
              <w:rPr>
                <w:rFonts w:ascii="Arial" w:hAnsi="Arial" w:cs="Arial"/>
                <w:sz w:val="18"/>
                <w:szCs w:val="18"/>
              </w:rPr>
              <w:t xml:space="preserve">”. </w:t>
            </w:r>
            <w:r w:rsidRPr="00241AFD">
              <w:rPr>
                <w:rFonts w:ascii="Arial" w:hAnsi="Arial" w:cs="Arial"/>
                <w:color w:val="000080"/>
                <w:sz w:val="18"/>
                <w:szCs w:val="18"/>
              </w:rPr>
              <w:t xml:space="preserve">Texto de la alegación: </w:t>
            </w:r>
            <w:r w:rsidRPr="00241AFD">
              <w:rPr>
                <w:rFonts w:ascii="Arial" w:hAnsi="Arial" w:cs="Arial"/>
                <w:sz w:val="18"/>
                <w:szCs w:val="18"/>
              </w:rPr>
              <w:t>Debido a que la mutación y el mecanismo de acción del tratamiento es el mismo, es de esperarse beneficios en toda la población. Se cuenta además con evidencia en el “mundo real” del beneficio del tratamiento de los pacientes fuera del perfil de los ensayos clínicos. Es decir, pacientes mayores de 12 años, adultos, crónicos</w:t>
            </w:r>
            <w:r w:rsidRPr="00241AFD">
              <w:rPr>
                <w:rFonts w:ascii="Arial" w:hAnsi="Arial" w:cs="Arial"/>
                <w:sz w:val="18"/>
                <w:szCs w:val="18"/>
              </w:rPr>
              <w:fldChar w:fldCharType="begin"/>
            </w:r>
            <w:r w:rsidRPr="00241AFD">
              <w:rPr>
                <w:rFonts w:ascii="Arial" w:hAnsi="Arial" w:cs="Arial"/>
                <w:sz w:val="18"/>
                <w:szCs w:val="18"/>
              </w:rPr>
              <w:instrText xml:space="preserve"> ADDIN ZOTERO_ITEM CSL_CITATION {"citationID":"t5olTzHf","properties":{"formattedCitation":"(1\\uc0\\u8211{}4)","plainCitation":"(1–4)","noteIndex":0},"citationItems":[{"id":165,"uris":["http://zotero.org/users/6170830/items/6QTK3ACD"],"uri":["http://zotero.org/users/6170830/items/6QTK3ACD"],"itemData":{"id":165,"type":"article-journal","container-title":"Neuromuscul Disord","ISSN":"10.1016/j.nmd.2018.05.010.","issue":"7","page":"582-585","title":"Italian EAP working group. Nusinersen in type 1 SMA infants, children and young adults: Preliminary results on motor function","volume":"28","author":[{"family":"Pane M, Palermo C, Messina S, Sansone VA, Bruno C, et al.;","given":""}],"issued":{"date-parts":[["2018",7]]}},"label":"page"},{"id":164,"uris":["http://zotero.org/users/6170830/items/PFWPAWZ5"],"uri":["http://zotero.org/users/6170830/items/PFWPAWZ5"],"itemData":{"id":164,"type":"article-journal","container-title":"J Neuromuscul Dis.","DOI":"10.3233/JND-190416.","issue":"4","journalAbbreviation":"J Neuromuscul Dis.","page":"453-465","title":"Safety and Treatment Effects of Nusinersen in Longstanding Adult 5q-SMA Type 3 - A Prospective Observational Study.","volume":"6","author":[{"family":"Walter MC, Wenninger S, Thiele S, Stauber J, Hiebeler M, et al.","given":""}]},"label":"page"},{"id":166,"uris":["http://zotero.org/users/6170830/items/9N34NM7M"],"uri":["http://zotero.org/users/6170830/items/9N34NM7M"],"itemData":{"id":166,"type":"article-journal","container-title":"J Neuromuscul Dis.","DOI":"10.3233/JND-190453.","issue":"3","journalAbbreviation":"J Neuromuscul Dis.","page":"257-268.","title":"Prospective Cohort Study of Nusinersen Treatment in Adults with Spinal Muscular Atrophy","volume":"7","author":[{"family":"Yeo CJJ, Simeone SD, Townsend EL, Zhang RZ, Swoboda KJ.","given":""}],"issued":{"date-parts":[["2020"]]}},"label":"page"},{"id":167,"uris":["http://zotero.org/users/6170830/items/HECBR5SL"],"uri":["http://zotero.org/users/6170830/items/HECBR5SL"],"itemData":{"id":167,"type":"article-journal","container-title":"J Neurol Neurosurg Psychiatry","DOI":"10.1136/jnnp-2020-323822. Epub 2020 Sep 11. PMID: 32917822.","issue":"11","journalAbbreviation":"J Neurol Neurosurg Psychiatry","page":"1166-1174","title":"Nusinersen safety and effects on motor function in adult spinal muscular atrophy type 2 and 3.","volume":"9","author":[{"family":"Maggi L, Bello L, Bonanno S, Govoni A, Caponnetto C, et al.","given":""}],"issued":{"date-parts":[["2020",11]]}},"label":"page"}],"schema":"https://github.com/citation-style-language/schema/raw/master/csl-citation.json"} </w:instrText>
            </w:r>
            <w:r w:rsidRPr="00241AFD">
              <w:rPr>
                <w:rFonts w:ascii="Arial" w:hAnsi="Arial" w:cs="Arial"/>
                <w:sz w:val="18"/>
                <w:szCs w:val="18"/>
              </w:rPr>
              <w:fldChar w:fldCharType="separate"/>
            </w:r>
            <w:r w:rsidRPr="00241AFD">
              <w:rPr>
                <w:rFonts w:ascii="Arial" w:hAnsi="Arial" w:cs="Arial"/>
                <w:sz w:val="18"/>
                <w:szCs w:val="18"/>
              </w:rPr>
              <w:t>(1–4)</w:t>
            </w:r>
            <w:r w:rsidRPr="00241AFD">
              <w:rPr>
                <w:rFonts w:ascii="Arial" w:hAnsi="Arial" w:cs="Arial"/>
                <w:sz w:val="18"/>
                <w:szCs w:val="18"/>
              </w:rPr>
              <w:fldChar w:fldCharType="end"/>
            </w:r>
            <w:r w:rsidRPr="00241AFD">
              <w:rPr>
                <w:rFonts w:ascii="Arial" w:hAnsi="Arial" w:cs="Arial"/>
                <w:sz w:val="18"/>
                <w:szCs w:val="18"/>
              </w:rPr>
              <w:t xml:space="preserve">. </w:t>
            </w:r>
            <w:r w:rsidRPr="00241AFD">
              <w:rPr>
                <w:rStyle w:val="normaltextrun"/>
                <w:rFonts w:ascii="Arial" w:hAnsi="Arial" w:cs="Arial"/>
                <w:color w:val="000000"/>
                <w:sz w:val="18"/>
                <w:szCs w:val="18"/>
                <w:shd w:val="clear" w:color="auto" w:fill="FFFFFF"/>
              </w:rPr>
              <w:t>Este mismo argumento se aplicaría a la pág. 15, punto 2b: “Los estrictos criterios de exclusión y el pequeño número de participantes plantean dudas sobre la generalización de los resultados a la población de pacientes con AME en general (p. ej., aquellos más gravemente afectados, inicios de tratamiento más tardío, pacientes con comorbilidades como la escoliosis).”</w:t>
            </w:r>
          </w:p>
        </w:tc>
        <w:tc>
          <w:tcPr>
            <w:tcW w:w="1734" w:type="dxa"/>
          </w:tcPr>
          <w:p w14:paraId="774AB944" w14:textId="6D1D05CB" w:rsidR="008024A5" w:rsidRPr="00241AFD" w:rsidRDefault="0081091D" w:rsidP="0081091D">
            <w:pPr>
              <w:rPr>
                <w:rFonts w:ascii="Tahoma" w:hAnsi="Tahoma"/>
                <w:color w:val="000080"/>
                <w:sz w:val="18"/>
                <w:szCs w:val="18"/>
              </w:rPr>
            </w:pPr>
            <w:r w:rsidRPr="00241AFD">
              <w:rPr>
                <w:rFonts w:ascii="Arial" w:hAnsi="Arial" w:cs="Arial"/>
                <w:color w:val="000080"/>
                <w:sz w:val="18"/>
                <w:szCs w:val="18"/>
              </w:rPr>
              <w:t>Se acepta. Se modifica el apartado 3.2.b, de la pág. 6, pero no el punto 2.B de la página 15, ya que, en este caso, se analiza la aplicabilidad de un EC concreto y no de la experiencia en la vida real.</w:t>
            </w:r>
          </w:p>
        </w:tc>
      </w:tr>
      <w:tr w:rsidR="008024A5" w:rsidRPr="00241AFD" w14:paraId="0D6A190C" w14:textId="77777777" w:rsidTr="00B64993">
        <w:tc>
          <w:tcPr>
            <w:tcW w:w="1080" w:type="dxa"/>
          </w:tcPr>
          <w:p w14:paraId="3C3926D8"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7793F6CB"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026FD125" w14:textId="77777777" w:rsidR="008024A5" w:rsidRPr="00241AFD" w:rsidRDefault="008024A5" w:rsidP="008024A5">
            <w:pPr>
              <w:rPr>
                <w:rFonts w:ascii="Arial" w:hAnsi="Arial" w:cs="Arial"/>
                <w:sz w:val="18"/>
                <w:szCs w:val="18"/>
              </w:rPr>
            </w:pPr>
            <w:r w:rsidRPr="00241AFD">
              <w:rPr>
                <w:rFonts w:ascii="Arial" w:hAnsi="Arial" w:cs="Arial"/>
                <w:sz w:val="18"/>
                <w:szCs w:val="18"/>
              </w:rPr>
              <w:t>3.2.a Definición</w:t>
            </w:r>
            <w:r w:rsidRPr="00241AFD">
              <w:rPr>
                <w:rFonts w:ascii="Arial" w:hAnsi="Arial" w:cs="Arial"/>
                <w:color w:val="000080"/>
                <w:sz w:val="18"/>
                <w:szCs w:val="18"/>
              </w:rPr>
              <w:t xml:space="preserve"> </w:t>
            </w:r>
            <w:r w:rsidRPr="00241AFD">
              <w:rPr>
                <w:rFonts w:ascii="Arial" w:hAnsi="Arial" w:cs="Arial"/>
                <w:sz w:val="18"/>
                <w:szCs w:val="18"/>
              </w:rPr>
              <w:t xml:space="preserve">pág. 5 </w:t>
            </w:r>
            <w:r w:rsidRPr="00241AFD">
              <w:rPr>
                <w:rFonts w:ascii="Arial" w:hAnsi="Arial" w:cs="Arial"/>
                <w:color w:val="000080"/>
                <w:sz w:val="18"/>
                <w:szCs w:val="18"/>
              </w:rPr>
              <w:t xml:space="preserve">Sugerimos revisar: </w:t>
            </w:r>
            <w:r w:rsidRPr="00241AFD">
              <w:rPr>
                <w:rFonts w:ascii="Arial" w:hAnsi="Arial" w:cs="Arial"/>
                <w:sz w:val="18"/>
                <w:szCs w:val="18"/>
              </w:rPr>
              <w:t>“… de forma que los pacientes con mayor número de copias presentan una forma menos grave de la enfermedad”.</w:t>
            </w:r>
            <w:r w:rsidRPr="00241AFD">
              <w:rPr>
                <w:rFonts w:ascii="Arial" w:hAnsi="Arial" w:cs="Arial"/>
                <w:color w:val="000080"/>
                <w:sz w:val="18"/>
                <w:szCs w:val="18"/>
              </w:rPr>
              <w:t xml:space="preserve"> Texto de la alegación:</w:t>
            </w:r>
            <w:r w:rsidRPr="00241AFD">
              <w:rPr>
                <w:rFonts w:ascii="Arial" w:hAnsi="Arial" w:cs="Arial"/>
                <w:sz w:val="18"/>
                <w:szCs w:val="18"/>
              </w:rPr>
              <w:t xml:space="preserve"> El número de copias SMN2 es un fuerte predictor de la AME, pero existen además otros modificadores como por ejemplo el c.859G&gt;c. Los pacientes con un mayor número de copias, </w:t>
            </w:r>
            <w:r w:rsidRPr="00241AFD">
              <w:rPr>
                <w:rFonts w:ascii="Arial" w:hAnsi="Arial" w:cs="Arial"/>
                <w:i/>
                <w:iCs/>
                <w:sz w:val="18"/>
                <w:szCs w:val="18"/>
                <w:u w:val="single"/>
              </w:rPr>
              <w:t>suelen</w:t>
            </w:r>
            <w:r w:rsidRPr="00241AFD">
              <w:rPr>
                <w:rFonts w:ascii="Arial" w:hAnsi="Arial" w:cs="Arial"/>
                <w:sz w:val="18"/>
                <w:szCs w:val="18"/>
              </w:rPr>
              <w:t xml:space="preserve"> presentar formas menos graves, sin embargo, el número de copias SMN2 no permite predecir con precisión el curso de la enfermedad en un individuo dado. Por ejemplo, un paciente con 3 </w:t>
            </w:r>
            <w:r w:rsidRPr="00241AFD">
              <w:rPr>
                <w:rFonts w:ascii="Arial" w:hAnsi="Arial" w:cs="Arial"/>
                <w:sz w:val="18"/>
                <w:szCs w:val="18"/>
              </w:rPr>
              <w:lastRenderedPageBreak/>
              <w:t xml:space="preserve">copias, puede presentar una afectación en todo el espectro de la AME desde un tipo 1 hasta un tipo 3. (2,3). Por lo tanto, sugerimos cambiar a: “de forma que los pacientes con mayor número de copias </w:t>
            </w:r>
            <w:r w:rsidRPr="00241AFD">
              <w:rPr>
                <w:rFonts w:ascii="Arial" w:hAnsi="Arial" w:cs="Arial"/>
                <w:sz w:val="18"/>
                <w:szCs w:val="18"/>
                <w:u w:val="single"/>
              </w:rPr>
              <w:t>suelen</w:t>
            </w:r>
            <w:r w:rsidRPr="00241AFD">
              <w:rPr>
                <w:rFonts w:ascii="Arial" w:hAnsi="Arial" w:cs="Arial"/>
                <w:sz w:val="18"/>
                <w:szCs w:val="18"/>
              </w:rPr>
              <w:t xml:space="preserve"> presentan una forma menos grave de la enfermedad”</w:t>
            </w:r>
            <w:r w:rsidRPr="00241AFD">
              <w:rPr>
                <w:rFonts w:ascii="Arial" w:hAnsi="Arial" w:cs="Arial"/>
                <w:sz w:val="18"/>
                <w:szCs w:val="18"/>
              </w:rPr>
              <w:fldChar w:fldCharType="begin"/>
            </w:r>
            <w:r w:rsidRPr="00241AFD">
              <w:rPr>
                <w:rFonts w:ascii="Arial" w:hAnsi="Arial" w:cs="Arial"/>
                <w:sz w:val="18"/>
                <w:szCs w:val="18"/>
              </w:rPr>
              <w:instrText xml:space="preserve"> ADDIN ZOTERO_ITEM CSL_CITATION {"citationID":"G2P1NEXp","properties":{"formattedCitation":"(5,6)","plainCitation":"(5,6)","noteIndex":0},"citationItems":[{"id":155,"uris":["http://zotero.org/users/6170830/items/RNTRPAIL"],"uri":["http://zotero.org/users/6170830/items/RNTRPAIL"],"itemData":{"id":155,"type":"article-journal","abstract":"Spinal muscular atrophy (SMA) is a neuromuscular disorder caused by loss or mutations in SMN1. According to age of onset, achieved motor abilities, and life span, SMA patients are classiﬁed into type I (never sit), II (never walk unaided) or III (achieve independent walking abilities). SMN2, the highly homologous copy of SMN1, is considered the most important phenotypic modiﬁer of the disease. Determination of SMN2 copy number is essential to establish careful genotype–phenotype correlations, predict disease evolution, and to stratify patients for clinical trials. We have determined SMN2 copy numbers in 625 unrelated Spanish SMA patients with loss or mutation of both copies of SMN1 and a clear assignation of the SMA type by clinical criteria. Furthermore, we compiled data from relevant worldwide reports that link SMN2 copy number with SMA severity published from 1999 to date (2834 patients with different ethnic and geographic backgrounds). Altogether, we have assembled a database with a total of 3459 patients to delineate more universal prognostic rules regarding the inﬂuence of SMN2 copy number on SMA phenotype. This issue is crucial in the present scenario of therapeutic advances with the perspective of SMA neonatal screening and early diagnosis to initiate treatments.","container-title":"Neuromuscular Disorders","DOI":"10.1016/j.nmd.2018.01.003","ISSN":"09608966","issue":"3","journalAbbreviation":"Neuromuscular Disorders","language":"en","page":"208-215","source":"DOI.org (Crossref)","title":"Correlation between SMA type and SMN2 copy number revisited: An analysis of 625 unrelated Spanish patients and a compilation of 2834 reported cases","title-short":"Correlation between SMA type and SMN2 copy number revisited","volume":"28","author":[{"family":"Calucho","given":"Maite"},{"family":"Bernal","given":"Sara"},{"family":"Alías","given":"Laura"},{"family":"March","given":"Francesca"},{"family":"Venceslá","given":"Adoración"},{"family":"Rodríguez-Álvarez","given":"Francisco J."},{"family":"Aller","given":"Elena"},{"family":"Fernández","given":"Raquel M."},{"family":"Borrego","given":"Salud"},{"family":"Millán","given":"José M."},{"family":"Hernández-Chico","given":"Concepción"},{"family":"Cuscó","given":"Ivon"},{"family":"Fuentes-Prior","given":"Pablo"},{"family":"Tizzano","given":"Eduardo F."}],"issued":{"date-parts":[["2018",3]]}},"label":"page"},{"id":156,"uris":["http://zotero.org/users/6170830/items/7UX9ZQLP"],"uri":["http://zotero.org/users/6170830/items/7UX9ZQLP"],"itemData":{"id":156,"type":"article-journal","container-title":"Journal of Neuromuscular Diseases","DOI":"10.3233/JND-200475","ISSN":"22143599, 22143602","issue":"2","journalAbbreviation":"JND","language":"en","page":"109-117","source":"DOI.org (Crossref)","title":"Infants Diagnosed with Spinal Muscular Atrophy and 4 SMN2 Copies through Newborn Screening – Opportunity or Burden?","volume":"7","author":[{"family":"Müller-Felber","given":"Wolfgang"},{"family":"Vill","given":"Katharina"},{"family":"Schwartz","given":"Oliver"},{"family":"Gläser","given":"Dieter"},{"family":"Nennstiel","given":"Uta"},{"family":"Wirth","given":"Brunhilde"},{"family":"Burggraf","given":"Siegfried"},{"family":"Röschinger","given":"Wulf"},{"family":"Becker","given":"Marc"},{"family":"Durner","given":"Jürgen"},{"family":"Eggermann","given":"Katja"},{"family":"Müller","given":"Christine"},{"family":"Hannibal","given":"Iris"},{"family":"Olgemöller","given":"Bernd"},{"family":"Schara","given":"Ulrike"},{"family":"Blaschek","given":"Astrid"},{"family":"Kölbel","given":"Heike"}],"issued":{"date-parts":[["2020",3,20]]}},"label":"page"}],"schema":"https://github.com/citation-style-language/schema/raw/master/csl-citation.json"} </w:instrText>
            </w:r>
            <w:r w:rsidRPr="00241AFD">
              <w:rPr>
                <w:rFonts w:ascii="Arial" w:hAnsi="Arial" w:cs="Arial"/>
                <w:sz w:val="18"/>
                <w:szCs w:val="18"/>
              </w:rPr>
              <w:fldChar w:fldCharType="separate"/>
            </w:r>
            <w:r w:rsidRPr="00241AFD">
              <w:rPr>
                <w:rFonts w:ascii="Arial" w:hAnsi="Arial" w:cs="Arial"/>
                <w:sz w:val="18"/>
                <w:szCs w:val="18"/>
              </w:rPr>
              <w:t>(5,6)</w:t>
            </w:r>
            <w:r w:rsidRPr="00241AFD">
              <w:rPr>
                <w:rFonts w:ascii="Arial" w:hAnsi="Arial" w:cs="Arial"/>
                <w:sz w:val="18"/>
                <w:szCs w:val="18"/>
              </w:rPr>
              <w:fldChar w:fldCharType="end"/>
            </w:r>
            <w:r w:rsidRPr="00241AFD">
              <w:rPr>
                <w:rFonts w:ascii="Arial" w:hAnsi="Arial" w:cs="Arial"/>
                <w:sz w:val="18"/>
                <w:szCs w:val="18"/>
              </w:rPr>
              <w:t xml:space="preserve">. </w:t>
            </w:r>
          </w:p>
        </w:tc>
        <w:tc>
          <w:tcPr>
            <w:tcW w:w="1734" w:type="dxa"/>
          </w:tcPr>
          <w:p w14:paraId="16B7349D" w14:textId="21A7A82B" w:rsidR="008024A5" w:rsidRPr="00241AFD" w:rsidRDefault="004151DA" w:rsidP="008024A5">
            <w:pPr>
              <w:shd w:val="clear" w:color="auto" w:fill="FFFFFF"/>
              <w:jc w:val="both"/>
              <w:rPr>
                <w:rFonts w:ascii="Arial" w:hAnsi="Arial"/>
                <w:color w:val="000080"/>
                <w:sz w:val="18"/>
                <w:szCs w:val="18"/>
              </w:rPr>
            </w:pPr>
            <w:r w:rsidRPr="00241AFD">
              <w:rPr>
                <w:rFonts w:ascii="Arial" w:hAnsi="Arial" w:cs="Arial"/>
                <w:color w:val="000080"/>
                <w:sz w:val="18"/>
                <w:szCs w:val="18"/>
              </w:rPr>
              <w:lastRenderedPageBreak/>
              <w:t>Se acepta.</w:t>
            </w:r>
          </w:p>
        </w:tc>
      </w:tr>
      <w:tr w:rsidR="008024A5" w:rsidRPr="00241AFD" w14:paraId="04C59A66" w14:textId="77777777" w:rsidTr="00B64993">
        <w:tc>
          <w:tcPr>
            <w:tcW w:w="1080" w:type="dxa"/>
          </w:tcPr>
          <w:p w14:paraId="3A4F99B5"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lastRenderedPageBreak/>
              <w:t>Maria Grazia Cattinari</w:t>
            </w:r>
          </w:p>
          <w:p w14:paraId="1AC87F03"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18BD49CB" w14:textId="77777777" w:rsidR="008024A5" w:rsidRPr="00241AFD" w:rsidRDefault="008024A5" w:rsidP="008024A5">
            <w:pPr>
              <w:rPr>
                <w:rFonts w:ascii="Arial" w:hAnsi="Arial" w:cs="Arial"/>
                <w:sz w:val="18"/>
                <w:szCs w:val="18"/>
              </w:rPr>
            </w:pPr>
            <w:r w:rsidRPr="00241AFD">
              <w:rPr>
                <w:rFonts w:ascii="Arial" w:hAnsi="Arial" w:cs="Arial"/>
                <w:color w:val="000080"/>
                <w:sz w:val="18"/>
                <w:szCs w:val="18"/>
              </w:rPr>
              <w:t xml:space="preserve">3.2.a </w:t>
            </w:r>
            <w:r w:rsidRPr="00241AFD">
              <w:rPr>
                <w:rFonts w:ascii="Arial" w:hAnsi="Arial" w:cs="Arial"/>
                <w:sz w:val="18"/>
                <w:szCs w:val="18"/>
              </w:rPr>
              <w:t xml:space="preserve">Grados de gravedad / Estadiaje, pág. 5. </w:t>
            </w:r>
            <w:r w:rsidRPr="00241AFD">
              <w:rPr>
                <w:rFonts w:ascii="Arial" w:hAnsi="Arial" w:cs="Arial"/>
                <w:color w:val="000080"/>
                <w:sz w:val="18"/>
                <w:szCs w:val="18"/>
              </w:rPr>
              <w:t>Sugerimos revisar</w:t>
            </w:r>
            <w:r w:rsidRPr="00241AFD">
              <w:rPr>
                <w:rFonts w:ascii="Arial" w:hAnsi="Arial" w:cs="Arial"/>
                <w:color w:val="215868" w:themeColor="accent5" w:themeShade="80"/>
                <w:sz w:val="18"/>
                <w:szCs w:val="18"/>
              </w:rPr>
              <w:t xml:space="preserve">: </w:t>
            </w:r>
            <w:r w:rsidRPr="00241AFD">
              <w:rPr>
                <w:rFonts w:ascii="Arial" w:hAnsi="Arial" w:cs="Arial"/>
                <w:sz w:val="18"/>
                <w:szCs w:val="18"/>
              </w:rPr>
              <w:t>el número de copias que se establecen por tipo de AME. Los AME tipo 1 pueden presentar de 1 a 3 copias (el 20% presenta 3 copias SMN2) y los AME tipo 2 pueden presentar 2, 3 y hasta 4 copias</w:t>
            </w:r>
            <w:r w:rsidRPr="00241AFD">
              <w:rPr>
                <w:rFonts w:ascii="Arial" w:hAnsi="Arial" w:cs="Arial"/>
                <w:sz w:val="18"/>
                <w:szCs w:val="18"/>
              </w:rPr>
              <w:fldChar w:fldCharType="begin"/>
            </w:r>
            <w:r w:rsidRPr="00241AFD">
              <w:rPr>
                <w:rFonts w:ascii="Arial" w:hAnsi="Arial" w:cs="Arial"/>
                <w:sz w:val="18"/>
                <w:szCs w:val="18"/>
              </w:rPr>
              <w:instrText xml:space="preserve"> ADDIN ZOTERO_ITEM CSL_CITATION {"citationID":"rt9t0MZO","properties":{"formattedCitation":"(5)","plainCitation":"(5)","noteIndex":0},"citationItems":[{"id":155,"uris":["http://zotero.org/users/6170830/items/RNTRPAIL"],"uri":["http://zotero.org/users/6170830/items/RNTRPAIL"],"itemData":{"id":155,"type":"article-journal","abstract":"Spinal muscular atrophy (SMA) is a neuromuscular disorder caused by loss or mutations in SMN1. According to age of onset, achieved motor abilities, and life span, SMA patients are classiﬁed into type I (never sit), II (never walk unaided) or III (achieve independent walking abilities). SMN2, the highly homologous copy of SMN1, is considered the most important phenotypic modiﬁer of the disease. Determination of SMN2 copy number is essential to establish careful genotype–phenotype correlations, predict disease evolution, and to stratify patients for clinical trials. We have determined SMN2 copy numbers in 625 unrelated Spanish SMA patients with loss or mutation of both copies of SMN1 and a clear assignation of the SMA type by clinical criteria. Furthermore, we compiled data from relevant worldwide reports that link SMN2 copy number with SMA severity published from 1999 to date (2834 patients with different ethnic and geographic backgrounds). Altogether, we have assembled a database with a total of 3459 patients to delineate more universal prognostic rules regarding the inﬂuence of SMN2 copy number on SMA phenotype. This issue is crucial in the present scenario of therapeutic advances with the perspective of SMA neonatal screening and early diagnosis to initiate treatments.","container-title":"Neuromuscular Disorders","DOI":"10.1016/j.nmd.2018.01.003","ISSN":"09608966","issue":"3","journalAbbreviation":"Neuromuscular Disorders","language":"en","page":"208-215","source":"DOI.org (Crossref)","title":"Correlation between SMA type and SMN2 copy number revisited: An analysis of 625 unrelated Spanish patients and a compilation of 2834 reported cases","title-short":"Correlation between SMA type and SMN2 copy number revisited","volume":"28","author":[{"family":"Calucho","given":"Maite"},{"family":"Bernal","given":"Sara"},{"family":"Alías","given":"Laura"},{"family":"March","given":"Francesca"},{"family":"Venceslá","given":"Adoración"},{"family":"Rodríguez-Álvarez","given":"Francisco J."},{"family":"Aller","given":"Elena"},{"family":"Fernández","given":"Raquel M."},{"family":"Borrego","given":"Salud"},{"family":"Millán","given":"José M."},{"family":"Hernández-Chico","given":"Concepción"},{"family":"Cuscó","given":"Ivon"},{"family":"Fuentes-Prior","given":"Pablo"},{"family":"Tizzano","given":"Eduardo F."}],"issued":{"date-parts":[["2018",3]]}}}],"schema":"https://github.com/citation-style-language/schema/raw/master/csl-citation.json"} </w:instrText>
            </w:r>
            <w:r w:rsidRPr="00241AFD">
              <w:rPr>
                <w:rFonts w:ascii="Arial" w:hAnsi="Arial" w:cs="Arial"/>
                <w:sz w:val="18"/>
                <w:szCs w:val="18"/>
              </w:rPr>
              <w:fldChar w:fldCharType="separate"/>
            </w:r>
            <w:r w:rsidRPr="00241AFD">
              <w:rPr>
                <w:rFonts w:ascii="Arial" w:hAnsi="Arial" w:cs="Arial"/>
                <w:sz w:val="18"/>
                <w:szCs w:val="18"/>
              </w:rPr>
              <w:t>(5)</w:t>
            </w:r>
            <w:r w:rsidRPr="00241AFD">
              <w:rPr>
                <w:rFonts w:ascii="Arial" w:hAnsi="Arial" w:cs="Arial"/>
                <w:sz w:val="18"/>
                <w:szCs w:val="18"/>
              </w:rPr>
              <w:fldChar w:fldCharType="end"/>
            </w:r>
            <w:r w:rsidRPr="00241AFD">
              <w:rPr>
                <w:rFonts w:ascii="Arial" w:hAnsi="Arial" w:cs="Arial"/>
                <w:sz w:val="18"/>
                <w:szCs w:val="18"/>
              </w:rPr>
              <w:t>.</w:t>
            </w:r>
          </w:p>
        </w:tc>
        <w:tc>
          <w:tcPr>
            <w:tcW w:w="1734" w:type="dxa"/>
          </w:tcPr>
          <w:p w14:paraId="30C4B0F6" w14:textId="37EB484C" w:rsidR="008024A5" w:rsidRPr="00241AFD" w:rsidRDefault="004151DA" w:rsidP="008024A5">
            <w:pPr>
              <w:shd w:val="clear" w:color="auto" w:fill="FFFFFF"/>
              <w:jc w:val="both"/>
              <w:rPr>
                <w:rFonts w:ascii="Arial" w:hAnsi="Arial"/>
                <w:color w:val="000080"/>
                <w:sz w:val="18"/>
                <w:szCs w:val="18"/>
              </w:rPr>
            </w:pPr>
            <w:r w:rsidRPr="00241AFD">
              <w:rPr>
                <w:rFonts w:ascii="Arial" w:hAnsi="Arial" w:cs="Arial"/>
                <w:color w:val="000080"/>
                <w:sz w:val="18"/>
                <w:szCs w:val="18"/>
              </w:rPr>
              <w:t>Se acepta.</w:t>
            </w:r>
          </w:p>
        </w:tc>
      </w:tr>
      <w:tr w:rsidR="008024A5" w:rsidRPr="00241AFD" w14:paraId="2DD9FC12" w14:textId="77777777" w:rsidTr="00B64993">
        <w:tc>
          <w:tcPr>
            <w:tcW w:w="1080" w:type="dxa"/>
          </w:tcPr>
          <w:p w14:paraId="2BC0E40B"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21F93B30"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716054F6" w14:textId="77777777" w:rsidR="008024A5" w:rsidRPr="00241AFD" w:rsidRDefault="008024A5" w:rsidP="008024A5">
            <w:pPr>
              <w:jc w:val="both"/>
              <w:rPr>
                <w:rFonts w:ascii="Arial" w:hAnsi="Arial" w:cs="Arial"/>
                <w:sz w:val="18"/>
                <w:szCs w:val="18"/>
              </w:rPr>
            </w:pPr>
            <w:r w:rsidRPr="00241AFD">
              <w:rPr>
                <w:rFonts w:ascii="Arial" w:hAnsi="Arial" w:cs="Arial"/>
                <w:color w:val="000080"/>
                <w:sz w:val="18"/>
                <w:szCs w:val="18"/>
              </w:rPr>
              <w:t xml:space="preserve">3.2.a </w:t>
            </w:r>
            <w:r w:rsidRPr="00241AFD">
              <w:rPr>
                <w:rFonts w:ascii="Arial" w:hAnsi="Arial" w:cs="Arial"/>
                <w:sz w:val="18"/>
                <w:szCs w:val="18"/>
              </w:rPr>
              <w:t>Evolución / Pronóstico</w:t>
            </w:r>
            <w:r w:rsidRPr="00241AFD">
              <w:rPr>
                <w:rFonts w:ascii="Arial" w:hAnsi="Arial" w:cs="Arial"/>
                <w:color w:val="000080"/>
                <w:sz w:val="18"/>
                <w:szCs w:val="18"/>
              </w:rPr>
              <w:t xml:space="preserve"> pág. 5. Sugerimos revisar</w:t>
            </w:r>
            <w:r w:rsidRPr="00241AFD">
              <w:rPr>
                <w:rFonts w:ascii="Arial" w:hAnsi="Arial" w:cs="Arial"/>
                <w:color w:val="215868" w:themeColor="accent5" w:themeShade="80"/>
                <w:sz w:val="18"/>
                <w:szCs w:val="18"/>
              </w:rPr>
              <w:t>: “</w:t>
            </w:r>
            <w:r w:rsidRPr="00241AFD">
              <w:rPr>
                <w:rFonts w:ascii="Arial" w:hAnsi="Arial" w:cs="Arial"/>
                <w:sz w:val="18"/>
                <w:szCs w:val="18"/>
              </w:rPr>
              <w:t>y en algunos casos no se compromete la vida del paciente, pero sí se ve reducida su movilidad a una silla de ruedas.</w:t>
            </w:r>
            <w:r w:rsidRPr="00241AFD">
              <w:rPr>
                <w:rStyle w:val="Refdecomentario"/>
                <w:rFonts w:ascii="Arial" w:hAnsi="Arial" w:cs="Arial"/>
                <w:color w:val="215868" w:themeColor="accent5" w:themeShade="80"/>
                <w:sz w:val="18"/>
                <w:szCs w:val="18"/>
              </w:rPr>
              <w:t>”</w:t>
            </w:r>
            <w:r w:rsidRPr="00241AFD">
              <w:rPr>
                <w:rStyle w:val="Refdecomentario"/>
                <w:rFonts w:ascii="Arial" w:hAnsi="Arial" w:cs="Arial"/>
                <w:sz w:val="18"/>
                <w:szCs w:val="18"/>
              </w:rPr>
              <w:t xml:space="preserve"> </w:t>
            </w:r>
            <w:r w:rsidRPr="00241AFD">
              <w:rPr>
                <w:rFonts w:ascii="Arial" w:hAnsi="Arial" w:cs="Arial"/>
                <w:color w:val="000080"/>
                <w:sz w:val="18"/>
                <w:szCs w:val="18"/>
              </w:rPr>
              <w:t>Texto de la alegación:</w:t>
            </w:r>
            <w:r w:rsidRPr="00241AFD">
              <w:rPr>
                <w:rStyle w:val="Refdecomentario"/>
                <w:rFonts w:ascii="Arial" w:hAnsi="Arial" w:cs="Arial"/>
                <w:sz w:val="18"/>
                <w:szCs w:val="18"/>
              </w:rPr>
              <w:t xml:space="preserve"> La AME es </w:t>
            </w:r>
            <w:r w:rsidRPr="00241AFD">
              <w:rPr>
                <w:rFonts w:ascii="Arial" w:hAnsi="Arial" w:cs="Arial"/>
                <w:sz w:val="18"/>
                <w:szCs w:val="18"/>
              </w:rPr>
              <w:t>altamente discapacitante en todas sus presentaciones, la discapacidad no se reduce exclusivamente a la silla de rueda. Sugerencia: El 80% de los pacientes ven reducida su esperanza de vida. Sólo un 20% no la ve reducida. El 100% ve su calidad de vida empeorada dramáticamente debido a la condición degenerativa y discapacitante de la enfermedad.</w:t>
            </w:r>
          </w:p>
        </w:tc>
        <w:tc>
          <w:tcPr>
            <w:tcW w:w="1734" w:type="dxa"/>
          </w:tcPr>
          <w:p w14:paraId="17A847DF" w14:textId="58415ACF" w:rsidR="008024A5" w:rsidRPr="00241AFD" w:rsidRDefault="004151DA" w:rsidP="008024A5">
            <w:pPr>
              <w:shd w:val="clear" w:color="auto" w:fill="FFFFFF"/>
              <w:jc w:val="both"/>
              <w:rPr>
                <w:rFonts w:ascii="Arial" w:hAnsi="Arial"/>
                <w:color w:val="000080"/>
                <w:sz w:val="18"/>
                <w:szCs w:val="18"/>
              </w:rPr>
            </w:pPr>
            <w:r w:rsidRPr="00241AFD">
              <w:rPr>
                <w:rFonts w:ascii="Arial" w:hAnsi="Arial" w:cs="Arial"/>
                <w:color w:val="000080"/>
                <w:sz w:val="18"/>
                <w:szCs w:val="18"/>
              </w:rPr>
              <w:t>Se acepta.</w:t>
            </w:r>
          </w:p>
        </w:tc>
      </w:tr>
      <w:tr w:rsidR="008024A5" w:rsidRPr="00241AFD" w14:paraId="6A97BA99" w14:textId="77777777" w:rsidTr="00B64993">
        <w:tc>
          <w:tcPr>
            <w:tcW w:w="1080" w:type="dxa"/>
          </w:tcPr>
          <w:p w14:paraId="1EA81203"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30C7BDE7"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79CD2553" w14:textId="77777777" w:rsidR="008024A5" w:rsidRPr="00241AFD" w:rsidRDefault="008024A5" w:rsidP="008024A5">
            <w:pPr>
              <w:jc w:val="both"/>
              <w:rPr>
                <w:rFonts w:ascii="Arial" w:hAnsi="Arial" w:cs="Arial"/>
                <w:color w:val="000080"/>
                <w:sz w:val="18"/>
                <w:szCs w:val="18"/>
              </w:rPr>
            </w:pPr>
            <w:r w:rsidRPr="00241AFD">
              <w:rPr>
                <w:rFonts w:ascii="Arial" w:hAnsi="Arial" w:cs="Arial"/>
                <w:color w:val="000080"/>
                <w:sz w:val="18"/>
                <w:szCs w:val="18"/>
              </w:rPr>
              <w:t xml:space="preserve">3.2.a </w:t>
            </w:r>
            <w:r w:rsidRPr="00241AFD">
              <w:rPr>
                <w:rFonts w:ascii="Arial" w:hAnsi="Arial" w:cs="Arial"/>
                <w:sz w:val="18"/>
                <w:szCs w:val="18"/>
              </w:rPr>
              <w:t xml:space="preserve">Grados de gravedad / Estadiaje, pág. 4. </w:t>
            </w:r>
            <w:r w:rsidRPr="00241AFD">
              <w:rPr>
                <w:rFonts w:ascii="Arial" w:hAnsi="Arial" w:cs="Arial"/>
                <w:color w:val="000080"/>
                <w:sz w:val="18"/>
                <w:szCs w:val="18"/>
              </w:rPr>
              <w:t>Sugerimos revisar</w:t>
            </w:r>
            <w:r w:rsidRPr="00241AFD">
              <w:rPr>
                <w:rFonts w:ascii="Arial" w:hAnsi="Arial" w:cs="Arial"/>
                <w:color w:val="215868" w:themeColor="accent5" w:themeShade="80"/>
                <w:sz w:val="18"/>
                <w:szCs w:val="18"/>
              </w:rPr>
              <w:t>: “</w:t>
            </w:r>
            <w:r w:rsidRPr="00241AFD">
              <w:rPr>
                <w:rFonts w:ascii="Arial" w:hAnsi="Arial" w:cs="Arial"/>
                <w:sz w:val="18"/>
                <w:szCs w:val="18"/>
              </w:rPr>
              <w:t xml:space="preserve">La AME se clasifica clínicamente en cuatro grandes grupos, en función de la gravedad de los síntomas, la edad de aparición y la evolución”. </w:t>
            </w:r>
            <w:r w:rsidRPr="00241AFD">
              <w:rPr>
                <w:rFonts w:ascii="Arial" w:hAnsi="Arial" w:cs="Arial"/>
                <w:color w:val="000080"/>
                <w:sz w:val="18"/>
                <w:szCs w:val="18"/>
              </w:rPr>
              <w:t>Texto de la alegación:</w:t>
            </w:r>
            <w:r w:rsidRPr="00241AFD">
              <w:rPr>
                <w:rFonts w:ascii="Arial" w:hAnsi="Arial" w:cs="Arial"/>
                <w:sz w:val="18"/>
                <w:szCs w:val="18"/>
              </w:rPr>
              <w:t xml:space="preserve"> Esta clasificación </w:t>
            </w:r>
            <w:r w:rsidRPr="00241AFD">
              <w:rPr>
                <w:rFonts w:ascii="Arial" w:hAnsi="Arial" w:cs="Arial"/>
                <w:sz w:val="18"/>
                <w:szCs w:val="18"/>
                <w:u w:val="single"/>
              </w:rPr>
              <w:t>clásica</w:t>
            </w:r>
            <w:r w:rsidRPr="00241AFD">
              <w:rPr>
                <w:rFonts w:ascii="Arial" w:hAnsi="Arial" w:cs="Arial"/>
                <w:sz w:val="18"/>
                <w:szCs w:val="18"/>
              </w:rPr>
              <w:t xml:space="preserve">, no considera los nuevos fenotipos producto de los tratamientos modificadores de la enfermedad,  y no considera la clasificación funcional (non-sitters, sitters, Walkers). Incluye además el tipo 0 (congénito) dentro de los tipo 1. Sugerencia: La AME se clasifica </w:t>
            </w:r>
            <w:r w:rsidRPr="00241AFD">
              <w:rPr>
                <w:rFonts w:ascii="Arial" w:hAnsi="Arial" w:cs="Arial"/>
                <w:sz w:val="18"/>
                <w:szCs w:val="18"/>
                <w:u w:val="single"/>
              </w:rPr>
              <w:t>convencionalmente</w:t>
            </w:r>
            <w:r w:rsidRPr="00241AFD">
              <w:rPr>
                <w:rFonts w:ascii="Arial" w:hAnsi="Arial" w:cs="Arial"/>
                <w:sz w:val="18"/>
                <w:szCs w:val="18"/>
              </w:rPr>
              <w:t xml:space="preserve"> en cuatro grandes grupos, en función de la gravedad de los síntomas, la edad de aparición y la evolución, con un fenotipo adicional (tipo 0) para describir las formas graves de atrofia muscular espinal de inicio prenatal</w:t>
            </w:r>
            <w:r w:rsidRPr="00241AFD">
              <w:rPr>
                <w:rFonts w:ascii="Arial" w:hAnsi="Arial" w:cs="Arial"/>
                <w:sz w:val="18"/>
                <w:szCs w:val="18"/>
              </w:rPr>
              <w:fldChar w:fldCharType="begin"/>
            </w:r>
            <w:r w:rsidRPr="00241AFD">
              <w:rPr>
                <w:rFonts w:ascii="Arial" w:hAnsi="Arial" w:cs="Arial"/>
                <w:sz w:val="18"/>
                <w:szCs w:val="18"/>
              </w:rPr>
              <w:instrText xml:space="preserve"> ADDIN ZOTERO_ITEM CSL_CITATION {"citationID":"wa2WdwE9","properties":{"formattedCitation":"(7,9)","plainCitation":"(7,9)","noteIndex":0},"citationItems":[{"id":161,"uris":["http://zotero.org/users/6170830/items/UUTIPVDH"],"uri":["http://zotero.org/users/6170830/items/UUTIPVDH"],"itemData":{"id":161,"type":"article-journal","container-title":"The Lancet Neurology","DOI":"10.1016/S1474-4422(12)70061-3","ISSN":"14744422","issue":"5","journalAbbreviation":"The Lancet Neurology","language":"en","page":"443-452","source":"DOI.org (Crossref)","title":"Childhood spinal muscular atrophy: controversies and challenges","title-short":"Childhood spinal muscular atrophy","volume":"11","author":[{"family":"Mercuri","given":"Eugenio"},{"family":"Bertini","given":"Enrico"},{"family":"Iannaccone","given":"Susan T"}],"issued":{"date-parts":[["2012",5]]}},"label":"page"},{"id":74,"uris":["http://zotero.org/users/6170830/items/8DSLNSVH"],"uri":["http://zotero.org/users/6170830/items/8DSLNSVH"],"itemData":{"id":74,"type":"article-journal","abstract":"Spinal muscular atrophy (SMA) is a severe neuromuscular disorder due to a defect in the survival motor neuron 1 (SMN1) gene. Its incidence is approximately 1 in 11,000 live births. In 2007, an International Conference on the Standard of Care for SMA published a consensus statement on SMA standard of care that has been widely used throughout the world. Here we report a two-part update of the topics covered in the previous recommendations. In part 1 we present the methods used to achieve these recommendations, and an update on diagnosis, rehabilitation, orthopedic and spinal management; and nutritional, swallowing and gastrointestinal management. Pulmonary management, acute care, other organ involvement, ethical issues, medications, and the impact of new treatments for SMA are discussed in part 2.","container-title":"Neuromuscular Disorders","DOI":"10.1016/j.nmd.2017.11.005","ISSN":"09608966","issue":"2","journalAbbreviation":"Neuromuscular Disorders","language":"en","page":"103-115","source":"DOI.org (Crossref)","title":"Diagnosis and management of spinal muscular atrophy: Part 1: Recommendations for diagnosis, rehabilitation, orthopedic and nutritional care","title-short":"Diagnosis and management of spinal muscular atrophy","volume":"28","author":[{"family":"Mercuri","given":"Eugenio"},{"family":"Finkel","given":"Richard S."},{"family":"Muntoni","given":"Francesco"},{"family":"Wirth","given":"Brunhilde"},{"family":"Montes","given":"Jacqueline"},{"family":"Main","given":"Marion"},{"family":"Mazzone","given":"Elena S."},{"family":"Vitale","given":"Michael"},{"family":"Snyder","given":"Brian"},{"family":"Quijano-Roy","given":"Susana"},{"family":"Bertini","given":"Enrico"},{"family":"Davis","given":"Rebecca Hurst"},{"family":"Meyer","given":"Oscar H."},{"family":"Simonds","given":"Anita K."},{"family":"Schroth","given":"Mary K."},{"family":"Graham","given":"Robert J."},{"family":"Kirschner","given":"Janbernd"},{"family":"Iannaccone","given":"Susan T."},{"family":"Crawford","given":"Thomas O."},{"family":"Woods","given":"Simon"},{"family":"Qian","given":"Ying"},{"family":"Sejersen","given":"Thomas"},{"family":"Muntoni","given":"Francesco"},{"family":"Wirth","given":"Brunhilde"},{"family":"Tiziano","given":"Francesco Danilo"},{"family":"Kirschner","given":"Janbernd"},{"family":"Tizzano","given":"Eduardo"},{"family":"Topaloglu","given":"Haluk"},{"family":"Swoboda","given":"Kathy"},{"family":"Laing","given":"Nigel"},{"family":"Kayoko","given":"Saito"},{"family":"Prior","given":"Thomas"},{"family":"Chung","given":"Wendy K."},{"family":"Wu","given":"Shou-Mei"},{"family":"Montes","given":"Jacqueline"},{"family":"Mazzone","given":"Elena"},{"family":"Main","given":"Marion"},{"family":"Coleman","given":"Caron"},{"family":"Gee","given":"Richard"},{"family":"Glanzman","given":"Allan"},{"family":"Kroksmark","given":"Anna-Karin"},{"family":"Krosschell","given":"Kristin"},{"family":"Nelson","given":"Leslie"},{"family":"Rose","given":"Kristy"},{"family":"Stępień","given":"Agnieszka"},{"family":"Vuillerot","given":"Carole"},{"family":"Vitale","given":"Michael"},{"family":"Snyder","given":"Brian"},{"family":"Quijano-Roy","given":"Susana"},{"family":"Dubousset","given":"Jean"},{"family":"Farrington","given":"David"},{"family":"Flynn","given":"Jack"},{"family":"Halanski","given":"Matthew"},{"family":"Hasler","given":"Carol"},{"family":"Miladi","given":"Lotfi"},{"family":"Reilly","given":"Christopher"},{"family":"Roye","given":"Benjamin"},{"family":"Sponseller","given":"Paul"},{"family":"Yazici","given":"Muharrem"},{"family":"Hurst","given":"Rebecca"},{"family":"Bertini","given":"Enrico"},{"family":"Tarrant","given":"Stacey"},{"family":"Barja","given":"Salesa"},{"family":"Bertoli","given":"Simona"},{"family":"Crawford","given":"Thomas"},{"family":"Foust","given":"Kevin"},{"family":"Kyle","given":"Barbara"},{"family":"Rodan","given":"Lance"},{"family":"Roper","given":"Helen"},{"family":"Seffrood","given":"Erin"},{"family":"Swoboda","given":"Kathryn"},{"family":"Szlagatys-Sidorkiewicz","given":"Agnieszka"}],"issued":{"date-parts":[["2018",2]]}},"label":"page"}],"schema":"https://github.com/citation-style-language/schema/raw/master/csl-citation.json"} </w:instrText>
            </w:r>
            <w:r w:rsidRPr="00241AFD">
              <w:rPr>
                <w:rFonts w:ascii="Arial" w:hAnsi="Arial" w:cs="Arial"/>
                <w:sz w:val="18"/>
                <w:szCs w:val="18"/>
              </w:rPr>
              <w:fldChar w:fldCharType="separate"/>
            </w:r>
            <w:r w:rsidRPr="00241AFD">
              <w:rPr>
                <w:rFonts w:ascii="Arial" w:hAnsi="Arial" w:cs="Arial"/>
                <w:sz w:val="18"/>
                <w:szCs w:val="18"/>
              </w:rPr>
              <w:t>(7,9)</w:t>
            </w:r>
            <w:r w:rsidRPr="00241AFD">
              <w:rPr>
                <w:rFonts w:ascii="Arial" w:hAnsi="Arial" w:cs="Arial"/>
                <w:sz w:val="18"/>
                <w:szCs w:val="18"/>
              </w:rPr>
              <w:fldChar w:fldCharType="end"/>
            </w:r>
            <w:r w:rsidRPr="00241AFD">
              <w:rPr>
                <w:rFonts w:ascii="Arial" w:hAnsi="Arial" w:cs="Arial"/>
                <w:sz w:val="18"/>
                <w:szCs w:val="18"/>
              </w:rPr>
              <w:t>. Esta clasificación no es aplicable a los pacientes tratados pre sintomáticamente.</w:t>
            </w:r>
          </w:p>
        </w:tc>
        <w:tc>
          <w:tcPr>
            <w:tcW w:w="1734" w:type="dxa"/>
          </w:tcPr>
          <w:p w14:paraId="4E1DDC42" w14:textId="5E4590D0" w:rsidR="008024A5" w:rsidRPr="00241AFD" w:rsidRDefault="004151DA" w:rsidP="008024A5">
            <w:pPr>
              <w:shd w:val="clear" w:color="auto" w:fill="FFFFFF"/>
              <w:jc w:val="both"/>
              <w:rPr>
                <w:rFonts w:ascii="Arial" w:hAnsi="Arial"/>
                <w:color w:val="000080"/>
                <w:sz w:val="18"/>
                <w:szCs w:val="18"/>
              </w:rPr>
            </w:pPr>
            <w:r w:rsidRPr="00241AFD">
              <w:rPr>
                <w:rFonts w:ascii="Arial" w:hAnsi="Arial" w:cs="Arial"/>
                <w:color w:val="000080"/>
                <w:sz w:val="18"/>
                <w:szCs w:val="18"/>
              </w:rPr>
              <w:t>Se acepta.</w:t>
            </w:r>
          </w:p>
        </w:tc>
      </w:tr>
      <w:tr w:rsidR="008024A5" w:rsidRPr="00241AFD" w14:paraId="43023289" w14:textId="77777777" w:rsidTr="00B64993">
        <w:trPr>
          <w:trHeight w:val="1552"/>
        </w:trPr>
        <w:tc>
          <w:tcPr>
            <w:tcW w:w="1080" w:type="dxa"/>
          </w:tcPr>
          <w:p w14:paraId="59DE6BA1"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44D3D67B"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0DD8021B" w14:textId="77777777" w:rsidR="008024A5" w:rsidRPr="00241AFD" w:rsidRDefault="008024A5" w:rsidP="008024A5">
            <w:pPr>
              <w:pStyle w:val="Textocomentario"/>
              <w:rPr>
                <w:rFonts w:ascii="Arial" w:hAnsi="Arial" w:cs="Arial"/>
                <w:color w:val="000080"/>
                <w:sz w:val="18"/>
                <w:szCs w:val="18"/>
              </w:rPr>
            </w:pPr>
            <w:r w:rsidRPr="00241AFD">
              <w:rPr>
                <w:rFonts w:ascii="Arial" w:hAnsi="Arial" w:cs="Arial"/>
                <w:color w:val="000080"/>
                <w:sz w:val="18"/>
                <w:szCs w:val="18"/>
              </w:rPr>
              <w:t xml:space="preserve">3.2.a </w:t>
            </w:r>
            <w:r w:rsidRPr="00241AFD">
              <w:rPr>
                <w:rFonts w:ascii="Arial" w:hAnsi="Arial" w:cs="Arial"/>
                <w:sz w:val="18"/>
                <w:szCs w:val="18"/>
              </w:rPr>
              <w:t xml:space="preserve">Grados de gravedad / Estadiaje pág. 4. </w:t>
            </w:r>
            <w:r w:rsidRPr="00241AFD">
              <w:rPr>
                <w:rFonts w:ascii="Arial" w:hAnsi="Arial" w:cs="Arial"/>
                <w:color w:val="000080"/>
                <w:sz w:val="18"/>
                <w:szCs w:val="18"/>
              </w:rPr>
              <w:t>Sugerimos revisar</w:t>
            </w:r>
            <w:r w:rsidRPr="00241AFD">
              <w:rPr>
                <w:rFonts w:ascii="Arial" w:hAnsi="Arial" w:cs="Arial"/>
                <w:color w:val="215868" w:themeColor="accent5" w:themeShade="80"/>
                <w:sz w:val="18"/>
                <w:szCs w:val="18"/>
              </w:rPr>
              <w:t>: “</w:t>
            </w:r>
            <w:r w:rsidRPr="00241AFD">
              <w:rPr>
                <w:rFonts w:ascii="Arial" w:hAnsi="Arial" w:cs="Arial"/>
                <w:sz w:val="18"/>
                <w:szCs w:val="18"/>
              </w:rPr>
              <w:t>La forma muy grave congénita (Tipo IA o Tipo 0)”</w:t>
            </w:r>
            <w:r w:rsidRPr="00241AFD">
              <w:rPr>
                <w:rFonts w:ascii="Arial" w:hAnsi="Arial" w:cs="Arial"/>
                <w:color w:val="000080"/>
                <w:sz w:val="18"/>
                <w:szCs w:val="18"/>
              </w:rPr>
              <w:t>Texto de la alegación</w:t>
            </w:r>
            <w:r w:rsidRPr="00241AFD">
              <w:rPr>
                <w:rFonts w:ascii="Arial" w:hAnsi="Arial" w:cs="Arial"/>
                <w:sz w:val="18"/>
                <w:szCs w:val="18"/>
              </w:rPr>
              <w:t xml:space="preserve"> Es importante diferenciar el tipo 0 del 1A. El tipo 0 tiene que diferenciarse fuera del grupo 1. El tipo 0 es congénito, prenatal, siempre con 1 copia de SMN2, cardiopatía, artrogriposis, necesidad de asistencia ventilatoria desde el nacimiento, supervivencia menor de dos meses, respuesta pobre al tratamiento. El tipo 1A, se presenta en las primeras dos semanas de vida con hipotonía, y se caracteriza por no alcanza el control cefálico. Importante diferenciar esto de cara al cribado neonatal. Los tipos 0 no responden bien al tratamiento. Los tipos 1A con el cribado van a aflorar mucho (va a existir más sensibilidad al momento de valorar la hipotonía, la arreflexia por un especialista al cual le llega un paciente diagnosticado con cribado). Si no se diferencian estos dos subgrupos, pacientes 1A que hoy en día cumplen criterios y están recibiendo tratamiento, al momento de realizarse el cribado neonatal, ese perfil de pacientes dejaría de recibir tratamiento</w:t>
            </w:r>
            <w:r w:rsidRPr="00241AFD">
              <w:rPr>
                <w:rFonts w:ascii="Arial" w:hAnsi="Arial" w:cs="Arial"/>
                <w:sz w:val="18"/>
                <w:szCs w:val="18"/>
              </w:rPr>
              <w:fldChar w:fldCharType="begin"/>
            </w:r>
            <w:r w:rsidRPr="00241AFD">
              <w:rPr>
                <w:rFonts w:ascii="Arial" w:hAnsi="Arial" w:cs="Arial"/>
                <w:sz w:val="18"/>
                <w:szCs w:val="18"/>
              </w:rPr>
              <w:instrText xml:space="preserve"> ADDIN ZOTERO_ITEM CSL_CITATION {"citationID":"iaXJLgFc","properties":{"formattedCitation":"(9,10)","plainCitation":"(9,10)","noteIndex":0},"citationItems":[{"id":161,"uris":["http://zotero.org/users/6170830/items/UUTIPVDH"],"uri":["http://zotero.org/users/6170830/items/UUTIPVDH"],"itemData":{"id":161,"type":"article-journal","container-title":"The Lancet Neurology","DOI":"10.1016/S1474-4422(12)70061-3","ISSN":"14744422","issue":"5","journalAbbreviation":"The Lancet Neurology","language":"en","page":"443-452","source":"DOI.org (Crossref)","title":"Childhood spinal muscular atrophy: controversies and challenges","title-short":"Childhood spinal muscular atrophy","volume":"11","author":[{"family":"Mercuri","given":"Eugenio"},{"family":"Bertini","given":"Enrico"},{"family":"Iannaccone","given":"Susan T"}],"issued":{"date-parts":[["2012",5]]}},"label":"page"},{"id":163,"uris":["http://zotero.org/users/6170830/items/LLUWWVKQ"],"uri":["http://zotero.org/users/6170830/items/LLUWWVKQ"],"itemData":{"id":163,"type":"article-journal","abstract":"The advent of clinical trials has highlighted the need for natural history studies reporting disease progression in type 1 spinal muscular atrophy. The aim of this study was to assess functional changes using the Children’s Hospital of Philadelphia Infant Test of Neuromuscular Disorders (CHOP INTEND) scale in a cohort of type 1 infants. Nutritional and respiratory longitudinal data were also recorded. Patients were classiﬁed according to the severity of the phenotype and age of onset. SMN2 copies were also assessed. Twenty patients were included, eight with early onset most severe phenotype, eight with the more typical type 1 phenotype and 4, who achieved some head control, with a milder phenotype. Both baseline values and trajectories of progression were different in the three subgroups (p = 0.0001). Infants with the most severe phenotype had the lowest scores (below 20) on their ﬁrst assessment and had the most rapid decline. Those with the typical phenotype had scores generally between 20 and 40 and also had a fast decline. The infants with the milder phenotype had the highest scores, generally above 35, and a much slower deterioration. Infants with three SMN2 copies had an overall milder phenotype and milder progression while two SMN2 copies were found in all three subgroups.","container-title":"Neuromuscular Disorders","DOI":"10.1016/j.nmd.2017.09.015","ISSN":"09608966","issue":"1","journalAbbreviation":"Neuromuscular Disorders","language":"en","page":"24-28","source":"DOI.org (Crossref)","title":"Clinical phenotypes and trajectories of disease progression in type 1 spinal muscular atrophy","volume":"28","author":[{"family":"De Sanctis","given":"Roberto"},{"family":"Pane","given":"Marika"},{"family":"Coratti","given":"Giorgia"},{"family":"Palermo","given":"Concetta"},{"family":"Leone","given":"Daniela"},{"family":"Pera","given":"Maria Carmela"},{"family":"Abiusi","given":"Emanuela"},{"family":"Fiori","given":"Stefania"},{"family":"Forcina","given":"Nicola"},{"family":"Fanelli","given":"Lavinia"},{"family":"Lucibello","given":"Simona"},{"family":"Mazzone","given":"Elena S."},{"family":"Tiziano","given":"Francesco Danilo"},{"family":"Mercuri","given":"Eugenio"}],"issued":{"date-parts":[["2018",1]]}},"label":"page"}],"schema":"https://github.com/citation-style-language/schema/raw/master/csl-citation.json"} </w:instrText>
            </w:r>
            <w:r w:rsidRPr="00241AFD">
              <w:rPr>
                <w:rFonts w:ascii="Arial" w:hAnsi="Arial" w:cs="Arial"/>
                <w:sz w:val="18"/>
                <w:szCs w:val="18"/>
              </w:rPr>
              <w:fldChar w:fldCharType="separate"/>
            </w:r>
            <w:r w:rsidRPr="00241AFD">
              <w:rPr>
                <w:rFonts w:ascii="Arial" w:hAnsi="Arial" w:cs="Arial"/>
                <w:sz w:val="18"/>
                <w:szCs w:val="18"/>
              </w:rPr>
              <w:t>(9,10)</w:t>
            </w:r>
            <w:r w:rsidRPr="00241AFD">
              <w:rPr>
                <w:rFonts w:ascii="Arial" w:hAnsi="Arial" w:cs="Arial"/>
                <w:sz w:val="18"/>
                <w:szCs w:val="18"/>
              </w:rPr>
              <w:fldChar w:fldCharType="end"/>
            </w:r>
            <w:r w:rsidRPr="00241AFD">
              <w:rPr>
                <w:rFonts w:ascii="Arial" w:hAnsi="Arial" w:cs="Arial"/>
                <w:sz w:val="18"/>
                <w:szCs w:val="18"/>
              </w:rPr>
              <w:t xml:space="preserve">. </w:t>
            </w:r>
          </w:p>
        </w:tc>
        <w:tc>
          <w:tcPr>
            <w:tcW w:w="1734" w:type="dxa"/>
          </w:tcPr>
          <w:p w14:paraId="32D57BFC" w14:textId="2DD15EB2" w:rsidR="008024A5" w:rsidRPr="00241AFD" w:rsidRDefault="004151DA" w:rsidP="008024A5">
            <w:pPr>
              <w:jc w:val="both"/>
              <w:rPr>
                <w:rFonts w:ascii="Arial Narrow" w:hAnsi="Arial Narrow"/>
                <w:color w:val="000080"/>
                <w:sz w:val="18"/>
                <w:szCs w:val="18"/>
              </w:rPr>
            </w:pPr>
            <w:r w:rsidRPr="00241AFD">
              <w:rPr>
                <w:rFonts w:ascii="Arial" w:hAnsi="Arial" w:cs="Arial"/>
                <w:color w:val="000080"/>
                <w:sz w:val="18"/>
                <w:szCs w:val="18"/>
              </w:rPr>
              <w:t>Se acepta.</w:t>
            </w:r>
          </w:p>
        </w:tc>
      </w:tr>
      <w:tr w:rsidR="008024A5" w:rsidRPr="00241AFD" w14:paraId="131215CF" w14:textId="77777777" w:rsidTr="00B64993">
        <w:tc>
          <w:tcPr>
            <w:tcW w:w="1080" w:type="dxa"/>
          </w:tcPr>
          <w:p w14:paraId="46599041"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74FFE953"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18A6FB95" w14:textId="77777777" w:rsidR="008024A5" w:rsidRPr="00241AFD" w:rsidRDefault="008024A5" w:rsidP="008024A5">
            <w:pPr>
              <w:jc w:val="both"/>
              <w:rPr>
                <w:rFonts w:ascii="Arial" w:hAnsi="Arial" w:cs="Arial"/>
                <w:sz w:val="18"/>
                <w:szCs w:val="18"/>
              </w:rPr>
            </w:pPr>
            <w:r w:rsidRPr="00241AFD">
              <w:rPr>
                <w:rFonts w:ascii="Arial" w:hAnsi="Arial" w:cs="Arial"/>
                <w:color w:val="000080"/>
                <w:sz w:val="18"/>
                <w:szCs w:val="18"/>
              </w:rPr>
              <w:t xml:space="preserve">3.2.a  </w:t>
            </w:r>
            <w:r w:rsidRPr="00241AFD">
              <w:rPr>
                <w:rFonts w:ascii="Arial" w:hAnsi="Arial" w:cs="Arial"/>
                <w:sz w:val="18"/>
                <w:szCs w:val="18"/>
              </w:rPr>
              <w:t>Principales manifestaciones clínicas, pág. 4</w:t>
            </w:r>
            <w:r w:rsidRPr="00241AFD">
              <w:rPr>
                <w:rFonts w:ascii="Arial" w:hAnsi="Arial" w:cs="Arial"/>
                <w:sz w:val="18"/>
                <w:szCs w:val="18"/>
                <w:vertAlign w:val="superscript"/>
              </w:rPr>
              <w:t xml:space="preserve"> </w:t>
            </w:r>
            <w:r w:rsidRPr="00241AFD">
              <w:rPr>
                <w:rFonts w:ascii="Arial" w:hAnsi="Arial" w:cs="Arial"/>
                <w:color w:val="000080"/>
                <w:sz w:val="18"/>
                <w:szCs w:val="18"/>
              </w:rPr>
              <w:t>Sugerimos incluir. En las manifestaciones clínicas, l</w:t>
            </w:r>
            <w:r w:rsidRPr="00241AFD">
              <w:rPr>
                <w:rFonts w:ascii="Arial" w:hAnsi="Arial" w:cs="Arial"/>
                <w:sz w:val="18"/>
                <w:szCs w:val="18"/>
              </w:rPr>
              <w:t>as formas más severas presentarán además afectación de otros órganos</w:t>
            </w:r>
            <w:r w:rsidRPr="00241AFD">
              <w:rPr>
                <w:rFonts w:ascii="Arial" w:hAnsi="Arial" w:cs="Arial"/>
                <w:sz w:val="18"/>
                <w:szCs w:val="18"/>
              </w:rPr>
              <w:fldChar w:fldCharType="begin"/>
            </w:r>
            <w:r w:rsidRPr="00241AFD">
              <w:rPr>
                <w:rFonts w:ascii="Arial" w:hAnsi="Arial" w:cs="Arial"/>
                <w:sz w:val="18"/>
                <w:szCs w:val="18"/>
              </w:rPr>
              <w:instrText xml:space="preserve"> ADDIN ZOTERO_ITEM CSL_CITATION {"citationID":"ws1t0nJd","properties":{"formattedCitation":"(11)","plainCitation":"(11)","noteIndex":0},"citationItems":[{"id":168,"uris":["http://zotero.org/users/6170830/items/VU5JE3Q4"],"uri":["http://zotero.org/users/6170830/items/VU5JE3Q4"],"itemData":{"id":168,"type":"article-journal","collection-title":"1003-20","container-title":"Cell Mol Life Sci","issue":"5","journalAbbreviation":"Cell Mol Life Sci","title":"Is spinal muscular atrophy a disease of the motor neurons only: pathogenesis and therapeutic implications?","volume":"73","author":[{"family":"Simone C, Ramirez A, Bucchia et al.","given":""}],"issued":{"date-parts":[["2016",3]]}}}],"schema":"https://github.com/citation-style-language/schema/raw/master/csl-citation.json"} </w:instrText>
            </w:r>
            <w:r w:rsidRPr="00241AFD">
              <w:rPr>
                <w:rFonts w:ascii="Arial" w:hAnsi="Arial" w:cs="Arial"/>
                <w:sz w:val="18"/>
                <w:szCs w:val="18"/>
              </w:rPr>
              <w:fldChar w:fldCharType="separate"/>
            </w:r>
            <w:r w:rsidRPr="00241AFD">
              <w:rPr>
                <w:rFonts w:ascii="Arial" w:hAnsi="Arial" w:cs="Arial"/>
                <w:sz w:val="18"/>
                <w:szCs w:val="18"/>
              </w:rPr>
              <w:t>(11)</w:t>
            </w:r>
            <w:r w:rsidRPr="00241AFD">
              <w:rPr>
                <w:rFonts w:ascii="Arial" w:hAnsi="Arial" w:cs="Arial"/>
                <w:sz w:val="18"/>
                <w:szCs w:val="18"/>
              </w:rPr>
              <w:fldChar w:fldCharType="end"/>
            </w:r>
            <w:r w:rsidRPr="00241AFD">
              <w:rPr>
                <w:rFonts w:ascii="Arial" w:hAnsi="Arial" w:cs="Arial"/>
                <w:sz w:val="18"/>
                <w:szCs w:val="18"/>
              </w:rPr>
              <w:t>.</w:t>
            </w:r>
          </w:p>
        </w:tc>
        <w:tc>
          <w:tcPr>
            <w:tcW w:w="1734" w:type="dxa"/>
          </w:tcPr>
          <w:p w14:paraId="590E424B" w14:textId="542A920D" w:rsidR="008024A5" w:rsidRPr="00241AFD" w:rsidRDefault="004151DA" w:rsidP="008024A5">
            <w:pPr>
              <w:jc w:val="both"/>
              <w:rPr>
                <w:rFonts w:ascii="Arial Narrow" w:hAnsi="Arial Narrow"/>
                <w:color w:val="000080"/>
                <w:sz w:val="18"/>
                <w:szCs w:val="18"/>
              </w:rPr>
            </w:pPr>
            <w:r w:rsidRPr="00241AFD">
              <w:rPr>
                <w:rFonts w:ascii="Arial" w:hAnsi="Arial" w:cs="Arial"/>
                <w:color w:val="000080"/>
                <w:sz w:val="18"/>
                <w:szCs w:val="18"/>
              </w:rPr>
              <w:t>Se acepta.</w:t>
            </w:r>
          </w:p>
        </w:tc>
      </w:tr>
      <w:tr w:rsidR="008024A5" w:rsidRPr="00241AFD" w14:paraId="4DC34559" w14:textId="77777777" w:rsidTr="00B64993">
        <w:tc>
          <w:tcPr>
            <w:tcW w:w="1080" w:type="dxa"/>
          </w:tcPr>
          <w:p w14:paraId="37DB6284"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765F4442"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3FCA7DCE" w14:textId="77777777" w:rsidR="008024A5" w:rsidRPr="00241AFD" w:rsidRDefault="008024A5" w:rsidP="008024A5">
            <w:pPr>
              <w:jc w:val="both"/>
              <w:rPr>
                <w:rFonts w:ascii="Arial" w:hAnsi="Arial" w:cs="Arial"/>
                <w:color w:val="000080"/>
                <w:sz w:val="18"/>
                <w:szCs w:val="18"/>
              </w:rPr>
            </w:pPr>
            <w:r w:rsidRPr="00241AFD">
              <w:rPr>
                <w:rFonts w:ascii="Arial" w:hAnsi="Arial" w:cs="Arial"/>
                <w:sz w:val="18"/>
                <w:szCs w:val="18"/>
              </w:rPr>
              <w:t xml:space="preserve">7.2.b Malone Extracción de datos de las evaluaciones económicas  pág 27. </w:t>
            </w:r>
            <w:r w:rsidRPr="00241AFD">
              <w:rPr>
                <w:rFonts w:ascii="Arial" w:hAnsi="Arial" w:cs="Arial"/>
                <w:color w:val="000080"/>
                <w:sz w:val="18"/>
                <w:szCs w:val="18"/>
              </w:rPr>
              <w:t xml:space="preserve">Sugerimos revisar </w:t>
            </w:r>
            <w:r w:rsidRPr="00241AFD">
              <w:rPr>
                <w:rFonts w:ascii="Arial" w:hAnsi="Arial" w:cs="Arial"/>
                <w:sz w:val="18"/>
                <w:szCs w:val="18"/>
              </w:rPr>
              <w:t xml:space="preserve">esta publicación y no considerarla en el informe. Está publicación está basada en un comparativo de los estudios Endear y Start. Estos dos ensayos no son comparativos (tipos de pacientes que ingresaron, edades, Chop de inicio, situación respiratoria y de deglución, seguimiento y medidas proactivas deglución, etc), por lo que los resultados extrapolados de esta comparativa tampoco serian adecuados. Nos llama la atención además los conflictos de interés de la mayoría de sus autores. </w:t>
            </w:r>
          </w:p>
        </w:tc>
        <w:tc>
          <w:tcPr>
            <w:tcW w:w="1734" w:type="dxa"/>
          </w:tcPr>
          <w:p w14:paraId="56491BFB" w14:textId="5068CEA6" w:rsidR="008024A5" w:rsidRPr="001A6645" w:rsidRDefault="00037A7D" w:rsidP="00037A7D">
            <w:pPr>
              <w:rPr>
                <w:rFonts w:ascii="Arial" w:hAnsi="Arial" w:cs="Arial"/>
                <w:color w:val="000080"/>
                <w:sz w:val="18"/>
                <w:szCs w:val="18"/>
              </w:rPr>
            </w:pPr>
            <w:r>
              <w:rPr>
                <w:rFonts w:ascii="Arial" w:hAnsi="Arial" w:cs="Arial"/>
                <w:color w:val="000080"/>
                <w:sz w:val="18"/>
                <w:szCs w:val="18"/>
              </w:rPr>
              <w:t>No aceptada.  En el informe ya está incluida una valoración crítica del estudio, con una revisión de su validez interna y externa.</w:t>
            </w:r>
          </w:p>
        </w:tc>
      </w:tr>
      <w:tr w:rsidR="008024A5" w:rsidRPr="00241AFD" w14:paraId="550BD667" w14:textId="77777777" w:rsidTr="00B64993">
        <w:tc>
          <w:tcPr>
            <w:tcW w:w="1080" w:type="dxa"/>
          </w:tcPr>
          <w:p w14:paraId="57484704"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0AD93C93"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4AF577E4" w14:textId="77777777" w:rsidR="008024A5" w:rsidRPr="00241AFD" w:rsidRDefault="008024A5" w:rsidP="008024A5">
            <w:pPr>
              <w:shd w:val="clear" w:color="auto" w:fill="FFFFFF"/>
              <w:rPr>
                <w:rFonts w:ascii="Arial" w:hAnsi="Arial" w:cs="Arial"/>
                <w:color w:val="333333"/>
                <w:sz w:val="18"/>
                <w:szCs w:val="18"/>
              </w:rPr>
            </w:pPr>
            <w:r w:rsidRPr="00241AFD">
              <w:rPr>
                <w:rFonts w:ascii="Arial" w:hAnsi="Arial" w:cs="Arial"/>
                <w:color w:val="000080"/>
                <w:sz w:val="18"/>
                <w:szCs w:val="18"/>
              </w:rPr>
              <w:t>Tabla 5.2.a.2. pág 14. Sugerimos revisar</w:t>
            </w:r>
            <w:r w:rsidRPr="00241AFD">
              <w:rPr>
                <w:rFonts w:ascii="Arial" w:hAnsi="Arial" w:cs="Arial"/>
                <w:sz w:val="18"/>
                <w:szCs w:val="18"/>
              </w:rPr>
              <w:t>:</w:t>
            </w:r>
            <w:r w:rsidRPr="00241AFD">
              <w:rPr>
                <w:rStyle w:val="normaltextrun"/>
                <w:rFonts w:ascii="Arial" w:hAnsi="Arial" w:cs="Arial"/>
                <w:sz w:val="18"/>
                <w:szCs w:val="18"/>
              </w:rPr>
              <w:t xml:space="preserve"> “Pacientes presintomáticos con AME tipo 1 con 2 copias de SMN2</w:t>
            </w:r>
            <w:r w:rsidRPr="00241AFD">
              <w:rPr>
                <w:rStyle w:val="eop"/>
                <w:rFonts w:ascii="Arial" w:hAnsi="Arial" w:cs="Arial"/>
                <w:sz w:val="18"/>
                <w:szCs w:val="18"/>
              </w:rPr>
              <w:t xml:space="preserve">, </w:t>
            </w:r>
            <w:r w:rsidRPr="00241AFD">
              <w:rPr>
                <w:rStyle w:val="normaltextrun"/>
                <w:rFonts w:ascii="Arial" w:hAnsi="Arial" w:cs="Arial"/>
                <w:sz w:val="18"/>
                <w:szCs w:val="18"/>
              </w:rPr>
              <w:t>Pacientes presintomáticos con AME tipo 2 con 3 copias de SMN2</w:t>
            </w:r>
            <w:r w:rsidRPr="00241AFD">
              <w:rPr>
                <w:rStyle w:val="eop"/>
                <w:rFonts w:ascii="Arial" w:hAnsi="Arial" w:cs="Arial"/>
                <w:sz w:val="18"/>
                <w:szCs w:val="18"/>
              </w:rPr>
              <w:t> “</w:t>
            </w:r>
            <w:r w:rsidRPr="00241AFD">
              <w:rPr>
                <w:rFonts w:ascii="Arial" w:hAnsi="Arial" w:cs="Arial"/>
                <w:color w:val="000080"/>
                <w:sz w:val="18"/>
                <w:szCs w:val="18"/>
              </w:rPr>
              <w:t xml:space="preserve">Texto de la alegación: </w:t>
            </w:r>
            <w:r w:rsidRPr="00241AFD">
              <w:rPr>
                <w:rFonts w:ascii="Arial" w:hAnsi="Arial" w:cs="Arial"/>
                <w:sz w:val="18"/>
                <w:szCs w:val="18"/>
              </w:rPr>
              <w:t>No se puede establecer en pacientes presintomáticos una relación directa entre un valor de copias de SMN2 y un fenotipo de AME .En este ensayo tampoco lo hacen. I</w:t>
            </w:r>
            <w:r w:rsidRPr="00241AFD">
              <w:rPr>
                <w:rFonts w:ascii="Arial" w:hAnsi="Arial" w:cs="Arial"/>
                <w:color w:val="333333"/>
                <w:sz w:val="18"/>
                <w:szCs w:val="18"/>
              </w:rPr>
              <w:t>ndican que el 76% de los niños con 2 copias de SMN2 el 76% podrá presentar una AME tipo 1 y el 19% una ame tipo 2. El 53% de los casos con 3 copias  SMN2 desarrollarán una AME tipo 2 y el 17% un AME tipo 1.</w:t>
            </w:r>
          </w:p>
        </w:tc>
        <w:tc>
          <w:tcPr>
            <w:tcW w:w="1734" w:type="dxa"/>
          </w:tcPr>
          <w:p w14:paraId="46055146" w14:textId="34050D8C" w:rsidR="008024A5" w:rsidRPr="001A6645" w:rsidRDefault="001A6645" w:rsidP="001A6645">
            <w:pPr>
              <w:rPr>
                <w:rFonts w:ascii="Arial" w:hAnsi="Arial" w:cs="Arial"/>
                <w:color w:val="000080"/>
                <w:sz w:val="18"/>
                <w:szCs w:val="18"/>
              </w:rPr>
            </w:pPr>
            <w:r w:rsidRPr="001A6645">
              <w:rPr>
                <w:rFonts w:ascii="Arial" w:hAnsi="Arial" w:cs="Arial"/>
                <w:color w:val="000080"/>
                <w:sz w:val="18"/>
                <w:szCs w:val="18"/>
              </w:rPr>
              <w:t>Se rectifican los criterios de inclusión.</w:t>
            </w:r>
          </w:p>
        </w:tc>
      </w:tr>
      <w:tr w:rsidR="008024A5" w:rsidRPr="00241AFD" w14:paraId="19F4943F" w14:textId="77777777" w:rsidTr="00B64993">
        <w:tc>
          <w:tcPr>
            <w:tcW w:w="1080" w:type="dxa"/>
          </w:tcPr>
          <w:p w14:paraId="422CFD71"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Maria Grazia Cattinari</w:t>
            </w:r>
          </w:p>
          <w:p w14:paraId="5303B197"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4FC0CA04" w14:textId="77777777" w:rsidR="008024A5" w:rsidRPr="00241AFD" w:rsidRDefault="008024A5" w:rsidP="008024A5">
            <w:pPr>
              <w:pStyle w:val="Textocomentario"/>
              <w:rPr>
                <w:rFonts w:ascii="Arial" w:hAnsi="Arial" w:cs="Arial"/>
                <w:color w:val="000080"/>
                <w:sz w:val="18"/>
                <w:szCs w:val="18"/>
              </w:rPr>
            </w:pPr>
            <w:r w:rsidRPr="00241AFD">
              <w:rPr>
                <w:rStyle w:val="normaltextrun"/>
                <w:rFonts w:ascii="Arial" w:hAnsi="Arial" w:cs="Arial"/>
                <w:color w:val="000000"/>
                <w:sz w:val="18"/>
                <w:szCs w:val="18"/>
                <w:shd w:val="clear" w:color="auto" w:fill="FFFFFF"/>
              </w:rPr>
              <w:t xml:space="preserve">B Aplicabilidad del ensayo a la práctica en el hospital pág 15. </w:t>
            </w:r>
            <w:r w:rsidRPr="00241AFD">
              <w:rPr>
                <w:rFonts w:ascii="Arial" w:hAnsi="Arial" w:cs="Arial"/>
                <w:color w:val="000080"/>
                <w:sz w:val="18"/>
                <w:szCs w:val="18"/>
              </w:rPr>
              <w:t>Sugerimos revisar</w:t>
            </w:r>
            <w:r w:rsidRPr="00241AFD">
              <w:rPr>
                <w:rFonts w:ascii="Arial" w:hAnsi="Arial" w:cs="Arial"/>
                <w:sz w:val="18"/>
                <w:szCs w:val="18"/>
              </w:rPr>
              <w:t>: “</w:t>
            </w:r>
            <w:r w:rsidRPr="00241AFD">
              <w:rPr>
                <w:rStyle w:val="normaltextrun"/>
                <w:rFonts w:ascii="Arial" w:hAnsi="Arial" w:cs="Arial"/>
                <w:color w:val="000000"/>
                <w:sz w:val="18"/>
                <w:szCs w:val="18"/>
                <w:shd w:val="clear" w:color="auto" w:fill="FFFFFF"/>
              </w:rPr>
              <w:t>También se desconoce cómo habrían progresado los pacientes si no hubieran sido tratados con ningún fármaco. Las comparaciones con los controles históricos pueden exagerar los efectos percibidos del tratamiento, particularmente cuando los tratamientos de cuidados básicos mejoran con el tiempo o cuando hay una historia natural variable, como ocurre con la AME”.</w:t>
            </w:r>
            <w:r w:rsidRPr="00241AFD">
              <w:rPr>
                <w:rStyle w:val="eop"/>
                <w:rFonts w:ascii="Arial" w:hAnsi="Arial" w:cs="Arial"/>
                <w:color w:val="000000"/>
                <w:sz w:val="18"/>
                <w:szCs w:val="18"/>
                <w:shd w:val="clear" w:color="auto" w:fill="FFFFFF"/>
              </w:rPr>
              <w:t> </w:t>
            </w:r>
            <w:r w:rsidRPr="00241AFD">
              <w:rPr>
                <w:rFonts w:ascii="Arial" w:hAnsi="Arial" w:cs="Arial"/>
                <w:color w:val="000080"/>
                <w:sz w:val="18"/>
                <w:szCs w:val="18"/>
              </w:rPr>
              <w:t xml:space="preserve">Texto de la alegación </w:t>
            </w:r>
            <w:r w:rsidRPr="00241AFD">
              <w:rPr>
                <w:rFonts w:ascii="Arial" w:hAnsi="Arial" w:cs="Arial"/>
                <w:color w:val="333333"/>
                <w:sz w:val="18"/>
                <w:szCs w:val="18"/>
                <w:shd w:val="clear" w:color="auto" w:fill="FFFFFF"/>
              </w:rPr>
              <w:t xml:space="preserve">Sin duda los efectos de los cuidados son mejores, pero ni han cambiado tanto desde la existencia de Spinraza ni su efecto es tan diferencial como para despreciar la enorme diferencia de tener tratamiento a no tenerlo. </w:t>
            </w:r>
            <w:r w:rsidRPr="00241AFD">
              <w:rPr>
                <w:rFonts w:ascii="Arial" w:hAnsi="Arial" w:cs="Arial"/>
                <w:sz w:val="18"/>
                <w:szCs w:val="18"/>
              </w:rPr>
              <w:t xml:space="preserve">Cuando los efectos se miden con indicadores tan </w:t>
            </w:r>
            <w:r w:rsidRPr="00241AFD">
              <w:rPr>
                <w:rFonts w:ascii="Arial" w:hAnsi="Arial" w:cs="Arial"/>
                <w:sz w:val="18"/>
                <w:szCs w:val="18"/>
              </w:rPr>
              <w:lastRenderedPageBreak/>
              <w:t>objetivos como fallecimiento, sedestación o uso de respirador, no cabe exageración por efecto del tratamiento.</w:t>
            </w:r>
          </w:p>
        </w:tc>
        <w:tc>
          <w:tcPr>
            <w:tcW w:w="1734" w:type="dxa"/>
          </w:tcPr>
          <w:p w14:paraId="3212E554" w14:textId="0F18D96C" w:rsidR="008024A5" w:rsidRPr="001A6645" w:rsidRDefault="0096027D" w:rsidP="001A6645">
            <w:pPr>
              <w:rPr>
                <w:rFonts w:ascii="Arial" w:hAnsi="Arial" w:cs="Arial"/>
                <w:color w:val="000080"/>
                <w:sz w:val="18"/>
                <w:szCs w:val="18"/>
              </w:rPr>
            </w:pPr>
            <w:r>
              <w:rPr>
                <w:rFonts w:ascii="Arial" w:hAnsi="Arial" w:cs="Arial"/>
                <w:color w:val="000080"/>
                <w:sz w:val="18"/>
                <w:szCs w:val="18"/>
              </w:rPr>
              <w:lastRenderedPageBreak/>
              <w:t xml:space="preserve">No aceptada. Los datos recogidos en el informe PNCR corresponden a pacientes registrados entre 2005 y 2009. Por lo tanto, </w:t>
            </w:r>
            <w:r w:rsidR="00D23092">
              <w:rPr>
                <w:rFonts w:ascii="Arial" w:hAnsi="Arial" w:cs="Arial"/>
                <w:color w:val="000080"/>
                <w:sz w:val="18"/>
                <w:szCs w:val="18"/>
              </w:rPr>
              <w:t xml:space="preserve">los cuidados </w:t>
            </w:r>
            <w:r w:rsidR="00D23092">
              <w:rPr>
                <w:rFonts w:ascii="Arial" w:hAnsi="Arial" w:cs="Arial"/>
                <w:color w:val="000080"/>
                <w:sz w:val="18"/>
                <w:szCs w:val="18"/>
              </w:rPr>
              <w:lastRenderedPageBreak/>
              <w:t>básicos es posible que hayan mejorado ostensiblemente.</w:t>
            </w:r>
          </w:p>
        </w:tc>
      </w:tr>
      <w:tr w:rsidR="008024A5" w:rsidRPr="00241AFD" w14:paraId="54466D9F" w14:textId="77777777" w:rsidTr="00B64993">
        <w:tc>
          <w:tcPr>
            <w:tcW w:w="1080" w:type="dxa"/>
          </w:tcPr>
          <w:p w14:paraId="56E7E85D"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lastRenderedPageBreak/>
              <w:t>Maria Grazia Cattinari</w:t>
            </w:r>
          </w:p>
          <w:p w14:paraId="19CA0976" w14:textId="77777777" w:rsidR="008024A5" w:rsidRPr="00241AFD" w:rsidRDefault="008024A5" w:rsidP="008024A5">
            <w:pPr>
              <w:jc w:val="both"/>
              <w:rPr>
                <w:rFonts w:ascii="Arial" w:hAnsi="Arial"/>
                <w:color w:val="000080"/>
                <w:sz w:val="18"/>
                <w:szCs w:val="18"/>
                <w:lang w:val="it-IT"/>
              </w:rPr>
            </w:pPr>
            <w:r w:rsidRPr="00241AFD">
              <w:rPr>
                <w:rFonts w:ascii="Arial" w:hAnsi="Arial"/>
                <w:color w:val="000080"/>
                <w:sz w:val="18"/>
                <w:szCs w:val="18"/>
                <w:lang w:val="it-IT"/>
              </w:rPr>
              <w:t>Directora Médica Fundame.</w:t>
            </w:r>
          </w:p>
        </w:tc>
        <w:tc>
          <w:tcPr>
            <w:tcW w:w="7862" w:type="dxa"/>
          </w:tcPr>
          <w:p w14:paraId="76D9A6E4" w14:textId="77777777" w:rsidR="008024A5" w:rsidRPr="00241AFD" w:rsidRDefault="008024A5" w:rsidP="008024A5">
            <w:pPr>
              <w:pStyle w:val="Textocomentario"/>
              <w:rPr>
                <w:rStyle w:val="normaltextrun"/>
                <w:rFonts w:ascii="Arial" w:hAnsi="Arial" w:cs="Arial"/>
                <w:color w:val="000000"/>
                <w:sz w:val="18"/>
                <w:szCs w:val="18"/>
                <w:shd w:val="clear" w:color="auto" w:fill="FFFFFF"/>
              </w:rPr>
            </w:pPr>
            <w:r w:rsidRPr="00241AFD">
              <w:rPr>
                <w:rFonts w:ascii="Arial" w:hAnsi="Arial" w:cs="Arial"/>
                <w:sz w:val="18"/>
                <w:szCs w:val="18"/>
              </w:rPr>
              <w:t xml:space="preserve">La orientación final del texto y las conclusiones establecen que la población diana serian todos los niños nacidos en España con AME tipo 1. Se interpreta además, que estos pacientes tendrían únicamente la opción del tratamiento con Onasemnogén abeparvovec descartándose otras opciones de tratamiento. Por una parte, si todavia no se tiene constancia de que un tratamiento sea superior a otro, deberían ser los especialistas conjuntamente con los padres quienes establezcan cual es la mejor opción para un paciente. Además con esta aproximación, se descarta la opción de tratamiento a los pacientes presintomáticos, asi como, a los pacientes ya nacidos, actualmente en tratamiento con nusinersen , pero que por circunstancias personales (dificultad de punción, por ejemplo) sean más subsidiarios de este tratamiento. Consideramos que debe ampliarse el concepto de la población diana, pero que a su vez, no sea restrictivo a un tratamiento.  </w:t>
            </w:r>
          </w:p>
        </w:tc>
        <w:tc>
          <w:tcPr>
            <w:tcW w:w="1734" w:type="dxa"/>
          </w:tcPr>
          <w:p w14:paraId="16E46D6B" w14:textId="01EA0054" w:rsidR="008024A5" w:rsidRPr="001A6645" w:rsidRDefault="00403A1F" w:rsidP="001A6645">
            <w:pPr>
              <w:rPr>
                <w:rFonts w:ascii="Arial" w:hAnsi="Arial" w:cs="Arial"/>
                <w:color w:val="000080"/>
                <w:sz w:val="18"/>
                <w:szCs w:val="18"/>
              </w:rPr>
            </w:pPr>
            <w:r>
              <w:rPr>
                <w:rFonts w:ascii="Arial" w:hAnsi="Arial" w:cs="Arial"/>
                <w:color w:val="000080"/>
                <w:sz w:val="18"/>
                <w:szCs w:val="18"/>
              </w:rPr>
              <w:t>No compartimos esta apreciación. En el informe se han desarrollado las dos indicaciones aprobadas y se han revisado también las características de las alternativas disponibles.</w:t>
            </w:r>
          </w:p>
        </w:tc>
      </w:tr>
      <w:bookmarkEnd w:id="114"/>
    </w:tbl>
    <w:p w14:paraId="2CE85F1B" w14:textId="77777777" w:rsidR="008024A5" w:rsidRDefault="008024A5" w:rsidP="008024A5"/>
    <w:p w14:paraId="69954953" w14:textId="77777777" w:rsidR="008024A5" w:rsidRDefault="008024A5" w:rsidP="008024A5"/>
    <w:p w14:paraId="1F2AF009" w14:textId="77777777" w:rsidR="008024A5" w:rsidRPr="00B075D9" w:rsidRDefault="008024A5" w:rsidP="007D299B">
      <w:pPr>
        <w:jc w:val="both"/>
        <w:rPr>
          <w:rFonts w:ascii="Arial" w:hAnsi="Arial" w:cs="Arial"/>
          <w:sz w:val="18"/>
          <w:szCs w:val="18"/>
        </w:rPr>
      </w:pPr>
      <w:r w:rsidRPr="00B075D9">
        <w:rPr>
          <w:rFonts w:ascii="Arial" w:hAnsi="Arial" w:cs="Arial"/>
          <w:sz w:val="18"/>
          <w:szCs w:val="18"/>
        </w:rPr>
        <w:t>Bibliografia</w:t>
      </w:r>
    </w:p>
    <w:p w14:paraId="4D475EE9" w14:textId="77777777" w:rsidR="008024A5" w:rsidRPr="00B075D9" w:rsidRDefault="008024A5" w:rsidP="007D299B">
      <w:pPr>
        <w:jc w:val="both"/>
        <w:rPr>
          <w:rFonts w:ascii="Arial" w:hAnsi="Arial" w:cs="Arial"/>
          <w:sz w:val="18"/>
          <w:szCs w:val="18"/>
        </w:rPr>
      </w:pPr>
    </w:p>
    <w:p w14:paraId="46110216" w14:textId="77777777" w:rsidR="008024A5" w:rsidRPr="00B075D9" w:rsidRDefault="008024A5" w:rsidP="007D299B">
      <w:pPr>
        <w:pStyle w:val="Bibliografa"/>
        <w:jc w:val="both"/>
        <w:rPr>
          <w:rFonts w:ascii="Arial" w:hAnsi="Arial" w:cs="Arial"/>
          <w:sz w:val="18"/>
          <w:szCs w:val="18"/>
          <w:lang w:val="en-US"/>
        </w:rPr>
      </w:pPr>
      <w:r w:rsidRPr="00B075D9">
        <w:rPr>
          <w:rFonts w:ascii="Arial" w:hAnsi="Arial" w:cs="Arial"/>
          <w:sz w:val="18"/>
          <w:szCs w:val="18"/>
        </w:rPr>
        <w:fldChar w:fldCharType="begin"/>
      </w:r>
      <w:r w:rsidRPr="00B075D9">
        <w:rPr>
          <w:rFonts w:ascii="Arial" w:hAnsi="Arial" w:cs="Arial"/>
          <w:sz w:val="18"/>
          <w:szCs w:val="18"/>
          <w:lang w:val="en-US"/>
        </w:rPr>
        <w:instrText xml:space="preserve"> ADDIN ZOTERO_BIBL {"uncited":[],"omitted":[],"custom":[]} CSL_BIBLIOGRAPHY </w:instrText>
      </w:r>
      <w:r w:rsidRPr="00B075D9">
        <w:rPr>
          <w:rFonts w:ascii="Arial" w:hAnsi="Arial" w:cs="Arial"/>
          <w:sz w:val="18"/>
          <w:szCs w:val="18"/>
        </w:rPr>
        <w:fldChar w:fldCharType="separate"/>
      </w:r>
      <w:r w:rsidRPr="00B075D9">
        <w:rPr>
          <w:rFonts w:ascii="Arial" w:hAnsi="Arial" w:cs="Arial"/>
          <w:sz w:val="18"/>
          <w:szCs w:val="18"/>
          <w:lang w:val="en-US"/>
        </w:rPr>
        <w:t xml:space="preserve">1. </w:t>
      </w:r>
      <w:r w:rsidRPr="00B075D9">
        <w:rPr>
          <w:rFonts w:ascii="Arial" w:hAnsi="Arial" w:cs="Arial"/>
          <w:sz w:val="18"/>
          <w:szCs w:val="18"/>
          <w:lang w:val="en-US"/>
        </w:rPr>
        <w:tab/>
        <w:t xml:space="preserve">Pane M, Palermo C, Messina S, Sansone VA, Bruno C, et al.; Italian EAP working group. Nusinersen in type 1 SMA infants, children and young adults: Preliminary results on motor function. Neuromuscul Disord. 2018 Jul;28(7):582–5. </w:t>
      </w:r>
    </w:p>
    <w:p w14:paraId="1589DFFC" w14:textId="77777777" w:rsidR="008024A5" w:rsidRPr="00B075D9" w:rsidRDefault="008024A5" w:rsidP="007D299B">
      <w:pPr>
        <w:pStyle w:val="Bibliografa"/>
        <w:jc w:val="both"/>
        <w:rPr>
          <w:rFonts w:ascii="Arial" w:hAnsi="Arial" w:cs="Arial"/>
          <w:sz w:val="18"/>
          <w:szCs w:val="18"/>
          <w:lang w:val="en-US"/>
        </w:rPr>
      </w:pPr>
      <w:r w:rsidRPr="00B075D9">
        <w:rPr>
          <w:rFonts w:ascii="Arial" w:hAnsi="Arial" w:cs="Arial"/>
          <w:sz w:val="18"/>
          <w:szCs w:val="18"/>
          <w:lang w:val="en-US"/>
        </w:rPr>
        <w:t xml:space="preserve">2. </w:t>
      </w:r>
      <w:r w:rsidRPr="00B075D9">
        <w:rPr>
          <w:rFonts w:ascii="Arial" w:hAnsi="Arial" w:cs="Arial"/>
          <w:sz w:val="18"/>
          <w:szCs w:val="18"/>
          <w:lang w:val="en-US"/>
        </w:rPr>
        <w:tab/>
        <w:t xml:space="preserve">Walter MC, Wenninger S, Thiele S, Stauber J, Hiebeler M, et al. Safety and Treatment Effects of Nusinersen in Longstanding Adult 5q-SMA Type 3 - A Prospective Observational Study. J Neuromuscul Dis. 6(4):453–65. </w:t>
      </w:r>
    </w:p>
    <w:p w14:paraId="65627FCA" w14:textId="77777777" w:rsidR="008024A5" w:rsidRPr="00B075D9" w:rsidRDefault="008024A5" w:rsidP="007D299B">
      <w:pPr>
        <w:pStyle w:val="Bibliografa"/>
        <w:jc w:val="both"/>
        <w:rPr>
          <w:rFonts w:ascii="Arial" w:hAnsi="Arial" w:cs="Arial"/>
          <w:sz w:val="18"/>
          <w:szCs w:val="18"/>
          <w:lang w:val="it-IT"/>
        </w:rPr>
      </w:pPr>
      <w:r w:rsidRPr="00B075D9">
        <w:rPr>
          <w:rFonts w:ascii="Arial" w:hAnsi="Arial" w:cs="Arial"/>
          <w:sz w:val="18"/>
          <w:szCs w:val="18"/>
          <w:lang w:val="en-US"/>
        </w:rPr>
        <w:t xml:space="preserve">3. </w:t>
      </w:r>
      <w:r w:rsidRPr="00B075D9">
        <w:rPr>
          <w:rFonts w:ascii="Arial" w:hAnsi="Arial" w:cs="Arial"/>
          <w:sz w:val="18"/>
          <w:szCs w:val="18"/>
          <w:lang w:val="en-US"/>
        </w:rPr>
        <w:tab/>
        <w:t xml:space="preserve">Yeo CJJ, Simeone SD, Townsend EL, Zhang RZ, Swoboda KJ. Prospective Cohort Study of Nusinersen Treatment in Adults with Spinal Muscular Atrophy. </w:t>
      </w:r>
      <w:r w:rsidRPr="00B075D9">
        <w:rPr>
          <w:rFonts w:ascii="Arial" w:hAnsi="Arial" w:cs="Arial"/>
          <w:sz w:val="18"/>
          <w:szCs w:val="18"/>
          <w:lang w:val="it-IT"/>
        </w:rPr>
        <w:t xml:space="preserve">J Neuromuscul Dis. 2020;7(3):257-268. </w:t>
      </w:r>
    </w:p>
    <w:p w14:paraId="0ECD5FE6" w14:textId="77777777" w:rsidR="008024A5" w:rsidRPr="00B075D9" w:rsidRDefault="008024A5" w:rsidP="007D299B">
      <w:pPr>
        <w:pStyle w:val="Bibliografa"/>
        <w:jc w:val="both"/>
        <w:rPr>
          <w:rFonts w:ascii="Arial" w:hAnsi="Arial" w:cs="Arial"/>
          <w:sz w:val="18"/>
          <w:szCs w:val="18"/>
          <w:lang w:val="en-US"/>
        </w:rPr>
      </w:pPr>
      <w:r w:rsidRPr="00B075D9">
        <w:rPr>
          <w:rFonts w:ascii="Arial" w:hAnsi="Arial" w:cs="Arial"/>
          <w:sz w:val="18"/>
          <w:szCs w:val="18"/>
          <w:lang w:val="it-IT"/>
        </w:rPr>
        <w:t xml:space="preserve">4. </w:t>
      </w:r>
      <w:r w:rsidRPr="00B075D9">
        <w:rPr>
          <w:rFonts w:ascii="Arial" w:hAnsi="Arial" w:cs="Arial"/>
          <w:sz w:val="18"/>
          <w:szCs w:val="18"/>
          <w:lang w:val="it-IT"/>
        </w:rPr>
        <w:tab/>
        <w:t xml:space="preserve">Maggi L, Bello L, Bonanno S, Govoni A, Caponnetto C, et al. </w:t>
      </w:r>
      <w:r w:rsidRPr="00B075D9">
        <w:rPr>
          <w:rFonts w:ascii="Arial" w:hAnsi="Arial" w:cs="Arial"/>
          <w:sz w:val="18"/>
          <w:szCs w:val="18"/>
          <w:lang w:val="en-US"/>
        </w:rPr>
        <w:t xml:space="preserve">Nusinersen safety and effects on motor function in adult spinal muscular atrophy type 2 and 3. J Neurol Neurosurg Psychiatry. 2020 Nov;9(11):1166–74. </w:t>
      </w:r>
    </w:p>
    <w:p w14:paraId="77E4A32A" w14:textId="77777777" w:rsidR="008024A5" w:rsidRPr="00B075D9" w:rsidRDefault="008024A5" w:rsidP="007D299B">
      <w:pPr>
        <w:pStyle w:val="Bibliografa"/>
        <w:jc w:val="both"/>
        <w:rPr>
          <w:rFonts w:ascii="Arial" w:hAnsi="Arial" w:cs="Arial"/>
          <w:sz w:val="18"/>
          <w:szCs w:val="18"/>
          <w:lang w:val="en-US"/>
        </w:rPr>
      </w:pPr>
      <w:r w:rsidRPr="00B075D9">
        <w:rPr>
          <w:rFonts w:ascii="Arial" w:hAnsi="Arial" w:cs="Arial"/>
          <w:sz w:val="18"/>
          <w:szCs w:val="18"/>
          <w:lang w:val="en-US"/>
        </w:rPr>
        <w:t xml:space="preserve">5. </w:t>
      </w:r>
      <w:r w:rsidRPr="00B075D9">
        <w:rPr>
          <w:rFonts w:ascii="Arial" w:hAnsi="Arial" w:cs="Arial"/>
          <w:sz w:val="18"/>
          <w:szCs w:val="18"/>
          <w:lang w:val="en-US"/>
        </w:rPr>
        <w:tab/>
        <w:t xml:space="preserve">Calucho M, Bernal S, Alías L, March F, Venceslá A, Rodríguez-Álvarez FJ, et al. Correlation between SMA type and SMN2 copy number revisited: An analysis of 625 unrelated Spanish patients and a compilation of 2834 reported cases. Neuromuscular Disorders. 2018 Mar;28(3):208–15. </w:t>
      </w:r>
    </w:p>
    <w:p w14:paraId="19546D55" w14:textId="77777777" w:rsidR="008024A5" w:rsidRPr="00B075D9" w:rsidRDefault="008024A5" w:rsidP="007D299B">
      <w:pPr>
        <w:pStyle w:val="Bibliografa"/>
        <w:jc w:val="both"/>
        <w:rPr>
          <w:rFonts w:ascii="Arial" w:hAnsi="Arial" w:cs="Arial"/>
          <w:sz w:val="18"/>
          <w:szCs w:val="18"/>
          <w:lang w:val="en-US"/>
        </w:rPr>
      </w:pPr>
      <w:r w:rsidRPr="00B075D9">
        <w:rPr>
          <w:rFonts w:ascii="Arial" w:hAnsi="Arial" w:cs="Arial"/>
          <w:sz w:val="18"/>
          <w:szCs w:val="18"/>
          <w:lang w:val="en-US"/>
        </w:rPr>
        <w:t xml:space="preserve">6. </w:t>
      </w:r>
      <w:r w:rsidRPr="00B075D9">
        <w:rPr>
          <w:rFonts w:ascii="Arial" w:hAnsi="Arial" w:cs="Arial"/>
          <w:sz w:val="18"/>
          <w:szCs w:val="18"/>
          <w:lang w:val="en-US"/>
        </w:rPr>
        <w:tab/>
        <w:t xml:space="preserve">Müller-Felber W, Vill K, Schwartz O, Gläser D, Nennstiel U, Wirth B, et al. Infants Diagnosed with Spinal Muscular Atrophy and 4 SMN2 Copies through Newborn Screening – Opportunity or Burden? JND. 2020 Mar 20;7(2):109–17. </w:t>
      </w:r>
    </w:p>
    <w:p w14:paraId="56F31F15" w14:textId="77777777" w:rsidR="008024A5" w:rsidRPr="00B075D9" w:rsidRDefault="008024A5" w:rsidP="007D299B">
      <w:pPr>
        <w:pStyle w:val="Bibliografa"/>
        <w:jc w:val="both"/>
        <w:rPr>
          <w:rFonts w:ascii="Arial" w:hAnsi="Arial" w:cs="Arial"/>
          <w:sz w:val="18"/>
          <w:szCs w:val="18"/>
          <w:lang w:val="en-US"/>
        </w:rPr>
      </w:pPr>
      <w:r w:rsidRPr="00B075D9">
        <w:rPr>
          <w:rFonts w:ascii="Arial" w:hAnsi="Arial" w:cs="Arial"/>
          <w:sz w:val="18"/>
          <w:szCs w:val="18"/>
          <w:lang w:val="en-US"/>
        </w:rPr>
        <w:t xml:space="preserve">7. </w:t>
      </w:r>
      <w:r w:rsidRPr="00B075D9">
        <w:rPr>
          <w:rFonts w:ascii="Arial" w:hAnsi="Arial" w:cs="Arial"/>
          <w:sz w:val="18"/>
          <w:szCs w:val="18"/>
          <w:lang w:val="en-US"/>
        </w:rPr>
        <w:tab/>
        <w:t xml:space="preserve">Mercuri E, Finkel RS, Muntoni F, Wirth B, Montes J, Main M, et al. Diagnosis and management of spinal muscular atrophy: Part 1: Recommendations for diagnosis, rehabilitation, orthopedic and nutritional care. Neuromuscular Disorders. 2018 Feb;28(2):103–15. </w:t>
      </w:r>
    </w:p>
    <w:p w14:paraId="47FC543A" w14:textId="77777777" w:rsidR="008024A5" w:rsidRPr="00B075D9" w:rsidRDefault="008024A5" w:rsidP="007D299B">
      <w:pPr>
        <w:pStyle w:val="Bibliografa"/>
        <w:jc w:val="both"/>
        <w:rPr>
          <w:rFonts w:ascii="Arial" w:hAnsi="Arial" w:cs="Arial"/>
          <w:sz w:val="18"/>
          <w:szCs w:val="18"/>
          <w:lang w:val="en-US"/>
        </w:rPr>
      </w:pPr>
      <w:r w:rsidRPr="00B075D9">
        <w:rPr>
          <w:rFonts w:ascii="Arial" w:hAnsi="Arial" w:cs="Arial"/>
          <w:sz w:val="18"/>
          <w:szCs w:val="18"/>
          <w:lang w:val="en-US"/>
        </w:rPr>
        <w:t xml:space="preserve">8. </w:t>
      </w:r>
      <w:r w:rsidRPr="00B075D9">
        <w:rPr>
          <w:rFonts w:ascii="Arial" w:hAnsi="Arial" w:cs="Arial"/>
          <w:sz w:val="18"/>
          <w:szCs w:val="18"/>
          <w:lang w:val="en-US"/>
        </w:rPr>
        <w:tab/>
        <w:t xml:space="preserve">Finkel RS, Mercuri E, Meyer OH, Simonds AK, Schroth MK, Graham RJ, et al. Diagnosis and management of spinal muscular atrophy: Part 2: Pulmonary and acute care; medications, supplements and immunizations; other organ systems; and ethics. Neuromuscular Disorders. 2018 Mar;28(3):197–207. </w:t>
      </w:r>
    </w:p>
    <w:p w14:paraId="3638089E" w14:textId="77777777" w:rsidR="008024A5" w:rsidRPr="00B075D9" w:rsidRDefault="008024A5" w:rsidP="007D299B">
      <w:pPr>
        <w:pStyle w:val="Bibliografa"/>
        <w:jc w:val="both"/>
        <w:rPr>
          <w:rFonts w:ascii="Arial" w:hAnsi="Arial" w:cs="Arial"/>
          <w:sz w:val="18"/>
          <w:szCs w:val="18"/>
          <w:lang w:val="it-IT"/>
        </w:rPr>
      </w:pPr>
      <w:r w:rsidRPr="00B075D9">
        <w:rPr>
          <w:rFonts w:ascii="Arial" w:hAnsi="Arial" w:cs="Arial"/>
          <w:sz w:val="18"/>
          <w:szCs w:val="18"/>
          <w:lang w:val="en-US"/>
        </w:rPr>
        <w:t xml:space="preserve">9. </w:t>
      </w:r>
      <w:r w:rsidRPr="00B075D9">
        <w:rPr>
          <w:rFonts w:ascii="Arial" w:hAnsi="Arial" w:cs="Arial"/>
          <w:sz w:val="18"/>
          <w:szCs w:val="18"/>
          <w:lang w:val="en-US"/>
        </w:rPr>
        <w:tab/>
        <w:t xml:space="preserve">Mercuri E, Bertini E, Iannaccone ST. Childhood spinal muscular atrophy: controversies and challenges. The Lancet Neurology. </w:t>
      </w:r>
      <w:r w:rsidRPr="00B075D9">
        <w:rPr>
          <w:rFonts w:ascii="Arial" w:hAnsi="Arial" w:cs="Arial"/>
          <w:sz w:val="18"/>
          <w:szCs w:val="18"/>
          <w:lang w:val="it-IT"/>
        </w:rPr>
        <w:t xml:space="preserve">2012 May;11(5):443–52. </w:t>
      </w:r>
    </w:p>
    <w:p w14:paraId="1EAF5D2F" w14:textId="77777777" w:rsidR="008024A5" w:rsidRPr="00B075D9" w:rsidRDefault="008024A5" w:rsidP="007D299B">
      <w:pPr>
        <w:pStyle w:val="Bibliografa"/>
        <w:jc w:val="both"/>
        <w:rPr>
          <w:rFonts w:ascii="Arial" w:hAnsi="Arial" w:cs="Arial"/>
          <w:sz w:val="18"/>
          <w:szCs w:val="18"/>
          <w:lang w:val="en-US"/>
        </w:rPr>
      </w:pPr>
      <w:r w:rsidRPr="00B075D9">
        <w:rPr>
          <w:rFonts w:ascii="Arial" w:hAnsi="Arial" w:cs="Arial"/>
          <w:sz w:val="18"/>
          <w:szCs w:val="18"/>
          <w:lang w:val="it-IT"/>
        </w:rPr>
        <w:t xml:space="preserve">10. </w:t>
      </w:r>
      <w:r w:rsidRPr="00B075D9">
        <w:rPr>
          <w:rFonts w:ascii="Arial" w:hAnsi="Arial" w:cs="Arial"/>
          <w:sz w:val="18"/>
          <w:szCs w:val="18"/>
          <w:lang w:val="it-IT"/>
        </w:rPr>
        <w:tab/>
        <w:t xml:space="preserve">De Sanctis R, Pane M, Coratti G, Palermo C, Leone D, Pera MC, et al. </w:t>
      </w:r>
      <w:r w:rsidRPr="00B075D9">
        <w:rPr>
          <w:rFonts w:ascii="Arial" w:hAnsi="Arial" w:cs="Arial"/>
          <w:sz w:val="18"/>
          <w:szCs w:val="18"/>
          <w:lang w:val="en-US"/>
        </w:rPr>
        <w:t xml:space="preserve">Clinical phenotypes and trajectories of disease progression in type 1 spinal muscular atrophy. Neuromuscular Disorders. 2018 Jan;28(1):24–8. </w:t>
      </w:r>
    </w:p>
    <w:p w14:paraId="28D7152B" w14:textId="48968800" w:rsidR="008024A5" w:rsidRDefault="008024A5" w:rsidP="00BC4426">
      <w:pPr>
        <w:jc w:val="both"/>
        <w:rPr>
          <w:rFonts w:ascii="Arial" w:hAnsi="Arial" w:cs="Arial"/>
          <w:color w:val="0000FF"/>
          <w:sz w:val="20"/>
          <w:szCs w:val="20"/>
          <w:u w:val="single"/>
        </w:rPr>
      </w:pPr>
      <w:r w:rsidRPr="00B075D9">
        <w:rPr>
          <w:rFonts w:ascii="Arial" w:hAnsi="Arial" w:cs="Arial"/>
          <w:sz w:val="18"/>
          <w:szCs w:val="18"/>
          <w:lang w:val="en-US"/>
        </w:rPr>
        <w:t xml:space="preserve">11. </w:t>
      </w:r>
      <w:r w:rsidRPr="00B075D9">
        <w:rPr>
          <w:rFonts w:ascii="Arial" w:hAnsi="Arial" w:cs="Arial"/>
          <w:sz w:val="18"/>
          <w:szCs w:val="18"/>
          <w:lang w:val="en-US"/>
        </w:rPr>
        <w:tab/>
        <w:t xml:space="preserve">Simone C, Ramirez A, Bucchia et al. Is spinal muscular atrophy a disease of the motor neurons only: pathogenesis and therapeutic implications? </w:t>
      </w:r>
      <w:r w:rsidRPr="00B075D9">
        <w:rPr>
          <w:rFonts w:ascii="Arial" w:hAnsi="Arial" w:cs="Arial"/>
          <w:sz w:val="18"/>
          <w:szCs w:val="18"/>
        </w:rPr>
        <w:t xml:space="preserve">Cell Mol Life Sci. 2016 Mar;73(5). </w:t>
      </w:r>
      <w:r w:rsidRPr="00B075D9">
        <w:rPr>
          <w:rFonts w:ascii="Arial" w:hAnsi="Arial" w:cs="Arial"/>
          <w:sz w:val="18"/>
          <w:szCs w:val="18"/>
        </w:rPr>
        <w:fldChar w:fldCharType="end"/>
      </w:r>
    </w:p>
    <w:p w14:paraId="0290D60F" w14:textId="793A470D" w:rsidR="0044127D" w:rsidRDefault="007913C4" w:rsidP="00F91A97">
      <w:pPr>
        <w:jc w:val="both"/>
        <w:rPr>
          <w:rFonts w:ascii="Arial" w:hAnsi="Arial" w:cs="Arial"/>
          <w:sz w:val="20"/>
          <w:szCs w:val="20"/>
        </w:rPr>
      </w:pPr>
      <w:r w:rsidRPr="007913C4">
        <w:rPr>
          <w:rFonts w:ascii="Arial" w:hAnsi="Arial" w:cs="Arial"/>
          <w:color w:val="0000FF"/>
          <w:sz w:val="18"/>
          <w:szCs w:val="20"/>
          <w:u w:val="single"/>
        </w:rPr>
        <w:br w:type="page"/>
      </w:r>
    </w:p>
    <w:p w14:paraId="11DC812A" w14:textId="77777777" w:rsidR="0044127D" w:rsidRPr="007913C4" w:rsidRDefault="0044127D" w:rsidP="0044127D">
      <w:pPr>
        <w:rPr>
          <w:rFonts w:ascii="Arial" w:hAnsi="Arial" w:cs="Arial"/>
          <w:color w:val="0000FF"/>
          <w:sz w:val="18"/>
          <w:szCs w:val="20"/>
          <w:u w:val="single"/>
        </w:rPr>
      </w:pPr>
    </w:p>
    <w:p w14:paraId="5353F1E9" w14:textId="77777777" w:rsidR="0044127D" w:rsidRPr="007913C4" w:rsidRDefault="0044127D" w:rsidP="0044127D">
      <w:pPr>
        <w:shd w:val="clear" w:color="auto" w:fill="DBE5F1"/>
        <w:autoSpaceDE w:val="0"/>
        <w:autoSpaceDN w:val="0"/>
        <w:adjustRightInd w:val="0"/>
        <w:spacing w:after="240" w:line="240" w:lineRule="atLeast"/>
        <w:jc w:val="center"/>
        <w:rPr>
          <w:rFonts w:ascii="Arial" w:hAnsi="Arial" w:cs="Arial"/>
          <w:color w:val="000000"/>
          <w:sz w:val="20"/>
          <w:szCs w:val="20"/>
        </w:rPr>
      </w:pPr>
      <w:r w:rsidRPr="007913C4">
        <w:rPr>
          <w:rFonts w:ascii="Arial" w:hAnsi="Arial" w:cs="Arial"/>
          <w:b/>
          <w:bCs/>
          <w:color w:val="000000"/>
          <w:sz w:val="20"/>
          <w:szCs w:val="20"/>
        </w:rPr>
        <w:t xml:space="preserve">Formulario de declaración de conflictos de intereses (ANEXO </w:t>
      </w:r>
      <w:r>
        <w:rPr>
          <w:rFonts w:ascii="Arial" w:hAnsi="Arial" w:cs="Arial"/>
          <w:b/>
          <w:bCs/>
          <w:color w:val="000000"/>
          <w:sz w:val="20"/>
          <w:szCs w:val="20"/>
        </w:rPr>
        <w:t>2</w:t>
      </w:r>
      <w:r w:rsidRPr="007913C4">
        <w:rPr>
          <w:rFonts w:ascii="Arial" w:hAnsi="Arial" w:cs="Arial"/>
          <w:b/>
          <w:bCs/>
          <w:color w:val="000000"/>
          <w:sz w:val="20"/>
          <w:szCs w:val="20"/>
        </w:rPr>
        <w:t>)</w:t>
      </w:r>
    </w:p>
    <w:p w14:paraId="567466B0" w14:textId="77777777" w:rsidR="0044127D" w:rsidRPr="007913C4" w:rsidRDefault="0044127D" w:rsidP="0044127D">
      <w:pPr>
        <w:pStyle w:val="Pa53"/>
        <w:jc w:val="both"/>
        <w:rPr>
          <w:rFonts w:ascii="Arial" w:hAnsi="Arial" w:cs="Arial"/>
          <w:sz w:val="20"/>
          <w:szCs w:val="20"/>
          <w:lang w:eastAsia="es-ES"/>
        </w:rPr>
      </w:pPr>
      <w:r w:rsidRPr="007913C4">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4A944F1F" w14:textId="3C4085BA" w:rsidR="0044127D" w:rsidRPr="007913C4" w:rsidRDefault="0044127D" w:rsidP="0044127D">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Nombre y apellidos: </w:t>
      </w:r>
      <w:r>
        <w:rPr>
          <w:rFonts w:ascii="Arial" w:hAnsi="Arial" w:cs="Arial"/>
          <w:bCs/>
          <w:color w:val="000000"/>
          <w:sz w:val="20"/>
          <w:szCs w:val="20"/>
        </w:rPr>
        <w:t>David Gómez Gómez</w:t>
      </w:r>
    </w:p>
    <w:p w14:paraId="36AC224B" w14:textId="77777777" w:rsidR="0044127D" w:rsidRPr="007913C4" w:rsidRDefault="0044127D" w:rsidP="0044127D">
      <w:pPr>
        <w:autoSpaceDE w:val="0"/>
        <w:autoSpaceDN w:val="0"/>
        <w:adjustRightInd w:val="0"/>
        <w:spacing w:line="240" w:lineRule="atLeast"/>
        <w:ind w:left="220" w:hanging="220"/>
        <w:rPr>
          <w:rFonts w:ascii="Arial" w:hAnsi="Arial" w:cs="Arial"/>
          <w:b/>
          <w:bCs/>
          <w:color w:val="000000"/>
          <w:sz w:val="20"/>
          <w:szCs w:val="20"/>
        </w:rPr>
      </w:pPr>
    </w:p>
    <w:p w14:paraId="6361CE5B" w14:textId="4671A73E" w:rsidR="0044127D" w:rsidRPr="007913C4" w:rsidRDefault="0044127D" w:rsidP="0044127D">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Institución en la que trabaja: </w:t>
      </w:r>
      <w:r w:rsidRPr="004F2163">
        <w:rPr>
          <w:rFonts w:ascii="Arial" w:hAnsi="Arial" w:cs="Arial"/>
          <w:sz w:val="20"/>
          <w:szCs w:val="20"/>
        </w:rPr>
        <w:t>Servicio de Farmacia, Ho</w:t>
      </w:r>
      <w:r w:rsidR="00FF2FDC">
        <w:rPr>
          <w:rFonts w:ascii="Arial" w:hAnsi="Arial" w:cs="Arial"/>
          <w:sz w:val="20"/>
          <w:szCs w:val="20"/>
        </w:rPr>
        <w:t xml:space="preserve">spital Universitario Marqués de </w:t>
      </w:r>
      <w:r w:rsidRPr="004F2163">
        <w:rPr>
          <w:rFonts w:ascii="Arial" w:hAnsi="Arial" w:cs="Arial"/>
          <w:sz w:val="20"/>
          <w:szCs w:val="20"/>
        </w:rPr>
        <w:t>Valdecilla (Santande</w:t>
      </w:r>
      <w:r>
        <w:rPr>
          <w:rFonts w:ascii="Arial" w:hAnsi="Arial" w:cs="Arial"/>
          <w:sz w:val="20"/>
          <w:szCs w:val="20"/>
        </w:rPr>
        <w:t>r)</w:t>
      </w:r>
      <w:r w:rsidR="00FF2FDC">
        <w:rPr>
          <w:rFonts w:ascii="Arial" w:hAnsi="Arial" w:cs="Arial"/>
          <w:sz w:val="20"/>
          <w:szCs w:val="20"/>
        </w:rPr>
        <w:t>.</w:t>
      </w:r>
    </w:p>
    <w:p w14:paraId="3A366B53" w14:textId="77777777" w:rsidR="0044127D" w:rsidRPr="007913C4" w:rsidRDefault="0044127D" w:rsidP="0044127D">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Institución que le vincula al informe: </w:t>
      </w:r>
      <w:r w:rsidRPr="007913C4">
        <w:rPr>
          <w:rFonts w:ascii="Arial" w:hAnsi="Arial" w:cs="Arial"/>
          <w:color w:val="000000"/>
          <w:sz w:val="20"/>
          <w:szCs w:val="20"/>
        </w:rPr>
        <w:t>Informe compartido GENESIS-SEFH</w:t>
      </w:r>
    </w:p>
    <w:p w14:paraId="54C02911" w14:textId="77777777" w:rsidR="0044127D" w:rsidRPr="007913C4" w:rsidRDefault="0044127D" w:rsidP="0044127D">
      <w:pPr>
        <w:autoSpaceDE w:val="0"/>
        <w:autoSpaceDN w:val="0"/>
        <w:adjustRightInd w:val="0"/>
        <w:spacing w:after="40" w:line="240" w:lineRule="atLeast"/>
        <w:rPr>
          <w:rFonts w:ascii="Arial" w:hAnsi="Arial" w:cs="Arial"/>
          <w:color w:val="000000"/>
          <w:sz w:val="20"/>
          <w:szCs w:val="20"/>
        </w:rPr>
      </w:pPr>
    </w:p>
    <w:p w14:paraId="6AF449D0" w14:textId="77777777" w:rsidR="0044127D" w:rsidRPr="007913C4" w:rsidRDefault="0044127D" w:rsidP="0044127D">
      <w:pPr>
        <w:autoSpaceDE w:val="0"/>
        <w:autoSpaceDN w:val="0"/>
        <w:adjustRightInd w:val="0"/>
        <w:spacing w:after="40" w:line="240" w:lineRule="atLeast"/>
        <w:rPr>
          <w:rFonts w:ascii="Arial" w:hAnsi="Arial" w:cs="Arial"/>
          <w:color w:val="000000"/>
          <w:sz w:val="20"/>
          <w:szCs w:val="20"/>
        </w:rPr>
      </w:pPr>
      <w:r w:rsidRPr="007913C4">
        <w:rPr>
          <w:rFonts w:ascii="Arial" w:hAnsi="Arial" w:cs="Arial"/>
          <w:color w:val="000000"/>
          <w:sz w:val="20"/>
          <w:szCs w:val="20"/>
        </w:rPr>
        <w:t>Participación en el informe de evaluación como:</w:t>
      </w:r>
    </w:p>
    <w:p w14:paraId="7563E4F6" w14:textId="77777777" w:rsidR="00FF2FDC" w:rsidRPr="007913C4" w:rsidRDefault="00FF2FDC" w:rsidP="00FF2FDC">
      <w:pPr>
        <w:autoSpaceDE w:val="0"/>
        <w:autoSpaceDN w:val="0"/>
        <w:adjustRightInd w:val="0"/>
        <w:spacing w:line="240" w:lineRule="atLeast"/>
        <w:ind w:left="560"/>
        <w:rPr>
          <w:rFonts w:ascii="Arial" w:hAnsi="Arial" w:cs="Arial"/>
          <w:color w:val="000000"/>
          <w:sz w:val="20"/>
          <w:szCs w:val="20"/>
          <w:lang w:val="pt-BR"/>
        </w:rPr>
      </w:pPr>
    </w:p>
    <w:p w14:paraId="1453A625" w14:textId="439DC626" w:rsidR="00FF2FDC" w:rsidRPr="007913C4" w:rsidRDefault="00FF2FDC" w:rsidP="00FF2FDC">
      <w:pPr>
        <w:shd w:val="clear" w:color="auto" w:fill="D9D9D9" w:themeFill="background1" w:themeFillShade="D9"/>
        <w:autoSpaceDE w:val="0"/>
        <w:autoSpaceDN w:val="0"/>
        <w:adjustRightInd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1-Autor</w:t>
      </w:r>
    </w:p>
    <w:p w14:paraId="482E1B80" w14:textId="7201CF5D" w:rsidR="0044127D" w:rsidRPr="0044127D" w:rsidRDefault="0044127D" w:rsidP="0044127D">
      <w:pPr>
        <w:autoSpaceDE w:val="0"/>
        <w:autoSpaceDN w:val="0"/>
        <w:adjustRightInd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2-Tutor</w:t>
      </w:r>
    </w:p>
    <w:p w14:paraId="171A8F2E" w14:textId="77777777" w:rsidR="0044127D" w:rsidRPr="007913C4" w:rsidRDefault="0044127D" w:rsidP="0044127D">
      <w:pPr>
        <w:autoSpaceDE w:val="0"/>
        <w:autoSpaceDN w:val="0"/>
        <w:adjustRightInd w:val="0"/>
        <w:spacing w:line="240" w:lineRule="atLeast"/>
        <w:ind w:left="560"/>
        <w:rPr>
          <w:rFonts w:ascii="Arial" w:hAnsi="Arial" w:cs="Arial"/>
          <w:color w:val="000000"/>
          <w:sz w:val="20"/>
          <w:szCs w:val="20"/>
          <w:lang w:val="pt-BR"/>
        </w:rPr>
      </w:pPr>
      <w:r w:rsidRPr="007913C4">
        <w:rPr>
          <w:rFonts w:ascii="Arial" w:hAnsi="Arial" w:cs="Arial"/>
          <w:color w:val="000000"/>
          <w:sz w:val="20"/>
          <w:szCs w:val="20"/>
          <w:lang w:val="pt-BR"/>
        </w:rPr>
        <w:t>3-Revisor/a externo/a</w:t>
      </w:r>
    </w:p>
    <w:p w14:paraId="70F386D7" w14:textId="77777777" w:rsidR="0044127D" w:rsidRPr="007913C4" w:rsidRDefault="0044127D" w:rsidP="0044127D">
      <w:pPr>
        <w:autoSpaceDE w:val="0"/>
        <w:autoSpaceDN w:val="0"/>
        <w:adjustRightInd w:val="0"/>
        <w:spacing w:line="240" w:lineRule="atLeast"/>
        <w:jc w:val="both"/>
        <w:rPr>
          <w:rFonts w:ascii="Arial" w:hAnsi="Arial" w:cs="Arial"/>
          <w:color w:val="000000"/>
          <w:sz w:val="20"/>
          <w:szCs w:val="20"/>
          <w:lang w:val="pt-BR"/>
        </w:rPr>
      </w:pPr>
    </w:p>
    <w:p w14:paraId="1FAB47E8" w14:textId="72A9457C" w:rsidR="0044127D" w:rsidRPr="007913C4" w:rsidRDefault="0044127D" w:rsidP="00FF2FDC">
      <w:pPr>
        <w:autoSpaceDE w:val="0"/>
        <w:autoSpaceDN w:val="0"/>
        <w:adjustRightInd w:val="0"/>
        <w:spacing w:line="240" w:lineRule="atLeast"/>
        <w:jc w:val="both"/>
        <w:rPr>
          <w:rFonts w:ascii="Arial" w:hAnsi="Arial" w:cs="Arial"/>
          <w:color w:val="000000"/>
          <w:sz w:val="20"/>
          <w:szCs w:val="20"/>
        </w:rPr>
      </w:pPr>
      <w:r w:rsidRPr="007913C4">
        <w:rPr>
          <w:rFonts w:ascii="Arial" w:hAnsi="Arial" w:cs="Arial"/>
          <w:color w:val="000000"/>
          <w:sz w:val="20"/>
          <w:szCs w:val="20"/>
        </w:rPr>
        <w:t>Tras haber y leído y comprendido la información remitida sobre la declaración de conflictos para el presente informe, fo</w:t>
      </w:r>
      <w:r w:rsidR="00FF2FDC">
        <w:rPr>
          <w:rFonts w:ascii="Arial" w:hAnsi="Arial" w:cs="Arial"/>
          <w:color w:val="000000"/>
          <w:sz w:val="20"/>
          <w:szCs w:val="20"/>
        </w:rPr>
        <w:t>rmulo la siguiente declaración:</w:t>
      </w:r>
    </w:p>
    <w:p w14:paraId="08F247C8" w14:textId="77777777" w:rsidR="0044127D" w:rsidRPr="007913C4" w:rsidRDefault="0044127D" w:rsidP="0044127D">
      <w:pPr>
        <w:autoSpaceDE w:val="0"/>
        <w:autoSpaceDN w:val="0"/>
        <w:adjustRightInd w:val="0"/>
        <w:spacing w:line="240" w:lineRule="atLeast"/>
        <w:rPr>
          <w:rFonts w:ascii="Arial" w:hAnsi="Arial" w:cs="Arial"/>
          <w:b/>
          <w:bCs/>
          <w:color w:val="000000"/>
          <w:sz w:val="20"/>
          <w:szCs w:val="20"/>
        </w:rPr>
      </w:pPr>
      <w:r w:rsidRPr="007913C4">
        <w:rPr>
          <w:rFonts w:ascii="Arial" w:hAnsi="Arial" w:cs="Arial"/>
          <w:b/>
          <w:bCs/>
          <w:color w:val="000000"/>
          <w:sz w:val="20"/>
          <w:szCs w:val="20"/>
        </w:rPr>
        <w:t xml:space="preserve">A- Intereses personales </w:t>
      </w:r>
      <w:r w:rsidRPr="007913C4">
        <w:rPr>
          <w:rStyle w:val="A6"/>
          <w:rFonts w:ascii="Arial" w:hAnsi="Arial" w:cs="Arial"/>
          <w:b/>
          <w:bCs/>
          <w:sz w:val="20"/>
          <w:szCs w:val="20"/>
        </w:rPr>
        <w:t>(</w:t>
      </w:r>
      <w:r w:rsidRPr="007913C4">
        <w:rPr>
          <w:rFonts w:ascii="Arial" w:hAnsi="Arial" w:cs="Arial"/>
          <w:color w:val="000000"/>
          <w:sz w:val="20"/>
          <w:szCs w:val="20"/>
        </w:rPr>
        <w:t>En caso afirmativo especificar</w:t>
      </w:r>
      <w:r w:rsidRPr="007913C4">
        <w:rPr>
          <w:rStyle w:val="A6"/>
          <w:rFonts w:ascii="Arial" w:hAnsi="Arial" w:cs="Arial"/>
          <w:b/>
          <w:bCs/>
          <w:sz w:val="20"/>
          <w:szCs w:val="20"/>
        </w:rPr>
        <w:t xml:space="preserve">): </w:t>
      </w:r>
      <w:r w:rsidRPr="007913C4">
        <w:rPr>
          <w:rStyle w:val="A6"/>
          <w:rFonts w:ascii="Arial" w:hAnsi="Arial" w:cs="Arial"/>
          <w:b/>
          <w:bCs/>
          <w:sz w:val="20"/>
          <w:szCs w:val="20"/>
        </w:rPr>
        <w:tab/>
      </w:r>
      <w:r w:rsidRPr="007913C4">
        <w:rPr>
          <w:rStyle w:val="A6"/>
          <w:rFonts w:ascii="Arial" w:hAnsi="Arial" w:cs="Arial"/>
          <w:b/>
          <w:bCs/>
          <w:sz w:val="20"/>
          <w:szCs w:val="20"/>
        </w:rPr>
        <w:sym w:font="Wingdings" w:char="F070"/>
      </w:r>
      <w:r w:rsidRPr="007913C4">
        <w:rPr>
          <w:rStyle w:val="A6"/>
          <w:rFonts w:ascii="Arial" w:hAnsi="Arial" w:cs="Arial"/>
          <w:b/>
          <w:bCs/>
          <w:sz w:val="20"/>
          <w:szCs w:val="20"/>
        </w:rPr>
        <w:t>SI</w:t>
      </w:r>
      <w:r w:rsidRPr="007913C4">
        <w:rPr>
          <w:rStyle w:val="A6"/>
          <w:rFonts w:ascii="Arial" w:hAnsi="Arial" w:cs="Arial"/>
          <w:b/>
          <w:bCs/>
          <w:sz w:val="20"/>
          <w:szCs w:val="20"/>
        </w:rPr>
        <w:tab/>
      </w:r>
      <w:r w:rsidRPr="007913C4">
        <w:rPr>
          <w:rStyle w:val="A6"/>
          <w:rFonts w:ascii="Arial" w:hAnsi="Arial" w:cs="Arial"/>
          <w:b/>
          <w:bCs/>
          <w:sz w:val="20"/>
          <w:szCs w:val="20"/>
        </w:rPr>
        <w:tab/>
      </w:r>
      <w:r w:rsidRPr="007913C4">
        <w:rPr>
          <w:rStyle w:val="A6"/>
          <w:rFonts w:ascii="Arial" w:hAnsi="Arial" w:cs="Arial"/>
          <w:b/>
          <w:bCs/>
          <w:sz w:val="20"/>
          <w:szCs w:val="20"/>
          <w:highlight w:val="lightGray"/>
        </w:rPr>
        <w:sym w:font="Wingdings" w:char="F070"/>
      </w:r>
      <w:r w:rsidRPr="007913C4">
        <w:rPr>
          <w:rStyle w:val="A6"/>
          <w:rFonts w:ascii="Arial" w:hAnsi="Arial" w:cs="Arial"/>
          <w:b/>
          <w:bCs/>
          <w:sz w:val="20"/>
          <w:szCs w:val="20"/>
          <w:highlight w:val="lightGray"/>
        </w:rPr>
        <w:t>NO</w:t>
      </w:r>
      <w:r w:rsidRPr="007913C4">
        <w:rPr>
          <w:rStyle w:val="A6"/>
          <w:rFonts w:ascii="Arial" w:hAnsi="Arial" w:cs="Arial"/>
          <w:b/>
          <w:bCs/>
          <w:sz w:val="20"/>
          <w:szCs w:val="20"/>
        </w:rPr>
        <w:t xml:space="preserve"> </w:t>
      </w:r>
    </w:p>
    <w:p w14:paraId="51B8757C" w14:textId="77777777" w:rsidR="0044127D" w:rsidRPr="007913C4" w:rsidRDefault="0044127D" w:rsidP="0044127D">
      <w:pPr>
        <w:autoSpaceDE w:val="0"/>
        <w:autoSpaceDN w:val="0"/>
        <w:adjustRightInd w:val="0"/>
        <w:spacing w:line="240" w:lineRule="atLeast"/>
        <w:rPr>
          <w:rFonts w:ascii="Arial" w:hAnsi="Arial" w:cs="Arial"/>
          <w:color w:val="000000"/>
          <w:sz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9"/>
        <w:gridCol w:w="1272"/>
        <w:gridCol w:w="1272"/>
        <w:gridCol w:w="457"/>
        <w:gridCol w:w="375"/>
      </w:tblGrid>
      <w:tr w:rsidR="0044127D" w:rsidRPr="007913C4" w14:paraId="5EF1778A" w14:textId="77777777" w:rsidTr="00A22536">
        <w:tc>
          <w:tcPr>
            <w:tcW w:w="5495" w:type="dxa"/>
            <w:tcBorders>
              <w:top w:val="single" w:sz="4" w:space="0" w:color="auto"/>
              <w:left w:val="single" w:sz="4" w:space="0" w:color="auto"/>
              <w:bottom w:val="single" w:sz="4" w:space="0" w:color="auto"/>
              <w:right w:val="single" w:sz="4" w:space="0" w:color="auto"/>
            </w:tcBorders>
          </w:tcPr>
          <w:p w14:paraId="2C7FE7D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41EF16FA"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Actividad</w:t>
            </w:r>
          </w:p>
        </w:tc>
        <w:tc>
          <w:tcPr>
            <w:tcW w:w="1275" w:type="dxa"/>
            <w:tcBorders>
              <w:top w:val="single" w:sz="4" w:space="0" w:color="auto"/>
              <w:left w:val="single" w:sz="4" w:space="0" w:color="auto"/>
              <w:bottom w:val="single" w:sz="4" w:space="0" w:color="auto"/>
              <w:right w:val="single" w:sz="4" w:space="0" w:color="auto"/>
            </w:tcBorders>
            <w:hideMark/>
          </w:tcPr>
          <w:p w14:paraId="0C513AC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Institución</w:t>
            </w:r>
          </w:p>
        </w:tc>
        <w:tc>
          <w:tcPr>
            <w:tcW w:w="833" w:type="dxa"/>
            <w:gridSpan w:val="2"/>
            <w:tcBorders>
              <w:top w:val="single" w:sz="4" w:space="0" w:color="auto"/>
              <w:left w:val="single" w:sz="4" w:space="0" w:color="auto"/>
              <w:bottom w:val="single" w:sz="4" w:space="0" w:color="auto"/>
              <w:right w:val="single" w:sz="4" w:space="0" w:color="auto"/>
            </w:tcBorders>
            <w:hideMark/>
          </w:tcPr>
          <w:p w14:paraId="2349BD5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Fecha</w:t>
            </w:r>
          </w:p>
        </w:tc>
      </w:tr>
      <w:tr w:rsidR="0044127D" w:rsidRPr="007913C4" w14:paraId="02B49B6F"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7083C72A"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para reuniones y congresos, asistencia a cursos (inscripciones, bolsas de viajes, alojamiento…)</w:t>
            </w:r>
          </w:p>
        </w:tc>
        <w:tc>
          <w:tcPr>
            <w:tcW w:w="1276" w:type="dxa"/>
            <w:tcBorders>
              <w:top w:val="single" w:sz="4" w:space="0" w:color="auto"/>
              <w:left w:val="single" w:sz="4" w:space="0" w:color="auto"/>
              <w:bottom w:val="single" w:sz="4" w:space="0" w:color="auto"/>
              <w:right w:val="single" w:sz="4" w:space="0" w:color="auto"/>
            </w:tcBorders>
          </w:tcPr>
          <w:p w14:paraId="0A7C94E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6868A16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1104DD9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1350712A"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65BB94B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Honorarios como ponente (conferencias, cursos…)</w:t>
            </w:r>
          </w:p>
        </w:tc>
        <w:tc>
          <w:tcPr>
            <w:tcW w:w="1276" w:type="dxa"/>
            <w:tcBorders>
              <w:top w:val="single" w:sz="4" w:space="0" w:color="auto"/>
              <w:left w:val="single" w:sz="4" w:space="0" w:color="auto"/>
              <w:bottom w:val="single" w:sz="4" w:space="0" w:color="auto"/>
              <w:right w:val="single" w:sz="4" w:space="0" w:color="auto"/>
            </w:tcBorders>
          </w:tcPr>
          <w:p w14:paraId="684419F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7A4735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1AE9B84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7E5A29F3"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1012102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de programas educativos o cursos (contratación de personal, alquiler de instalaciones…)</w:t>
            </w:r>
          </w:p>
        </w:tc>
        <w:tc>
          <w:tcPr>
            <w:tcW w:w="1276" w:type="dxa"/>
            <w:tcBorders>
              <w:top w:val="single" w:sz="4" w:space="0" w:color="auto"/>
              <w:left w:val="single" w:sz="4" w:space="0" w:color="auto"/>
              <w:bottom w:val="single" w:sz="4" w:space="0" w:color="auto"/>
              <w:right w:val="single" w:sz="4" w:space="0" w:color="auto"/>
            </w:tcBorders>
          </w:tcPr>
          <w:p w14:paraId="2002955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E27F709"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7E3CD23B"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3C2FCE77"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64084DA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por participar en una investigación</w:t>
            </w:r>
          </w:p>
        </w:tc>
        <w:tc>
          <w:tcPr>
            <w:tcW w:w="1276" w:type="dxa"/>
            <w:tcBorders>
              <w:top w:val="single" w:sz="4" w:space="0" w:color="auto"/>
              <w:left w:val="single" w:sz="4" w:space="0" w:color="auto"/>
              <w:bottom w:val="single" w:sz="4" w:space="0" w:color="auto"/>
              <w:right w:val="single" w:sz="4" w:space="0" w:color="auto"/>
            </w:tcBorders>
          </w:tcPr>
          <w:p w14:paraId="2D98F689"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6036B5F1"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2DEEC60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1AA8E620"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11106F7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Consultoría para una compañía farmacéutica/otras tecnologías</w:t>
            </w:r>
          </w:p>
        </w:tc>
        <w:tc>
          <w:tcPr>
            <w:tcW w:w="1276" w:type="dxa"/>
            <w:tcBorders>
              <w:top w:val="single" w:sz="4" w:space="0" w:color="auto"/>
              <w:left w:val="single" w:sz="4" w:space="0" w:color="auto"/>
              <w:bottom w:val="single" w:sz="4" w:space="0" w:color="auto"/>
              <w:right w:val="single" w:sz="4" w:space="0" w:color="auto"/>
            </w:tcBorders>
          </w:tcPr>
          <w:p w14:paraId="3E91FA7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0142318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6371AA8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7852AD00"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5C91251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Accionista o con intereses comerciales en una compañía</w:t>
            </w:r>
          </w:p>
        </w:tc>
        <w:tc>
          <w:tcPr>
            <w:tcW w:w="1276" w:type="dxa"/>
            <w:tcBorders>
              <w:top w:val="single" w:sz="4" w:space="0" w:color="auto"/>
              <w:left w:val="single" w:sz="4" w:space="0" w:color="auto"/>
              <w:bottom w:val="single" w:sz="4" w:space="0" w:color="auto"/>
              <w:right w:val="single" w:sz="4" w:space="0" w:color="auto"/>
            </w:tcBorders>
          </w:tcPr>
          <w:p w14:paraId="474846BC"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3ACE654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1B110DF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07B522A7"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16C3D02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auto"/>
              <w:left w:val="single" w:sz="4" w:space="0" w:color="auto"/>
              <w:bottom w:val="single" w:sz="4" w:space="0" w:color="auto"/>
              <w:right w:val="single" w:sz="4" w:space="0" w:color="auto"/>
            </w:tcBorders>
          </w:tcPr>
          <w:p w14:paraId="7114A15C"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3F7F2DAC"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0D08050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18F1E973"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4AFF1CFC"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Conflictos de intereses de índole no económico que pueden ser significativos en relación a la autoría en la guía</w:t>
            </w:r>
          </w:p>
        </w:tc>
        <w:tc>
          <w:tcPr>
            <w:tcW w:w="1276" w:type="dxa"/>
            <w:tcBorders>
              <w:top w:val="single" w:sz="4" w:space="0" w:color="auto"/>
              <w:left w:val="single" w:sz="4" w:space="0" w:color="auto"/>
              <w:bottom w:val="single" w:sz="4" w:space="0" w:color="auto"/>
              <w:right w:val="single" w:sz="4" w:space="0" w:color="auto"/>
            </w:tcBorders>
          </w:tcPr>
          <w:p w14:paraId="3807D1DB"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F0A7E06"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7091803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6DE681F4" w14:textId="77777777" w:rsidTr="00A22536">
        <w:trPr>
          <w:gridAfter w:val="1"/>
          <w:wAfter w:w="372" w:type="dxa"/>
          <w:trHeight w:val="226"/>
        </w:trPr>
        <w:tc>
          <w:tcPr>
            <w:tcW w:w="8503" w:type="dxa"/>
            <w:gridSpan w:val="4"/>
            <w:tcBorders>
              <w:top w:val="nil"/>
              <w:left w:val="nil"/>
              <w:bottom w:val="nil"/>
              <w:right w:val="nil"/>
            </w:tcBorders>
          </w:tcPr>
          <w:p w14:paraId="13959E4C" w14:textId="77777777" w:rsidR="0044127D" w:rsidRPr="007913C4" w:rsidRDefault="0044127D" w:rsidP="00A22536">
            <w:pPr>
              <w:autoSpaceDE w:val="0"/>
              <w:autoSpaceDN w:val="0"/>
              <w:adjustRightInd w:val="0"/>
              <w:spacing w:line="240" w:lineRule="atLeast"/>
              <w:jc w:val="both"/>
              <w:rPr>
                <w:rFonts w:ascii="Arial" w:hAnsi="Arial" w:cs="Arial"/>
                <w:color w:val="FF0000"/>
                <w:sz w:val="16"/>
                <w:szCs w:val="18"/>
              </w:rPr>
            </w:pPr>
          </w:p>
        </w:tc>
      </w:tr>
    </w:tbl>
    <w:p w14:paraId="3F145E42" w14:textId="77777777" w:rsidR="0044127D" w:rsidRPr="007913C4" w:rsidRDefault="0044127D" w:rsidP="0044127D">
      <w:pPr>
        <w:autoSpaceDE w:val="0"/>
        <w:autoSpaceDN w:val="0"/>
        <w:adjustRightInd w:val="0"/>
        <w:spacing w:line="240" w:lineRule="atLeast"/>
        <w:rPr>
          <w:rStyle w:val="A6"/>
          <w:rFonts w:ascii="Arial" w:hAnsi="Arial" w:cs="Arial"/>
          <w:b/>
          <w:bCs/>
          <w:sz w:val="16"/>
        </w:rPr>
      </w:pPr>
    </w:p>
    <w:p w14:paraId="0B70E41E" w14:textId="77777777" w:rsidR="0044127D" w:rsidRPr="007913C4" w:rsidRDefault="0044127D" w:rsidP="0044127D">
      <w:pPr>
        <w:autoSpaceDE w:val="0"/>
        <w:autoSpaceDN w:val="0"/>
        <w:adjustRightInd w:val="0"/>
        <w:spacing w:line="240" w:lineRule="atLeast"/>
        <w:rPr>
          <w:rStyle w:val="A6"/>
          <w:rFonts w:ascii="Arial" w:hAnsi="Arial" w:cs="Arial"/>
          <w:b/>
          <w:bCs/>
          <w:sz w:val="20"/>
          <w:szCs w:val="20"/>
        </w:rPr>
      </w:pPr>
      <w:r w:rsidRPr="007913C4">
        <w:rPr>
          <w:rStyle w:val="A6"/>
          <w:rFonts w:ascii="Arial" w:hAnsi="Arial" w:cs="Arial"/>
          <w:b/>
          <w:bCs/>
          <w:sz w:val="20"/>
          <w:szCs w:val="20"/>
        </w:rPr>
        <w:t>B- Intereses no personales (</w:t>
      </w:r>
      <w:r w:rsidRPr="007913C4">
        <w:rPr>
          <w:rFonts w:ascii="Arial" w:hAnsi="Arial" w:cs="Arial"/>
          <w:color w:val="000000"/>
          <w:sz w:val="20"/>
          <w:szCs w:val="20"/>
        </w:rPr>
        <w:t>En caso afirmativo especificar</w:t>
      </w:r>
      <w:r w:rsidRPr="007913C4">
        <w:rPr>
          <w:rStyle w:val="A6"/>
          <w:rFonts w:ascii="Arial" w:hAnsi="Arial" w:cs="Arial"/>
          <w:b/>
          <w:bCs/>
          <w:sz w:val="20"/>
          <w:szCs w:val="20"/>
        </w:rPr>
        <w:t xml:space="preserve">): </w:t>
      </w:r>
      <w:r w:rsidRPr="007913C4">
        <w:rPr>
          <w:rStyle w:val="A6"/>
          <w:rFonts w:ascii="Arial" w:hAnsi="Arial" w:cs="Arial"/>
          <w:b/>
          <w:bCs/>
          <w:sz w:val="20"/>
          <w:szCs w:val="20"/>
        </w:rPr>
        <w:tab/>
      </w:r>
      <w:r w:rsidRPr="007913C4">
        <w:rPr>
          <w:rStyle w:val="A6"/>
          <w:rFonts w:ascii="Arial" w:hAnsi="Arial" w:cs="Arial"/>
          <w:b/>
          <w:bCs/>
          <w:sz w:val="20"/>
          <w:szCs w:val="20"/>
        </w:rPr>
        <w:sym w:font="Wingdings" w:char="F070"/>
      </w:r>
      <w:r w:rsidRPr="007913C4">
        <w:rPr>
          <w:rStyle w:val="A6"/>
          <w:rFonts w:ascii="Arial" w:hAnsi="Arial" w:cs="Arial"/>
          <w:b/>
          <w:bCs/>
          <w:sz w:val="20"/>
          <w:szCs w:val="20"/>
        </w:rPr>
        <w:t>SI</w:t>
      </w:r>
      <w:r w:rsidRPr="007913C4">
        <w:rPr>
          <w:rStyle w:val="A6"/>
          <w:rFonts w:ascii="Arial" w:hAnsi="Arial" w:cs="Arial"/>
          <w:b/>
          <w:bCs/>
          <w:sz w:val="20"/>
          <w:szCs w:val="20"/>
        </w:rPr>
        <w:tab/>
      </w:r>
      <w:r w:rsidRPr="007913C4">
        <w:rPr>
          <w:rStyle w:val="A6"/>
          <w:rFonts w:ascii="Arial" w:hAnsi="Arial" w:cs="Arial"/>
          <w:b/>
          <w:bCs/>
          <w:sz w:val="20"/>
          <w:szCs w:val="20"/>
        </w:rPr>
        <w:tab/>
      </w:r>
      <w:r w:rsidRPr="007913C4">
        <w:rPr>
          <w:rStyle w:val="A6"/>
          <w:rFonts w:ascii="Arial" w:hAnsi="Arial" w:cs="Arial"/>
          <w:b/>
          <w:bCs/>
          <w:sz w:val="20"/>
          <w:szCs w:val="20"/>
          <w:highlight w:val="lightGray"/>
        </w:rPr>
        <w:sym w:font="Wingdings" w:char="F070"/>
      </w:r>
      <w:r w:rsidRPr="007913C4">
        <w:rPr>
          <w:rStyle w:val="A6"/>
          <w:rFonts w:ascii="Arial" w:hAnsi="Arial" w:cs="Arial"/>
          <w:b/>
          <w:bCs/>
          <w:sz w:val="20"/>
          <w:szCs w:val="20"/>
          <w:highlight w:val="lightGray"/>
        </w:rPr>
        <w:t>NO</w:t>
      </w:r>
    </w:p>
    <w:p w14:paraId="04EC1A16" w14:textId="77777777" w:rsidR="0044127D" w:rsidRPr="007913C4" w:rsidRDefault="0044127D" w:rsidP="0044127D">
      <w:pPr>
        <w:autoSpaceDE w:val="0"/>
        <w:autoSpaceDN w:val="0"/>
        <w:adjustRightInd w:val="0"/>
        <w:spacing w:line="240" w:lineRule="atLeast"/>
        <w:rPr>
          <w:sz w:val="18"/>
          <w:szCs w:val="20"/>
        </w:rPr>
      </w:pPr>
      <w:r w:rsidRPr="007913C4">
        <w:rPr>
          <w:rStyle w:val="A6"/>
          <w:rFonts w:ascii="Arial" w:hAnsi="Arial" w:cs="Arial"/>
          <w:b/>
          <w:bCs/>
          <w:sz w:val="16"/>
        </w:rPr>
        <w:t xml:space="preserve"> </w:t>
      </w:r>
    </w:p>
    <w:tbl>
      <w:tblPr>
        <w:tblW w:w="9040" w:type="dxa"/>
        <w:tblInd w:w="-106" w:type="dxa"/>
        <w:tblLayout w:type="fixed"/>
        <w:tblLook w:val="04A0" w:firstRow="1" w:lastRow="0" w:firstColumn="1" w:lastColumn="0" w:noHBand="0" w:noVBand="1"/>
      </w:tblPr>
      <w:tblGrid>
        <w:gridCol w:w="9040"/>
      </w:tblGrid>
      <w:tr w:rsidR="0044127D" w:rsidRPr="007913C4" w14:paraId="56C586C1" w14:textId="77777777" w:rsidTr="00A22536">
        <w:trPr>
          <w:trHeight w:val="226"/>
        </w:trPr>
        <w:tc>
          <w:tcPr>
            <w:tcW w:w="9039" w:type="dxa"/>
          </w:tcPr>
          <w:p w14:paraId="70B16088" w14:textId="77777777" w:rsidR="0044127D" w:rsidRPr="007913C4" w:rsidRDefault="0044127D" w:rsidP="00A22536">
            <w:pPr>
              <w:pStyle w:val="Pa1"/>
              <w:rPr>
                <w:rStyle w:val="A6"/>
                <w:rFonts w:ascii="Arial" w:hAnsi="Arial" w:cs="Arial"/>
                <w:szCs w:val="20"/>
              </w:rPr>
            </w:pPr>
          </w:p>
          <w:tbl>
            <w:tblPr>
              <w:tblW w:w="888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6"/>
              <w:gridCol w:w="1276"/>
              <w:gridCol w:w="1275"/>
              <w:gridCol w:w="833"/>
            </w:tblGrid>
            <w:tr w:rsidR="0044127D" w:rsidRPr="007913C4" w14:paraId="2E44CFFC" w14:textId="77777777" w:rsidTr="00A22536">
              <w:tc>
                <w:tcPr>
                  <w:tcW w:w="5495" w:type="dxa"/>
                  <w:tcBorders>
                    <w:top w:val="single" w:sz="4" w:space="0" w:color="auto"/>
                    <w:left w:val="single" w:sz="4" w:space="0" w:color="auto"/>
                    <w:bottom w:val="single" w:sz="4" w:space="0" w:color="auto"/>
                    <w:right w:val="single" w:sz="4" w:space="0" w:color="auto"/>
                  </w:tcBorders>
                </w:tcPr>
                <w:p w14:paraId="5FD1377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784AC0C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Actividad</w:t>
                  </w:r>
                </w:p>
              </w:tc>
              <w:tc>
                <w:tcPr>
                  <w:tcW w:w="1275" w:type="dxa"/>
                  <w:tcBorders>
                    <w:top w:val="single" w:sz="4" w:space="0" w:color="auto"/>
                    <w:left w:val="single" w:sz="4" w:space="0" w:color="auto"/>
                    <w:bottom w:val="single" w:sz="4" w:space="0" w:color="auto"/>
                    <w:right w:val="single" w:sz="4" w:space="0" w:color="auto"/>
                  </w:tcBorders>
                  <w:hideMark/>
                </w:tcPr>
                <w:p w14:paraId="66D3651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Institución</w:t>
                  </w:r>
                </w:p>
              </w:tc>
              <w:tc>
                <w:tcPr>
                  <w:tcW w:w="833" w:type="dxa"/>
                  <w:tcBorders>
                    <w:top w:val="single" w:sz="4" w:space="0" w:color="auto"/>
                    <w:left w:val="single" w:sz="4" w:space="0" w:color="auto"/>
                    <w:bottom w:val="single" w:sz="4" w:space="0" w:color="auto"/>
                    <w:right w:val="single" w:sz="4" w:space="0" w:color="auto"/>
                  </w:tcBorders>
                  <w:hideMark/>
                </w:tcPr>
                <w:p w14:paraId="56DB186C"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Fecha</w:t>
                  </w:r>
                </w:p>
              </w:tc>
            </w:tr>
            <w:tr w:rsidR="0044127D" w:rsidRPr="007913C4" w14:paraId="0634A9FB"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20EBCDD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Financiación o ayudas económicas para la creación de la unidad o</w:t>
                  </w:r>
                  <w:r>
                    <w:rPr>
                      <w:rStyle w:val="A6"/>
                      <w:rFonts w:ascii="Arial" w:hAnsi="Arial" w:cs="Arial"/>
                      <w:sz w:val="16"/>
                    </w:rPr>
                    <w:t xml:space="preserve"> </w:t>
                  </w:r>
                  <w:r w:rsidRPr="007913C4">
                    <w:rPr>
                      <w:rStyle w:val="A6"/>
                      <w:rFonts w:ascii="Arial" w:hAnsi="Arial" w:cs="Arial"/>
                      <w:sz w:val="16"/>
                    </w:rPr>
                    <w:t>servicio</w:t>
                  </w:r>
                </w:p>
              </w:tc>
              <w:tc>
                <w:tcPr>
                  <w:tcW w:w="1276" w:type="dxa"/>
                  <w:tcBorders>
                    <w:top w:val="single" w:sz="4" w:space="0" w:color="auto"/>
                    <w:left w:val="single" w:sz="4" w:space="0" w:color="auto"/>
                    <w:bottom w:val="single" w:sz="4" w:space="0" w:color="auto"/>
                    <w:right w:val="single" w:sz="4" w:space="0" w:color="auto"/>
                  </w:tcBorders>
                </w:tcPr>
                <w:p w14:paraId="11447C09"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0B57315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2B0BFEA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4B4DB4DA"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2D69B1D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14:paraId="4AD84CA9"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6701DB2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4D40D58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045E77BC"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7F1FEA3B"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14:paraId="0669CDE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240BC85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731193C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58B34EC3"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37241D5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14:paraId="7F85AB3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605D09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6821186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19EFBF8C"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71E1730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14:paraId="71065B0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BDF486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5FE9730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bl>
          <w:p w14:paraId="1D942113" w14:textId="77777777" w:rsidR="0044127D" w:rsidRPr="007913C4" w:rsidRDefault="0044127D" w:rsidP="00A22536">
            <w:pPr>
              <w:pStyle w:val="Pa1"/>
              <w:rPr>
                <w:rFonts w:ascii="Arial" w:hAnsi="Arial" w:cs="Arial"/>
                <w:color w:val="000000"/>
                <w:sz w:val="18"/>
                <w:szCs w:val="20"/>
              </w:rPr>
            </w:pPr>
          </w:p>
        </w:tc>
      </w:tr>
    </w:tbl>
    <w:p w14:paraId="72CF846F" w14:textId="77777777" w:rsidR="0044127D" w:rsidRPr="007913C4" w:rsidRDefault="0044127D" w:rsidP="0044127D">
      <w:pPr>
        <w:rPr>
          <w:rFonts w:ascii="Arial" w:hAnsi="Arial" w:cs="Arial"/>
          <w:b/>
          <w:bCs/>
          <w:color w:val="000000"/>
          <w:sz w:val="16"/>
          <w:szCs w:val="20"/>
        </w:rPr>
      </w:pPr>
    </w:p>
    <w:p w14:paraId="1E188CDD" w14:textId="77777777" w:rsidR="0044127D" w:rsidRPr="007913C4" w:rsidRDefault="0044127D" w:rsidP="0044127D">
      <w:pPr>
        <w:rPr>
          <w:rFonts w:ascii="Arial" w:hAnsi="Arial" w:cs="Arial"/>
          <w:b/>
          <w:bCs/>
          <w:sz w:val="20"/>
        </w:rPr>
      </w:pPr>
      <w:r w:rsidRPr="007913C4">
        <w:rPr>
          <w:rFonts w:ascii="Arial" w:hAnsi="Arial" w:cs="Arial"/>
          <w:b/>
          <w:bCs/>
          <w:color w:val="000000"/>
          <w:sz w:val="20"/>
        </w:rPr>
        <w:t>C-Otros posibles conflictos de intereses no señalados en apartados anteriores (especificar)</w:t>
      </w:r>
      <w:r w:rsidRPr="007913C4">
        <w:rPr>
          <w:rFonts w:ascii="Arial" w:hAnsi="Arial" w:cs="Arial"/>
          <w:b/>
          <w:bCs/>
          <w:sz w:val="20"/>
        </w:rPr>
        <w:t xml:space="preserve"> </w:t>
      </w:r>
    </w:p>
    <w:p w14:paraId="2EE0BB8D" w14:textId="77777777" w:rsidR="0044127D" w:rsidRPr="007913C4" w:rsidRDefault="0044127D" w:rsidP="0044127D">
      <w:pPr>
        <w:rPr>
          <w:rFonts w:ascii="Arial" w:hAnsi="Arial" w:cs="Arial"/>
          <w:b/>
          <w:bCs/>
          <w:sz w:val="20"/>
        </w:rPr>
      </w:pPr>
    </w:p>
    <w:p w14:paraId="3A9F0DDD" w14:textId="397AA65C" w:rsidR="0044127D" w:rsidRPr="007913C4" w:rsidRDefault="0044127D" w:rsidP="0044127D">
      <w:pPr>
        <w:rPr>
          <w:rFonts w:ascii="Arial" w:hAnsi="Arial" w:cs="Arial"/>
          <w:b/>
          <w:bCs/>
          <w:sz w:val="20"/>
        </w:rPr>
      </w:pPr>
    </w:p>
    <w:p w14:paraId="02E39DCC" w14:textId="77777777" w:rsidR="0044127D" w:rsidRPr="007913C4" w:rsidRDefault="0044127D" w:rsidP="0044127D">
      <w:pPr>
        <w:rPr>
          <w:rFonts w:ascii="Arial" w:hAnsi="Arial" w:cs="Arial"/>
          <w:b/>
          <w:bCs/>
          <w:sz w:val="20"/>
        </w:rPr>
      </w:pPr>
    </w:p>
    <w:p w14:paraId="3B093D4F" w14:textId="43F21147" w:rsidR="0044127D" w:rsidRDefault="0044127D" w:rsidP="0044127D">
      <w:pPr>
        <w:snapToGrid w:val="0"/>
        <w:rPr>
          <w:rFonts w:ascii="Arial" w:hAnsi="Arial" w:cs="Arial"/>
          <w:b/>
          <w:bCs/>
          <w:sz w:val="20"/>
        </w:rPr>
      </w:pPr>
      <w:r w:rsidRPr="007913C4">
        <w:rPr>
          <w:rFonts w:ascii="Arial" w:hAnsi="Arial" w:cs="Arial"/>
          <w:b/>
          <w:bCs/>
          <w:sz w:val="20"/>
        </w:rPr>
        <w:t>FECHA</w:t>
      </w:r>
      <w:r w:rsidRPr="007913C4">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t>FIRMA</w:t>
      </w:r>
    </w:p>
    <w:p w14:paraId="5E48F14F" w14:textId="77777777" w:rsidR="00FF2FDC" w:rsidRDefault="0044127D" w:rsidP="0044127D">
      <w:pPr>
        <w:snapToGrid w:val="0"/>
        <w:rPr>
          <w:rFonts w:ascii="Arial" w:hAnsi="Arial" w:cs="Arial"/>
          <w:b/>
          <w:bCs/>
          <w:sz w:val="20"/>
        </w:rPr>
      </w:pPr>
      <w:r>
        <w:rPr>
          <w:rFonts w:ascii="Arial" w:hAnsi="Arial" w:cs="Arial"/>
          <w:b/>
          <w:bCs/>
          <w:sz w:val="20"/>
        </w:rPr>
        <w:t>10 de enero 2021</w:t>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t>David Gómez Gómez</w:t>
      </w:r>
      <w:r>
        <w:rPr>
          <w:rFonts w:ascii="Arial" w:hAnsi="Arial" w:cs="Arial"/>
          <w:b/>
          <w:bCs/>
          <w:sz w:val="20"/>
        </w:rPr>
        <w:tab/>
      </w:r>
    </w:p>
    <w:p w14:paraId="374F0446" w14:textId="77777777" w:rsidR="00FF2FDC" w:rsidRPr="007913C4" w:rsidRDefault="00FF2FDC" w:rsidP="00FF2FDC">
      <w:pPr>
        <w:rPr>
          <w:rFonts w:ascii="Arial" w:hAnsi="Arial" w:cs="Arial"/>
          <w:color w:val="0000FF"/>
          <w:sz w:val="18"/>
          <w:szCs w:val="20"/>
          <w:u w:val="single"/>
        </w:rPr>
      </w:pPr>
    </w:p>
    <w:p w14:paraId="6D63B550" w14:textId="77777777" w:rsidR="00FF2FDC" w:rsidRPr="007913C4" w:rsidRDefault="00FF2FDC" w:rsidP="00FF2FDC">
      <w:pPr>
        <w:shd w:val="clear" w:color="auto" w:fill="DBE5F1"/>
        <w:autoSpaceDE w:val="0"/>
        <w:autoSpaceDN w:val="0"/>
        <w:adjustRightInd w:val="0"/>
        <w:spacing w:after="240" w:line="240" w:lineRule="atLeast"/>
        <w:jc w:val="center"/>
        <w:rPr>
          <w:rFonts w:ascii="Arial" w:hAnsi="Arial" w:cs="Arial"/>
          <w:color w:val="000000"/>
          <w:sz w:val="20"/>
          <w:szCs w:val="20"/>
        </w:rPr>
      </w:pPr>
      <w:r w:rsidRPr="007913C4">
        <w:rPr>
          <w:rFonts w:ascii="Arial" w:hAnsi="Arial" w:cs="Arial"/>
          <w:b/>
          <w:bCs/>
          <w:color w:val="000000"/>
          <w:sz w:val="20"/>
          <w:szCs w:val="20"/>
        </w:rPr>
        <w:t xml:space="preserve">Formulario de declaración de conflictos de intereses (ANEXO </w:t>
      </w:r>
      <w:r>
        <w:rPr>
          <w:rFonts w:ascii="Arial" w:hAnsi="Arial" w:cs="Arial"/>
          <w:b/>
          <w:bCs/>
          <w:color w:val="000000"/>
          <w:sz w:val="20"/>
          <w:szCs w:val="20"/>
        </w:rPr>
        <w:t>2</w:t>
      </w:r>
      <w:r w:rsidRPr="007913C4">
        <w:rPr>
          <w:rFonts w:ascii="Arial" w:hAnsi="Arial" w:cs="Arial"/>
          <w:b/>
          <w:bCs/>
          <w:color w:val="000000"/>
          <w:sz w:val="20"/>
          <w:szCs w:val="20"/>
        </w:rPr>
        <w:t>)</w:t>
      </w:r>
    </w:p>
    <w:p w14:paraId="252FADA2" w14:textId="77777777" w:rsidR="00FF2FDC" w:rsidRPr="007913C4" w:rsidRDefault="00FF2FDC" w:rsidP="00FF2FDC">
      <w:pPr>
        <w:pStyle w:val="Pa53"/>
        <w:jc w:val="both"/>
        <w:rPr>
          <w:rFonts w:ascii="Arial" w:hAnsi="Arial" w:cs="Arial"/>
          <w:sz w:val="20"/>
          <w:szCs w:val="20"/>
          <w:lang w:eastAsia="es-ES"/>
        </w:rPr>
      </w:pPr>
      <w:r w:rsidRPr="007913C4">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3124E529" w14:textId="77777777" w:rsidR="00FF2FDC" w:rsidRPr="007913C4" w:rsidRDefault="00FF2FDC" w:rsidP="00FF2FDC">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Nombre y apellidos: </w:t>
      </w:r>
      <w:r w:rsidRPr="007913C4">
        <w:rPr>
          <w:rFonts w:ascii="Arial" w:hAnsi="Arial" w:cs="Arial"/>
          <w:bCs/>
          <w:color w:val="000000"/>
          <w:sz w:val="20"/>
          <w:szCs w:val="20"/>
        </w:rPr>
        <w:t>Vicente Arocas Casañ</w:t>
      </w:r>
    </w:p>
    <w:p w14:paraId="6F783068" w14:textId="77777777" w:rsidR="00FF2FDC" w:rsidRPr="007913C4" w:rsidRDefault="00FF2FDC" w:rsidP="00FF2FDC">
      <w:pPr>
        <w:autoSpaceDE w:val="0"/>
        <w:autoSpaceDN w:val="0"/>
        <w:adjustRightInd w:val="0"/>
        <w:spacing w:line="240" w:lineRule="atLeast"/>
        <w:ind w:left="220" w:hanging="220"/>
        <w:rPr>
          <w:rFonts w:ascii="Arial" w:hAnsi="Arial" w:cs="Arial"/>
          <w:b/>
          <w:bCs/>
          <w:color w:val="000000"/>
          <w:sz w:val="20"/>
          <w:szCs w:val="20"/>
        </w:rPr>
      </w:pPr>
    </w:p>
    <w:p w14:paraId="70E5EFCD" w14:textId="77777777" w:rsidR="00FF2FDC" w:rsidRPr="007C391D" w:rsidRDefault="00FF2FDC" w:rsidP="00FF2FDC">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Institución en la que trabaja: </w:t>
      </w:r>
      <w:r w:rsidRPr="007C391D">
        <w:rPr>
          <w:rFonts w:ascii="Arial" w:hAnsi="Arial" w:cs="Arial"/>
          <w:bCs/>
          <w:color w:val="000000"/>
          <w:sz w:val="20"/>
          <w:szCs w:val="20"/>
        </w:rPr>
        <w:t>Consejería de Salud de la Región de Murcia</w:t>
      </w:r>
    </w:p>
    <w:p w14:paraId="402D8C93" w14:textId="77777777" w:rsidR="00FF2FDC" w:rsidRPr="007913C4" w:rsidRDefault="00FF2FDC" w:rsidP="00FF2FDC">
      <w:pPr>
        <w:autoSpaceDE w:val="0"/>
        <w:autoSpaceDN w:val="0"/>
        <w:adjustRightInd w:val="0"/>
        <w:spacing w:line="240" w:lineRule="atLeast"/>
        <w:ind w:left="220" w:hanging="220"/>
        <w:rPr>
          <w:rFonts w:ascii="Arial" w:hAnsi="Arial" w:cs="Arial"/>
          <w:color w:val="000000"/>
          <w:sz w:val="20"/>
          <w:szCs w:val="20"/>
        </w:rPr>
      </w:pPr>
    </w:p>
    <w:p w14:paraId="2E76BC0B" w14:textId="77777777" w:rsidR="00FF2FDC" w:rsidRPr="007913C4" w:rsidRDefault="00FF2FDC" w:rsidP="00FF2FDC">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Institución que le vincula al informe: </w:t>
      </w:r>
      <w:r w:rsidRPr="007913C4">
        <w:rPr>
          <w:rFonts w:ascii="Arial" w:hAnsi="Arial" w:cs="Arial"/>
          <w:color w:val="000000"/>
          <w:sz w:val="20"/>
          <w:szCs w:val="20"/>
        </w:rPr>
        <w:t>Informe compartido GENESIS-SEFH</w:t>
      </w:r>
    </w:p>
    <w:p w14:paraId="1C18C744" w14:textId="77777777" w:rsidR="00FF2FDC" w:rsidRPr="007913C4" w:rsidRDefault="00FF2FDC" w:rsidP="00FF2FDC">
      <w:pPr>
        <w:autoSpaceDE w:val="0"/>
        <w:autoSpaceDN w:val="0"/>
        <w:adjustRightInd w:val="0"/>
        <w:spacing w:after="40" w:line="240" w:lineRule="atLeast"/>
        <w:rPr>
          <w:rFonts w:ascii="Arial" w:hAnsi="Arial" w:cs="Arial"/>
          <w:color w:val="000000"/>
          <w:sz w:val="20"/>
          <w:szCs w:val="20"/>
        </w:rPr>
      </w:pPr>
    </w:p>
    <w:p w14:paraId="7DA14A4D" w14:textId="77777777" w:rsidR="00FF2FDC" w:rsidRPr="007913C4" w:rsidRDefault="00FF2FDC" w:rsidP="00FF2FDC">
      <w:pPr>
        <w:autoSpaceDE w:val="0"/>
        <w:autoSpaceDN w:val="0"/>
        <w:adjustRightInd w:val="0"/>
        <w:spacing w:after="40" w:line="240" w:lineRule="atLeast"/>
        <w:rPr>
          <w:rFonts w:ascii="Arial" w:hAnsi="Arial" w:cs="Arial"/>
          <w:color w:val="000000"/>
          <w:sz w:val="20"/>
          <w:szCs w:val="20"/>
        </w:rPr>
      </w:pPr>
      <w:r w:rsidRPr="007913C4">
        <w:rPr>
          <w:rFonts w:ascii="Arial" w:hAnsi="Arial" w:cs="Arial"/>
          <w:color w:val="000000"/>
          <w:sz w:val="20"/>
          <w:szCs w:val="20"/>
        </w:rPr>
        <w:t>Participación en el informe de evaluación como:</w:t>
      </w:r>
    </w:p>
    <w:p w14:paraId="2FAC5A91" w14:textId="77777777" w:rsidR="00FF2FDC" w:rsidRPr="007913C4" w:rsidRDefault="00FF2FDC" w:rsidP="00FF2FDC">
      <w:pPr>
        <w:autoSpaceDE w:val="0"/>
        <w:autoSpaceDN w:val="0"/>
        <w:adjustRightInd w:val="0"/>
        <w:spacing w:line="240" w:lineRule="atLeast"/>
        <w:ind w:left="560"/>
        <w:rPr>
          <w:rFonts w:ascii="Arial" w:hAnsi="Arial" w:cs="Arial"/>
          <w:color w:val="000000"/>
          <w:sz w:val="20"/>
          <w:szCs w:val="20"/>
          <w:lang w:val="pt-BR"/>
        </w:rPr>
      </w:pPr>
      <w:r w:rsidRPr="007913C4">
        <w:rPr>
          <w:rFonts w:ascii="Arial" w:hAnsi="Arial" w:cs="Arial"/>
          <w:color w:val="000000"/>
          <w:sz w:val="20"/>
          <w:szCs w:val="20"/>
          <w:lang w:val="pt-BR"/>
        </w:rPr>
        <w:t xml:space="preserve">1-Autor/a </w:t>
      </w:r>
    </w:p>
    <w:p w14:paraId="021B4A6A" w14:textId="77777777" w:rsidR="00FF2FDC" w:rsidRPr="007913C4" w:rsidRDefault="00FF2FDC" w:rsidP="00FF2FDC">
      <w:pPr>
        <w:shd w:val="clear" w:color="auto" w:fill="D9D9D9" w:themeFill="background1" w:themeFillShade="D9"/>
        <w:autoSpaceDE w:val="0"/>
        <w:autoSpaceDN w:val="0"/>
        <w:adjustRightInd w:val="0"/>
        <w:spacing w:line="240" w:lineRule="atLeast"/>
        <w:ind w:left="560"/>
        <w:rPr>
          <w:rFonts w:ascii="Arial" w:hAnsi="Arial" w:cs="Arial"/>
          <w:color w:val="000000"/>
          <w:sz w:val="20"/>
          <w:szCs w:val="20"/>
          <w:lang w:val="pt-BR"/>
        </w:rPr>
      </w:pPr>
      <w:r w:rsidRPr="007913C4">
        <w:rPr>
          <w:rFonts w:ascii="Arial" w:hAnsi="Arial" w:cs="Arial"/>
          <w:color w:val="000000"/>
          <w:sz w:val="20"/>
          <w:szCs w:val="20"/>
          <w:lang w:val="pt-BR"/>
        </w:rPr>
        <w:t>2-Tutor/a</w:t>
      </w:r>
    </w:p>
    <w:p w14:paraId="6C0280E6" w14:textId="77777777" w:rsidR="00FF2FDC" w:rsidRPr="007913C4" w:rsidRDefault="00FF2FDC" w:rsidP="00FF2FDC">
      <w:pPr>
        <w:autoSpaceDE w:val="0"/>
        <w:autoSpaceDN w:val="0"/>
        <w:adjustRightInd w:val="0"/>
        <w:spacing w:line="240" w:lineRule="atLeast"/>
        <w:ind w:left="560"/>
        <w:rPr>
          <w:rFonts w:ascii="Arial" w:hAnsi="Arial" w:cs="Arial"/>
          <w:color w:val="000000"/>
          <w:sz w:val="20"/>
          <w:szCs w:val="20"/>
          <w:lang w:val="pt-BR"/>
        </w:rPr>
      </w:pPr>
      <w:r w:rsidRPr="007913C4">
        <w:rPr>
          <w:rFonts w:ascii="Arial" w:hAnsi="Arial" w:cs="Arial"/>
          <w:color w:val="000000"/>
          <w:sz w:val="20"/>
          <w:szCs w:val="20"/>
          <w:lang w:val="pt-BR"/>
        </w:rPr>
        <w:t>3-Revisor/a externo/a</w:t>
      </w:r>
    </w:p>
    <w:p w14:paraId="3717E0D5" w14:textId="77777777" w:rsidR="00FF2FDC" w:rsidRPr="007913C4" w:rsidRDefault="00FF2FDC" w:rsidP="00FF2FDC">
      <w:pPr>
        <w:autoSpaceDE w:val="0"/>
        <w:autoSpaceDN w:val="0"/>
        <w:adjustRightInd w:val="0"/>
        <w:spacing w:line="240" w:lineRule="atLeast"/>
        <w:jc w:val="both"/>
        <w:rPr>
          <w:rFonts w:ascii="Arial" w:hAnsi="Arial" w:cs="Arial"/>
          <w:color w:val="000000"/>
          <w:sz w:val="20"/>
          <w:szCs w:val="20"/>
          <w:lang w:val="pt-BR"/>
        </w:rPr>
      </w:pPr>
    </w:p>
    <w:p w14:paraId="2A191DBA" w14:textId="77777777" w:rsidR="00FF2FDC" w:rsidRPr="007913C4" w:rsidRDefault="00FF2FDC" w:rsidP="00FF2FDC">
      <w:pPr>
        <w:autoSpaceDE w:val="0"/>
        <w:autoSpaceDN w:val="0"/>
        <w:adjustRightInd w:val="0"/>
        <w:spacing w:line="240" w:lineRule="atLeast"/>
        <w:jc w:val="both"/>
        <w:rPr>
          <w:rFonts w:ascii="Arial" w:hAnsi="Arial" w:cs="Arial"/>
          <w:color w:val="000000"/>
          <w:sz w:val="20"/>
          <w:szCs w:val="20"/>
        </w:rPr>
      </w:pPr>
      <w:r w:rsidRPr="007913C4">
        <w:rPr>
          <w:rFonts w:ascii="Arial" w:hAnsi="Arial" w:cs="Arial"/>
          <w:color w:val="000000"/>
          <w:sz w:val="20"/>
          <w:szCs w:val="20"/>
        </w:rPr>
        <w:t>Tras haber y leído y comprendido la información remitida sobre la declaración de conflictos para el presente informe, formulo la siguiente declaración:</w:t>
      </w:r>
    </w:p>
    <w:p w14:paraId="209633F3" w14:textId="77777777" w:rsidR="00FF2FDC" w:rsidRPr="007913C4" w:rsidRDefault="00FF2FDC" w:rsidP="00FF2FDC">
      <w:pPr>
        <w:autoSpaceDE w:val="0"/>
        <w:autoSpaceDN w:val="0"/>
        <w:adjustRightInd w:val="0"/>
        <w:spacing w:after="40" w:line="240" w:lineRule="atLeast"/>
        <w:rPr>
          <w:rFonts w:ascii="Arial" w:hAnsi="Arial" w:cs="Arial"/>
          <w:color w:val="000000"/>
          <w:sz w:val="20"/>
          <w:szCs w:val="20"/>
        </w:rPr>
      </w:pPr>
    </w:p>
    <w:p w14:paraId="3D53C0C7" w14:textId="77777777" w:rsidR="00FF2FDC" w:rsidRPr="007913C4" w:rsidRDefault="00FF2FDC" w:rsidP="00FF2FDC">
      <w:pPr>
        <w:autoSpaceDE w:val="0"/>
        <w:autoSpaceDN w:val="0"/>
        <w:adjustRightInd w:val="0"/>
        <w:spacing w:line="240" w:lineRule="atLeast"/>
        <w:rPr>
          <w:rFonts w:ascii="Arial" w:hAnsi="Arial" w:cs="Arial"/>
          <w:b/>
          <w:bCs/>
          <w:color w:val="000000"/>
          <w:sz w:val="20"/>
          <w:szCs w:val="20"/>
        </w:rPr>
      </w:pPr>
      <w:r w:rsidRPr="007913C4">
        <w:rPr>
          <w:rFonts w:ascii="Arial" w:hAnsi="Arial" w:cs="Arial"/>
          <w:b/>
          <w:bCs/>
          <w:color w:val="000000"/>
          <w:sz w:val="20"/>
          <w:szCs w:val="20"/>
        </w:rPr>
        <w:t xml:space="preserve">A- Intereses personales </w:t>
      </w:r>
      <w:r w:rsidRPr="007913C4">
        <w:rPr>
          <w:rStyle w:val="A6"/>
          <w:rFonts w:ascii="Arial" w:hAnsi="Arial" w:cs="Arial"/>
          <w:b/>
          <w:bCs/>
          <w:sz w:val="20"/>
          <w:szCs w:val="20"/>
        </w:rPr>
        <w:t>(</w:t>
      </w:r>
      <w:r w:rsidRPr="007913C4">
        <w:rPr>
          <w:rFonts w:ascii="Arial" w:hAnsi="Arial" w:cs="Arial"/>
          <w:color w:val="000000"/>
          <w:sz w:val="20"/>
          <w:szCs w:val="20"/>
        </w:rPr>
        <w:t>En caso afirmativo especificar</w:t>
      </w:r>
      <w:r w:rsidRPr="007913C4">
        <w:rPr>
          <w:rStyle w:val="A6"/>
          <w:rFonts w:ascii="Arial" w:hAnsi="Arial" w:cs="Arial"/>
          <w:b/>
          <w:bCs/>
          <w:sz w:val="20"/>
          <w:szCs w:val="20"/>
        </w:rPr>
        <w:t xml:space="preserve">): </w:t>
      </w:r>
      <w:r w:rsidRPr="007913C4">
        <w:rPr>
          <w:rStyle w:val="A6"/>
          <w:rFonts w:ascii="Arial" w:hAnsi="Arial" w:cs="Arial"/>
          <w:b/>
          <w:bCs/>
          <w:sz w:val="20"/>
          <w:szCs w:val="20"/>
        </w:rPr>
        <w:tab/>
      </w:r>
      <w:r w:rsidRPr="007913C4">
        <w:rPr>
          <w:rStyle w:val="A6"/>
          <w:rFonts w:ascii="Arial" w:hAnsi="Arial" w:cs="Arial"/>
          <w:b/>
          <w:bCs/>
          <w:sz w:val="20"/>
          <w:szCs w:val="20"/>
        </w:rPr>
        <w:sym w:font="Wingdings" w:char="F070"/>
      </w:r>
      <w:r w:rsidRPr="007913C4">
        <w:rPr>
          <w:rStyle w:val="A6"/>
          <w:rFonts w:ascii="Arial" w:hAnsi="Arial" w:cs="Arial"/>
          <w:b/>
          <w:bCs/>
          <w:sz w:val="20"/>
          <w:szCs w:val="20"/>
        </w:rPr>
        <w:t>SI</w:t>
      </w:r>
      <w:r w:rsidRPr="007913C4">
        <w:rPr>
          <w:rStyle w:val="A6"/>
          <w:rFonts w:ascii="Arial" w:hAnsi="Arial" w:cs="Arial"/>
          <w:b/>
          <w:bCs/>
          <w:sz w:val="20"/>
          <w:szCs w:val="20"/>
        </w:rPr>
        <w:tab/>
      </w:r>
      <w:r w:rsidRPr="007913C4">
        <w:rPr>
          <w:rStyle w:val="A6"/>
          <w:rFonts w:ascii="Arial" w:hAnsi="Arial" w:cs="Arial"/>
          <w:b/>
          <w:bCs/>
          <w:sz w:val="20"/>
          <w:szCs w:val="20"/>
        </w:rPr>
        <w:tab/>
      </w:r>
      <w:r w:rsidRPr="007913C4">
        <w:rPr>
          <w:rStyle w:val="A6"/>
          <w:rFonts w:ascii="Arial" w:hAnsi="Arial" w:cs="Arial"/>
          <w:b/>
          <w:bCs/>
          <w:sz w:val="20"/>
          <w:szCs w:val="20"/>
          <w:highlight w:val="lightGray"/>
        </w:rPr>
        <w:sym w:font="Wingdings" w:char="F070"/>
      </w:r>
      <w:r w:rsidRPr="007913C4">
        <w:rPr>
          <w:rStyle w:val="A6"/>
          <w:rFonts w:ascii="Arial" w:hAnsi="Arial" w:cs="Arial"/>
          <w:b/>
          <w:bCs/>
          <w:sz w:val="20"/>
          <w:szCs w:val="20"/>
          <w:highlight w:val="lightGray"/>
        </w:rPr>
        <w:t>NO</w:t>
      </w:r>
      <w:r w:rsidRPr="007913C4">
        <w:rPr>
          <w:rStyle w:val="A6"/>
          <w:rFonts w:ascii="Arial" w:hAnsi="Arial" w:cs="Arial"/>
          <w:b/>
          <w:bCs/>
          <w:sz w:val="20"/>
          <w:szCs w:val="20"/>
        </w:rPr>
        <w:t xml:space="preserve"> </w:t>
      </w:r>
    </w:p>
    <w:p w14:paraId="5117616B" w14:textId="77777777" w:rsidR="00FF2FDC" w:rsidRPr="007913C4" w:rsidRDefault="00FF2FDC" w:rsidP="00FF2FDC">
      <w:pPr>
        <w:autoSpaceDE w:val="0"/>
        <w:autoSpaceDN w:val="0"/>
        <w:adjustRightInd w:val="0"/>
        <w:spacing w:line="240" w:lineRule="atLeast"/>
        <w:rPr>
          <w:rFonts w:ascii="Arial" w:hAnsi="Arial" w:cs="Arial"/>
          <w:color w:val="000000"/>
          <w:sz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9"/>
        <w:gridCol w:w="1272"/>
        <w:gridCol w:w="1272"/>
        <w:gridCol w:w="457"/>
        <w:gridCol w:w="375"/>
      </w:tblGrid>
      <w:tr w:rsidR="00FF2FDC" w:rsidRPr="007913C4" w14:paraId="5370A8DC" w14:textId="77777777" w:rsidTr="00E53E22">
        <w:tc>
          <w:tcPr>
            <w:tcW w:w="5495" w:type="dxa"/>
            <w:tcBorders>
              <w:top w:val="single" w:sz="4" w:space="0" w:color="auto"/>
              <w:left w:val="single" w:sz="4" w:space="0" w:color="auto"/>
              <w:bottom w:val="single" w:sz="4" w:space="0" w:color="auto"/>
              <w:right w:val="single" w:sz="4" w:space="0" w:color="auto"/>
            </w:tcBorders>
          </w:tcPr>
          <w:p w14:paraId="09011885"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0A166735"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Actividad</w:t>
            </w:r>
          </w:p>
        </w:tc>
        <w:tc>
          <w:tcPr>
            <w:tcW w:w="1275" w:type="dxa"/>
            <w:tcBorders>
              <w:top w:val="single" w:sz="4" w:space="0" w:color="auto"/>
              <w:left w:val="single" w:sz="4" w:space="0" w:color="auto"/>
              <w:bottom w:val="single" w:sz="4" w:space="0" w:color="auto"/>
              <w:right w:val="single" w:sz="4" w:space="0" w:color="auto"/>
            </w:tcBorders>
            <w:hideMark/>
          </w:tcPr>
          <w:p w14:paraId="18821B45"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Institución</w:t>
            </w:r>
          </w:p>
        </w:tc>
        <w:tc>
          <w:tcPr>
            <w:tcW w:w="833" w:type="dxa"/>
            <w:gridSpan w:val="2"/>
            <w:tcBorders>
              <w:top w:val="single" w:sz="4" w:space="0" w:color="auto"/>
              <w:left w:val="single" w:sz="4" w:space="0" w:color="auto"/>
              <w:bottom w:val="single" w:sz="4" w:space="0" w:color="auto"/>
              <w:right w:val="single" w:sz="4" w:space="0" w:color="auto"/>
            </w:tcBorders>
            <w:hideMark/>
          </w:tcPr>
          <w:p w14:paraId="525CF6B0"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Fecha</w:t>
            </w:r>
          </w:p>
        </w:tc>
      </w:tr>
      <w:tr w:rsidR="00FF2FDC" w:rsidRPr="007913C4" w14:paraId="776432E7"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240AE17B"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para reuniones y congresos, asistencia a cursos (inscripciones, bolsas de viajes, alojamiento…)</w:t>
            </w:r>
          </w:p>
        </w:tc>
        <w:tc>
          <w:tcPr>
            <w:tcW w:w="1276" w:type="dxa"/>
            <w:tcBorders>
              <w:top w:val="single" w:sz="4" w:space="0" w:color="auto"/>
              <w:left w:val="single" w:sz="4" w:space="0" w:color="auto"/>
              <w:bottom w:val="single" w:sz="4" w:space="0" w:color="auto"/>
              <w:right w:val="single" w:sz="4" w:space="0" w:color="auto"/>
            </w:tcBorders>
          </w:tcPr>
          <w:p w14:paraId="5078F231"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AF018B8"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77F1194A"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4F54B4CC"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5A01AE0B"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Honorarios como ponente (conferencias, cursos…)</w:t>
            </w:r>
          </w:p>
        </w:tc>
        <w:tc>
          <w:tcPr>
            <w:tcW w:w="1276" w:type="dxa"/>
            <w:tcBorders>
              <w:top w:val="single" w:sz="4" w:space="0" w:color="auto"/>
              <w:left w:val="single" w:sz="4" w:space="0" w:color="auto"/>
              <w:bottom w:val="single" w:sz="4" w:space="0" w:color="auto"/>
              <w:right w:val="single" w:sz="4" w:space="0" w:color="auto"/>
            </w:tcBorders>
          </w:tcPr>
          <w:p w14:paraId="0D7ECC04"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54657E22"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54A4BF88"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7D8437F2"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7FA8E1A1"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de programas educativos o cursos (contratación de personal, alquiler de instalaciones…)</w:t>
            </w:r>
          </w:p>
        </w:tc>
        <w:tc>
          <w:tcPr>
            <w:tcW w:w="1276" w:type="dxa"/>
            <w:tcBorders>
              <w:top w:val="single" w:sz="4" w:space="0" w:color="auto"/>
              <w:left w:val="single" w:sz="4" w:space="0" w:color="auto"/>
              <w:bottom w:val="single" w:sz="4" w:space="0" w:color="auto"/>
              <w:right w:val="single" w:sz="4" w:space="0" w:color="auto"/>
            </w:tcBorders>
          </w:tcPr>
          <w:p w14:paraId="0CE4D06F"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11CD803"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0A97D2F2"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647AC01C"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54633B4B"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por participar en una investigación</w:t>
            </w:r>
          </w:p>
        </w:tc>
        <w:tc>
          <w:tcPr>
            <w:tcW w:w="1276" w:type="dxa"/>
            <w:tcBorders>
              <w:top w:val="single" w:sz="4" w:space="0" w:color="auto"/>
              <w:left w:val="single" w:sz="4" w:space="0" w:color="auto"/>
              <w:bottom w:val="single" w:sz="4" w:space="0" w:color="auto"/>
              <w:right w:val="single" w:sz="4" w:space="0" w:color="auto"/>
            </w:tcBorders>
          </w:tcPr>
          <w:p w14:paraId="7DE69A2A"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2B52902"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4AF2ECFF"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5C37BA63"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5428EB54"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Consultoría para una compañía farmacéutica/otras tecnologías</w:t>
            </w:r>
          </w:p>
        </w:tc>
        <w:tc>
          <w:tcPr>
            <w:tcW w:w="1276" w:type="dxa"/>
            <w:tcBorders>
              <w:top w:val="single" w:sz="4" w:space="0" w:color="auto"/>
              <w:left w:val="single" w:sz="4" w:space="0" w:color="auto"/>
              <w:bottom w:val="single" w:sz="4" w:space="0" w:color="auto"/>
              <w:right w:val="single" w:sz="4" w:space="0" w:color="auto"/>
            </w:tcBorders>
          </w:tcPr>
          <w:p w14:paraId="40D8EAB4"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5CB0D886"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076F846B"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7D7098DC"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60F646AC"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Accionista o con intereses comerciales en una compañía</w:t>
            </w:r>
          </w:p>
        </w:tc>
        <w:tc>
          <w:tcPr>
            <w:tcW w:w="1276" w:type="dxa"/>
            <w:tcBorders>
              <w:top w:val="single" w:sz="4" w:space="0" w:color="auto"/>
              <w:left w:val="single" w:sz="4" w:space="0" w:color="auto"/>
              <w:bottom w:val="single" w:sz="4" w:space="0" w:color="auto"/>
              <w:right w:val="single" w:sz="4" w:space="0" w:color="auto"/>
            </w:tcBorders>
          </w:tcPr>
          <w:p w14:paraId="6302251A"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64563082"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598FD1CD"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67E4015D"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63A525A2"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auto"/>
              <w:left w:val="single" w:sz="4" w:space="0" w:color="auto"/>
              <w:bottom w:val="single" w:sz="4" w:space="0" w:color="auto"/>
              <w:right w:val="single" w:sz="4" w:space="0" w:color="auto"/>
            </w:tcBorders>
          </w:tcPr>
          <w:p w14:paraId="51A19F7A"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06FED2D"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20EAB9BB"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2FE2E78B"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31154319"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Conflictos de intereses de índole no económico que pueden ser significativos en relación a la autoría en la guía</w:t>
            </w:r>
          </w:p>
        </w:tc>
        <w:tc>
          <w:tcPr>
            <w:tcW w:w="1276" w:type="dxa"/>
            <w:tcBorders>
              <w:top w:val="single" w:sz="4" w:space="0" w:color="auto"/>
              <w:left w:val="single" w:sz="4" w:space="0" w:color="auto"/>
              <w:bottom w:val="single" w:sz="4" w:space="0" w:color="auto"/>
              <w:right w:val="single" w:sz="4" w:space="0" w:color="auto"/>
            </w:tcBorders>
          </w:tcPr>
          <w:p w14:paraId="17BBE8A8"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ED92EF4"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0CEB09C8"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6A330890" w14:textId="77777777" w:rsidTr="00E53E22">
        <w:trPr>
          <w:gridAfter w:val="1"/>
          <w:wAfter w:w="372" w:type="dxa"/>
          <w:trHeight w:val="226"/>
        </w:trPr>
        <w:tc>
          <w:tcPr>
            <w:tcW w:w="8503" w:type="dxa"/>
            <w:gridSpan w:val="4"/>
            <w:tcBorders>
              <w:top w:val="nil"/>
              <w:left w:val="nil"/>
              <w:bottom w:val="nil"/>
              <w:right w:val="nil"/>
            </w:tcBorders>
          </w:tcPr>
          <w:p w14:paraId="2ED98794" w14:textId="77777777" w:rsidR="00FF2FDC" w:rsidRPr="007913C4" w:rsidRDefault="00FF2FDC" w:rsidP="00E53E22">
            <w:pPr>
              <w:autoSpaceDE w:val="0"/>
              <w:autoSpaceDN w:val="0"/>
              <w:adjustRightInd w:val="0"/>
              <w:spacing w:line="240" w:lineRule="atLeast"/>
              <w:jc w:val="both"/>
              <w:rPr>
                <w:rFonts w:ascii="Arial" w:hAnsi="Arial" w:cs="Arial"/>
                <w:color w:val="FF0000"/>
                <w:sz w:val="16"/>
                <w:szCs w:val="18"/>
              </w:rPr>
            </w:pPr>
          </w:p>
        </w:tc>
      </w:tr>
    </w:tbl>
    <w:p w14:paraId="42DC674F" w14:textId="77777777" w:rsidR="00FF2FDC" w:rsidRPr="007913C4" w:rsidRDefault="00FF2FDC" w:rsidP="00FF2FDC">
      <w:pPr>
        <w:autoSpaceDE w:val="0"/>
        <w:autoSpaceDN w:val="0"/>
        <w:adjustRightInd w:val="0"/>
        <w:spacing w:line="240" w:lineRule="atLeast"/>
        <w:rPr>
          <w:rStyle w:val="A6"/>
          <w:rFonts w:ascii="Arial" w:hAnsi="Arial" w:cs="Arial"/>
          <w:b/>
          <w:bCs/>
          <w:sz w:val="16"/>
        </w:rPr>
      </w:pPr>
    </w:p>
    <w:p w14:paraId="1C742A3A" w14:textId="77777777" w:rsidR="00FF2FDC" w:rsidRPr="007913C4" w:rsidRDefault="00FF2FDC" w:rsidP="00FF2FDC">
      <w:pPr>
        <w:autoSpaceDE w:val="0"/>
        <w:autoSpaceDN w:val="0"/>
        <w:adjustRightInd w:val="0"/>
        <w:spacing w:line="240" w:lineRule="atLeast"/>
        <w:rPr>
          <w:rStyle w:val="A6"/>
          <w:rFonts w:ascii="Arial" w:hAnsi="Arial" w:cs="Arial"/>
          <w:b/>
          <w:bCs/>
          <w:sz w:val="20"/>
          <w:szCs w:val="20"/>
        </w:rPr>
      </w:pPr>
      <w:r w:rsidRPr="007913C4">
        <w:rPr>
          <w:rStyle w:val="A6"/>
          <w:rFonts w:ascii="Arial" w:hAnsi="Arial" w:cs="Arial"/>
          <w:b/>
          <w:bCs/>
          <w:sz w:val="20"/>
          <w:szCs w:val="20"/>
        </w:rPr>
        <w:t>B- Intereses no personales (</w:t>
      </w:r>
      <w:r w:rsidRPr="007913C4">
        <w:rPr>
          <w:rFonts w:ascii="Arial" w:hAnsi="Arial" w:cs="Arial"/>
          <w:color w:val="000000"/>
          <w:sz w:val="20"/>
          <w:szCs w:val="20"/>
        </w:rPr>
        <w:t>En caso afirmativo especificar</w:t>
      </w:r>
      <w:r w:rsidRPr="007913C4">
        <w:rPr>
          <w:rStyle w:val="A6"/>
          <w:rFonts w:ascii="Arial" w:hAnsi="Arial" w:cs="Arial"/>
          <w:b/>
          <w:bCs/>
          <w:sz w:val="20"/>
          <w:szCs w:val="20"/>
        </w:rPr>
        <w:t xml:space="preserve">): </w:t>
      </w:r>
      <w:r w:rsidRPr="007913C4">
        <w:rPr>
          <w:rStyle w:val="A6"/>
          <w:rFonts w:ascii="Arial" w:hAnsi="Arial" w:cs="Arial"/>
          <w:b/>
          <w:bCs/>
          <w:sz w:val="20"/>
          <w:szCs w:val="20"/>
        </w:rPr>
        <w:tab/>
      </w:r>
      <w:r w:rsidRPr="007913C4">
        <w:rPr>
          <w:rStyle w:val="A6"/>
          <w:rFonts w:ascii="Arial" w:hAnsi="Arial" w:cs="Arial"/>
          <w:b/>
          <w:bCs/>
          <w:sz w:val="20"/>
          <w:szCs w:val="20"/>
        </w:rPr>
        <w:sym w:font="Wingdings" w:char="F070"/>
      </w:r>
      <w:r w:rsidRPr="007913C4">
        <w:rPr>
          <w:rStyle w:val="A6"/>
          <w:rFonts w:ascii="Arial" w:hAnsi="Arial" w:cs="Arial"/>
          <w:b/>
          <w:bCs/>
          <w:sz w:val="20"/>
          <w:szCs w:val="20"/>
        </w:rPr>
        <w:t>SI</w:t>
      </w:r>
      <w:r w:rsidRPr="007913C4">
        <w:rPr>
          <w:rStyle w:val="A6"/>
          <w:rFonts w:ascii="Arial" w:hAnsi="Arial" w:cs="Arial"/>
          <w:b/>
          <w:bCs/>
          <w:sz w:val="20"/>
          <w:szCs w:val="20"/>
        </w:rPr>
        <w:tab/>
      </w:r>
      <w:r w:rsidRPr="007913C4">
        <w:rPr>
          <w:rStyle w:val="A6"/>
          <w:rFonts w:ascii="Arial" w:hAnsi="Arial" w:cs="Arial"/>
          <w:b/>
          <w:bCs/>
          <w:sz w:val="20"/>
          <w:szCs w:val="20"/>
        </w:rPr>
        <w:tab/>
      </w:r>
      <w:r w:rsidRPr="007913C4">
        <w:rPr>
          <w:rStyle w:val="A6"/>
          <w:rFonts w:ascii="Arial" w:hAnsi="Arial" w:cs="Arial"/>
          <w:b/>
          <w:bCs/>
          <w:sz w:val="20"/>
          <w:szCs w:val="20"/>
          <w:highlight w:val="lightGray"/>
        </w:rPr>
        <w:sym w:font="Wingdings" w:char="F070"/>
      </w:r>
      <w:r w:rsidRPr="007913C4">
        <w:rPr>
          <w:rStyle w:val="A6"/>
          <w:rFonts w:ascii="Arial" w:hAnsi="Arial" w:cs="Arial"/>
          <w:b/>
          <w:bCs/>
          <w:sz w:val="20"/>
          <w:szCs w:val="20"/>
          <w:highlight w:val="lightGray"/>
        </w:rPr>
        <w:t>NO</w:t>
      </w:r>
    </w:p>
    <w:p w14:paraId="2F84B575" w14:textId="77777777" w:rsidR="00FF2FDC" w:rsidRPr="007913C4" w:rsidRDefault="00FF2FDC" w:rsidP="00FF2FDC">
      <w:pPr>
        <w:autoSpaceDE w:val="0"/>
        <w:autoSpaceDN w:val="0"/>
        <w:adjustRightInd w:val="0"/>
        <w:spacing w:line="240" w:lineRule="atLeast"/>
        <w:rPr>
          <w:sz w:val="18"/>
          <w:szCs w:val="20"/>
        </w:rPr>
      </w:pPr>
      <w:r w:rsidRPr="007913C4">
        <w:rPr>
          <w:rStyle w:val="A6"/>
          <w:rFonts w:ascii="Arial" w:hAnsi="Arial" w:cs="Arial"/>
          <w:b/>
          <w:bCs/>
          <w:sz w:val="16"/>
        </w:rPr>
        <w:t xml:space="preserve"> </w:t>
      </w:r>
    </w:p>
    <w:tbl>
      <w:tblPr>
        <w:tblW w:w="9040" w:type="dxa"/>
        <w:tblInd w:w="-106" w:type="dxa"/>
        <w:tblLayout w:type="fixed"/>
        <w:tblLook w:val="04A0" w:firstRow="1" w:lastRow="0" w:firstColumn="1" w:lastColumn="0" w:noHBand="0" w:noVBand="1"/>
      </w:tblPr>
      <w:tblGrid>
        <w:gridCol w:w="9040"/>
      </w:tblGrid>
      <w:tr w:rsidR="00FF2FDC" w:rsidRPr="007913C4" w14:paraId="72583221" w14:textId="77777777" w:rsidTr="00E53E22">
        <w:trPr>
          <w:trHeight w:val="226"/>
        </w:trPr>
        <w:tc>
          <w:tcPr>
            <w:tcW w:w="9039" w:type="dxa"/>
          </w:tcPr>
          <w:p w14:paraId="113220CC" w14:textId="77777777" w:rsidR="00FF2FDC" w:rsidRPr="007913C4" w:rsidRDefault="00FF2FDC" w:rsidP="00E53E22">
            <w:pPr>
              <w:pStyle w:val="Pa1"/>
              <w:rPr>
                <w:rStyle w:val="A6"/>
                <w:rFonts w:ascii="Arial" w:hAnsi="Arial" w:cs="Arial"/>
                <w:szCs w:val="20"/>
              </w:rPr>
            </w:pPr>
          </w:p>
          <w:tbl>
            <w:tblPr>
              <w:tblW w:w="888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6"/>
              <w:gridCol w:w="1276"/>
              <w:gridCol w:w="1275"/>
              <w:gridCol w:w="833"/>
            </w:tblGrid>
            <w:tr w:rsidR="00FF2FDC" w:rsidRPr="007913C4" w14:paraId="5AF66AA7" w14:textId="77777777" w:rsidTr="00E53E22">
              <w:tc>
                <w:tcPr>
                  <w:tcW w:w="5495" w:type="dxa"/>
                  <w:tcBorders>
                    <w:top w:val="single" w:sz="4" w:space="0" w:color="auto"/>
                    <w:left w:val="single" w:sz="4" w:space="0" w:color="auto"/>
                    <w:bottom w:val="single" w:sz="4" w:space="0" w:color="auto"/>
                    <w:right w:val="single" w:sz="4" w:space="0" w:color="auto"/>
                  </w:tcBorders>
                </w:tcPr>
                <w:p w14:paraId="4B20FD0A"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4B9834AF"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Actividad</w:t>
                  </w:r>
                </w:p>
              </w:tc>
              <w:tc>
                <w:tcPr>
                  <w:tcW w:w="1275" w:type="dxa"/>
                  <w:tcBorders>
                    <w:top w:val="single" w:sz="4" w:space="0" w:color="auto"/>
                    <w:left w:val="single" w:sz="4" w:space="0" w:color="auto"/>
                    <w:bottom w:val="single" w:sz="4" w:space="0" w:color="auto"/>
                    <w:right w:val="single" w:sz="4" w:space="0" w:color="auto"/>
                  </w:tcBorders>
                  <w:hideMark/>
                </w:tcPr>
                <w:p w14:paraId="292A056D"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Institución</w:t>
                  </w:r>
                </w:p>
              </w:tc>
              <w:tc>
                <w:tcPr>
                  <w:tcW w:w="833" w:type="dxa"/>
                  <w:tcBorders>
                    <w:top w:val="single" w:sz="4" w:space="0" w:color="auto"/>
                    <w:left w:val="single" w:sz="4" w:space="0" w:color="auto"/>
                    <w:bottom w:val="single" w:sz="4" w:space="0" w:color="auto"/>
                    <w:right w:val="single" w:sz="4" w:space="0" w:color="auto"/>
                  </w:tcBorders>
                  <w:hideMark/>
                </w:tcPr>
                <w:p w14:paraId="4C1EF6FF"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Fecha</w:t>
                  </w:r>
                </w:p>
              </w:tc>
            </w:tr>
            <w:tr w:rsidR="00FF2FDC" w:rsidRPr="007913C4" w14:paraId="312E7FB9"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3A667697"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Financiación o ayudas económicas para la creación de la unidad o</w:t>
                  </w:r>
                  <w:r>
                    <w:rPr>
                      <w:rStyle w:val="A6"/>
                      <w:rFonts w:ascii="Arial" w:hAnsi="Arial" w:cs="Arial"/>
                      <w:sz w:val="16"/>
                    </w:rPr>
                    <w:t xml:space="preserve"> </w:t>
                  </w:r>
                  <w:r w:rsidRPr="007913C4">
                    <w:rPr>
                      <w:rStyle w:val="A6"/>
                      <w:rFonts w:ascii="Arial" w:hAnsi="Arial" w:cs="Arial"/>
                      <w:sz w:val="16"/>
                    </w:rPr>
                    <w:t>servicio</w:t>
                  </w:r>
                </w:p>
              </w:tc>
              <w:tc>
                <w:tcPr>
                  <w:tcW w:w="1276" w:type="dxa"/>
                  <w:tcBorders>
                    <w:top w:val="single" w:sz="4" w:space="0" w:color="auto"/>
                    <w:left w:val="single" w:sz="4" w:space="0" w:color="auto"/>
                    <w:bottom w:val="single" w:sz="4" w:space="0" w:color="auto"/>
                    <w:right w:val="single" w:sz="4" w:space="0" w:color="auto"/>
                  </w:tcBorders>
                </w:tcPr>
                <w:p w14:paraId="07E0443E"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1A6B9A4"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342CAE7B"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15C9AD91"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5FE6AA48"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14:paraId="2F1F7056"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64256776"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09FEFA01"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0793F1E6"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751445CD"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14:paraId="25C6B72B"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536DC376"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34F073B7"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78C299E6"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51B3C3CB"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14:paraId="786B2845"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1F4E3FD"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6ADB43BD"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r w:rsidR="00FF2FDC" w:rsidRPr="007913C4" w14:paraId="02FFD67A" w14:textId="77777777" w:rsidTr="00E53E22">
              <w:tc>
                <w:tcPr>
                  <w:tcW w:w="5495" w:type="dxa"/>
                  <w:tcBorders>
                    <w:top w:val="single" w:sz="4" w:space="0" w:color="auto"/>
                    <w:left w:val="single" w:sz="4" w:space="0" w:color="auto"/>
                    <w:bottom w:val="single" w:sz="4" w:space="0" w:color="auto"/>
                    <w:right w:val="single" w:sz="4" w:space="0" w:color="auto"/>
                  </w:tcBorders>
                  <w:hideMark/>
                </w:tcPr>
                <w:p w14:paraId="5C9710A7"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14:paraId="2A66B980"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1E72D61"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5CC4BFD3" w14:textId="77777777" w:rsidR="00FF2FDC" w:rsidRPr="007913C4" w:rsidRDefault="00FF2FDC" w:rsidP="00E53E22">
                  <w:pPr>
                    <w:autoSpaceDE w:val="0"/>
                    <w:autoSpaceDN w:val="0"/>
                    <w:adjustRightInd w:val="0"/>
                    <w:spacing w:line="240" w:lineRule="atLeast"/>
                    <w:rPr>
                      <w:rFonts w:ascii="Arial" w:hAnsi="Arial" w:cs="Arial"/>
                      <w:color w:val="000000"/>
                      <w:sz w:val="16"/>
                      <w:szCs w:val="18"/>
                    </w:rPr>
                  </w:pPr>
                </w:p>
              </w:tc>
            </w:tr>
          </w:tbl>
          <w:p w14:paraId="2BD3AB1D" w14:textId="77777777" w:rsidR="00FF2FDC" w:rsidRPr="007913C4" w:rsidRDefault="00FF2FDC" w:rsidP="00E53E22">
            <w:pPr>
              <w:pStyle w:val="Pa1"/>
              <w:rPr>
                <w:rFonts w:ascii="Arial" w:hAnsi="Arial" w:cs="Arial"/>
                <w:color w:val="000000"/>
                <w:sz w:val="18"/>
                <w:szCs w:val="20"/>
              </w:rPr>
            </w:pPr>
          </w:p>
        </w:tc>
      </w:tr>
    </w:tbl>
    <w:p w14:paraId="3C880E7B" w14:textId="77777777" w:rsidR="00FF2FDC" w:rsidRPr="007913C4" w:rsidRDefault="00FF2FDC" w:rsidP="00FF2FDC">
      <w:pPr>
        <w:rPr>
          <w:rFonts w:ascii="Arial" w:hAnsi="Arial" w:cs="Arial"/>
          <w:b/>
          <w:bCs/>
          <w:color w:val="000000"/>
          <w:sz w:val="16"/>
          <w:szCs w:val="20"/>
        </w:rPr>
      </w:pPr>
    </w:p>
    <w:p w14:paraId="4AA04D24" w14:textId="77777777" w:rsidR="00FF2FDC" w:rsidRPr="007913C4" w:rsidRDefault="00FF2FDC" w:rsidP="00FF2FDC">
      <w:pPr>
        <w:rPr>
          <w:rFonts w:ascii="Arial" w:hAnsi="Arial" w:cs="Arial"/>
          <w:b/>
          <w:bCs/>
          <w:sz w:val="20"/>
        </w:rPr>
      </w:pPr>
      <w:r w:rsidRPr="007913C4">
        <w:rPr>
          <w:rFonts w:ascii="Arial" w:hAnsi="Arial" w:cs="Arial"/>
          <w:b/>
          <w:bCs/>
          <w:color w:val="000000"/>
          <w:sz w:val="20"/>
        </w:rPr>
        <w:t>C-Otros posibles conflictos de intereses no señalados en apartados anteriores (especificar)</w:t>
      </w:r>
      <w:r w:rsidRPr="007913C4">
        <w:rPr>
          <w:rFonts w:ascii="Arial" w:hAnsi="Arial" w:cs="Arial"/>
          <w:b/>
          <w:bCs/>
          <w:sz w:val="20"/>
        </w:rPr>
        <w:t xml:space="preserve"> </w:t>
      </w:r>
    </w:p>
    <w:p w14:paraId="02BC2A5C" w14:textId="77777777" w:rsidR="00FF2FDC" w:rsidRPr="007913C4" w:rsidRDefault="00FF2FDC" w:rsidP="00FF2FDC">
      <w:pPr>
        <w:rPr>
          <w:rFonts w:ascii="Arial" w:hAnsi="Arial" w:cs="Arial"/>
          <w:b/>
          <w:bCs/>
          <w:sz w:val="20"/>
        </w:rPr>
      </w:pPr>
    </w:p>
    <w:p w14:paraId="4871152D" w14:textId="41B1C7C1" w:rsidR="00FF2FDC" w:rsidRPr="007913C4" w:rsidRDefault="00FF2FDC" w:rsidP="00FF2FDC">
      <w:pPr>
        <w:rPr>
          <w:rFonts w:ascii="Arial" w:hAnsi="Arial" w:cs="Arial"/>
          <w:b/>
          <w:bCs/>
          <w:sz w:val="20"/>
        </w:rPr>
      </w:pPr>
    </w:p>
    <w:p w14:paraId="35464D7C" w14:textId="77777777" w:rsidR="00FF2FDC" w:rsidRPr="007913C4" w:rsidRDefault="00FF2FDC" w:rsidP="00FF2FDC">
      <w:pPr>
        <w:rPr>
          <w:rFonts w:ascii="Arial" w:hAnsi="Arial" w:cs="Arial"/>
          <w:b/>
          <w:bCs/>
          <w:sz w:val="20"/>
        </w:rPr>
      </w:pPr>
    </w:p>
    <w:p w14:paraId="6517590C" w14:textId="77777777" w:rsidR="00FF2FDC" w:rsidRDefault="00FF2FDC" w:rsidP="00FF2FDC">
      <w:pPr>
        <w:snapToGrid w:val="0"/>
        <w:rPr>
          <w:rFonts w:ascii="Arial" w:hAnsi="Arial" w:cs="Arial"/>
          <w:b/>
          <w:bCs/>
          <w:sz w:val="20"/>
        </w:rPr>
      </w:pPr>
      <w:r w:rsidRPr="007913C4">
        <w:rPr>
          <w:rFonts w:ascii="Arial" w:hAnsi="Arial" w:cs="Arial"/>
          <w:b/>
          <w:bCs/>
          <w:sz w:val="20"/>
        </w:rPr>
        <w:t>FECHA</w:t>
      </w:r>
      <w:r w:rsidRPr="007913C4">
        <w:rPr>
          <w:rFonts w:ascii="Arial" w:hAnsi="Arial" w:cs="Arial"/>
          <w:b/>
          <w:bCs/>
          <w:sz w:val="20"/>
        </w:rPr>
        <w:tab/>
      </w:r>
      <w:r w:rsidRPr="007913C4">
        <w:rPr>
          <w:rFonts w:ascii="Arial" w:hAnsi="Arial" w:cs="Arial"/>
          <w:b/>
          <w:bCs/>
          <w:sz w:val="20"/>
        </w:rPr>
        <w:tab/>
      </w:r>
      <w:r w:rsidRPr="007913C4">
        <w:rPr>
          <w:rFonts w:ascii="Arial" w:hAnsi="Arial" w:cs="Arial"/>
          <w:b/>
          <w:bCs/>
          <w:sz w:val="20"/>
        </w:rPr>
        <w:tab/>
      </w:r>
      <w:r w:rsidRPr="007913C4">
        <w:rPr>
          <w:rFonts w:ascii="Arial" w:hAnsi="Arial" w:cs="Arial"/>
          <w:b/>
          <w:bCs/>
          <w:sz w:val="20"/>
        </w:rPr>
        <w:tab/>
      </w:r>
      <w:r w:rsidRPr="007913C4">
        <w:rPr>
          <w:rFonts w:ascii="Arial" w:hAnsi="Arial" w:cs="Arial"/>
          <w:b/>
          <w:bCs/>
          <w:sz w:val="20"/>
        </w:rPr>
        <w:tab/>
      </w:r>
      <w:r w:rsidRPr="007913C4">
        <w:rPr>
          <w:rFonts w:ascii="Arial" w:hAnsi="Arial" w:cs="Arial"/>
          <w:b/>
          <w:bCs/>
          <w:sz w:val="20"/>
        </w:rPr>
        <w:tab/>
      </w:r>
      <w:r w:rsidRPr="007913C4">
        <w:rPr>
          <w:rFonts w:ascii="Arial" w:hAnsi="Arial" w:cs="Arial"/>
          <w:b/>
          <w:bCs/>
          <w:sz w:val="20"/>
        </w:rPr>
        <w:tab/>
      </w:r>
      <w:r w:rsidRPr="007913C4">
        <w:rPr>
          <w:rFonts w:ascii="Arial" w:hAnsi="Arial" w:cs="Arial"/>
          <w:b/>
          <w:bCs/>
          <w:sz w:val="20"/>
        </w:rPr>
        <w:tab/>
      </w:r>
      <w:r w:rsidRPr="007913C4">
        <w:rPr>
          <w:rFonts w:ascii="Arial" w:hAnsi="Arial" w:cs="Arial"/>
          <w:b/>
          <w:bCs/>
          <w:sz w:val="20"/>
        </w:rPr>
        <w:tab/>
      </w:r>
      <w:r w:rsidRPr="007913C4">
        <w:rPr>
          <w:rFonts w:ascii="Arial" w:hAnsi="Arial" w:cs="Arial"/>
          <w:b/>
          <w:bCs/>
          <w:sz w:val="20"/>
        </w:rPr>
        <w:tab/>
        <w:t>FIRMA</w:t>
      </w:r>
    </w:p>
    <w:p w14:paraId="4BC01ABE" w14:textId="03489F5A" w:rsidR="00FF2FDC" w:rsidRDefault="00FF2FDC" w:rsidP="00FF2FDC">
      <w:pPr>
        <w:snapToGrid w:val="0"/>
        <w:rPr>
          <w:rFonts w:ascii="Arial" w:hAnsi="Arial" w:cs="Arial"/>
          <w:b/>
          <w:bCs/>
          <w:sz w:val="20"/>
        </w:rPr>
      </w:pPr>
      <w:r>
        <w:rPr>
          <w:rFonts w:ascii="Arial" w:hAnsi="Arial" w:cs="Arial"/>
          <w:b/>
          <w:bCs/>
          <w:sz w:val="20"/>
        </w:rPr>
        <w:t>10 de enero de 2021</w:t>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 xml:space="preserve">Vicente Arocas </w:t>
      </w:r>
      <w:r>
        <w:rPr>
          <w:rFonts w:ascii="Arial" w:hAnsi="Arial" w:cs="Arial"/>
          <w:b/>
          <w:bCs/>
          <w:sz w:val="20"/>
        </w:rPr>
        <w:t>Casañ</w:t>
      </w:r>
    </w:p>
    <w:p w14:paraId="71294BA9" w14:textId="303E3A22" w:rsidR="0044127D" w:rsidRDefault="0044127D" w:rsidP="0044127D">
      <w:pPr>
        <w:snapToGrid w:val="0"/>
        <w:rPr>
          <w:rFonts w:ascii="Arial" w:hAnsi="Arial" w:cs="Arial"/>
          <w:b/>
          <w:bCs/>
          <w:sz w:val="20"/>
        </w:rPr>
      </w:pPr>
      <w:r>
        <w:rPr>
          <w:rFonts w:ascii="Arial" w:hAnsi="Arial" w:cs="Arial"/>
          <w:b/>
          <w:bCs/>
          <w:sz w:val="20"/>
        </w:rPr>
        <w:lastRenderedPageBreak/>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p>
    <w:p w14:paraId="19792C07" w14:textId="77777777" w:rsidR="0044127D" w:rsidRPr="007913C4" w:rsidRDefault="0044127D" w:rsidP="0044127D">
      <w:pPr>
        <w:rPr>
          <w:rFonts w:ascii="Arial" w:hAnsi="Arial" w:cs="Arial"/>
          <w:color w:val="0000FF"/>
          <w:sz w:val="18"/>
          <w:szCs w:val="20"/>
          <w:u w:val="single"/>
        </w:rPr>
      </w:pPr>
    </w:p>
    <w:p w14:paraId="589AC9E1" w14:textId="77777777" w:rsidR="0044127D" w:rsidRPr="007913C4" w:rsidRDefault="0044127D" w:rsidP="0044127D">
      <w:pPr>
        <w:shd w:val="clear" w:color="auto" w:fill="DBE5F1"/>
        <w:autoSpaceDE w:val="0"/>
        <w:autoSpaceDN w:val="0"/>
        <w:adjustRightInd w:val="0"/>
        <w:spacing w:after="240" w:line="240" w:lineRule="atLeast"/>
        <w:jc w:val="center"/>
        <w:rPr>
          <w:rFonts w:ascii="Arial" w:hAnsi="Arial" w:cs="Arial"/>
          <w:color w:val="000000"/>
          <w:sz w:val="20"/>
          <w:szCs w:val="20"/>
        </w:rPr>
      </w:pPr>
      <w:r w:rsidRPr="007913C4">
        <w:rPr>
          <w:rFonts w:ascii="Arial" w:hAnsi="Arial" w:cs="Arial"/>
          <w:b/>
          <w:bCs/>
          <w:color w:val="000000"/>
          <w:sz w:val="20"/>
          <w:szCs w:val="20"/>
        </w:rPr>
        <w:t xml:space="preserve">Formulario de declaración de conflictos de intereses (ANEXO </w:t>
      </w:r>
      <w:r>
        <w:rPr>
          <w:rFonts w:ascii="Arial" w:hAnsi="Arial" w:cs="Arial"/>
          <w:b/>
          <w:bCs/>
          <w:color w:val="000000"/>
          <w:sz w:val="20"/>
          <w:szCs w:val="20"/>
        </w:rPr>
        <w:t>2</w:t>
      </w:r>
      <w:r w:rsidRPr="007913C4">
        <w:rPr>
          <w:rFonts w:ascii="Arial" w:hAnsi="Arial" w:cs="Arial"/>
          <w:b/>
          <w:bCs/>
          <w:color w:val="000000"/>
          <w:sz w:val="20"/>
          <w:szCs w:val="20"/>
        </w:rPr>
        <w:t>)</w:t>
      </w:r>
    </w:p>
    <w:p w14:paraId="453FA590" w14:textId="77777777" w:rsidR="0044127D" w:rsidRPr="007913C4" w:rsidRDefault="0044127D" w:rsidP="0044127D">
      <w:pPr>
        <w:pStyle w:val="Pa53"/>
        <w:jc w:val="both"/>
        <w:rPr>
          <w:rFonts w:ascii="Arial" w:hAnsi="Arial" w:cs="Arial"/>
          <w:sz w:val="20"/>
          <w:szCs w:val="20"/>
          <w:lang w:eastAsia="es-ES"/>
        </w:rPr>
      </w:pPr>
      <w:r w:rsidRPr="007913C4">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35BF6393" w14:textId="49EFDBA8" w:rsidR="0044127D" w:rsidRPr="007913C4" w:rsidRDefault="0044127D" w:rsidP="0044127D">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Nombre y apellidos: </w:t>
      </w:r>
      <w:r w:rsidRPr="004F2163">
        <w:rPr>
          <w:rFonts w:ascii="Arial" w:hAnsi="Arial" w:cs="Arial"/>
          <w:sz w:val="20"/>
          <w:szCs w:val="20"/>
        </w:rPr>
        <w:t>Francesc Puigventós</w:t>
      </w:r>
      <w:r>
        <w:rPr>
          <w:rFonts w:ascii="Arial" w:hAnsi="Arial" w:cs="Arial"/>
          <w:sz w:val="20"/>
          <w:szCs w:val="20"/>
        </w:rPr>
        <w:t xml:space="preserve"> Latorre</w:t>
      </w:r>
    </w:p>
    <w:p w14:paraId="0A5BC537" w14:textId="77777777" w:rsidR="0044127D" w:rsidRPr="007913C4" w:rsidRDefault="0044127D" w:rsidP="0044127D">
      <w:pPr>
        <w:autoSpaceDE w:val="0"/>
        <w:autoSpaceDN w:val="0"/>
        <w:adjustRightInd w:val="0"/>
        <w:spacing w:line="240" w:lineRule="atLeast"/>
        <w:ind w:left="220" w:hanging="220"/>
        <w:rPr>
          <w:rFonts w:ascii="Arial" w:hAnsi="Arial" w:cs="Arial"/>
          <w:b/>
          <w:bCs/>
          <w:color w:val="000000"/>
          <w:sz w:val="20"/>
          <w:szCs w:val="20"/>
        </w:rPr>
      </w:pPr>
    </w:p>
    <w:p w14:paraId="7DA9750A" w14:textId="34A8076F" w:rsidR="0044127D" w:rsidRPr="007C391D" w:rsidRDefault="0044127D" w:rsidP="0044127D">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Institución en la que trabaja: </w:t>
      </w:r>
      <w:r>
        <w:rPr>
          <w:rFonts w:ascii="Arial" w:hAnsi="Arial" w:cs="Arial"/>
          <w:bCs/>
          <w:color w:val="000000"/>
          <w:sz w:val="20"/>
          <w:szCs w:val="20"/>
        </w:rPr>
        <w:t xml:space="preserve">Grupo GENESIS SEFH </w:t>
      </w:r>
    </w:p>
    <w:p w14:paraId="68FC0B53" w14:textId="77777777" w:rsidR="0044127D" w:rsidRPr="007913C4" w:rsidRDefault="0044127D" w:rsidP="0044127D">
      <w:pPr>
        <w:autoSpaceDE w:val="0"/>
        <w:autoSpaceDN w:val="0"/>
        <w:adjustRightInd w:val="0"/>
        <w:spacing w:line="240" w:lineRule="atLeast"/>
        <w:ind w:left="220" w:hanging="220"/>
        <w:rPr>
          <w:rFonts w:ascii="Arial" w:hAnsi="Arial" w:cs="Arial"/>
          <w:color w:val="000000"/>
          <w:sz w:val="20"/>
          <w:szCs w:val="20"/>
        </w:rPr>
      </w:pPr>
    </w:p>
    <w:p w14:paraId="284B5163" w14:textId="77777777" w:rsidR="0044127D" w:rsidRPr="007913C4" w:rsidRDefault="0044127D" w:rsidP="0044127D">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Institución que le vincula al informe: </w:t>
      </w:r>
      <w:r w:rsidRPr="007913C4">
        <w:rPr>
          <w:rFonts w:ascii="Arial" w:hAnsi="Arial" w:cs="Arial"/>
          <w:color w:val="000000"/>
          <w:sz w:val="20"/>
          <w:szCs w:val="20"/>
        </w:rPr>
        <w:t>Informe compartido GENESIS-SEFH</w:t>
      </w:r>
    </w:p>
    <w:p w14:paraId="6C7DFB75" w14:textId="77777777" w:rsidR="0044127D" w:rsidRPr="007913C4" w:rsidRDefault="0044127D" w:rsidP="0044127D">
      <w:pPr>
        <w:autoSpaceDE w:val="0"/>
        <w:autoSpaceDN w:val="0"/>
        <w:adjustRightInd w:val="0"/>
        <w:spacing w:after="40" w:line="240" w:lineRule="atLeast"/>
        <w:rPr>
          <w:rFonts w:ascii="Arial" w:hAnsi="Arial" w:cs="Arial"/>
          <w:color w:val="000000"/>
          <w:sz w:val="20"/>
          <w:szCs w:val="20"/>
        </w:rPr>
      </w:pPr>
    </w:p>
    <w:p w14:paraId="3824B60F" w14:textId="77777777" w:rsidR="0044127D" w:rsidRPr="007913C4" w:rsidRDefault="0044127D" w:rsidP="0044127D">
      <w:pPr>
        <w:autoSpaceDE w:val="0"/>
        <w:autoSpaceDN w:val="0"/>
        <w:adjustRightInd w:val="0"/>
        <w:spacing w:after="40" w:line="240" w:lineRule="atLeast"/>
        <w:rPr>
          <w:rFonts w:ascii="Arial" w:hAnsi="Arial" w:cs="Arial"/>
          <w:color w:val="000000"/>
          <w:sz w:val="20"/>
          <w:szCs w:val="20"/>
        </w:rPr>
      </w:pPr>
      <w:r w:rsidRPr="007913C4">
        <w:rPr>
          <w:rFonts w:ascii="Arial" w:hAnsi="Arial" w:cs="Arial"/>
          <w:color w:val="000000"/>
          <w:sz w:val="20"/>
          <w:szCs w:val="20"/>
        </w:rPr>
        <w:t>Participación en el informe de evaluación como:</w:t>
      </w:r>
    </w:p>
    <w:p w14:paraId="73692F58" w14:textId="158EFD8A" w:rsidR="0044127D" w:rsidRDefault="0044127D" w:rsidP="0044127D">
      <w:pPr>
        <w:autoSpaceDE w:val="0"/>
        <w:autoSpaceDN w:val="0"/>
        <w:adjustRightInd w:val="0"/>
        <w:spacing w:line="240" w:lineRule="atLeast"/>
        <w:ind w:left="560"/>
        <w:rPr>
          <w:rFonts w:ascii="Arial" w:hAnsi="Arial" w:cs="Arial"/>
          <w:color w:val="000000"/>
          <w:sz w:val="20"/>
          <w:szCs w:val="20"/>
          <w:lang w:val="pt-BR"/>
        </w:rPr>
      </w:pPr>
      <w:r w:rsidRPr="007913C4">
        <w:rPr>
          <w:rFonts w:ascii="Arial" w:hAnsi="Arial" w:cs="Arial"/>
          <w:color w:val="000000"/>
          <w:sz w:val="20"/>
          <w:szCs w:val="20"/>
          <w:lang w:val="pt-BR"/>
        </w:rPr>
        <w:t xml:space="preserve">1-Autor/a </w:t>
      </w:r>
    </w:p>
    <w:p w14:paraId="29A1668F" w14:textId="699D7B6F" w:rsidR="0044127D" w:rsidRPr="007913C4" w:rsidRDefault="0044127D" w:rsidP="0044127D">
      <w:pPr>
        <w:autoSpaceDE w:val="0"/>
        <w:autoSpaceDN w:val="0"/>
        <w:adjustRightInd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2-Tutor</w:t>
      </w:r>
    </w:p>
    <w:p w14:paraId="254A3144" w14:textId="6EC7858B" w:rsidR="0044127D" w:rsidRPr="007913C4" w:rsidRDefault="0044127D" w:rsidP="0044127D">
      <w:pPr>
        <w:shd w:val="clear" w:color="auto" w:fill="D9D9D9" w:themeFill="background1" w:themeFillShade="D9"/>
        <w:autoSpaceDE w:val="0"/>
        <w:autoSpaceDN w:val="0"/>
        <w:adjustRightInd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3</w:t>
      </w:r>
      <w:r w:rsidRPr="007913C4">
        <w:rPr>
          <w:rFonts w:ascii="Arial" w:hAnsi="Arial" w:cs="Arial"/>
          <w:color w:val="000000"/>
          <w:sz w:val="20"/>
          <w:szCs w:val="20"/>
          <w:lang w:val="pt-BR"/>
        </w:rPr>
        <w:t>-</w:t>
      </w:r>
      <w:r>
        <w:rPr>
          <w:rFonts w:ascii="Arial" w:hAnsi="Arial" w:cs="Arial"/>
          <w:color w:val="000000"/>
          <w:sz w:val="20"/>
          <w:szCs w:val="20"/>
          <w:lang w:val="pt-BR"/>
        </w:rPr>
        <w:t>Revisor</w:t>
      </w:r>
    </w:p>
    <w:p w14:paraId="76D1EA8D" w14:textId="77777777" w:rsidR="0044127D" w:rsidRPr="007913C4" w:rsidRDefault="0044127D" w:rsidP="0044127D">
      <w:pPr>
        <w:autoSpaceDE w:val="0"/>
        <w:autoSpaceDN w:val="0"/>
        <w:adjustRightInd w:val="0"/>
        <w:spacing w:line="240" w:lineRule="atLeast"/>
        <w:jc w:val="both"/>
        <w:rPr>
          <w:rFonts w:ascii="Arial" w:hAnsi="Arial" w:cs="Arial"/>
          <w:color w:val="000000"/>
          <w:sz w:val="20"/>
          <w:szCs w:val="20"/>
          <w:lang w:val="pt-BR"/>
        </w:rPr>
      </w:pPr>
    </w:p>
    <w:p w14:paraId="6E200AFF" w14:textId="77777777" w:rsidR="0044127D" w:rsidRPr="007913C4" w:rsidRDefault="0044127D" w:rsidP="0044127D">
      <w:pPr>
        <w:autoSpaceDE w:val="0"/>
        <w:autoSpaceDN w:val="0"/>
        <w:adjustRightInd w:val="0"/>
        <w:spacing w:line="240" w:lineRule="atLeast"/>
        <w:jc w:val="both"/>
        <w:rPr>
          <w:rFonts w:ascii="Arial" w:hAnsi="Arial" w:cs="Arial"/>
          <w:color w:val="000000"/>
          <w:sz w:val="20"/>
          <w:szCs w:val="20"/>
        </w:rPr>
      </w:pPr>
      <w:r w:rsidRPr="007913C4">
        <w:rPr>
          <w:rFonts w:ascii="Arial" w:hAnsi="Arial" w:cs="Arial"/>
          <w:color w:val="000000"/>
          <w:sz w:val="20"/>
          <w:szCs w:val="20"/>
        </w:rPr>
        <w:t>Tras haber y leído y comprendido la información remitida sobre la declaración de conflictos para el presente informe, formulo la siguiente declaración:</w:t>
      </w:r>
    </w:p>
    <w:p w14:paraId="5E52C881" w14:textId="77777777" w:rsidR="0044127D" w:rsidRPr="007913C4" w:rsidRDefault="0044127D" w:rsidP="0044127D">
      <w:pPr>
        <w:autoSpaceDE w:val="0"/>
        <w:autoSpaceDN w:val="0"/>
        <w:adjustRightInd w:val="0"/>
        <w:spacing w:after="40" w:line="240" w:lineRule="atLeast"/>
        <w:rPr>
          <w:rFonts w:ascii="Arial" w:hAnsi="Arial" w:cs="Arial"/>
          <w:color w:val="000000"/>
          <w:sz w:val="20"/>
          <w:szCs w:val="20"/>
        </w:rPr>
      </w:pPr>
    </w:p>
    <w:p w14:paraId="28E2DE0C" w14:textId="77777777" w:rsidR="0044127D" w:rsidRPr="007913C4" w:rsidRDefault="0044127D" w:rsidP="0044127D">
      <w:pPr>
        <w:autoSpaceDE w:val="0"/>
        <w:autoSpaceDN w:val="0"/>
        <w:adjustRightInd w:val="0"/>
        <w:spacing w:line="240" w:lineRule="atLeast"/>
        <w:rPr>
          <w:rFonts w:ascii="Arial" w:hAnsi="Arial" w:cs="Arial"/>
          <w:b/>
          <w:bCs/>
          <w:color w:val="000000"/>
          <w:sz w:val="20"/>
          <w:szCs w:val="20"/>
        </w:rPr>
      </w:pPr>
      <w:r w:rsidRPr="007913C4">
        <w:rPr>
          <w:rFonts w:ascii="Arial" w:hAnsi="Arial" w:cs="Arial"/>
          <w:b/>
          <w:bCs/>
          <w:color w:val="000000"/>
          <w:sz w:val="20"/>
          <w:szCs w:val="20"/>
        </w:rPr>
        <w:t xml:space="preserve">A- Intereses personales </w:t>
      </w:r>
      <w:r w:rsidRPr="007913C4">
        <w:rPr>
          <w:rStyle w:val="A6"/>
          <w:rFonts w:ascii="Arial" w:hAnsi="Arial" w:cs="Arial"/>
          <w:b/>
          <w:bCs/>
          <w:sz w:val="20"/>
          <w:szCs w:val="20"/>
        </w:rPr>
        <w:t>(</w:t>
      </w:r>
      <w:r w:rsidRPr="007913C4">
        <w:rPr>
          <w:rFonts w:ascii="Arial" w:hAnsi="Arial" w:cs="Arial"/>
          <w:color w:val="000000"/>
          <w:sz w:val="20"/>
          <w:szCs w:val="20"/>
        </w:rPr>
        <w:t>En caso afirmativo especificar</w:t>
      </w:r>
      <w:r w:rsidRPr="007913C4">
        <w:rPr>
          <w:rStyle w:val="A6"/>
          <w:rFonts w:ascii="Arial" w:hAnsi="Arial" w:cs="Arial"/>
          <w:b/>
          <w:bCs/>
          <w:sz w:val="20"/>
          <w:szCs w:val="20"/>
        </w:rPr>
        <w:t xml:space="preserve">): </w:t>
      </w:r>
      <w:r w:rsidRPr="007913C4">
        <w:rPr>
          <w:rStyle w:val="A6"/>
          <w:rFonts w:ascii="Arial" w:hAnsi="Arial" w:cs="Arial"/>
          <w:b/>
          <w:bCs/>
          <w:sz w:val="20"/>
          <w:szCs w:val="20"/>
        </w:rPr>
        <w:tab/>
      </w:r>
      <w:r w:rsidRPr="007913C4">
        <w:rPr>
          <w:rStyle w:val="A6"/>
          <w:rFonts w:ascii="Arial" w:hAnsi="Arial" w:cs="Arial"/>
          <w:b/>
          <w:bCs/>
          <w:sz w:val="20"/>
          <w:szCs w:val="20"/>
        </w:rPr>
        <w:sym w:font="Wingdings" w:char="F070"/>
      </w:r>
      <w:r w:rsidRPr="007913C4">
        <w:rPr>
          <w:rStyle w:val="A6"/>
          <w:rFonts w:ascii="Arial" w:hAnsi="Arial" w:cs="Arial"/>
          <w:b/>
          <w:bCs/>
          <w:sz w:val="20"/>
          <w:szCs w:val="20"/>
        </w:rPr>
        <w:t>SI</w:t>
      </w:r>
      <w:r w:rsidRPr="007913C4">
        <w:rPr>
          <w:rStyle w:val="A6"/>
          <w:rFonts w:ascii="Arial" w:hAnsi="Arial" w:cs="Arial"/>
          <w:b/>
          <w:bCs/>
          <w:sz w:val="20"/>
          <w:szCs w:val="20"/>
        </w:rPr>
        <w:tab/>
      </w:r>
      <w:r w:rsidRPr="007913C4">
        <w:rPr>
          <w:rStyle w:val="A6"/>
          <w:rFonts w:ascii="Arial" w:hAnsi="Arial" w:cs="Arial"/>
          <w:b/>
          <w:bCs/>
          <w:sz w:val="20"/>
          <w:szCs w:val="20"/>
        </w:rPr>
        <w:tab/>
      </w:r>
      <w:r w:rsidRPr="007913C4">
        <w:rPr>
          <w:rStyle w:val="A6"/>
          <w:rFonts w:ascii="Arial" w:hAnsi="Arial" w:cs="Arial"/>
          <w:b/>
          <w:bCs/>
          <w:sz w:val="20"/>
          <w:szCs w:val="20"/>
          <w:highlight w:val="lightGray"/>
        </w:rPr>
        <w:sym w:font="Wingdings" w:char="F070"/>
      </w:r>
      <w:r w:rsidRPr="007913C4">
        <w:rPr>
          <w:rStyle w:val="A6"/>
          <w:rFonts w:ascii="Arial" w:hAnsi="Arial" w:cs="Arial"/>
          <w:b/>
          <w:bCs/>
          <w:sz w:val="20"/>
          <w:szCs w:val="20"/>
          <w:highlight w:val="lightGray"/>
        </w:rPr>
        <w:t>NO</w:t>
      </w:r>
      <w:r w:rsidRPr="007913C4">
        <w:rPr>
          <w:rStyle w:val="A6"/>
          <w:rFonts w:ascii="Arial" w:hAnsi="Arial" w:cs="Arial"/>
          <w:b/>
          <w:bCs/>
          <w:sz w:val="20"/>
          <w:szCs w:val="20"/>
        </w:rPr>
        <w:t xml:space="preserve"> </w:t>
      </w:r>
    </w:p>
    <w:p w14:paraId="226D3C64" w14:textId="77777777" w:rsidR="0044127D" w:rsidRPr="007913C4" w:rsidRDefault="0044127D" w:rsidP="0044127D">
      <w:pPr>
        <w:autoSpaceDE w:val="0"/>
        <w:autoSpaceDN w:val="0"/>
        <w:adjustRightInd w:val="0"/>
        <w:spacing w:line="240" w:lineRule="atLeast"/>
        <w:rPr>
          <w:rFonts w:ascii="Arial" w:hAnsi="Arial" w:cs="Arial"/>
          <w:color w:val="000000"/>
          <w:sz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9"/>
        <w:gridCol w:w="1272"/>
        <w:gridCol w:w="1272"/>
        <w:gridCol w:w="457"/>
        <w:gridCol w:w="375"/>
      </w:tblGrid>
      <w:tr w:rsidR="0044127D" w:rsidRPr="007913C4" w14:paraId="11E1CEF7" w14:textId="77777777" w:rsidTr="00A22536">
        <w:tc>
          <w:tcPr>
            <w:tcW w:w="5495" w:type="dxa"/>
            <w:tcBorders>
              <w:top w:val="single" w:sz="4" w:space="0" w:color="auto"/>
              <w:left w:val="single" w:sz="4" w:space="0" w:color="auto"/>
              <w:bottom w:val="single" w:sz="4" w:space="0" w:color="auto"/>
              <w:right w:val="single" w:sz="4" w:space="0" w:color="auto"/>
            </w:tcBorders>
          </w:tcPr>
          <w:p w14:paraId="53B28D7C"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03EAC0F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Actividad</w:t>
            </w:r>
          </w:p>
        </w:tc>
        <w:tc>
          <w:tcPr>
            <w:tcW w:w="1275" w:type="dxa"/>
            <w:tcBorders>
              <w:top w:val="single" w:sz="4" w:space="0" w:color="auto"/>
              <w:left w:val="single" w:sz="4" w:space="0" w:color="auto"/>
              <w:bottom w:val="single" w:sz="4" w:space="0" w:color="auto"/>
              <w:right w:val="single" w:sz="4" w:space="0" w:color="auto"/>
            </w:tcBorders>
            <w:hideMark/>
          </w:tcPr>
          <w:p w14:paraId="5FFA75D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Institución</w:t>
            </w:r>
          </w:p>
        </w:tc>
        <w:tc>
          <w:tcPr>
            <w:tcW w:w="833" w:type="dxa"/>
            <w:gridSpan w:val="2"/>
            <w:tcBorders>
              <w:top w:val="single" w:sz="4" w:space="0" w:color="auto"/>
              <w:left w:val="single" w:sz="4" w:space="0" w:color="auto"/>
              <w:bottom w:val="single" w:sz="4" w:space="0" w:color="auto"/>
              <w:right w:val="single" w:sz="4" w:space="0" w:color="auto"/>
            </w:tcBorders>
            <w:hideMark/>
          </w:tcPr>
          <w:p w14:paraId="2686867A"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Fecha</w:t>
            </w:r>
          </w:p>
        </w:tc>
      </w:tr>
      <w:tr w:rsidR="0044127D" w:rsidRPr="007913C4" w14:paraId="1EC19876"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1ECD88A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para reuniones y congresos, asistencia a cursos (inscripciones, bolsas de viajes, alojamiento…)</w:t>
            </w:r>
          </w:p>
        </w:tc>
        <w:tc>
          <w:tcPr>
            <w:tcW w:w="1276" w:type="dxa"/>
            <w:tcBorders>
              <w:top w:val="single" w:sz="4" w:space="0" w:color="auto"/>
              <w:left w:val="single" w:sz="4" w:space="0" w:color="auto"/>
              <w:bottom w:val="single" w:sz="4" w:space="0" w:color="auto"/>
              <w:right w:val="single" w:sz="4" w:space="0" w:color="auto"/>
            </w:tcBorders>
          </w:tcPr>
          <w:p w14:paraId="4DFFA3D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633C512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1C02494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7EFDE66C"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0402A9C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Honorarios como ponente (conferencias, cursos…)</w:t>
            </w:r>
          </w:p>
        </w:tc>
        <w:tc>
          <w:tcPr>
            <w:tcW w:w="1276" w:type="dxa"/>
            <w:tcBorders>
              <w:top w:val="single" w:sz="4" w:space="0" w:color="auto"/>
              <w:left w:val="single" w:sz="4" w:space="0" w:color="auto"/>
              <w:bottom w:val="single" w:sz="4" w:space="0" w:color="auto"/>
              <w:right w:val="single" w:sz="4" w:space="0" w:color="auto"/>
            </w:tcBorders>
          </w:tcPr>
          <w:p w14:paraId="753818F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0423E97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70BF8929"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7F97A490"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6D7DB93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de programas educativos o cursos (contratación de personal, alquiler de instalaciones…)</w:t>
            </w:r>
          </w:p>
        </w:tc>
        <w:tc>
          <w:tcPr>
            <w:tcW w:w="1276" w:type="dxa"/>
            <w:tcBorders>
              <w:top w:val="single" w:sz="4" w:space="0" w:color="auto"/>
              <w:left w:val="single" w:sz="4" w:space="0" w:color="auto"/>
              <w:bottom w:val="single" w:sz="4" w:space="0" w:color="auto"/>
              <w:right w:val="single" w:sz="4" w:space="0" w:color="auto"/>
            </w:tcBorders>
          </w:tcPr>
          <w:p w14:paraId="0B384AA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0995AFE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4E892D3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6E6C9659"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77911A8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por participar en una investigación</w:t>
            </w:r>
          </w:p>
        </w:tc>
        <w:tc>
          <w:tcPr>
            <w:tcW w:w="1276" w:type="dxa"/>
            <w:tcBorders>
              <w:top w:val="single" w:sz="4" w:space="0" w:color="auto"/>
              <w:left w:val="single" w:sz="4" w:space="0" w:color="auto"/>
              <w:bottom w:val="single" w:sz="4" w:space="0" w:color="auto"/>
              <w:right w:val="single" w:sz="4" w:space="0" w:color="auto"/>
            </w:tcBorders>
          </w:tcPr>
          <w:p w14:paraId="14B299D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22C3770A"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3FBA702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5E3ACD26"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56D0D7E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Consultoría para una compañía farmacéutica/otras tecnologías</w:t>
            </w:r>
          </w:p>
        </w:tc>
        <w:tc>
          <w:tcPr>
            <w:tcW w:w="1276" w:type="dxa"/>
            <w:tcBorders>
              <w:top w:val="single" w:sz="4" w:space="0" w:color="auto"/>
              <w:left w:val="single" w:sz="4" w:space="0" w:color="auto"/>
              <w:bottom w:val="single" w:sz="4" w:space="0" w:color="auto"/>
              <w:right w:val="single" w:sz="4" w:space="0" w:color="auto"/>
            </w:tcBorders>
          </w:tcPr>
          <w:p w14:paraId="24F7B7A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E4C2E8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5BA18366"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678D64F6"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10DD16A1"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Accionista o con intereses comerciales en una compañía</w:t>
            </w:r>
          </w:p>
        </w:tc>
        <w:tc>
          <w:tcPr>
            <w:tcW w:w="1276" w:type="dxa"/>
            <w:tcBorders>
              <w:top w:val="single" w:sz="4" w:space="0" w:color="auto"/>
              <w:left w:val="single" w:sz="4" w:space="0" w:color="auto"/>
              <w:bottom w:val="single" w:sz="4" w:space="0" w:color="auto"/>
              <w:right w:val="single" w:sz="4" w:space="0" w:color="auto"/>
            </w:tcBorders>
          </w:tcPr>
          <w:p w14:paraId="0CB9E09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51E9492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7DA96B7C"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35531AB6"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36672761"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auto"/>
              <w:left w:val="single" w:sz="4" w:space="0" w:color="auto"/>
              <w:bottom w:val="single" w:sz="4" w:space="0" w:color="auto"/>
              <w:right w:val="single" w:sz="4" w:space="0" w:color="auto"/>
            </w:tcBorders>
          </w:tcPr>
          <w:p w14:paraId="2E5E914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7CF9016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77B6A7D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4E926FAD"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503485F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Conflictos de intereses de índole no económico que pueden ser significativos en relación a la autoría en la guía</w:t>
            </w:r>
          </w:p>
        </w:tc>
        <w:tc>
          <w:tcPr>
            <w:tcW w:w="1276" w:type="dxa"/>
            <w:tcBorders>
              <w:top w:val="single" w:sz="4" w:space="0" w:color="auto"/>
              <w:left w:val="single" w:sz="4" w:space="0" w:color="auto"/>
              <w:bottom w:val="single" w:sz="4" w:space="0" w:color="auto"/>
              <w:right w:val="single" w:sz="4" w:space="0" w:color="auto"/>
            </w:tcBorders>
          </w:tcPr>
          <w:p w14:paraId="0A044A5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61A5D8BB"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32785CF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5ADD4075" w14:textId="77777777" w:rsidTr="00A22536">
        <w:trPr>
          <w:gridAfter w:val="1"/>
          <w:wAfter w:w="372" w:type="dxa"/>
          <w:trHeight w:val="226"/>
        </w:trPr>
        <w:tc>
          <w:tcPr>
            <w:tcW w:w="8503" w:type="dxa"/>
            <w:gridSpan w:val="4"/>
            <w:tcBorders>
              <w:top w:val="nil"/>
              <w:left w:val="nil"/>
              <w:bottom w:val="nil"/>
              <w:right w:val="nil"/>
            </w:tcBorders>
          </w:tcPr>
          <w:p w14:paraId="62D32FCA" w14:textId="77777777" w:rsidR="0044127D" w:rsidRPr="007913C4" w:rsidRDefault="0044127D" w:rsidP="00A22536">
            <w:pPr>
              <w:autoSpaceDE w:val="0"/>
              <w:autoSpaceDN w:val="0"/>
              <w:adjustRightInd w:val="0"/>
              <w:spacing w:line="240" w:lineRule="atLeast"/>
              <w:jc w:val="both"/>
              <w:rPr>
                <w:rFonts w:ascii="Arial" w:hAnsi="Arial" w:cs="Arial"/>
                <w:color w:val="FF0000"/>
                <w:sz w:val="16"/>
                <w:szCs w:val="18"/>
              </w:rPr>
            </w:pPr>
          </w:p>
        </w:tc>
      </w:tr>
    </w:tbl>
    <w:p w14:paraId="74FEADCE" w14:textId="77777777" w:rsidR="0044127D" w:rsidRPr="007913C4" w:rsidRDefault="0044127D" w:rsidP="0044127D">
      <w:pPr>
        <w:autoSpaceDE w:val="0"/>
        <w:autoSpaceDN w:val="0"/>
        <w:adjustRightInd w:val="0"/>
        <w:spacing w:line="240" w:lineRule="atLeast"/>
        <w:rPr>
          <w:rStyle w:val="A6"/>
          <w:rFonts w:ascii="Arial" w:hAnsi="Arial" w:cs="Arial"/>
          <w:b/>
          <w:bCs/>
          <w:sz w:val="16"/>
        </w:rPr>
      </w:pPr>
    </w:p>
    <w:p w14:paraId="695EA7DA" w14:textId="77777777" w:rsidR="0044127D" w:rsidRPr="007913C4" w:rsidRDefault="0044127D" w:rsidP="0044127D">
      <w:pPr>
        <w:autoSpaceDE w:val="0"/>
        <w:autoSpaceDN w:val="0"/>
        <w:adjustRightInd w:val="0"/>
        <w:spacing w:line="240" w:lineRule="atLeast"/>
        <w:rPr>
          <w:rStyle w:val="A6"/>
          <w:rFonts w:ascii="Arial" w:hAnsi="Arial" w:cs="Arial"/>
          <w:b/>
          <w:bCs/>
          <w:sz w:val="20"/>
          <w:szCs w:val="20"/>
        </w:rPr>
      </w:pPr>
      <w:r w:rsidRPr="007913C4">
        <w:rPr>
          <w:rStyle w:val="A6"/>
          <w:rFonts w:ascii="Arial" w:hAnsi="Arial" w:cs="Arial"/>
          <w:b/>
          <w:bCs/>
          <w:sz w:val="20"/>
          <w:szCs w:val="20"/>
        </w:rPr>
        <w:t>B- Intereses no personales (</w:t>
      </w:r>
      <w:r w:rsidRPr="007913C4">
        <w:rPr>
          <w:rFonts w:ascii="Arial" w:hAnsi="Arial" w:cs="Arial"/>
          <w:color w:val="000000"/>
          <w:sz w:val="20"/>
          <w:szCs w:val="20"/>
        </w:rPr>
        <w:t>En caso afirmativo especificar</w:t>
      </w:r>
      <w:r w:rsidRPr="007913C4">
        <w:rPr>
          <w:rStyle w:val="A6"/>
          <w:rFonts w:ascii="Arial" w:hAnsi="Arial" w:cs="Arial"/>
          <w:b/>
          <w:bCs/>
          <w:sz w:val="20"/>
          <w:szCs w:val="20"/>
        </w:rPr>
        <w:t xml:space="preserve">): </w:t>
      </w:r>
      <w:r w:rsidRPr="007913C4">
        <w:rPr>
          <w:rStyle w:val="A6"/>
          <w:rFonts w:ascii="Arial" w:hAnsi="Arial" w:cs="Arial"/>
          <w:b/>
          <w:bCs/>
          <w:sz w:val="20"/>
          <w:szCs w:val="20"/>
        </w:rPr>
        <w:tab/>
      </w:r>
      <w:r w:rsidRPr="007913C4">
        <w:rPr>
          <w:rStyle w:val="A6"/>
          <w:rFonts w:ascii="Arial" w:hAnsi="Arial" w:cs="Arial"/>
          <w:b/>
          <w:bCs/>
          <w:sz w:val="20"/>
          <w:szCs w:val="20"/>
        </w:rPr>
        <w:sym w:font="Wingdings" w:char="F070"/>
      </w:r>
      <w:r w:rsidRPr="007913C4">
        <w:rPr>
          <w:rStyle w:val="A6"/>
          <w:rFonts w:ascii="Arial" w:hAnsi="Arial" w:cs="Arial"/>
          <w:b/>
          <w:bCs/>
          <w:sz w:val="20"/>
          <w:szCs w:val="20"/>
        </w:rPr>
        <w:t>SI</w:t>
      </w:r>
      <w:r w:rsidRPr="007913C4">
        <w:rPr>
          <w:rStyle w:val="A6"/>
          <w:rFonts w:ascii="Arial" w:hAnsi="Arial" w:cs="Arial"/>
          <w:b/>
          <w:bCs/>
          <w:sz w:val="20"/>
          <w:szCs w:val="20"/>
        </w:rPr>
        <w:tab/>
      </w:r>
      <w:r w:rsidRPr="007913C4">
        <w:rPr>
          <w:rStyle w:val="A6"/>
          <w:rFonts w:ascii="Arial" w:hAnsi="Arial" w:cs="Arial"/>
          <w:b/>
          <w:bCs/>
          <w:sz w:val="20"/>
          <w:szCs w:val="20"/>
        </w:rPr>
        <w:tab/>
      </w:r>
      <w:r w:rsidRPr="007913C4">
        <w:rPr>
          <w:rStyle w:val="A6"/>
          <w:rFonts w:ascii="Arial" w:hAnsi="Arial" w:cs="Arial"/>
          <w:b/>
          <w:bCs/>
          <w:sz w:val="20"/>
          <w:szCs w:val="20"/>
          <w:highlight w:val="lightGray"/>
        </w:rPr>
        <w:sym w:font="Wingdings" w:char="F070"/>
      </w:r>
      <w:r w:rsidRPr="007913C4">
        <w:rPr>
          <w:rStyle w:val="A6"/>
          <w:rFonts w:ascii="Arial" w:hAnsi="Arial" w:cs="Arial"/>
          <w:b/>
          <w:bCs/>
          <w:sz w:val="20"/>
          <w:szCs w:val="20"/>
          <w:highlight w:val="lightGray"/>
        </w:rPr>
        <w:t>NO</w:t>
      </w:r>
    </w:p>
    <w:p w14:paraId="6F5A4550" w14:textId="77777777" w:rsidR="0044127D" w:rsidRPr="007913C4" w:rsidRDefault="0044127D" w:rsidP="0044127D">
      <w:pPr>
        <w:autoSpaceDE w:val="0"/>
        <w:autoSpaceDN w:val="0"/>
        <w:adjustRightInd w:val="0"/>
        <w:spacing w:line="240" w:lineRule="atLeast"/>
        <w:rPr>
          <w:sz w:val="18"/>
          <w:szCs w:val="20"/>
        </w:rPr>
      </w:pPr>
      <w:r w:rsidRPr="007913C4">
        <w:rPr>
          <w:rStyle w:val="A6"/>
          <w:rFonts w:ascii="Arial" w:hAnsi="Arial" w:cs="Arial"/>
          <w:b/>
          <w:bCs/>
          <w:sz w:val="16"/>
        </w:rPr>
        <w:t xml:space="preserve"> </w:t>
      </w:r>
    </w:p>
    <w:tbl>
      <w:tblPr>
        <w:tblW w:w="9040" w:type="dxa"/>
        <w:tblInd w:w="-106" w:type="dxa"/>
        <w:tblLayout w:type="fixed"/>
        <w:tblLook w:val="04A0" w:firstRow="1" w:lastRow="0" w:firstColumn="1" w:lastColumn="0" w:noHBand="0" w:noVBand="1"/>
      </w:tblPr>
      <w:tblGrid>
        <w:gridCol w:w="9040"/>
      </w:tblGrid>
      <w:tr w:rsidR="0044127D" w:rsidRPr="007913C4" w14:paraId="13FA8DCD" w14:textId="77777777" w:rsidTr="00A22536">
        <w:trPr>
          <w:trHeight w:val="226"/>
        </w:trPr>
        <w:tc>
          <w:tcPr>
            <w:tcW w:w="9039" w:type="dxa"/>
          </w:tcPr>
          <w:p w14:paraId="7521F636" w14:textId="77777777" w:rsidR="0044127D" w:rsidRPr="007913C4" w:rsidRDefault="0044127D" w:rsidP="00A22536">
            <w:pPr>
              <w:pStyle w:val="Pa1"/>
              <w:rPr>
                <w:rStyle w:val="A6"/>
                <w:rFonts w:ascii="Arial" w:hAnsi="Arial" w:cs="Arial"/>
                <w:szCs w:val="20"/>
              </w:rPr>
            </w:pPr>
          </w:p>
          <w:tbl>
            <w:tblPr>
              <w:tblW w:w="888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6"/>
              <w:gridCol w:w="1276"/>
              <w:gridCol w:w="1275"/>
              <w:gridCol w:w="833"/>
            </w:tblGrid>
            <w:tr w:rsidR="0044127D" w:rsidRPr="007913C4" w14:paraId="0EE933EF" w14:textId="77777777" w:rsidTr="00A22536">
              <w:tc>
                <w:tcPr>
                  <w:tcW w:w="5495" w:type="dxa"/>
                  <w:tcBorders>
                    <w:top w:val="single" w:sz="4" w:space="0" w:color="auto"/>
                    <w:left w:val="single" w:sz="4" w:space="0" w:color="auto"/>
                    <w:bottom w:val="single" w:sz="4" w:space="0" w:color="auto"/>
                    <w:right w:val="single" w:sz="4" w:space="0" w:color="auto"/>
                  </w:tcBorders>
                </w:tcPr>
                <w:p w14:paraId="32EF620A"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2490ED2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Actividad</w:t>
                  </w:r>
                </w:p>
              </w:tc>
              <w:tc>
                <w:tcPr>
                  <w:tcW w:w="1275" w:type="dxa"/>
                  <w:tcBorders>
                    <w:top w:val="single" w:sz="4" w:space="0" w:color="auto"/>
                    <w:left w:val="single" w:sz="4" w:space="0" w:color="auto"/>
                    <w:bottom w:val="single" w:sz="4" w:space="0" w:color="auto"/>
                    <w:right w:val="single" w:sz="4" w:space="0" w:color="auto"/>
                  </w:tcBorders>
                  <w:hideMark/>
                </w:tcPr>
                <w:p w14:paraId="66E7C57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Institución</w:t>
                  </w:r>
                </w:p>
              </w:tc>
              <w:tc>
                <w:tcPr>
                  <w:tcW w:w="833" w:type="dxa"/>
                  <w:tcBorders>
                    <w:top w:val="single" w:sz="4" w:space="0" w:color="auto"/>
                    <w:left w:val="single" w:sz="4" w:space="0" w:color="auto"/>
                    <w:bottom w:val="single" w:sz="4" w:space="0" w:color="auto"/>
                    <w:right w:val="single" w:sz="4" w:space="0" w:color="auto"/>
                  </w:tcBorders>
                  <w:hideMark/>
                </w:tcPr>
                <w:p w14:paraId="64904D0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Fecha</w:t>
                  </w:r>
                </w:p>
              </w:tc>
            </w:tr>
            <w:tr w:rsidR="0044127D" w:rsidRPr="007913C4" w14:paraId="08379482"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237A187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Financiación o ayudas económicas para la creación de la unidad o</w:t>
                  </w:r>
                  <w:r>
                    <w:rPr>
                      <w:rStyle w:val="A6"/>
                      <w:rFonts w:ascii="Arial" w:hAnsi="Arial" w:cs="Arial"/>
                      <w:sz w:val="16"/>
                    </w:rPr>
                    <w:t xml:space="preserve"> </w:t>
                  </w:r>
                  <w:r w:rsidRPr="007913C4">
                    <w:rPr>
                      <w:rStyle w:val="A6"/>
                      <w:rFonts w:ascii="Arial" w:hAnsi="Arial" w:cs="Arial"/>
                      <w:sz w:val="16"/>
                    </w:rPr>
                    <w:t>servicio</w:t>
                  </w:r>
                </w:p>
              </w:tc>
              <w:tc>
                <w:tcPr>
                  <w:tcW w:w="1276" w:type="dxa"/>
                  <w:tcBorders>
                    <w:top w:val="single" w:sz="4" w:space="0" w:color="auto"/>
                    <w:left w:val="single" w:sz="4" w:space="0" w:color="auto"/>
                    <w:bottom w:val="single" w:sz="4" w:space="0" w:color="auto"/>
                    <w:right w:val="single" w:sz="4" w:space="0" w:color="auto"/>
                  </w:tcBorders>
                </w:tcPr>
                <w:p w14:paraId="1E0A43E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0ADB121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1151BFCB"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399724F3"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5748F6D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14:paraId="2531CDF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02B6C031"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37F7D44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3AF834C2"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76714C8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14:paraId="7390BC9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2A0C57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3CC3B4B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6DA1CAB6"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5F0CC85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14:paraId="086FD2C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4F7111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55565FB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018EE3BA"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72EA97E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14:paraId="2CD29FC9"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2748A94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2992D8AB"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bl>
          <w:p w14:paraId="61C3149C" w14:textId="77777777" w:rsidR="0044127D" w:rsidRPr="007913C4" w:rsidRDefault="0044127D" w:rsidP="00A22536">
            <w:pPr>
              <w:pStyle w:val="Pa1"/>
              <w:rPr>
                <w:rFonts w:ascii="Arial" w:hAnsi="Arial" w:cs="Arial"/>
                <w:color w:val="000000"/>
                <w:sz w:val="18"/>
                <w:szCs w:val="20"/>
              </w:rPr>
            </w:pPr>
          </w:p>
        </w:tc>
      </w:tr>
    </w:tbl>
    <w:p w14:paraId="0E1EAA59" w14:textId="77777777" w:rsidR="0044127D" w:rsidRPr="007913C4" w:rsidRDefault="0044127D" w:rsidP="0044127D">
      <w:pPr>
        <w:rPr>
          <w:rFonts w:ascii="Arial" w:hAnsi="Arial" w:cs="Arial"/>
          <w:b/>
          <w:bCs/>
          <w:color w:val="000000"/>
          <w:sz w:val="16"/>
          <w:szCs w:val="20"/>
        </w:rPr>
      </w:pPr>
    </w:p>
    <w:p w14:paraId="4979C6A3" w14:textId="77777777" w:rsidR="0044127D" w:rsidRPr="007913C4" w:rsidRDefault="0044127D" w:rsidP="0044127D">
      <w:pPr>
        <w:rPr>
          <w:rFonts w:ascii="Arial" w:hAnsi="Arial" w:cs="Arial"/>
          <w:b/>
          <w:bCs/>
          <w:sz w:val="20"/>
        </w:rPr>
      </w:pPr>
      <w:r w:rsidRPr="007913C4">
        <w:rPr>
          <w:rFonts w:ascii="Arial" w:hAnsi="Arial" w:cs="Arial"/>
          <w:b/>
          <w:bCs/>
          <w:color w:val="000000"/>
          <w:sz w:val="20"/>
        </w:rPr>
        <w:t>C-Otros posibles conflictos de intereses no señalados en apartados anteriores (especificar)</w:t>
      </w:r>
      <w:r w:rsidRPr="007913C4">
        <w:rPr>
          <w:rFonts w:ascii="Arial" w:hAnsi="Arial" w:cs="Arial"/>
          <w:b/>
          <w:bCs/>
          <w:sz w:val="20"/>
        </w:rPr>
        <w:t xml:space="preserve"> </w:t>
      </w:r>
    </w:p>
    <w:p w14:paraId="5FC63ECB" w14:textId="77777777" w:rsidR="0044127D" w:rsidRPr="007913C4" w:rsidRDefault="0044127D" w:rsidP="0044127D">
      <w:pPr>
        <w:rPr>
          <w:rFonts w:ascii="Arial" w:hAnsi="Arial" w:cs="Arial"/>
          <w:b/>
          <w:bCs/>
          <w:sz w:val="20"/>
        </w:rPr>
      </w:pPr>
    </w:p>
    <w:p w14:paraId="1DC9EF3C" w14:textId="0BFCA969" w:rsidR="0044127D" w:rsidRPr="007913C4" w:rsidRDefault="0044127D" w:rsidP="0044127D">
      <w:pPr>
        <w:rPr>
          <w:rFonts w:ascii="Arial" w:hAnsi="Arial" w:cs="Arial"/>
          <w:b/>
          <w:bCs/>
          <w:sz w:val="20"/>
        </w:rPr>
      </w:pPr>
    </w:p>
    <w:p w14:paraId="66EB9F18" w14:textId="6B5D3126" w:rsidR="0044127D" w:rsidRDefault="00AD61C3" w:rsidP="0044127D">
      <w:pPr>
        <w:snapToGrid w:val="0"/>
        <w:rPr>
          <w:rFonts w:ascii="Arial" w:hAnsi="Arial" w:cs="Arial"/>
          <w:b/>
          <w:bCs/>
          <w:sz w:val="20"/>
        </w:rPr>
      </w:pPr>
      <w:r>
        <w:rPr>
          <w:rFonts w:ascii="Arial" w:hAnsi="Arial" w:cs="Arial"/>
          <w:b/>
          <w:bCs/>
          <w:sz w:val="20"/>
        </w:rPr>
        <w:t>FECHA</w:t>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sidR="0044127D" w:rsidRPr="007913C4">
        <w:rPr>
          <w:rFonts w:ascii="Arial" w:hAnsi="Arial" w:cs="Arial"/>
          <w:b/>
          <w:bCs/>
          <w:sz w:val="20"/>
        </w:rPr>
        <w:t>FIRMA</w:t>
      </w:r>
    </w:p>
    <w:p w14:paraId="784354CD" w14:textId="6F14D26A" w:rsidR="0044127D" w:rsidRDefault="00FF2FDC" w:rsidP="0044127D">
      <w:pPr>
        <w:snapToGrid w:val="0"/>
        <w:rPr>
          <w:rFonts w:ascii="Arial" w:hAnsi="Arial" w:cs="Arial"/>
          <w:b/>
          <w:bCs/>
          <w:sz w:val="20"/>
        </w:rPr>
      </w:pPr>
      <w:r>
        <w:rPr>
          <w:rFonts w:ascii="Arial" w:hAnsi="Arial" w:cs="Arial"/>
          <w:b/>
          <w:bCs/>
          <w:sz w:val="20"/>
        </w:rPr>
        <w:t>10 de enero de 2021</w:t>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sidRPr="00FF2FDC">
        <w:rPr>
          <w:rFonts w:ascii="Arial" w:hAnsi="Arial" w:cs="Arial"/>
          <w:b/>
          <w:bCs/>
          <w:sz w:val="20"/>
        </w:rPr>
        <w:t>Francesc Puigventós</w:t>
      </w:r>
      <w:r>
        <w:rPr>
          <w:rFonts w:ascii="Arial" w:hAnsi="Arial" w:cs="Arial"/>
          <w:b/>
          <w:bCs/>
          <w:sz w:val="20"/>
        </w:rPr>
        <w:t xml:space="preserve"> Latorre</w:t>
      </w:r>
    </w:p>
    <w:p w14:paraId="4A192AB1" w14:textId="77777777" w:rsidR="0044127D" w:rsidRPr="007913C4" w:rsidRDefault="0044127D" w:rsidP="0044127D">
      <w:pPr>
        <w:rPr>
          <w:rFonts w:ascii="Arial" w:hAnsi="Arial" w:cs="Arial"/>
          <w:color w:val="0000FF"/>
          <w:sz w:val="18"/>
          <w:szCs w:val="20"/>
          <w:u w:val="single"/>
        </w:rPr>
      </w:pPr>
    </w:p>
    <w:p w14:paraId="4287A9A2" w14:textId="77777777" w:rsidR="0044127D" w:rsidRPr="007913C4" w:rsidRDefault="0044127D" w:rsidP="0044127D">
      <w:pPr>
        <w:shd w:val="clear" w:color="auto" w:fill="DBE5F1"/>
        <w:autoSpaceDE w:val="0"/>
        <w:autoSpaceDN w:val="0"/>
        <w:adjustRightInd w:val="0"/>
        <w:spacing w:after="240" w:line="240" w:lineRule="atLeast"/>
        <w:jc w:val="center"/>
        <w:rPr>
          <w:rFonts w:ascii="Arial" w:hAnsi="Arial" w:cs="Arial"/>
          <w:color w:val="000000"/>
          <w:sz w:val="20"/>
          <w:szCs w:val="20"/>
        </w:rPr>
      </w:pPr>
      <w:r w:rsidRPr="007913C4">
        <w:rPr>
          <w:rFonts w:ascii="Arial" w:hAnsi="Arial" w:cs="Arial"/>
          <w:b/>
          <w:bCs/>
          <w:color w:val="000000"/>
          <w:sz w:val="20"/>
          <w:szCs w:val="20"/>
        </w:rPr>
        <w:t xml:space="preserve">Formulario de declaración de conflictos de intereses (ANEXO </w:t>
      </w:r>
      <w:r>
        <w:rPr>
          <w:rFonts w:ascii="Arial" w:hAnsi="Arial" w:cs="Arial"/>
          <w:b/>
          <w:bCs/>
          <w:color w:val="000000"/>
          <w:sz w:val="20"/>
          <w:szCs w:val="20"/>
        </w:rPr>
        <w:t>2</w:t>
      </w:r>
      <w:r w:rsidRPr="007913C4">
        <w:rPr>
          <w:rFonts w:ascii="Arial" w:hAnsi="Arial" w:cs="Arial"/>
          <w:b/>
          <w:bCs/>
          <w:color w:val="000000"/>
          <w:sz w:val="20"/>
          <w:szCs w:val="20"/>
        </w:rPr>
        <w:t>)</w:t>
      </w:r>
    </w:p>
    <w:p w14:paraId="698383D1" w14:textId="77777777" w:rsidR="0044127D" w:rsidRPr="007913C4" w:rsidRDefault="0044127D" w:rsidP="0044127D">
      <w:pPr>
        <w:pStyle w:val="Pa53"/>
        <w:jc w:val="both"/>
        <w:rPr>
          <w:rFonts w:ascii="Arial" w:hAnsi="Arial" w:cs="Arial"/>
          <w:sz w:val="20"/>
          <w:szCs w:val="20"/>
          <w:lang w:eastAsia="es-ES"/>
        </w:rPr>
      </w:pPr>
      <w:r w:rsidRPr="007913C4">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7564CC34" w14:textId="6111E597" w:rsidR="0044127D" w:rsidRPr="007913C4" w:rsidRDefault="0044127D" w:rsidP="0044127D">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Nombre y apellidos: </w:t>
      </w:r>
      <w:r w:rsidR="00F91A97">
        <w:rPr>
          <w:rFonts w:ascii="Arial" w:hAnsi="Arial" w:cs="Arial"/>
          <w:bCs/>
          <w:color w:val="000000"/>
          <w:sz w:val="20"/>
          <w:szCs w:val="20"/>
        </w:rPr>
        <w:t>Ana Ortega Eslava</w:t>
      </w:r>
    </w:p>
    <w:p w14:paraId="36FADA95" w14:textId="77777777" w:rsidR="0044127D" w:rsidRPr="007913C4" w:rsidRDefault="0044127D" w:rsidP="0044127D">
      <w:pPr>
        <w:autoSpaceDE w:val="0"/>
        <w:autoSpaceDN w:val="0"/>
        <w:adjustRightInd w:val="0"/>
        <w:spacing w:line="240" w:lineRule="atLeast"/>
        <w:ind w:left="220" w:hanging="220"/>
        <w:rPr>
          <w:rFonts w:ascii="Arial" w:hAnsi="Arial" w:cs="Arial"/>
          <w:b/>
          <w:bCs/>
          <w:color w:val="000000"/>
          <w:sz w:val="20"/>
          <w:szCs w:val="20"/>
        </w:rPr>
      </w:pPr>
    </w:p>
    <w:p w14:paraId="50A04AFD" w14:textId="39CCF0A0" w:rsidR="0044127D" w:rsidRPr="007913C4" w:rsidRDefault="0044127D" w:rsidP="0044127D">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Institución en la que trabaja: </w:t>
      </w:r>
      <w:r w:rsidR="00F91A97">
        <w:rPr>
          <w:rFonts w:ascii="Arial" w:hAnsi="Arial" w:cs="Arial"/>
          <w:sz w:val="20"/>
          <w:szCs w:val="20"/>
        </w:rPr>
        <w:t>Servicio de Farmacia. Clínica Universitaria de Navarra.</w:t>
      </w:r>
    </w:p>
    <w:p w14:paraId="3069A2FA" w14:textId="77777777" w:rsidR="0044127D" w:rsidRPr="007913C4" w:rsidRDefault="0044127D" w:rsidP="0044127D">
      <w:pPr>
        <w:autoSpaceDE w:val="0"/>
        <w:autoSpaceDN w:val="0"/>
        <w:adjustRightInd w:val="0"/>
        <w:spacing w:line="240" w:lineRule="atLeast"/>
        <w:ind w:left="220" w:hanging="220"/>
        <w:rPr>
          <w:rFonts w:ascii="Arial" w:hAnsi="Arial" w:cs="Arial"/>
          <w:color w:val="000000"/>
          <w:sz w:val="20"/>
          <w:szCs w:val="20"/>
        </w:rPr>
      </w:pPr>
      <w:r w:rsidRPr="007913C4">
        <w:rPr>
          <w:rFonts w:ascii="Arial" w:hAnsi="Arial" w:cs="Arial"/>
          <w:b/>
          <w:bCs/>
          <w:color w:val="000000"/>
          <w:sz w:val="20"/>
          <w:szCs w:val="20"/>
        </w:rPr>
        <w:t xml:space="preserve">– Institución que le vincula al informe: </w:t>
      </w:r>
      <w:r w:rsidRPr="007913C4">
        <w:rPr>
          <w:rFonts w:ascii="Arial" w:hAnsi="Arial" w:cs="Arial"/>
          <w:color w:val="000000"/>
          <w:sz w:val="20"/>
          <w:szCs w:val="20"/>
        </w:rPr>
        <w:t>Informe compartido GENESIS-SEFH</w:t>
      </w:r>
    </w:p>
    <w:p w14:paraId="5F9E2D35" w14:textId="77777777" w:rsidR="0044127D" w:rsidRPr="007913C4" w:rsidRDefault="0044127D" w:rsidP="0044127D">
      <w:pPr>
        <w:autoSpaceDE w:val="0"/>
        <w:autoSpaceDN w:val="0"/>
        <w:adjustRightInd w:val="0"/>
        <w:spacing w:after="40" w:line="240" w:lineRule="atLeast"/>
        <w:rPr>
          <w:rFonts w:ascii="Arial" w:hAnsi="Arial" w:cs="Arial"/>
          <w:color w:val="000000"/>
          <w:sz w:val="20"/>
          <w:szCs w:val="20"/>
        </w:rPr>
      </w:pPr>
    </w:p>
    <w:p w14:paraId="523922AB" w14:textId="77777777" w:rsidR="0044127D" w:rsidRPr="007913C4" w:rsidRDefault="0044127D" w:rsidP="0044127D">
      <w:pPr>
        <w:autoSpaceDE w:val="0"/>
        <w:autoSpaceDN w:val="0"/>
        <w:adjustRightInd w:val="0"/>
        <w:spacing w:after="40" w:line="240" w:lineRule="atLeast"/>
        <w:rPr>
          <w:rFonts w:ascii="Arial" w:hAnsi="Arial" w:cs="Arial"/>
          <w:color w:val="000000"/>
          <w:sz w:val="20"/>
          <w:szCs w:val="20"/>
        </w:rPr>
      </w:pPr>
      <w:r w:rsidRPr="007913C4">
        <w:rPr>
          <w:rFonts w:ascii="Arial" w:hAnsi="Arial" w:cs="Arial"/>
          <w:color w:val="000000"/>
          <w:sz w:val="20"/>
          <w:szCs w:val="20"/>
        </w:rPr>
        <w:t>Participación en el informe de evaluación como:</w:t>
      </w:r>
    </w:p>
    <w:p w14:paraId="088FB04B" w14:textId="486831E6" w:rsidR="00A22536" w:rsidRDefault="0044127D" w:rsidP="00A22536">
      <w:pPr>
        <w:autoSpaceDE w:val="0"/>
        <w:autoSpaceDN w:val="0"/>
        <w:adjustRightInd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2-</w:t>
      </w:r>
      <w:r w:rsidR="00A22536">
        <w:rPr>
          <w:rFonts w:ascii="Arial" w:hAnsi="Arial" w:cs="Arial"/>
          <w:color w:val="000000"/>
          <w:sz w:val="20"/>
          <w:szCs w:val="20"/>
          <w:lang w:val="pt-BR"/>
        </w:rPr>
        <w:t>Autor</w:t>
      </w:r>
    </w:p>
    <w:p w14:paraId="74FA66C1" w14:textId="0059A029" w:rsidR="00A22536" w:rsidRPr="007913C4" w:rsidRDefault="00A22536" w:rsidP="00A22536">
      <w:pPr>
        <w:autoSpaceDE w:val="0"/>
        <w:autoSpaceDN w:val="0"/>
        <w:adjustRightInd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 xml:space="preserve">2-Tutor </w:t>
      </w:r>
    </w:p>
    <w:p w14:paraId="0B6AD1AA" w14:textId="77777777" w:rsidR="00A22536" w:rsidRPr="007913C4" w:rsidRDefault="00A22536" w:rsidP="00A22536">
      <w:pPr>
        <w:shd w:val="clear" w:color="auto" w:fill="D9D9D9" w:themeFill="background1" w:themeFillShade="D9"/>
        <w:autoSpaceDE w:val="0"/>
        <w:autoSpaceDN w:val="0"/>
        <w:adjustRightInd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3</w:t>
      </w:r>
      <w:r w:rsidRPr="007913C4">
        <w:rPr>
          <w:rFonts w:ascii="Arial" w:hAnsi="Arial" w:cs="Arial"/>
          <w:color w:val="000000"/>
          <w:sz w:val="20"/>
          <w:szCs w:val="20"/>
          <w:lang w:val="pt-BR"/>
        </w:rPr>
        <w:t>-</w:t>
      </w:r>
      <w:r>
        <w:rPr>
          <w:rFonts w:ascii="Arial" w:hAnsi="Arial" w:cs="Arial"/>
          <w:color w:val="000000"/>
          <w:sz w:val="20"/>
          <w:szCs w:val="20"/>
          <w:lang w:val="pt-BR"/>
        </w:rPr>
        <w:t>Revisor</w:t>
      </w:r>
    </w:p>
    <w:p w14:paraId="1B254431" w14:textId="77777777" w:rsidR="00F91A97" w:rsidRPr="007913C4" w:rsidRDefault="00F91A97" w:rsidP="0044127D">
      <w:pPr>
        <w:autoSpaceDE w:val="0"/>
        <w:autoSpaceDN w:val="0"/>
        <w:adjustRightInd w:val="0"/>
        <w:spacing w:line="240" w:lineRule="atLeast"/>
        <w:ind w:left="560"/>
        <w:rPr>
          <w:rFonts w:ascii="Arial" w:hAnsi="Arial" w:cs="Arial"/>
          <w:color w:val="000000"/>
          <w:sz w:val="20"/>
          <w:szCs w:val="20"/>
          <w:lang w:val="pt-BR"/>
        </w:rPr>
      </w:pPr>
    </w:p>
    <w:p w14:paraId="0F963206" w14:textId="77777777" w:rsidR="0044127D" w:rsidRPr="007913C4" w:rsidRDefault="0044127D" w:rsidP="0044127D">
      <w:pPr>
        <w:autoSpaceDE w:val="0"/>
        <w:autoSpaceDN w:val="0"/>
        <w:adjustRightInd w:val="0"/>
        <w:spacing w:line="240" w:lineRule="atLeast"/>
        <w:jc w:val="both"/>
        <w:rPr>
          <w:rFonts w:ascii="Arial" w:hAnsi="Arial" w:cs="Arial"/>
          <w:color w:val="000000"/>
          <w:sz w:val="20"/>
          <w:szCs w:val="20"/>
          <w:lang w:val="pt-BR"/>
        </w:rPr>
      </w:pPr>
    </w:p>
    <w:p w14:paraId="1009DBC9" w14:textId="77777777" w:rsidR="0044127D" w:rsidRPr="007913C4" w:rsidRDefault="0044127D" w:rsidP="0044127D">
      <w:pPr>
        <w:autoSpaceDE w:val="0"/>
        <w:autoSpaceDN w:val="0"/>
        <w:adjustRightInd w:val="0"/>
        <w:spacing w:line="240" w:lineRule="atLeast"/>
        <w:jc w:val="both"/>
        <w:rPr>
          <w:rFonts w:ascii="Arial" w:hAnsi="Arial" w:cs="Arial"/>
          <w:color w:val="000000"/>
          <w:sz w:val="20"/>
          <w:szCs w:val="20"/>
        </w:rPr>
      </w:pPr>
      <w:r w:rsidRPr="007913C4">
        <w:rPr>
          <w:rFonts w:ascii="Arial" w:hAnsi="Arial" w:cs="Arial"/>
          <w:color w:val="000000"/>
          <w:sz w:val="20"/>
          <w:szCs w:val="20"/>
        </w:rPr>
        <w:t>Tras haber y leído y comprendido la información remitida sobre la declaración de conflictos para el presente informe, formulo la siguiente declaración:</w:t>
      </w:r>
    </w:p>
    <w:p w14:paraId="65416C0F" w14:textId="77777777" w:rsidR="0044127D" w:rsidRPr="007913C4" w:rsidRDefault="0044127D" w:rsidP="0044127D">
      <w:pPr>
        <w:autoSpaceDE w:val="0"/>
        <w:autoSpaceDN w:val="0"/>
        <w:adjustRightInd w:val="0"/>
        <w:spacing w:after="40" w:line="240" w:lineRule="atLeast"/>
        <w:rPr>
          <w:rFonts w:ascii="Arial" w:hAnsi="Arial" w:cs="Arial"/>
          <w:color w:val="000000"/>
          <w:sz w:val="20"/>
          <w:szCs w:val="20"/>
        </w:rPr>
      </w:pPr>
    </w:p>
    <w:p w14:paraId="19DB6494" w14:textId="77777777" w:rsidR="0044127D" w:rsidRPr="007913C4" w:rsidRDefault="0044127D" w:rsidP="0044127D">
      <w:pPr>
        <w:autoSpaceDE w:val="0"/>
        <w:autoSpaceDN w:val="0"/>
        <w:adjustRightInd w:val="0"/>
        <w:spacing w:line="240" w:lineRule="atLeast"/>
        <w:rPr>
          <w:rFonts w:ascii="Arial" w:hAnsi="Arial" w:cs="Arial"/>
          <w:b/>
          <w:bCs/>
          <w:color w:val="000000"/>
          <w:sz w:val="20"/>
          <w:szCs w:val="20"/>
        </w:rPr>
      </w:pPr>
      <w:r w:rsidRPr="007913C4">
        <w:rPr>
          <w:rFonts w:ascii="Arial" w:hAnsi="Arial" w:cs="Arial"/>
          <w:b/>
          <w:bCs/>
          <w:color w:val="000000"/>
          <w:sz w:val="20"/>
          <w:szCs w:val="20"/>
        </w:rPr>
        <w:t xml:space="preserve">A- Intereses personales </w:t>
      </w:r>
      <w:r w:rsidRPr="007913C4">
        <w:rPr>
          <w:rStyle w:val="A6"/>
          <w:rFonts w:ascii="Arial" w:hAnsi="Arial" w:cs="Arial"/>
          <w:b/>
          <w:bCs/>
          <w:sz w:val="20"/>
          <w:szCs w:val="20"/>
        </w:rPr>
        <w:t>(</w:t>
      </w:r>
      <w:r w:rsidRPr="007913C4">
        <w:rPr>
          <w:rFonts w:ascii="Arial" w:hAnsi="Arial" w:cs="Arial"/>
          <w:color w:val="000000"/>
          <w:sz w:val="20"/>
          <w:szCs w:val="20"/>
        </w:rPr>
        <w:t>En caso afirmativo especificar</w:t>
      </w:r>
      <w:r w:rsidRPr="007913C4">
        <w:rPr>
          <w:rStyle w:val="A6"/>
          <w:rFonts w:ascii="Arial" w:hAnsi="Arial" w:cs="Arial"/>
          <w:b/>
          <w:bCs/>
          <w:sz w:val="20"/>
          <w:szCs w:val="20"/>
        </w:rPr>
        <w:t xml:space="preserve">): </w:t>
      </w:r>
      <w:r w:rsidRPr="007913C4">
        <w:rPr>
          <w:rStyle w:val="A6"/>
          <w:rFonts w:ascii="Arial" w:hAnsi="Arial" w:cs="Arial"/>
          <w:b/>
          <w:bCs/>
          <w:sz w:val="20"/>
          <w:szCs w:val="20"/>
        </w:rPr>
        <w:tab/>
      </w:r>
      <w:r w:rsidRPr="007913C4">
        <w:rPr>
          <w:rStyle w:val="A6"/>
          <w:rFonts w:ascii="Arial" w:hAnsi="Arial" w:cs="Arial"/>
          <w:b/>
          <w:bCs/>
          <w:sz w:val="20"/>
          <w:szCs w:val="20"/>
        </w:rPr>
        <w:sym w:font="Wingdings" w:char="F070"/>
      </w:r>
      <w:r w:rsidRPr="007913C4">
        <w:rPr>
          <w:rStyle w:val="A6"/>
          <w:rFonts w:ascii="Arial" w:hAnsi="Arial" w:cs="Arial"/>
          <w:b/>
          <w:bCs/>
          <w:sz w:val="20"/>
          <w:szCs w:val="20"/>
        </w:rPr>
        <w:t>SI</w:t>
      </w:r>
      <w:r w:rsidRPr="007913C4">
        <w:rPr>
          <w:rStyle w:val="A6"/>
          <w:rFonts w:ascii="Arial" w:hAnsi="Arial" w:cs="Arial"/>
          <w:b/>
          <w:bCs/>
          <w:sz w:val="20"/>
          <w:szCs w:val="20"/>
        </w:rPr>
        <w:tab/>
      </w:r>
      <w:r w:rsidRPr="007913C4">
        <w:rPr>
          <w:rStyle w:val="A6"/>
          <w:rFonts w:ascii="Arial" w:hAnsi="Arial" w:cs="Arial"/>
          <w:b/>
          <w:bCs/>
          <w:sz w:val="20"/>
          <w:szCs w:val="20"/>
        </w:rPr>
        <w:tab/>
      </w:r>
      <w:r w:rsidRPr="007913C4">
        <w:rPr>
          <w:rStyle w:val="A6"/>
          <w:rFonts w:ascii="Arial" w:hAnsi="Arial" w:cs="Arial"/>
          <w:b/>
          <w:bCs/>
          <w:sz w:val="20"/>
          <w:szCs w:val="20"/>
          <w:highlight w:val="lightGray"/>
        </w:rPr>
        <w:sym w:font="Wingdings" w:char="F070"/>
      </w:r>
      <w:r w:rsidRPr="007913C4">
        <w:rPr>
          <w:rStyle w:val="A6"/>
          <w:rFonts w:ascii="Arial" w:hAnsi="Arial" w:cs="Arial"/>
          <w:b/>
          <w:bCs/>
          <w:sz w:val="20"/>
          <w:szCs w:val="20"/>
          <w:highlight w:val="lightGray"/>
        </w:rPr>
        <w:t>NO</w:t>
      </w:r>
      <w:r w:rsidRPr="007913C4">
        <w:rPr>
          <w:rStyle w:val="A6"/>
          <w:rFonts w:ascii="Arial" w:hAnsi="Arial" w:cs="Arial"/>
          <w:b/>
          <w:bCs/>
          <w:sz w:val="20"/>
          <w:szCs w:val="20"/>
        </w:rPr>
        <w:t xml:space="preserve"> </w:t>
      </w:r>
    </w:p>
    <w:p w14:paraId="10AE2F2D" w14:textId="77777777" w:rsidR="0044127D" w:rsidRPr="007913C4" w:rsidRDefault="0044127D" w:rsidP="0044127D">
      <w:pPr>
        <w:autoSpaceDE w:val="0"/>
        <w:autoSpaceDN w:val="0"/>
        <w:adjustRightInd w:val="0"/>
        <w:spacing w:line="240" w:lineRule="atLeast"/>
        <w:rPr>
          <w:rFonts w:ascii="Arial" w:hAnsi="Arial" w:cs="Arial"/>
          <w:color w:val="000000"/>
          <w:sz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9"/>
        <w:gridCol w:w="1272"/>
        <w:gridCol w:w="1272"/>
        <w:gridCol w:w="457"/>
        <w:gridCol w:w="375"/>
      </w:tblGrid>
      <w:tr w:rsidR="0044127D" w:rsidRPr="007913C4" w14:paraId="43859BFC" w14:textId="77777777" w:rsidTr="00A22536">
        <w:tc>
          <w:tcPr>
            <w:tcW w:w="5495" w:type="dxa"/>
            <w:tcBorders>
              <w:top w:val="single" w:sz="4" w:space="0" w:color="auto"/>
              <w:left w:val="single" w:sz="4" w:space="0" w:color="auto"/>
              <w:bottom w:val="single" w:sz="4" w:space="0" w:color="auto"/>
              <w:right w:val="single" w:sz="4" w:space="0" w:color="auto"/>
            </w:tcBorders>
          </w:tcPr>
          <w:p w14:paraId="055487A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16E59F6A"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Actividad</w:t>
            </w:r>
          </w:p>
        </w:tc>
        <w:tc>
          <w:tcPr>
            <w:tcW w:w="1275" w:type="dxa"/>
            <w:tcBorders>
              <w:top w:val="single" w:sz="4" w:space="0" w:color="auto"/>
              <w:left w:val="single" w:sz="4" w:space="0" w:color="auto"/>
              <w:bottom w:val="single" w:sz="4" w:space="0" w:color="auto"/>
              <w:right w:val="single" w:sz="4" w:space="0" w:color="auto"/>
            </w:tcBorders>
            <w:hideMark/>
          </w:tcPr>
          <w:p w14:paraId="0221556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Institución</w:t>
            </w:r>
          </w:p>
        </w:tc>
        <w:tc>
          <w:tcPr>
            <w:tcW w:w="833" w:type="dxa"/>
            <w:gridSpan w:val="2"/>
            <w:tcBorders>
              <w:top w:val="single" w:sz="4" w:space="0" w:color="auto"/>
              <w:left w:val="single" w:sz="4" w:space="0" w:color="auto"/>
              <w:bottom w:val="single" w:sz="4" w:space="0" w:color="auto"/>
              <w:right w:val="single" w:sz="4" w:space="0" w:color="auto"/>
            </w:tcBorders>
            <w:hideMark/>
          </w:tcPr>
          <w:p w14:paraId="53D5936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Fecha</w:t>
            </w:r>
          </w:p>
        </w:tc>
      </w:tr>
      <w:tr w:rsidR="0044127D" w:rsidRPr="007913C4" w14:paraId="67A0EBFB"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77BDE5CA"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para reuniones y congresos, asistencia a cursos (inscripciones, bolsas de viajes, alojamiento…)</w:t>
            </w:r>
          </w:p>
        </w:tc>
        <w:tc>
          <w:tcPr>
            <w:tcW w:w="1276" w:type="dxa"/>
            <w:tcBorders>
              <w:top w:val="single" w:sz="4" w:space="0" w:color="auto"/>
              <w:left w:val="single" w:sz="4" w:space="0" w:color="auto"/>
              <w:bottom w:val="single" w:sz="4" w:space="0" w:color="auto"/>
              <w:right w:val="single" w:sz="4" w:space="0" w:color="auto"/>
            </w:tcBorders>
          </w:tcPr>
          <w:p w14:paraId="4B256F0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7620D75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64F35F6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3B141ED7"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2389E10A"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Honorarios como ponente (conferencias, cursos…)</w:t>
            </w:r>
          </w:p>
        </w:tc>
        <w:tc>
          <w:tcPr>
            <w:tcW w:w="1276" w:type="dxa"/>
            <w:tcBorders>
              <w:top w:val="single" w:sz="4" w:space="0" w:color="auto"/>
              <w:left w:val="single" w:sz="4" w:space="0" w:color="auto"/>
              <w:bottom w:val="single" w:sz="4" w:space="0" w:color="auto"/>
              <w:right w:val="single" w:sz="4" w:space="0" w:color="auto"/>
            </w:tcBorders>
          </w:tcPr>
          <w:p w14:paraId="7B8B02D6"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EF8D38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4AD72786"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0377CF7F"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0DEFEBC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de programas educativos o cursos (contratación de personal, alquiler de instalaciones…)</w:t>
            </w:r>
          </w:p>
        </w:tc>
        <w:tc>
          <w:tcPr>
            <w:tcW w:w="1276" w:type="dxa"/>
            <w:tcBorders>
              <w:top w:val="single" w:sz="4" w:space="0" w:color="auto"/>
              <w:left w:val="single" w:sz="4" w:space="0" w:color="auto"/>
              <w:bottom w:val="single" w:sz="4" w:space="0" w:color="auto"/>
              <w:right w:val="single" w:sz="4" w:space="0" w:color="auto"/>
            </w:tcBorders>
          </w:tcPr>
          <w:p w14:paraId="48362589"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604AE19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33BD627B"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4550B0D3"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265FE13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Financiación por participar en una investigación</w:t>
            </w:r>
          </w:p>
        </w:tc>
        <w:tc>
          <w:tcPr>
            <w:tcW w:w="1276" w:type="dxa"/>
            <w:tcBorders>
              <w:top w:val="single" w:sz="4" w:space="0" w:color="auto"/>
              <w:left w:val="single" w:sz="4" w:space="0" w:color="auto"/>
              <w:bottom w:val="single" w:sz="4" w:space="0" w:color="auto"/>
              <w:right w:val="single" w:sz="4" w:space="0" w:color="auto"/>
            </w:tcBorders>
          </w:tcPr>
          <w:p w14:paraId="474F45DB"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737C4B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4182785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7972163C"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439C6019"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Consultoría para una compañía farmacéutica/otras tecnologías</w:t>
            </w:r>
          </w:p>
        </w:tc>
        <w:tc>
          <w:tcPr>
            <w:tcW w:w="1276" w:type="dxa"/>
            <w:tcBorders>
              <w:top w:val="single" w:sz="4" w:space="0" w:color="auto"/>
              <w:left w:val="single" w:sz="4" w:space="0" w:color="auto"/>
              <w:bottom w:val="single" w:sz="4" w:space="0" w:color="auto"/>
              <w:right w:val="single" w:sz="4" w:space="0" w:color="auto"/>
            </w:tcBorders>
          </w:tcPr>
          <w:p w14:paraId="611F89E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1FB4A0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70549F59"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5335DC86"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28CBF43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Accionista o con intereses comerciales en una compañía</w:t>
            </w:r>
          </w:p>
        </w:tc>
        <w:tc>
          <w:tcPr>
            <w:tcW w:w="1276" w:type="dxa"/>
            <w:tcBorders>
              <w:top w:val="single" w:sz="4" w:space="0" w:color="auto"/>
              <w:left w:val="single" w:sz="4" w:space="0" w:color="auto"/>
              <w:bottom w:val="single" w:sz="4" w:space="0" w:color="auto"/>
              <w:right w:val="single" w:sz="4" w:space="0" w:color="auto"/>
            </w:tcBorders>
          </w:tcPr>
          <w:p w14:paraId="33646B3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2E71441E"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4A4EFC6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126A3509"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5459EA1A"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auto"/>
              <w:left w:val="single" w:sz="4" w:space="0" w:color="auto"/>
              <w:bottom w:val="single" w:sz="4" w:space="0" w:color="auto"/>
              <w:right w:val="single" w:sz="4" w:space="0" w:color="auto"/>
            </w:tcBorders>
          </w:tcPr>
          <w:p w14:paraId="1876D71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2226598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34469260"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3ECA2281"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0F814AA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Conflictos de intereses de índole no económico que pueden ser significativos en relación a la autoría en la guía</w:t>
            </w:r>
          </w:p>
        </w:tc>
        <w:tc>
          <w:tcPr>
            <w:tcW w:w="1276" w:type="dxa"/>
            <w:tcBorders>
              <w:top w:val="single" w:sz="4" w:space="0" w:color="auto"/>
              <w:left w:val="single" w:sz="4" w:space="0" w:color="auto"/>
              <w:bottom w:val="single" w:sz="4" w:space="0" w:color="auto"/>
              <w:right w:val="single" w:sz="4" w:space="0" w:color="auto"/>
            </w:tcBorders>
          </w:tcPr>
          <w:p w14:paraId="6E1A8F5C"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0BFAA55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gridSpan w:val="2"/>
            <w:tcBorders>
              <w:top w:val="single" w:sz="4" w:space="0" w:color="auto"/>
              <w:left w:val="single" w:sz="4" w:space="0" w:color="auto"/>
              <w:bottom w:val="single" w:sz="4" w:space="0" w:color="auto"/>
              <w:right w:val="single" w:sz="4" w:space="0" w:color="auto"/>
            </w:tcBorders>
          </w:tcPr>
          <w:p w14:paraId="29A5200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20870991" w14:textId="77777777" w:rsidTr="00A22536">
        <w:trPr>
          <w:gridAfter w:val="1"/>
          <w:wAfter w:w="372" w:type="dxa"/>
          <w:trHeight w:val="226"/>
        </w:trPr>
        <w:tc>
          <w:tcPr>
            <w:tcW w:w="8503" w:type="dxa"/>
            <w:gridSpan w:val="4"/>
            <w:tcBorders>
              <w:top w:val="nil"/>
              <w:left w:val="nil"/>
              <w:bottom w:val="nil"/>
              <w:right w:val="nil"/>
            </w:tcBorders>
          </w:tcPr>
          <w:p w14:paraId="6B9A7BAA" w14:textId="77777777" w:rsidR="0044127D" w:rsidRPr="007913C4" w:rsidRDefault="0044127D" w:rsidP="00A22536">
            <w:pPr>
              <w:autoSpaceDE w:val="0"/>
              <w:autoSpaceDN w:val="0"/>
              <w:adjustRightInd w:val="0"/>
              <w:spacing w:line="240" w:lineRule="atLeast"/>
              <w:jc w:val="both"/>
              <w:rPr>
                <w:rFonts w:ascii="Arial" w:hAnsi="Arial" w:cs="Arial"/>
                <w:color w:val="FF0000"/>
                <w:sz w:val="16"/>
                <w:szCs w:val="18"/>
              </w:rPr>
            </w:pPr>
          </w:p>
        </w:tc>
      </w:tr>
    </w:tbl>
    <w:p w14:paraId="7786CD39" w14:textId="77777777" w:rsidR="0044127D" w:rsidRPr="007913C4" w:rsidRDefault="0044127D" w:rsidP="0044127D">
      <w:pPr>
        <w:autoSpaceDE w:val="0"/>
        <w:autoSpaceDN w:val="0"/>
        <w:adjustRightInd w:val="0"/>
        <w:spacing w:line="240" w:lineRule="atLeast"/>
        <w:rPr>
          <w:rStyle w:val="A6"/>
          <w:rFonts w:ascii="Arial" w:hAnsi="Arial" w:cs="Arial"/>
          <w:b/>
          <w:bCs/>
          <w:sz w:val="16"/>
        </w:rPr>
      </w:pPr>
    </w:p>
    <w:p w14:paraId="097C03D7" w14:textId="77777777" w:rsidR="0044127D" w:rsidRPr="007913C4" w:rsidRDefault="0044127D" w:rsidP="0044127D">
      <w:pPr>
        <w:autoSpaceDE w:val="0"/>
        <w:autoSpaceDN w:val="0"/>
        <w:adjustRightInd w:val="0"/>
        <w:spacing w:line="240" w:lineRule="atLeast"/>
        <w:rPr>
          <w:rStyle w:val="A6"/>
          <w:rFonts w:ascii="Arial" w:hAnsi="Arial" w:cs="Arial"/>
          <w:b/>
          <w:bCs/>
          <w:sz w:val="20"/>
          <w:szCs w:val="20"/>
        </w:rPr>
      </w:pPr>
      <w:r w:rsidRPr="007913C4">
        <w:rPr>
          <w:rStyle w:val="A6"/>
          <w:rFonts w:ascii="Arial" w:hAnsi="Arial" w:cs="Arial"/>
          <w:b/>
          <w:bCs/>
          <w:sz w:val="20"/>
          <w:szCs w:val="20"/>
        </w:rPr>
        <w:t>B- Intereses no personales (</w:t>
      </w:r>
      <w:r w:rsidRPr="007913C4">
        <w:rPr>
          <w:rFonts w:ascii="Arial" w:hAnsi="Arial" w:cs="Arial"/>
          <w:color w:val="000000"/>
          <w:sz w:val="20"/>
          <w:szCs w:val="20"/>
        </w:rPr>
        <w:t>En caso afirmativo especificar</w:t>
      </w:r>
      <w:r w:rsidRPr="007913C4">
        <w:rPr>
          <w:rStyle w:val="A6"/>
          <w:rFonts w:ascii="Arial" w:hAnsi="Arial" w:cs="Arial"/>
          <w:b/>
          <w:bCs/>
          <w:sz w:val="20"/>
          <w:szCs w:val="20"/>
        </w:rPr>
        <w:t xml:space="preserve">): </w:t>
      </w:r>
      <w:r w:rsidRPr="007913C4">
        <w:rPr>
          <w:rStyle w:val="A6"/>
          <w:rFonts w:ascii="Arial" w:hAnsi="Arial" w:cs="Arial"/>
          <w:b/>
          <w:bCs/>
          <w:sz w:val="20"/>
          <w:szCs w:val="20"/>
        </w:rPr>
        <w:tab/>
      </w:r>
      <w:r w:rsidRPr="007913C4">
        <w:rPr>
          <w:rStyle w:val="A6"/>
          <w:rFonts w:ascii="Arial" w:hAnsi="Arial" w:cs="Arial"/>
          <w:b/>
          <w:bCs/>
          <w:sz w:val="20"/>
          <w:szCs w:val="20"/>
        </w:rPr>
        <w:sym w:font="Wingdings" w:char="F070"/>
      </w:r>
      <w:r w:rsidRPr="007913C4">
        <w:rPr>
          <w:rStyle w:val="A6"/>
          <w:rFonts w:ascii="Arial" w:hAnsi="Arial" w:cs="Arial"/>
          <w:b/>
          <w:bCs/>
          <w:sz w:val="20"/>
          <w:szCs w:val="20"/>
        </w:rPr>
        <w:t>SI</w:t>
      </w:r>
      <w:r w:rsidRPr="007913C4">
        <w:rPr>
          <w:rStyle w:val="A6"/>
          <w:rFonts w:ascii="Arial" w:hAnsi="Arial" w:cs="Arial"/>
          <w:b/>
          <w:bCs/>
          <w:sz w:val="20"/>
          <w:szCs w:val="20"/>
        </w:rPr>
        <w:tab/>
      </w:r>
      <w:r w:rsidRPr="007913C4">
        <w:rPr>
          <w:rStyle w:val="A6"/>
          <w:rFonts w:ascii="Arial" w:hAnsi="Arial" w:cs="Arial"/>
          <w:b/>
          <w:bCs/>
          <w:sz w:val="20"/>
          <w:szCs w:val="20"/>
        </w:rPr>
        <w:tab/>
      </w:r>
      <w:r w:rsidRPr="007913C4">
        <w:rPr>
          <w:rStyle w:val="A6"/>
          <w:rFonts w:ascii="Arial" w:hAnsi="Arial" w:cs="Arial"/>
          <w:b/>
          <w:bCs/>
          <w:sz w:val="20"/>
          <w:szCs w:val="20"/>
          <w:highlight w:val="lightGray"/>
        </w:rPr>
        <w:sym w:font="Wingdings" w:char="F070"/>
      </w:r>
      <w:r w:rsidRPr="007913C4">
        <w:rPr>
          <w:rStyle w:val="A6"/>
          <w:rFonts w:ascii="Arial" w:hAnsi="Arial" w:cs="Arial"/>
          <w:b/>
          <w:bCs/>
          <w:sz w:val="20"/>
          <w:szCs w:val="20"/>
          <w:highlight w:val="lightGray"/>
        </w:rPr>
        <w:t>NO</w:t>
      </w:r>
    </w:p>
    <w:p w14:paraId="75ABF398" w14:textId="77777777" w:rsidR="0044127D" w:rsidRPr="007913C4" w:rsidRDefault="0044127D" w:rsidP="0044127D">
      <w:pPr>
        <w:autoSpaceDE w:val="0"/>
        <w:autoSpaceDN w:val="0"/>
        <w:adjustRightInd w:val="0"/>
        <w:spacing w:line="240" w:lineRule="atLeast"/>
        <w:rPr>
          <w:sz w:val="18"/>
          <w:szCs w:val="20"/>
        </w:rPr>
      </w:pPr>
      <w:r w:rsidRPr="007913C4">
        <w:rPr>
          <w:rStyle w:val="A6"/>
          <w:rFonts w:ascii="Arial" w:hAnsi="Arial" w:cs="Arial"/>
          <w:b/>
          <w:bCs/>
          <w:sz w:val="16"/>
        </w:rPr>
        <w:t xml:space="preserve"> </w:t>
      </w:r>
    </w:p>
    <w:tbl>
      <w:tblPr>
        <w:tblW w:w="9040" w:type="dxa"/>
        <w:tblInd w:w="-106" w:type="dxa"/>
        <w:tblLayout w:type="fixed"/>
        <w:tblLook w:val="04A0" w:firstRow="1" w:lastRow="0" w:firstColumn="1" w:lastColumn="0" w:noHBand="0" w:noVBand="1"/>
      </w:tblPr>
      <w:tblGrid>
        <w:gridCol w:w="9040"/>
      </w:tblGrid>
      <w:tr w:rsidR="0044127D" w:rsidRPr="007913C4" w14:paraId="38B8258C" w14:textId="77777777" w:rsidTr="00A22536">
        <w:trPr>
          <w:trHeight w:val="226"/>
        </w:trPr>
        <w:tc>
          <w:tcPr>
            <w:tcW w:w="9039" w:type="dxa"/>
          </w:tcPr>
          <w:p w14:paraId="60ACF9AA" w14:textId="77777777" w:rsidR="0044127D" w:rsidRPr="007913C4" w:rsidRDefault="0044127D" w:rsidP="00A22536">
            <w:pPr>
              <w:pStyle w:val="Pa1"/>
              <w:rPr>
                <w:rStyle w:val="A6"/>
                <w:rFonts w:ascii="Arial" w:hAnsi="Arial" w:cs="Arial"/>
                <w:szCs w:val="20"/>
              </w:rPr>
            </w:pPr>
          </w:p>
          <w:tbl>
            <w:tblPr>
              <w:tblW w:w="888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6"/>
              <w:gridCol w:w="1276"/>
              <w:gridCol w:w="1275"/>
              <w:gridCol w:w="833"/>
            </w:tblGrid>
            <w:tr w:rsidR="0044127D" w:rsidRPr="007913C4" w14:paraId="642CE8A4" w14:textId="77777777" w:rsidTr="00A22536">
              <w:tc>
                <w:tcPr>
                  <w:tcW w:w="5495" w:type="dxa"/>
                  <w:tcBorders>
                    <w:top w:val="single" w:sz="4" w:space="0" w:color="auto"/>
                    <w:left w:val="single" w:sz="4" w:space="0" w:color="auto"/>
                    <w:bottom w:val="single" w:sz="4" w:space="0" w:color="auto"/>
                    <w:right w:val="single" w:sz="4" w:space="0" w:color="auto"/>
                  </w:tcBorders>
                </w:tcPr>
                <w:p w14:paraId="66F2DAE1"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0DC3C7B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Actividad</w:t>
                  </w:r>
                </w:p>
              </w:tc>
              <w:tc>
                <w:tcPr>
                  <w:tcW w:w="1275" w:type="dxa"/>
                  <w:tcBorders>
                    <w:top w:val="single" w:sz="4" w:space="0" w:color="auto"/>
                    <w:left w:val="single" w:sz="4" w:space="0" w:color="auto"/>
                    <w:bottom w:val="single" w:sz="4" w:space="0" w:color="auto"/>
                    <w:right w:val="single" w:sz="4" w:space="0" w:color="auto"/>
                  </w:tcBorders>
                  <w:hideMark/>
                </w:tcPr>
                <w:p w14:paraId="2AD0EF5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Institución</w:t>
                  </w:r>
                </w:p>
              </w:tc>
              <w:tc>
                <w:tcPr>
                  <w:tcW w:w="833" w:type="dxa"/>
                  <w:tcBorders>
                    <w:top w:val="single" w:sz="4" w:space="0" w:color="auto"/>
                    <w:left w:val="single" w:sz="4" w:space="0" w:color="auto"/>
                    <w:bottom w:val="single" w:sz="4" w:space="0" w:color="auto"/>
                    <w:right w:val="single" w:sz="4" w:space="0" w:color="auto"/>
                  </w:tcBorders>
                  <w:hideMark/>
                </w:tcPr>
                <w:p w14:paraId="2C7A2011"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Fonts w:ascii="Arial" w:hAnsi="Arial" w:cs="Arial"/>
                      <w:color w:val="000000"/>
                      <w:sz w:val="16"/>
                      <w:szCs w:val="18"/>
                    </w:rPr>
                    <w:t>Fecha</w:t>
                  </w:r>
                </w:p>
              </w:tc>
            </w:tr>
            <w:tr w:rsidR="0044127D" w:rsidRPr="007913C4" w14:paraId="69970361"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29E5CBD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Financiación o ayudas económicas para la creación de la unidad o</w:t>
                  </w:r>
                  <w:r>
                    <w:rPr>
                      <w:rStyle w:val="A6"/>
                      <w:rFonts w:ascii="Arial" w:hAnsi="Arial" w:cs="Arial"/>
                      <w:sz w:val="16"/>
                    </w:rPr>
                    <w:t xml:space="preserve"> </w:t>
                  </w:r>
                  <w:r w:rsidRPr="007913C4">
                    <w:rPr>
                      <w:rStyle w:val="A6"/>
                      <w:rFonts w:ascii="Arial" w:hAnsi="Arial" w:cs="Arial"/>
                      <w:sz w:val="16"/>
                    </w:rPr>
                    <w:t>servicio</w:t>
                  </w:r>
                </w:p>
              </w:tc>
              <w:tc>
                <w:tcPr>
                  <w:tcW w:w="1276" w:type="dxa"/>
                  <w:tcBorders>
                    <w:top w:val="single" w:sz="4" w:space="0" w:color="auto"/>
                    <w:left w:val="single" w:sz="4" w:space="0" w:color="auto"/>
                    <w:bottom w:val="single" w:sz="4" w:space="0" w:color="auto"/>
                    <w:right w:val="single" w:sz="4" w:space="0" w:color="auto"/>
                  </w:tcBorders>
                </w:tcPr>
                <w:p w14:paraId="6FC914D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1032AA3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02B80B5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0C147253"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6169A21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14:paraId="2C7C34E2"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3405847D"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52B886B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24DAEA3F"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07727FD8"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14:paraId="4E9F42F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ED88167"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62E9226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251B86B5"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7D593844"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14:paraId="62D0908C"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764630D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7DCC63BF"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r w:rsidR="0044127D" w:rsidRPr="007913C4" w14:paraId="3E10B201" w14:textId="77777777" w:rsidTr="00A22536">
              <w:tc>
                <w:tcPr>
                  <w:tcW w:w="5495" w:type="dxa"/>
                  <w:tcBorders>
                    <w:top w:val="single" w:sz="4" w:space="0" w:color="auto"/>
                    <w:left w:val="single" w:sz="4" w:space="0" w:color="auto"/>
                    <w:bottom w:val="single" w:sz="4" w:space="0" w:color="auto"/>
                    <w:right w:val="single" w:sz="4" w:space="0" w:color="auto"/>
                  </w:tcBorders>
                  <w:hideMark/>
                </w:tcPr>
                <w:p w14:paraId="2C0B8C0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r w:rsidRPr="007913C4">
                    <w:rPr>
                      <w:rStyle w:val="A6"/>
                      <w:rFonts w:ascii="Arial" w:hAnsi="Arial" w:cs="Arial"/>
                      <w:sz w:val="16"/>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14:paraId="5207737B"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1275" w:type="dxa"/>
                  <w:tcBorders>
                    <w:top w:val="single" w:sz="4" w:space="0" w:color="auto"/>
                    <w:left w:val="single" w:sz="4" w:space="0" w:color="auto"/>
                    <w:bottom w:val="single" w:sz="4" w:space="0" w:color="auto"/>
                    <w:right w:val="single" w:sz="4" w:space="0" w:color="auto"/>
                  </w:tcBorders>
                </w:tcPr>
                <w:p w14:paraId="02E62375"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c>
                <w:tcPr>
                  <w:tcW w:w="833" w:type="dxa"/>
                  <w:tcBorders>
                    <w:top w:val="single" w:sz="4" w:space="0" w:color="auto"/>
                    <w:left w:val="single" w:sz="4" w:space="0" w:color="auto"/>
                    <w:bottom w:val="single" w:sz="4" w:space="0" w:color="auto"/>
                    <w:right w:val="single" w:sz="4" w:space="0" w:color="auto"/>
                  </w:tcBorders>
                </w:tcPr>
                <w:p w14:paraId="51EAF6F3" w14:textId="77777777" w:rsidR="0044127D" w:rsidRPr="007913C4" w:rsidRDefault="0044127D" w:rsidP="00A22536">
                  <w:pPr>
                    <w:autoSpaceDE w:val="0"/>
                    <w:autoSpaceDN w:val="0"/>
                    <w:adjustRightInd w:val="0"/>
                    <w:spacing w:line="240" w:lineRule="atLeast"/>
                    <w:rPr>
                      <w:rFonts w:ascii="Arial" w:hAnsi="Arial" w:cs="Arial"/>
                      <w:color w:val="000000"/>
                      <w:sz w:val="16"/>
                      <w:szCs w:val="18"/>
                    </w:rPr>
                  </w:pPr>
                </w:p>
              </w:tc>
            </w:tr>
          </w:tbl>
          <w:p w14:paraId="2189A629" w14:textId="77777777" w:rsidR="0044127D" w:rsidRPr="007913C4" w:rsidRDefault="0044127D" w:rsidP="00A22536">
            <w:pPr>
              <w:pStyle w:val="Pa1"/>
              <w:rPr>
                <w:rFonts w:ascii="Arial" w:hAnsi="Arial" w:cs="Arial"/>
                <w:color w:val="000000"/>
                <w:sz w:val="18"/>
                <w:szCs w:val="20"/>
              </w:rPr>
            </w:pPr>
          </w:p>
        </w:tc>
      </w:tr>
    </w:tbl>
    <w:p w14:paraId="0B853D9C" w14:textId="77777777" w:rsidR="0044127D" w:rsidRPr="007913C4" w:rsidRDefault="0044127D" w:rsidP="0044127D">
      <w:pPr>
        <w:rPr>
          <w:rFonts w:ascii="Arial" w:hAnsi="Arial" w:cs="Arial"/>
          <w:b/>
          <w:bCs/>
          <w:color w:val="000000"/>
          <w:sz w:val="16"/>
          <w:szCs w:val="20"/>
        </w:rPr>
      </w:pPr>
    </w:p>
    <w:p w14:paraId="119943AB" w14:textId="77777777" w:rsidR="0044127D" w:rsidRPr="007913C4" w:rsidRDefault="0044127D" w:rsidP="0044127D">
      <w:pPr>
        <w:rPr>
          <w:rFonts w:ascii="Arial" w:hAnsi="Arial" w:cs="Arial"/>
          <w:b/>
          <w:bCs/>
          <w:sz w:val="20"/>
        </w:rPr>
      </w:pPr>
      <w:r w:rsidRPr="007913C4">
        <w:rPr>
          <w:rFonts w:ascii="Arial" w:hAnsi="Arial" w:cs="Arial"/>
          <w:b/>
          <w:bCs/>
          <w:color w:val="000000"/>
          <w:sz w:val="20"/>
        </w:rPr>
        <w:t>C-Otros posibles conflictos de intereses no señalados en apartados anteriores (especificar)</w:t>
      </w:r>
      <w:r w:rsidRPr="007913C4">
        <w:rPr>
          <w:rFonts w:ascii="Arial" w:hAnsi="Arial" w:cs="Arial"/>
          <w:b/>
          <w:bCs/>
          <w:sz w:val="20"/>
        </w:rPr>
        <w:t xml:space="preserve"> </w:t>
      </w:r>
    </w:p>
    <w:p w14:paraId="3FC5C13A" w14:textId="77777777" w:rsidR="0044127D" w:rsidRPr="007913C4" w:rsidRDefault="0044127D" w:rsidP="0044127D">
      <w:pPr>
        <w:rPr>
          <w:rFonts w:ascii="Arial" w:hAnsi="Arial" w:cs="Arial"/>
          <w:b/>
          <w:bCs/>
          <w:sz w:val="20"/>
        </w:rPr>
      </w:pPr>
    </w:p>
    <w:p w14:paraId="33325EFC" w14:textId="5A0E16F0" w:rsidR="0044127D" w:rsidRPr="007913C4" w:rsidRDefault="0044127D" w:rsidP="0044127D">
      <w:pPr>
        <w:rPr>
          <w:rFonts w:ascii="Arial" w:hAnsi="Arial" w:cs="Arial"/>
          <w:b/>
          <w:bCs/>
          <w:sz w:val="20"/>
        </w:rPr>
      </w:pPr>
    </w:p>
    <w:p w14:paraId="2E72B5D3" w14:textId="77777777" w:rsidR="0044127D" w:rsidRPr="007913C4" w:rsidRDefault="0044127D" w:rsidP="0044127D">
      <w:pPr>
        <w:rPr>
          <w:rFonts w:ascii="Arial" w:hAnsi="Arial" w:cs="Arial"/>
          <w:b/>
          <w:bCs/>
          <w:sz w:val="20"/>
        </w:rPr>
      </w:pPr>
    </w:p>
    <w:p w14:paraId="01B6360C" w14:textId="77777777" w:rsidR="0044127D" w:rsidRDefault="0044127D" w:rsidP="0044127D">
      <w:pPr>
        <w:snapToGrid w:val="0"/>
        <w:rPr>
          <w:rFonts w:ascii="Arial" w:hAnsi="Arial" w:cs="Arial"/>
          <w:b/>
          <w:bCs/>
          <w:sz w:val="20"/>
        </w:rPr>
      </w:pPr>
      <w:r w:rsidRPr="007913C4">
        <w:rPr>
          <w:rFonts w:ascii="Arial" w:hAnsi="Arial" w:cs="Arial"/>
          <w:b/>
          <w:bCs/>
          <w:sz w:val="20"/>
        </w:rPr>
        <w:t>FECHA</w:t>
      </w:r>
      <w:r w:rsidRPr="007913C4">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t>FIRMA</w:t>
      </w:r>
    </w:p>
    <w:p w14:paraId="7DF4ABCE" w14:textId="38A69B7F" w:rsidR="00F91A97" w:rsidRDefault="0044127D" w:rsidP="0044127D">
      <w:pPr>
        <w:snapToGrid w:val="0"/>
        <w:rPr>
          <w:rFonts w:ascii="Arial" w:hAnsi="Arial" w:cs="Arial"/>
          <w:b/>
          <w:bCs/>
          <w:sz w:val="20"/>
        </w:rPr>
      </w:pPr>
      <w:r>
        <w:rPr>
          <w:rFonts w:ascii="Arial" w:hAnsi="Arial" w:cs="Arial"/>
          <w:b/>
          <w:bCs/>
          <w:sz w:val="20"/>
        </w:rPr>
        <w:t>10 de enero 2021</w:t>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sidR="00A22536">
        <w:rPr>
          <w:rFonts w:ascii="Arial" w:hAnsi="Arial" w:cs="Arial"/>
          <w:b/>
          <w:bCs/>
          <w:sz w:val="20"/>
        </w:rPr>
        <w:t>Ana Ortega Eslava</w:t>
      </w:r>
    </w:p>
    <w:p w14:paraId="5BD04647" w14:textId="77777777" w:rsidR="00F91A97" w:rsidRDefault="00F91A97" w:rsidP="0044127D">
      <w:pPr>
        <w:snapToGrid w:val="0"/>
        <w:rPr>
          <w:rFonts w:ascii="Arial" w:hAnsi="Arial" w:cs="Arial"/>
          <w:b/>
          <w:bCs/>
          <w:sz w:val="20"/>
        </w:rPr>
      </w:pPr>
    </w:p>
    <w:p w14:paraId="348800BD" w14:textId="77777777" w:rsidR="0044127D" w:rsidRDefault="0044127D" w:rsidP="0044127D">
      <w:pPr>
        <w:snapToGrid w:val="0"/>
        <w:rPr>
          <w:rFonts w:ascii="Arial" w:hAnsi="Arial" w:cs="Arial"/>
          <w:b/>
          <w:bCs/>
          <w:sz w:val="20"/>
        </w:rPr>
      </w:pPr>
    </w:p>
    <w:p w14:paraId="78175415" w14:textId="77777777" w:rsidR="0044127D" w:rsidRPr="007913C4" w:rsidRDefault="0044127D" w:rsidP="007913C4">
      <w:pPr>
        <w:snapToGrid w:val="0"/>
        <w:rPr>
          <w:rFonts w:ascii="Arial" w:hAnsi="Arial" w:cs="Arial"/>
          <w:b/>
          <w:bCs/>
          <w:sz w:val="20"/>
        </w:rPr>
      </w:pPr>
    </w:p>
    <w:p w14:paraId="1E21D408" w14:textId="344C99A8" w:rsidR="00AC7E45" w:rsidRPr="007C62DA" w:rsidRDefault="00AC7E45" w:rsidP="001F6887">
      <w:pPr>
        <w:pStyle w:val="Ttulo1"/>
        <w:pBdr>
          <w:top w:val="single" w:sz="4" w:space="1" w:color="auto"/>
          <w:left w:val="single" w:sz="4" w:space="4" w:color="auto"/>
          <w:bottom w:val="single" w:sz="4" w:space="1" w:color="auto"/>
          <w:right w:val="single" w:sz="4" w:space="4" w:color="auto"/>
        </w:pBdr>
        <w:shd w:val="clear" w:color="auto" w:fill="A6A6A6"/>
        <w:rPr>
          <w:rFonts w:ascii="Arial" w:hAnsi="Arial" w:cs="Arial"/>
          <w:sz w:val="20"/>
          <w:szCs w:val="20"/>
        </w:rPr>
      </w:pPr>
      <w:bookmarkStart w:id="115" w:name="_Toc348931402"/>
      <w:r w:rsidRPr="007C62DA">
        <w:rPr>
          <w:rFonts w:ascii="Arial" w:hAnsi="Arial" w:cs="Arial"/>
          <w:sz w:val="20"/>
          <w:szCs w:val="20"/>
        </w:rPr>
        <w:t>10. BIBLIOGRAFÍA</w:t>
      </w:r>
      <w:bookmarkEnd w:id="115"/>
    </w:p>
    <w:sectPr w:rsidR="00AC7E45" w:rsidRPr="007C62DA" w:rsidSect="00995922">
      <w:headerReference w:type="default" r:id="rId24"/>
      <w:footnotePr>
        <w:numFmt w:val="lowerLetter"/>
      </w:footnotePr>
      <w:endnotePr>
        <w:numFmt w:val="decimal"/>
      </w:endnotePr>
      <w:type w:val="continuous"/>
      <w:pgSz w:w="11906" w:h="16838"/>
      <w:pgMar w:top="1417" w:right="1466" w:bottom="1417" w:left="1701" w:header="708" w:footer="708" w:gutter="0"/>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A6E08" w16cex:dateUtc="2020-12-08T20:26:00Z"/>
  <w16cex:commentExtensible w16cex:durableId="237A69D4" w16cex:dateUtc="2020-12-08T20:08:00Z"/>
  <w16cex:commentExtensible w16cex:durableId="237A7053" w16cex:dateUtc="2020-12-08T20:36:00Z"/>
  <w16cex:commentExtensible w16cex:durableId="237A70A3" w16cex:dateUtc="2020-12-08T2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9B0CED" w16cid:durableId="237A61C2"/>
  <w16cid:commentId w16cid:paraId="00A407F6" w16cid:durableId="237A61C3"/>
  <w16cid:commentId w16cid:paraId="163BA7D6" w16cid:durableId="237A61C4"/>
  <w16cid:commentId w16cid:paraId="1800895A" w16cid:durableId="237A61C5"/>
  <w16cid:commentId w16cid:paraId="5A92AA2B" w16cid:durableId="237A61C6"/>
  <w16cid:commentId w16cid:paraId="198995CA" w16cid:durableId="237A61C7"/>
  <w16cid:commentId w16cid:paraId="7954CFF4" w16cid:durableId="237A61C8"/>
  <w16cid:commentId w16cid:paraId="45BD2412" w16cid:durableId="237A6E08"/>
  <w16cid:commentId w16cid:paraId="49D13A6C" w16cid:durableId="237A61C9"/>
  <w16cid:commentId w16cid:paraId="21440C41" w16cid:durableId="237A61CA"/>
  <w16cid:commentId w16cid:paraId="34078E7F" w16cid:durableId="237A69D4"/>
  <w16cid:commentId w16cid:paraId="06A7BCFE" w16cid:durableId="237A61CB"/>
  <w16cid:commentId w16cid:paraId="7B6A47CC" w16cid:durableId="237A61CC"/>
  <w16cid:commentId w16cid:paraId="3C04FBDE" w16cid:durableId="237A7053"/>
  <w16cid:commentId w16cid:paraId="2023FA77" w16cid:durableId="237A70A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3C476" w14:textId="77777777" w:rsidR="00CE3E40" w:rsidRDefault="00CE3E40">
      <w:r>
        <w:separator/>
      </w:r>
    </w:p>
  </w:endnote>
  <w:endnote w:type="continuationSeparator" w:id="0">
    <w:p w14:paraId="3778376D" w14:textId="77777777" w:rsidR="00CE3E40" w:rsidRDefault="00CE3E40">
      <w:r>
        <w:continuationSeparator/>
      </w:r>
    </w:p>
  </w:endnote>
  <w:endnote w:id="1">
    <w:p w14:paraId="12891ABE" w14:textId="73CC19B5" w:rsidR="00A22536" w:rsidRPr="00956245" w:rsidRDefault="00A22536" w:rsidP="00956245">
      <w:pPr>
        <w:pStyle w:val="Textonotaalfinal"/>
        <w:jc w:val="both"/>
        <w:rPr>
          <w:rFonts w:ascii="Arial" w:hAnsi="Arial" w:cs="Arial"/>
          <w:color w:val="0000FF"/>
          <w:u w:val="single"/>
        </w:rPr>
      </w:pPr>
      <w:r w:rsidRPr="00956245">
        <w:rPr>
          <w:rStyle w:val="Refdenotaalfinal"/>
          <w:rFonts w:ascii="Arial" w:hAnsi="Arial" w:cs="Arial"/>
        </w:rPr>
        <w:endnoteRef/>
      </w:r>
      <w:r w:rsidRPr="00956245">
        <w:rPr>
          <w:rFonts w:ascii="Arial" w:hAnsi="Arial" w:cs="Arial"/>
        </w:rPr>
        <w:t xml:space="preserve"> EMA. Informe EPAR de Zolgensma</w:t>
      </w:r>
      <w:r w:rsidRPr="00956245">
        <w:rPr>
          <w:rFonts w:ascii="Arial" w:hAnsi="Arial" w:cs="Arial"/>
          <w:vertAlign w:val="superscript"/>
        </w:rPr>
        <w:t>®</w:t>
      </w:r>
      <w:r w:rsidRPr="00956245">
        <w:rPr>
          <w:rFonts w:ascii="Arial" w:hAnsi="Arial" w:cs="Arial"/>
        </w:rPr>
        <w:t xml:space="preserve"> [Internet]. 2020. [Citado 10 de Julio de 2020]. Disponible en: </w:t>
      </w:r>
      <w:hyperlink r:id="rId1" w:history="1">
        <w:r w:rsidRPr="00956245">
          <w:rPr>
            <w:rStyle w:val="Hipervnculo"/>
            <w:rFonts w:ascii="Arial" w:hAnsi="Arial" w:cs="Arial"/>
          </w:rPr>
          <w:t>https://www.ema.europa.eu/en/documents/assessment-report/zolgensma-epar-public-assessment-report_en.pdf</w:t>
        </w:r>
      </w:hyperlink>
      <w:r w:rsidRPr="00956245">
        <w:rPr>
          <w:rFonts w:ascii="Arial" w:hAnsi="Arial" w:cs="Arial"/>
        </w:rPr>
        <w:t xml:space="preserve"> </w:t>
      </w:r>
    </w:p>
  </w:endnote>
  <w:endnote w:id="2">
    <w:p w14:paraId="7B5204A2" w14:textId="211FDE81" w:rsidR="00A22536" w:rsidRPr="00920B12" w:rsidRDefault="00A22536" w:rsidP="00834A4A">
      <w:pPr>
        <w:widowControl w:val="0"/>
        <w:autoSpaceDE w:val="0"/>
        <w:autoSpaceDN w:val="0"/>
        <w:adjustRightInd w:val="0"/>
        <w:jc w:val="both"/>
        <w:rPr>
          <w:rFonts w:ascii="Arial" w:hAnsi="Arial" w:cs="Arial"/>
          <w:color w:val="0000FF"/>
          <w:sz w:val="20"/>
          <w:szCs w:val="20"/>
          <w:u w:val="single"/>
        </w:rPr>
      </w:pPr>
      <w:r w:rsidRPr="00A8154A">
        <w:rPr>
          <w:rStyle w:val="Refdenotaalfinal"/>
          <w:rFonts w:ascii="Arial" w:hAnsi="Arial" w:cs="Arial"/>
          <w:sz w:val="20"/>
          <w:szCs w:val="20"/>
        </w:rPr>
        <w:endnoteRef/>
      </w:r>
      <w:r w:rsidRPr="00A8154A">
        <w:rPr>
          <w:rFonts w:ascii="Arial" w:hAnsi="Arial" w:cs="Arial"/>
          <w:sz w:val="20"/>
          <w:szCs w:val="20"/>
        </w:rPr>
        <w:t xml:space="preserve"> Agencia Española de Medicamentos y productos Sanitarios. Informe de Posicionamiento </w:t>
      </w:r>
      <w:r w:rsidRPr="00834A4A">
        <w:rPr>
          <w:rFonts w:ascii="Arial" w:hAnsi="Arial" w:cs="Arial"/>
          <w:sz w:val="20"/>
          <w:szCs w:val="20"/>
        </w:rPr>
        <w:t>Terapéutico de nusinersen (Spinraza®) en atrofia muscular espinal. 2018 [citado 10 de julio de 2020]. [Internet].</w:t>
      </w:r>
      <w:r w:rsidRPr="00A8154A">
        <w:rPr>
          <w:rFonts w:ascii="Arial" w:hAnsi="Arial" w:cs="Arial"/>
        </w:rPr>
        <w:t xml:space="preserve"> </w:t>
      </w:r>
      <w:r w:rsidRPr="00A8154A">
        <w:rPr>
          <w:rFonts w:ascii="Arial" w:hAnsi="Arial" w:cs="Arial"/>
          <w:sz w:val="20"/>
          <w:szCs w:val="20"/>
        </w:rPr>
        <w:t xml:space="preserve"> Disponible en: </w:t>
      </w:r>
      <w:hyperlink r:id="rId2" w:history="1">
        <w:r w:rsidRPr="00A8154A">
          <w:rPr>
            <w:rStyle w:val="Hipervnculo"/>
            <w:rFonts w:ascii="Arial" w:hAnsi="Arial" w:cs="Arial"/>
            <w:sz w:val="20"/>
            <w:szCs w:val="20"/>
          </w:rPr>
          <w:t>https://www.aemps.gob.es/medicamentosUsoHumano/informesPublicos/docs/IPT-nusinersen-Spinraza-atrofia-muscular-espinal.pdf</w:t>
        </w:r>
      </w:hyperlink>
    </w:p>
  </w:endnote>
  <w:endnote w:id="3">
    <w:p w14:paraId="6C4DD36B" w14:textId="365C2C8B" w:rsidR="00A22536" w:rsidRPr="00834A4A" w:rsidRDefault="00A22536" w:rsidP="00834A4A">
      <w:pPr>
        <w:widowControl w:val="0"/>
        <w:autoSpaceDE w:val="0"/>
        <w:autoSpaceDN w:val="0"/>
        <w:adjustRightInd w:val="0"/>
        <w:jc w:val="both"/>
        <w:rPr>
          <w:rFonts w:ascii="Arial" w:hAnsi="Arial" w:cs="Arial"/>
          <w:sz w:val="20"/>
          <w:szCs w:val="20"/>
        </w:rPr>
      </w:pPr>
      <w:r>
        <w:rPr>
          <w:rStyle w:val="Refdenotaalfinal"/>
        </w:rPr>
        <w:endnoteRef/>
      </w:r>
      <w:r w:rsidRPr="000D7B74">
        <w:t xml:space="preserve"> </w:t>
      </w:r>
      <w:r w:rsidRPr="001E1A94">
        <w:rPr>
          <w:rFonts w:ascii="Arial" w:hAnsi="Arial" w:cs="Arial"/>
          <w:sz w:val="20"/>
          <w:szCs w:val="20"/>
        </w:rPr>
        <w:t xml:space="preserve">Kolb SJ, Kissel JT. Spinal muscular atrophy. NeurolClin. </w:t>
      </w:r>
      <w:r w:rsidRPr="00834A4A">
        <w:rPr>
          <w:rFonts w:ascii="Arial" w:hAnsi="Arial" w:cs="Arial"/>
          <w:sz w:val="20"/>
          <w:szCs w:val="20"/>
        </w:rPr>
        <w:t>2015; 33(4): 831–46</w:t>
      </w:r>
    </w:p>
  </w:endnote>
  <w:endnote w:id="4">
    <w:p w14:paraId="4F1A2DD3" w14:textId="479E96B8" w:rsidR="00A22536" w:rsidRPr="007C57AC" w:rsidRDefault="00A22536" w:rsidP="007C57AC">
      <w:pPr>
        <w:widowControl w:val="0"/>
        <w:autoSpaceDE w:val="0"/>
        <w:autoSpaceDN w:val="0"/>
        <w:adjustRightInd w:val="0"/>
        <w:jc w:val="both"/>
        <w:rPr>
          <w:rFonts w:ascii="Arial" w:hAnsi="Arial" w:cs="Arial"/>
          <w:sz w:val="20"/>
          <w:szCs w:val="20"/>
        </w:rPr>
      </w:pPr>
      <w:r w:rsidRPr="00834A4A">
        <w:rPr>
          <w:rStyle w:val="Refdenotaalfinal"/>
          <w:rFonts w:ascii="Arial" w:hAnsi="Arial" w:cs="Arial"/>
          <w:sz w:val="20"/>
          <w:szCs w:val="20"/>
        </w:rPr>
        <w:endnoteRef/>
      </w:r>
      <w:r w:rsidRPr="00834A4A">
        <w:rPr>
          <w:rFonts w:ascii="Arial" w:hAnsi="Arial" w:cs="Arial"/>
          <w:sz w:val="20"/>
          <w:szCs w:val="20"/>
        </w:rPr>
        <w:t xml:space="preserve"> FundAME. Qué es la Atrofia Muscular Espinal. [Internet].</w:t>
      </w:r>
      <w:r w:rsidRPr="00A8154A">
        <w:rPr>
          <w:rFonts w:ascii="Arial" w:hAnsi="Arial" w:cs="Arial"/>
        </w:rPr>
        <w:t xml:space="preserve"> </w:t>
      </w:r>
      <w:r>
        <w:rPr>
          <w:rFonts w:ascii="Arial" w:hAnsi="Arial" w:cs="Arial"/>
          <w:sz w:val="20"/>
          <w:szCs w:val="20"/>
        </w:rPr>
        <w:t>[C</w:t>
      </w:r>
      <w:r w:rsidRPr="00A8154A">
        <w:rPr>
          <w:rFonts w:ascii="Arial" w:hAnsi="Arial" w:cs="Arial"/>
          <w:sz w:val="20"/>
          <w:szCs w:val="20"/>
        </w:rPr>
        <w:t>itado 10 de julio de 2020].</w:t>
      </w:r>
      <w:r w:rsidRPr="00834A4A">
        <w:rPr>
          <w:rFonts w:ascii="Arial" w:hAnsi="Arial" w:cs="Arial"/>
          <w:sz w:val="20"/>
          <w:szCs w:val="20"/>
        </w:rPr>
        <w:t xml:space="preserve"> </w:t>
      </w:r>
      <w:r w:rsidRPr="00A8154A">
        <w:rPr>
          <w:rFonts w:ascii="Arial" w:hAnsi="Arial" w:cs="Arial"/>
          <w:sz w:val="20"/>
          <w:szCs w:val="20"/>
        </w:rPr>
        <w:t xml:space="preserve">Disponible en: </w:t>
      </w:r>
      <w:hyperlink r:id="rId3" w:history="1">
        <w:r w:rsidRPr="00927012">
          <w:rPr>
            <w:rStyle w:val="Hipervnculo"/>
            <w:rFonts w:ascii="Arial" w:hAnsi="Arial" w:cs="Arial"/>
            <w:sz w:val="20"/>
            <w:szCs w:val="20"/>
          </w:rPr>
          <w:t>http://www.fundame.net/sobre-ame/que-es-la-ame.html</w:t>
        </w:r>
      </w:hyperlink>
    </w:p>
  </w:endnote>
  <w:endnote w:id="5">
    <w:p w14:paraId="39506F75" w14:textId="3AD8472F" w:rsidR="00A22536" w:rsidRPr="00121CDE" w:rsidRDefault="00A22536" w:rsidP="00121CDE">
      <w:pPr>
        <w:pStyle w:val="Textonotaalfinal"/>
        <w:jc w:val="both"/>
        <w:rPr>
          <w:rFonts w:ascii="Arial" w:hAnsi="Arial" w:cs="Arial"/>
        </w:rPr>
      </w:pPr>
      <w:r w:rsidRPr="00121CDE">
        <w:rPr>
          <w:rStyle w:val="Refdenotaalfinal"/>
          <w:rFonts w:ascii="Arial" w:hAnsi="Arial" w:cs="Arial"/>
        </w:rPr>
        <w:endnoteRef/>
      </w:r>
      <w:r w:rsidRPr="00121CDE">
        <w:rPr>
          <w:rFonts w:ascii="Arial" w:hAnsi="Arial" w:cs="Arial"/>
        </w:rPr>
        <w:t xml:space="preserve"> A. Madrid Rodríguez</w:t>
      </w:r>
      <w:r w:rsidRPr="00121CDE">
        <w:rPr>
          <w:rFonts w:ascii="Cambria Math" w:hAnsi="Cambria Math" w:cs="Cambria Math"/>
        </w:rPr>
        <w:t>∗</w:t>
      </w:r>
      <w:r w:rsidRPr="00121CDE">
        <w:rPr>
          <w:rFonts w:ascii="Arial" w:hAnsi="Arial" w:cs="Arial"/>
        </w:rPr>
        <w:t xml:space="preserve">, P.L. Martínez Martínez, J.M. Ramos Fernández, A. Urda Cardona y J. Martínez Antón. </w:t>
      </w:r>
      <w:r w:rsidRPr="00121CDE">
        <w:rPr>
          <w:rFonts w:ascii="Arial" w:hAnsi="Arial" w:cs="Arial"/>
          <w:bCs/>
        </w:rPr>
        <w:t xml:space="preserve">Atrofia muscular espinal: revisión de nuestra casuística en los últimos 25 años. </w:t>
      </w:r>
      <w:r w:rsidRPr="00121CDE">
        <w:rPr>
          <w:rFonts w:ascii="Arial" w:hAnsi="Arial" w:cs="Arial"/>
        </w:rPr>
        <w:t>An Pediatr (Barc). 2015;</w:t>
      </w:r>
      <w:r w:rsidRPr="00121CDE">
        <w:rPr>
          <w:rFonts w:ascii="Arial" w:hAnsi="Arial" w:cs="Arial"/>
          <w:bCs/>
        </w:rPr>
        <w:t>82(3)</w:t>
      </w:r>
      <w:r w:rsidRPr="00121CDE">
        <w:rPr>
          <w:rFonts w:ascii="Arial" w:hAnsi="Arial" w:cs="Arial"/>
        </w:rPr>
        <w:t>:159-65.</w:t>
      </w:r>
    </w:p>
  </w:endnote>
  <w:endnote w:id="6">
    <w:p w14:paraId="14296706" w14:textId="3F94976C" w:rsidR="00A22536" w:rsidRPr="001E1A94" w:rsidRDefault="00A22536" w:rsidP="007C57AC">
      <w:pPr>
        <w:pStyle w:val="Textonotaalfinal"/>
        <w:jc w:val="both"/>
        <w:rPr>
          <w:rFonts w:ascii="Arial" w:hAnsi="Arial" w:cs="Arial"/>
          <w:lang w:val="en-GB"/>
        </w:rPr>
      </w:pPr>
      <w:r w:rsidRPr="007C57AC">
        <w:rPr>
          <w:rStyle w:val="Refdenotaalfinal"/>
          <w:rFonts w:ascii="Arial" w:hAnsi="Arial" w:cs="Arial"/>
        </w:rPr>
        <w:endnoteRef/>
      </w:r>
      <w:r w:rsidRPr="007C57AC">
        <w:rPr>
          <w:rFonts w:ascii="Arial" w:hAnsi="Arial" w:cs="Arial"/>
        </w:rPr>
        <w:t xml:space="preserve"> López-Bastida J, Peña-Longobardo LM, Aranda-Reneo I, et al. </w:t>
      </w:r>
      <w:r w:rsidRPr="007C57AC">
        <w:rPr>
          <w:rFonts w:ascii="Arial" w:hAnsi="Arial" w:cs="Arial"/>
          <w:lang w:val="en-US"/>
        </w:rPr>
        <w:t xml:space="preserve">Social/economic costs and health-related quality of life in patients with spinal muscular atrophy (SMA) in Spain. Orphanet J Rare Dis 2017;12:14 </w:t>
      </w:r>
    </w:p>
  </w:endnote>
  <w:endnote w:id="7">
    <w:p w14:paraId="03362274" w14:textId="1FB72980" w:rsidR="00A22536" w:rsidRPr="001E1A94" w:rsidRDefault="00A22536" w:rsidP="007C57AC">
      <w:pPr>
        <w:pStyle w:val="Textonotaalfinal"/>
        <w:rPr>
          <w:rFonts w:ascii="Arial" w:hAnsi="Arial" w:cs="Arial"/>
          <w:lang w:val="en-GB"/>
        </w:rPr>
      </w:pPr>
      <w:r w:rsidRPr="007C57AC">
        <w:rPr>
          <w:rStyle w:val="Refdenotaalfinal"/>
          <w:rFonts w:ascii="Arial" w:hAnsi="Arial" w:cs="Arial"/>
        </w:rPr>
        <w:endnoteRef/>
      </w:r>
      <w:r w:rsidRPr="001E1A94">
        <w:rPr>
          <w:rFonts w:ascii="Arial" w:hAnsi="Arial" w:cs="Arial"/>
          <w:lang w:val="en-GB"/>
        </w:rPr>
        <w:t xml:space="preserve"> </w:t>
      </w:r>
      <w:r w:rsidRPr="007C57AC">
        <w:rPr>
          <w:rFonts w:ascii="Arial" w:hAnsi="Arial" w:cs="Arial"/>
          <w:lang w:val="en-US"/>
        </w:rPr>
        <w:t>Klug C, Schreiber-Katz O, Thiele S, et al. Disease burden of spinal muscular atrophy in Germany. </w:t>
      </w:r>
      <w:r w:rsidRPr="001E1A94">
        <w:rPr>
          <w:rFonts w:ascii="Arial" w:hAnsi="Arial" w:cs="Arial"/>
          <w:lang w:val="en-GB"/>
        </w:rPr>
        <w:t>Orphanet J Rare Dis 2016;11:58 10.1186</w:t>
      </w:r>
    </w:p>
  </w:endnote>
  <w:endnote w:id="8">
    <w:p w14:paraId="16713F3A" w14:textId="5A4ACF23" w:rsidR="00A22536" w:rsidRPr="00493C38" w:rsidRDefault="00A22536" w:rsidP="00493C38">
      <w:pPr>
        <w:shd w:val="clear" w:color="auto" w:fill="FFFFFF"/>
        <w:jc w:val="both"/>
        <w:rPr>
          <w:rFonts w:ascii="Arial" w:hAnsi="Arial" w:cs="Arial"/>
          <w:sz w:val="20"/>
          <w:szCs w:val="20"/>
          <w:lang w:val="en-US"/>
        </w:rPr>
      </w:pPr>
      <w:r w:rsidRPr="00493C38">
        <w:rPr>
          <w:rStyle w:val="Refdenotaalfinal"/>
          <w:rFonts w:ascii="Arial" w:hAnsi="Arial" w:cs="Arial"/>
          <w:sz w:val="20"/>
          <w:szCs w:val="20"/>
        </w:rPr>
        <w:endnoteRef/>
      </w:r>
      <w:r w:rsidRPr="001E1A94">
        <w:rPr>
          <w:rFonts w:ascii="Arial" w:hAnsi="Arial" w:cs="Arial"/>
          <w:sz w:val="20"/>
          <w:szCs w:val="20"/>
          <w:lang w:val="en-GB"/>
        </w:rPr>
        <w:t xml:space="preserve"> </w:t>
      </w:r>
      <w:r w:rsidRPr="00493C38">
        <w:rPr>
          <w:rFonts w:ascii="Arial" w:hAnsi="Arial" w:cs="Arial"/>
          <w:sz w:val="20"/>
          <w:szCs w:val="20"/>
          <w:lang w:val="en-US"/>
        </w:rPr>
        <w:t>Lewin Group I. Cost of amyotrophic lateral sclerosis, muscular dystrophy, and spinal muscular atrophy in the United States final report prepared for the muscular dystrophy association. Falls Church, VA, 2012.</w:t>
      </w:r>
    </w:p>
  </w:endnote>
  <w:endnote w:id="9">
    <w:p w14:paraId="04211B25" w14:textId="2D4CD0AE" w:rsidR="00A22536" w:rsidRPr="001E1A94" w:rsidRDefault="00A22536" w:rsidP="00121CDE">
      <w:pPr>
        <w:pStyle w:val="Textonotaalfinal"/>
        <w:rPr>
          <w:rFonts w:ascii="Arial" w:hAnsi="Arial" w:cs="Arial"/>
          <w:lang w:val="en-GB"/>
        </w:rPr>
      </w:pPr>
      <w:r w:rsidRPr="00121CDE">
        <w:rPr>
          <w:rStyle w:val="Refdenotaalfinal"/>
          <w:rFonts w:ascii="Arial" w:hAnsi="Arial" w:cs="Arial"/>
        </w:rPr>
        <w:endnoteRef/>
      </w:r>
      <w:r w:rsidRPr="001E1A94">
        <w:rPr>
          <w:rFonts w:ascii="Arial" w:hAnsi="Arial" w:cs="Arial"/>
          <w:lang w:val="en-GB"/>
        </w:rPr>
        <w:t xml:space="preserve"> Darbà J, Marsà A. Patient characteristics and hospitalisation costs of spinal muscular atrophy in Spain: a retrospective multicentre database analysis. BMJ Open. 2019 Nov 21;9(11):e031271. doi: 10.1136/bmjopen </w:t>
      </w:r>
    </w:p>
  </w:endnote>
  <w:endnote w:id="10">
    <w:p w14:paraId="577831AC" w14:textId="5FAB25B8" w:rsidR="00A22536" w:rsidRPr="001E1A94" w:rsidRDefault="00A22536" w:rsidP="00493C38">
      <w:pPr>
        <w:widowControl w:val="0"/>
        <w:autoSpaceDE w:val="0"/>
        <w:autoSpaceDN w:val="0"/>
        <w:adjustRightInd w:val="0"/>
        <w:jc w:val="both"/>
        <w:rPr>
          <w:rFonts w:ascii="Arial" w:hAnsi="Arial" w:cs="Arial"/>
          <w:sz w:val="20"/>
          <w:szCs w:val="20"/>
          <w:lang w:val="en-GB"/>
        </w:rPr>
      </w:pPr>
      <w:r w:rsidRPr="00493C38">
        <w:rPr>
          <w:rStyle w:val="Refdenotaalfinal"/>
          <w:rFonts w:ascii="Arial" w:hAnsi="Arial" w:cs="Arial"/>
          <w:sz w:val="20"/>
          <w:szCs w:val="20"/>
        </w:rPr>
        <w:endnoteRef/>
      </w:r>
      <w:r w:rsidRPr="001E1A94">
        <w:rPr>
          <w:rFonts w:ascii="Arial" w:hAnsi="Arial" w:cs="Arial"/>
          <w:sz w:val="20"/>
          <w:szCs w:val="20"/>
          <w:lang w:val="en-GB"/>
        </w:rPr>
        <w:t xml:space="preserve"> </w:t>
      </w:r>
      <w:r w:rsidRPr="00493C38">
        <w:rPr>
          <w:rFonts w:ascii="Arial" w:hAnsi="Arial" w:cs="Arial"/>
          <w:sz w:val="20"/>
          <w:szCs w:val="20"/>
          <w:lang w:val="en-US"/>
        </w:rPr>
        <w:t xml:space="preserve">Finkel RK, Mercuri E, Group ESWS. Revisiting the consensus on standards of care in SMA. </w:t>
      </w:r>
      <w:r w:rsidRPr="001E1A94">
        <w:rPr>
          <w:rFonts w:ascii="Arial" w:hAnsi="Arial" w:cs="Arial"/>
          <w:sz w:val="20"/>
          <w:szCs w:val="20"/>
          <w:lang w:val="en-GB"/>
        </w:rPr>
        <w:t>Neuromuscul Disord 2017:Naarden, The Netherlands 19-21 February 2016</w:t>
      </w:r>
    </w:p>
  </w:endnote>
  <w:endnote w:id="11">
    <w:p w14:paraId="2BC74552" w14:textId="4BE20990" w:rsidR="00A22536" w:rsidRPr="001E1A94" w:rsidRDefault="00A22536" w:rsidP="000B327E">
      <w:pPr>
        <w:widowControl w:val="0"/>
        <w:autoSpaceDE w:val="0"/>
        <w:autoSpaceDN w:val="0"/>
        <w:adjustRightInd w:val="0"/>
        <w:jc w:val="both"/>
        <w:rPr>
          <w:rFonts w:ascii="Arial" w:hAnsi="Arial" w:cs="Arial"/>
          <w:sz w:val="20"/>
          <w:szCs w:val="20"/>
          <w:lang w:val="en-GB"/>
        </w:rPr>
      </w:pPr>
      <w:r w:rsidRPr="00493C38">
        <w:rPr>
          <w:rStyle w:val="Refdenotaalfinal"/>
          <w:rFonts w:ascii="Arial" w:hAnsi="Arial" w:cs="Arial"/>
          <w:sz w:val="20"/>
          <w:szCs w:val="20"/>
        </w:rPr>
        <w:endnoteRef/>
      </w:r>
      <w:r w:rsidRPr="001E1A94">
        <w:rPr>
          <w:rFonts w:ascii="Arial" w:hAnsi="Arial" w:cs="Arial"/>
          <w:sz w:val="20"/>
          <w:szCs w:val="20"/>
          <w:lang w:val="en-GB"/>
        </w:rPr>
        <w:t xml:space="preserve"> </w:t>
      </w:r>
      <w:r w:rsidRPr="00493C38">
        <w:rPr>
          <w:rFonts w:ascii="Arial" w:hAnsi="Arial" w:cs="Arial"/>
          <w:sz w:val="20"/>
          <w:szCs w:val="20"/>
          <w:lang w:val="en-US"/>
        </w:rPr>
        <w:t xml:space="preserve">De Sanctis R, Coratti G, Pasternak A, Montes J, Pane M, Mazzone E et al. Developmental </w:t>
      </w:r>
      <w:r w:rsidRPr="000B327E">
        <w:rPr>
          <w:rFonts w:ascii="Arial" w:hAnsi="Arial" w:cs="Arial"/>
          <w:sz w:val="20"/>
          <w:szCs w:val="20"/>
          <w:lang w:val="en-US"/>
        </w:rPr>
        <w:t xml:space="preserve">milestones in type I spinal muscular atrophy. </w:t>
      </w:r>
      <w:r w:rsidRPr="001E1A94">
        <w:rPr>
          <w:rFonts w:ascii="Arial" w:hAnsi="Arial" w:cs="Arial"/>
          <w:sz w:val="20"/>
          <w:szCs w:val="20"/>
          <w:lang w:val="en-GB"/>
        </w:rPr>
        <w:t>Neuromuscular Disorders 26 (2016) 754–759</w:t>
      </w:r>
    </w:p>
  </w:endnote>
  <w:endnote w:id="12">
    <w:p w14:paraId="314A8AF0" w14:textId="03F81414" w:rsidR="00A22536" w:rsidRPr="008E52F8" w:rsidRDefault="00A22536" w:rsidP="008E52F8">
      <w:pPr>
        <w:shd w:val="clear" w:color="auto" w:fill="FFFFFF"/>
        <w:jc w:val="both"/>
        <w:rPr>
          <w:rFonts w:ascii="Arial" w:hAnsi="Arial" w:cs="Arial"/>
          <w:sz w:val="20"/>
          <w:szCs w:val="20"/>
        </w:rPr>
      </w:pPr>
      <w:r w:rsidRPr="008E52F8">
        <w:rPr>
          <w:rStyle w:val="Refdenotaalfinal"/>
          <w:rFonts w:ascii="Arial" w:hAnsi="Arial" w:cs="Arial"/>
          <w:sz w:val="20"/>
          <w:szCs w:val="20"/>
        </w:rPr>
        <w:endnoteRef/>
      </w:r>
      <w:r w:rsidRPr="008E52F8">
        <w:rPr>
          <w:rFonts w:ascii="Arial" w:hAnsi="Arial" w:cs="Arial"/>
          <w:sz w:val="20"/>
          <w:szCs w:val="20"/>
        </w:rPr>
        <w:t xml:space="preserve"> EMA. Ficha técnica de Spinraza</w:t>
      </w:r>
      <w:r w:rsidRPr="008E52F8">
        <w:rPr>
          <w:rFonts w:ascii="Arial" w:hAnsi="Arial" w:cs="Arial"/>
          <w:sz w:val="20"/>
          <w:szCs w:val="20"/>
          <w:vertAlign w:val="superscript"/>
        </w:rPr>
        <w:t>®</w:t>
      </w:r>
      <w:r w:rsidRPr="008E52F8">
        <w:rPr>
          <w:rFonts w:ascii="Arial" w:hAnsi="Arial" w:cs="Arial"/>
          <w:sz w:val="20"/>
          <w:szCs w:val="20"/>
        </w:rPr>
        <w:t xml:space="preserve"> [Internet]. 2017 [citado 10 de Julio de 2020]. Disponible en: </w:t>
      </w:r>
      <w:hyperlink r:id="rId4" w:anchor="product-information-section" w:history="1">
        <w:r w:rsidRPr="008E52F8">
          <w:rPr>
            <w:rStyle w:val="Hipervnculo"/>
            <w:rFonts w:ascii="Arial" w:hAnsi="Arial" w:cs="Arial"/>
            <w:sz w:val="20"/>
            <w:szCs w:val="20"/>
          </w:rPr>
          <w:t>https://www.ema.europa.eu/en/medicines/human/EPAR/spinraza#product-information-section</w:t>
        </w:r>
      </w:hyperlink>
    </w:p>
  </w:endnote>
  <w:endnote w:id="13">
    <w:p w14:paraId="5745B707" w14:textId="3EDA99DC" w:rsidR="00A22536" w:rsidRPr="001E1A94" w:rsidRDefault="00A22536" w:rsidP="008E52F8">
      <w:pPr>
        <w:pStyle w:val="Textonotaalfinal"/>
        <w:jc w:val="both"/>
        <w:rPr>
          <w:lang w:val="en-GB"/>
        </w:rPr>
      </w:pPr>
      <w:r w:rsidRPr="008E52F8">
        <w:rPr>
          <w:rStyle w:val="Refdenotaalfinal"/>
          <w:rFonts w:ascii="Arial" w:hAnsi="Arial" w:cs="Arial"/>
        </w:rPr>
        <w:endnoteRef/>
      </w:r>
      <w:r w:rsidRPr="001E1A94">
        <w:rPr>
          <w:rFonts w:ascii="Arial" w:hAnsi="Arial" w:cs="Arial"/>
          <w:lang w:val="en-GB"/>
        </w:rPr>
        <w:t xml:space="preserve"> FDA. Product Information. Package Insert - ZOLGENSMA </w:t>
      </w:r>
      <w:hyperlink r:id="rId5" w:history="1">
        <w:r w:rsidRPr="001E1A94">
          <w:rPr>
            <w:rStyle w:val="Hipervnculo"/>
            <w:rFonts w:ascii="Arial" w:hAnsi="Arial" w:cs="Arial"/>
            <w:lang w:val="en-GB"/>
          </w:rPr>
          <w:t>https://www.fda.gov/vaccines-blood-biologics/zolgensma</w:t>
        </w:r>
      </w:hyperlink>
      <w:r w:rsidRPr="001E1A94">
        <w:rPr>
          <w:lang w:val="en-GB"/>
        </w:rPr>
        <w:t xml:space="preserve"> </w:t>
      </w:r>
    </w:p>
  </w:endnote>
  <w:endnote w:id="14">
    <w:p w14:paraId="33ECA5DD" w14:textId="072503E4" w:rsidR="00A22536" w:rsidRPr="007C7FDE" w:rsidRDefault="00A22536" w:rsidP="007C7FDE">
      <w:pPr>
        <w:pStyle w:val="Textonotapie"/>
        <w:jc w:val="both"/>
        <w:rPr>
          <w:lang w:val="en-US"/>
        </w:rPr>
      </w:pPr>
      <w:r w:rsidRPr="007C7FDE">
        <w:rPr>
          <w:rStyle w:val="Refdenotaalfinal"/>
        </w:rPr>
        <w:endnoteRef/>
      </w:r>
      <w:r w:rsidRPr="001E1A94">
        <w:rPr>
          <w:lang w:val="en-GB"/>
        </w:rPr>
        <w:t xml:space="preserve"> </w:t>
      </w:r>
      <w:r w:rsidRPr="007C7FDE">
        <w:rPr>
          <w:lang w:val="en-US"/>
        </w:rPr>
        <w:t>Gene Replacement Therapy Clinical Trial for Participants With Spinal Muscular Atrophy Type 1 (STR1VE).  ClinicalTrials.gov Identifier: NCT03306277. Estudio AVXS-101-CL-303</w:t>
      </w:r>
    </w:p>
  </w:endnote>
  <w:endnote w:id="15">
    <w:p w14:paraId="7ACCF167" w14:textId="6F878841" w:rsidR="00A22536" w:rsidRPr="001E1A94" w:rsidRDefault="00A22536" w:rsidP="00E3061E">
      <w:pPr>
        <w:pStyle w:val="Textonotaalfinal"/>
        <w:jc w:val="both"/>
        <w:rPr>
          <w:rFonts w:ascii="Arial" w:hAnsi="Arial" w:cs="Arial"/>
          <w:lang w:val="en-GB"/>
        </w:rPr>
      </w:pPr>
      <w:r w:rsidRPr="00E3061E">
        <w:rPr>
          <w:rStyle w:val="Refdenotaalfinal"/>
          <w:rFonts w:ascii="Arial" w:hAnsi="Arial" w:cs="Arial"/>
        </w:rPr>
        <w:endnoteRef/>
      </w:r>
      <w:r w:rsidRPr="001E1A94">
        <w:rPr>
          <w:rFonts w:ascii="Arial" w:hAnsi="Arial" w:cs="Arial"/>
          <w:lang w:val="en-US"/>
        </w:rPr>
        <w:t xml:space="preserve"> Al-Zaidy SA, Kolb SJ, Lowes L, Alfano LN, Shell R, Church KR, Nagendran S, Sproule DM, Feltner DE, Wells C, Ogrinc F, Menier M, L'Italien J, Arnold WD, Kissel JT, Kaspar BK, Mendell JR. </w:t>
      </w:r>
      <w:r w:rsidRPr="001E1A94">
        <w:rPr>
          <w:rFonts w:ascii="Arial" w:hAnsi="Arial" w:cs="Arial"/>
          <w:lang w:val="en-GB"/>
        </w:rPr>
        <w:t xml:space="preserve">AVXS-101 (Onasemnogene Abeparvovec) for SMA1: Comparative Study with a Prospective Natural History Cohort. J Neuromuscul Dis. 2019;6(3):307-317. doi: 10.3233/JND-190403. PMID: 31381526. </w:t>
      </w:r>
    </w:p>
  </w:endnote>
  <w:endnote w:id="16">
    <w:p w14:paraId="1FB42B59" w14:textId="0325BFD8" w:rsidR="00A22536" w:rsidRPr="001E1A94" w:rsidRDefault="00A22536" w:rsidP="00E3061E">
      <w:pPr>
        <w:pStyle w:val="Textonotaalfinal"/>
        <w:jc w:val="both"/>
        <w:rPr>
          <w:rFonts w:ascii="Arial" w:hAnsi="Arial" w:cs="Arial"/>
          <w:lang w:val="en-GB"/>
        </w:rPr>
      </w:pPr>
      <w:r w:rsidRPr="00E3061E">
        <w:rPr>
          <w:rStyle w:val="Refdenotaalfinal"/>
          <w:rFonts w:ascii="Arial" w:hAnsi="Arial" w:cs="Arial"/>
        </w:rPr>
        <w:endnoteRef/>
      </w:r>
      <w:r w:rsidRPr="001E1A94">
        <w:rPr>
          <w:rFonts w:ascii="Arial" w:hAnsi="Arial" w:cs="Arial"/>
          <w:lang w:val="en-GB"/>
        </w:rPr>
        <w:t xml:space="preserve"> Long-Term Follow-up Study for Patients From AVXS-101-CL-101 (START). ClinicalTrials.gov Identifier: NCT03421977. Estudio AVXS-101-CL-301</w:t>
      </w:r>
    </w:p>
  </w:endnote>
  <w:endnote w:id="17">
    <w:p w14:paraId="45CE4593" w14:textId="5BB0F08E" w:rsidR="00A22536" w:rsidRPr="000D7B74" w:rsidRDefault="00A22536" w:rsidP="00B6649B">
      <w:pPr>
        <w:pStyle w:val="Textonotapie"/>
        <w:jc w:val="both"/>
        <w:rPr>
          <w:lang w:val="en-US"/>
        </w:rPr>
      </w:pPr>
      <w:r w:rsidRPr="00E3061E">
        <w:rPr>
          <w:rStyle w:val="Refdenotaalfinal"/>
        </w:rPr>
        <w:endnoteRef/>
      </w:r>
      <w:r w:rsidRPr="001E1A94">
        <w:rPr>
          <w:lang w:val="en-GB"/>
        </w:rPr>
        <w:t xml:space="preserve"> </w:t>
      </w:r>
      <w:r w:rsidRPr="00E3061E">
        <w:rPr>
          <w:lang w:val="en-US"/>
        </w:rPr>
        <w:t xml:space="preserve">Pre-Symptomatic Study of Intravenous Onasemnogene Abeparvovec-xioi in Spinal Muscular Atrophy (SMA) for Patients With Multiple Copies of SMN2 (SPR1NT). </w:t>
      </w:r>
      <w:r w:rsidRPr="000D7B74">
        <w:rPr>
          <w:lang w:val="en-US"/>
        </w:rPr>
        <w:t>ClinicalTrials.gov Identifier: NCT03505099. Estudio AVXS-101-CL-304.</w:t>
      </w:r>
    </w:p>
  </w:endnote>
  <w:endnote w:id="18">
    <w:p w14:paraId="2BFF0165" w14:textId="6B7E09B6" w:rsidR="00A22536" w:rsidRPr="001E1A94" w:rsidRDefault="00A22536" w:rsidP="00BA64E0">
      <w:pPr>
        <w:pStyle w:val="Textonotaalfinal"/>
        <w:jc w:val="both"/>
        <w:rPr>
          <w:rFonts w:ascii="Arial" w:hAnsi="Arial" w:cs="Arial"/>
          <w:lang w:val="en-GB"/>
        </w:rPr>
      </w:pPr>
      <w:r w:rsidRPr="00BA64E0">
        <w:rPr>
          <w:rStyle w:val="Refdenotaalfinal"/>
          <w:rFonts w:ascii="Arial" w:hAnsi="Arial" w:cs="Arial"/>
        </w:rPr>
        <w:endnoteRef/>
      </w:r>
      <w:r w:rsidRPr="001E1A94">
        <w:rPr>
          <w:rFonts w:ascii="Arial" w:hAnsi="Arial" w:cs="Arial"/>
          <w:lang w:val="en-US"/>
        </w:rPr>
        <w:t xml:space="preserve"> Finkel RS et al. </w:t>
      </w:r>
      <w:r w:rsidRPr="001E1A94">
        <w:rPr>
          <w:rFonts w:ascii="Arial" w:hAnsi="Arial" w:cs="Arial"/>
          <w:lang w:val="en-GB"/>
        </w:rPr>
        <w:t>Observational study of spinal muscular atrophy type I and implications for clinical trials. Neurology Aug 2014, 83 (9) 810-817</w:t>
      </w:r>
    </w:p>
  </w:endnote>
  <w:endnote w:id="19">
    <w:p w14:paraId="704AB6A0" w14:textId="450A6D66" w:rsidR="00A22536" w:rsidRPr="001E1A94" w:rsidRDefault="00A22536" w:rsidP="00BA64E0">
      <w:pPr>
        <w:pStyle w:val="Textonotaalfinal"/>
        <w:jc w:val="both"/>
        <w:rPr>
          <w:rFonts w:ascii="Arial" w:hAnsi="Arial" w:cs="Arial"/>
          <w:lang w:val="en-GB"/>
        </w:rPr>
      </w:pPr>
      <w:r w:rsidRPr="00BA64E0">
        <w:rPr>
          <w:rStyle w:val="Refdenotaalfinal"/>
          <w:rFonts w:ascii="Arial" w:hAnsi="Arial" w:cs="Arial"/>
        </w:rPr>
        <w:endnoteRef/>
      </w:r>
      <w:r w:rsidRPr="001E1A94">
        <w:rPr>
          <w:rFonts w:ascii="Arial" w:hAnsi="Arial" w:cs="Arial"/>
          <w:lang w:val="en-GB"/>
        </w:rPr>
        <w:t xml:space="preserve"> Kolb SJ et al. Natural History of Infantile-Onset Spinal Muscular Atrophy. Ann Neurol. 2017 December ; 82(6): 883–891.</w:t>
      </w:r>
    </w:p>
  </w:endnote>
  <w:endnote w:id="20">
    <w:p w14:paraId="4CF3A26D" w14:textId="2286F244" w:rsidR="00A22536" w:rsidRDefault="00A22536" w:rsidP="00B6649B">
      <w:pPr>
        <w:pStyle w:val="Textonotaalfinal"/>
        <w:jc w:val="both"/>
      </w:pPr>
      <w:r w:rsidRPr="004342C4">
        <w:rPr>
          <w:rStyle w:val="Refdenotaalfinal"/>
          <w:rFonts w:ascii="Arial" w:hAnsi="Arial" w:cs="Arial"/>
        </w:rPr>
        <w:endnoteRef/>
      </w:r>
      <w:r w:rsidRPr="001E1A94">
        <w:rPr>
          <w:rFonts w:ascii="Arial" w:hAnsi="Arial" w:cs="Arial"/>
          <w:lang w:val="en-GB"/>
        </w:rPr>
        <w:t xml:space="preserve"> Finkel RS, Mercuri E, Darras BT, Connolly AM, Kuntz NL, Kirschner J, Chiriboga CA, Saito K, et al; ENDEAR Study Group. Nusinersen versus Sham Control in Infantile-Onset Spinal Muscular Atrophy. </w:t>
      </w:r>
      <w:r>
        <w:rPr>
          <w:rFonts w:ascii="Arial" w:hAnsi="Arial" w:cs="Arial"/>
        </w:rPr>
        <w:t>N Engl J Med. 2017;377(18):1723-</w:t>
      </w:r>
      <w:r w:rsidRPr="004342C4">
        <w:rPr>
          <w:rFonts w:ascii="Arial" w:hAnsi="Arial" w:cs="Arial"/>
        </w:rPr>
        <w:t>32.</w:t>
      </w:r>
    </w:p>
  </w:endnote>
  <w:endnote w:id="21">
    <w:p w14:paraId="25EDCFBC" w14:textId="0E5CE65C" w:rsidR="00A22536" w:rsidRPr="001E1A94" w:rsidRDefault="00A22536" w:rsidP="003A0794">
      <w:pPr>
        <w:pStyle w:val="Textonotapie"/>
        <w:jc w:val="both"/>
      </w:pPr>
      <w:r>
        <w:rPr>
          <w:rStyle w:val="Refdenotaalfinal"/>
        </w:rPr>
        <w:endnoteRef/>
      </w:r>
      <w:r>
        <w:t xml:space="preserve"> </w:t>
      </w:r>
      <w:hyperlink r:id="rId6" w:tooltip="Finkel RS, Chiriboga CA, Vajsar J, Day JW, Montes J, De Vivo DC, Yamashita M, Rigo F, Hung G, Schneider E, Norris DA, Xia S, Bennett CF, Bishop KM. Treatment of infantile-onset spinal muscular atrophy with nusinersen: a phase 2, open-label, dose-escalation stu" w:history="1">
        <w:r w:rsidRPr="001E1A94">
          <w:t xml:space="preserve">Finkel RS, Chiriboga CA, Vajsar J, Day JW, Montes J, De Vivo DC, et al. </w:t>
        </w:r>
        <w:r w:rsidRPr="00393FE1">
          <w:rPr>
            <w:lang w:val="en-US"/>
          </w:rPr>
          <w:t>Treatment of infantile-onset spinal muscular atrophy with nusinersen: a phase 2, open-label, dose</w:t>
        </w:r>
        <w:r>
          <w:rPr>
            <w:lang w:val="en-US"/>
          </w:rPr>
          <w:t xml:space="preserve">-escalation study. </w:t>
        </w:r>
        <w:r w:rsidRPr="001E1A94">
          <w:t>Lancet. 2016;388(10063):3017-26.</w:t>
        </w:r>
      </w:hyperlink>
      <w:r w:rsidRPr="001E1A94">
        <w:t xml:space="preserve"> </w:t>
      </w:r>
    </w:p>
  </w:endnote>
  <w:endnote w:id="22">
    <w:p w14:paraId="46BB0C29" w14:textId="5C573048" w:rsidR="00A22536" w:rsidRPr="00F40083" w:rsidRDefault="00A22536" w:rsidP="00BA0D6C">
      <w:pPr>
        <w:pStyle w:val="Textonotaalfinal"/>
        <w:jc w:val="both"/>
        <w:rPr>
          <w:rFonts w:ascii="Arial" w:hAnsi="Arial" w:cs="Arial"/>
        </w:rPr>
      </w:pPr>
      <w:r w:rsidRPr="00F40083">
        <w:rPr>
          <w:rStyle w:val="Refdenotaalfinal"/>
          <w:rFonts w:ascii="Arial" w:hAnsi="Arial" w:cs="Arial"/>
        </w:rPr>
        <w:endnoteRef/>
      </w:r>
      <w:r w:rsidRPr="00F40083">
        <w:rPr>
          <w:rFonts w:ascii="Arial" w:hAnsi="Arial" w:cs="Arial"/>
        </w:rPr>
        <w:t xml:space="preserve"> SMA Europe. </w:t>
      </w:r>
      <w:r w:rsidRPr="001E1A94">
        <w:rPr>
          <w:rFonts w:ascii="Arial" w:hAnsi="Arial" w:cs="Arial"/>
        </w:rPr>
        <w:t>[Consultado 2/10/2020]. Disponible en:</w:t>
      </w:r>
      <w:r w:rsidRPr="00F40083">
        <w:rPr>
          <w:rFonts w:ascii="Arial" w:hAnsi="Arial" w:cs="Arial"/>
        </w:rPr>
        <w:t xml:space="preserve"> </w:t>
      </w:r>
      <w:hyperlink r:id="rId7" w:history="1">
        <w:r w:rsidRPr="001E1A94">
          <w:rPr>
            <w:rStyle w:val="Hipervnculo"/>
            <w:rFonts w:ascii="Arial" w:hAnsi="Arial" w:cs="Arial"/>
          </w:rPr>
          <w:t>https://www.sma-europe.eu/?s=onasemnogene+abeparvovec</w:t>
        </w:r>
      </w:hyperlink>
      <w:r w:rsidRPr="001E1A94">
        <w:rPr>
          <w:rFonts w:ascii="Arial" w:hAnsi="Arial" w:cs="Arial"/>
        </w:rPr>
        <w:t xml:space="preserve"> </w:t>
      </w:r>
    </w:p>
  </w:endnote>
  <w:endnote w:id="23">
    <w:p w14:paraId="414A65EC" w14:textId="3B5DA397" w:rsidR="00A22536" w:rsidRPr="001E1A94" w:rsidRDefault="00A22536" w:rsidP="007720C1">
      <w:pPr>
        <w:pStyle w:val="Textonotaalfinal"/>
        <w:jc w:val="both"/>
        <w:rPr>
          <w:rFonts w:ascii="Arial" w:hAnsi="Arial" w:cs="Arial"/>
          <w:lang w:val="en-GB"/>
        </w:rPr>
      </w:pPr>
      <w:r w:rsidRPr="00F40083">
        <w:rPr>
          <w:rStyle w:val="Refdenotaalfinal"/>
          <w:rFonts w:ascii="Arial" w:hAnsi="Arial" w:cs="Arial"/>
        </w:rPr>
        <w:endnoteRef/>
      </w:r>
      <w:r w:rsidRPr="001E1A94">
        <w:rPr>
          <w:rFonts w:ascii="Arial" w:hAnsi="Arial" w:cs="Arial"/>
          <w:lang w:val="en-GB"/>
        </w:rPr>
        <w:t xml:space="preserve"> Schorling DC, Pechmann A, Kirschner J. Advances in Treatment of Spinal Muscular Atrophy - New Phenotypes, New Challenges, New Implications for Care. J Neuromuscul Dis. 2020; 7: 1-13.</w:t>
      </w:r>
    </w:p>
  </w:endnote>
  <w:endnote w:id="24">
    <w:p w14:paraId="00214A7F" w14:textId="77777777" w:rsidR="00A22536" w:rsidRPr="001E1A94" w:rsidRDefault="00A22536" w:rsidP="00330830">
      <w:pPr>
        <w:autoSpaceDE w:val="0"/>
        <w:autoSpaceDN w:val="0"/>
        <w:adjustRightInd w:val="0"/>
        <w:jc w:val="both"/>
        <w:rPr>
          <w:rFonts w:ascii="Arial" w:hAnsi="Arial" w:cs="Arial"/>
          <w:sz w:val="20"/>
          <w:szCs w:val="20"/>
          <w:lang w:val="en-GB"/>
        </w:rPr>
      </w:pPr>
      <w:r w:rsidRPr="00330830">
        <w:rPr>
          <w:rStyle w:val="Refdenotaalfinal"/>
          <w:rFonts w:ascii="Arial" w:hAnsi="Arial" w:cs="Arial"/>
          <w:sz w:val="20"/>
          <w:szCs w:val="20"/>
        </w:rPr>
        <w:endnoteRef/>
      </w:r>
      <w:r w:rsidRPr="001E1A94">
        <w:rPr>
          <w:rFonts w:ascii="Arial" w:hAnsi="Arial" w:cs="Arial"/>
          <w:sz w:val="20"/>
          <w:szCs w:val="20"/>
          <w:lang w:val="en-GB"/>
        </w:rPr>
        <w:t xml:space="preserve"> Omar Dabbous . Benit Maru . Jeroen P. Jansen . Maria Lorenzi et al, Survival, Motor Function, and Motor Milestones: Comparison of AVXS-101 Relative to Nusinersen for the Treatment of Infants with Spinal Muscular Atrophy Type 1. Adv Ther (2019) 36:1164–1176</w:t>
      </w:r>
    </w:p>
  </w:endnote>
  <w:endnote w:id="25">
    <w:p w14:paraId="0FB73C25" w14:textId="652D795E" w:rsidR="00A22536" w:rsidRPr="001E1A94" w:rsidRDefault="00A22536" w:rsidP="00BA0D6C">
      <w:pPr>
        <w:pStyle w:val="Textonotaalfinal"/>
        <w:jc w:val="both"/>
        <w:rPr>
          <w:rFonts w:ascii="Arial" w:hAnsi="Arial" w:cs="Arial"/>
          <w:lang w:val="en-GB"/>
        </w:rPr>
      </w:pPr>
      <w:r w:rsidRPr="00F40083">
        <w:rPr>
          <w:rStyle w:val="Refdenotaalfinal"/>
          <w:rFonts w:ascii="Arial" w:hAnsi="Arial" w:cs="Arial"/>
        </w:rPr>
        <w:endnoteRef/>
      </w:r>
      <w:r w:rsidRPr="001E1A94">
        <w:rPr>
          <w:rFonts w:ascii="Arial" w:hAnsi="Arial" w:cs="Arial"/>
          <w:lang w:val="en-GB"/>
        </w:rPr>
        <w:t xml:space="preserve"> Glascock J SJ, Haidet-Phillips A, et al. Treatment Algorithm for Infants Diagnosed with Spinal Muscular Atrophy through Newborn Screening. Journal of Neuromuscular Diseases. 2018;5(2):145–58.</w:t>
      </w:r>
    </w:p>
  </w:endnote>
  <w:endnote w:id="26">
    <w:p w14:paraId="478F5EAA" w14:textId="46C52CB7" w:rsidR="00A22536" w:rsidRPr="001E1A94" w:rsidRDefault="00A22536" w:rsidP="002A5260">
      <w:pPr>
        <w:pStyle w:val="Textonotapie"/>
        <w:jc w:val="both"/>
        <w:rPr>
          <w:lang w:val="en-GB"/>
        </w:rPr>
      </w:pPr>
      <w:r w:rsidRPr="00F40083">
        <w:rPr>
          <w:rStyle w:val="Refdenotaalfinal"/>
        </w:rPr>
        <w:endnoteRef/>
      </w:r>
      <w:r w:rsidRPr="001E1A94">
        <w:rPr>
          <w:lang w:val="en-GB"/>
        </w:rPr>
        <w:t xml:space="preserve"> </w:t>
      </w:r>
      <w:r w:rsidRPr="00F40083">
        <w:rPr>
          <w:rFonts w:cs="Calibri"/>
          <w:lang w:val="en-GB"/>
        </w:rPr>
        <w:t xml:space="preserve">Spinraza® and Zolgensma® for Spinal Muscular Atrophy: Effectiveness and Value. Final Evidence Report. April 3, 2019 (Updated May 24, 2019). [Consultado 18/8/2020]. </w:t>
      </w:r>
      <w:r w:rsidRPr="00652A4D">
        <w:rPr>
          <w:rFonts w:cs="Calibri"/>
          <w:lang w:val="en-GB"/>
        </w:rPr>
        <w:t xml:space="preserve">Disponible en: </w:t>
      </w:r>
      <w:hyperlink r:id="rId8" w:history="1">
        <w:r w:rsidRPr="00652A4D">
          <w:rPr>
            <w:rStyle w:val="Hipervnculo"/>
            <w:lang w:val="en-GB"/>
          </w:rPr>
          <w:t>https://icer-review.org/material/sma-final-evidence-report/</w:t>
        </w:r>
      </w:hyperlink>
      <w:r w:rsidRPr="00652A4D">
        <w:rPr>
          <w:rStyle w:val="Hipervnculo"/>
          <w:lang w:val="en-GB"/>
        </w:rPr>
        <w:t xml:space="preserve"> </w:t>
      </w:r>
    </w:p>
  </w:endnote>
  <w:endnote w:id="27">
    <w:p w14:paraId="11D5C4EC" w14:textId="55C9871D" w:rsidR="00A22536" w:rsidRPr="001E1A94" w:rsidRDefault="00A22536" w:rsidP="00F40083">
      <w:pPr>
        <w:pStyle w:val="Textonotaalfinal"/>
        <w:jc w:val="both"/>
        <w:rPr>
          <w:lang w:val="en-US"/>
        </w:rPr>
      </w:pPr>
      <w:r w:rsidRPr="00F40083">
        <w:rPr>
          <w:rStyle w:val="Refdenotaalfinal"/>
          <w:rFonts w:ascii="Arial" w:hAnsi="Arial" w:cs="Arial"/>
        </w:rPr>
        <w:endnoteRef/>
      </w:r>
      <w:r w:rsidRPr="001E1A94">
        <w:rPr>
          <w:rFonts w:ascii="Arial" w:hAnsi="Arial" w:cs="Arial"/>
          <w:lang w:val="en-GB"/>
        </w:rPr>
        <w:t xml:space="preserve"> Kirschner J, Butoianu N, Goemans N, Haberlova J, Kostera-Pruszczyk A, Mercuri E,</w:t>
      </w:r>
      <w:r>
        <w:rPr>
          <w:rFonts w:ascii="Arial" w:hAnsi="Arial" w:cs="Arial"/>
          <w:lang w:val="en-GB"/>
        </w:rPr>
        <w:t xml:space="preserve"> et al</w:t>
      </w:r>
      <w:r w:rsidRPr="001E1A94">
        <w:rPr>
          <w:rFonts w:ascii="Arial" w:hAnsi="Arial" w:cs="Arial"/>
          <w:lang w:val="en-GB"/>
        </w:rPr>
        <w:t xml:space="preserve">, European ad-hoc consensus statement on gene replacement therapy for spinal muscular atrophy, European Journal of Paediatric Neurology (2020), </w:t>
      </w:r>
      <w:r w:rsidRPr="00F40083">
        <w:rPr>
          <w:rFonts w:ascii="Arial" w:hAnsi="Arial" w:cs="Arial"/>
          <w:lang w:val="en-GB"/>
        </w:rPr>
        <w:t xml:space="preserve">[Consultado 2/10/2020]. </w:t>
      </w:r>
      <w:r w:rsidRPr="001E1A94">
        <w:rPr>
          <w:rFonts w:ascii="Arial" w:hAnsi="Arial" w:cs="Arial"/>
          <w:lang w:val="en-US"/>
        </w:rPr>
        <w:t xml:space="preserve">Disponible en:  </w:t>
      </w:r>
      <w:hyperlink r:id="rId9" w:history="1">
        <w:r w:rsidRPr="001E1A94">
          <w:rPr>
            <w:rStyle w:val="Hipervnculo"/>
            <w:rFonts w:ascii="Arial" w:hAnsi="Arial" w:cs="Arial"/>
            <w:lang w:val="en-US"/>
          </w:rPr>
          <w:t>https://doi.org/10.1016/j.ejpn.2020.07.001</w:t>
        </w:r>
      </w:hyperlink>
      <w:r w:rsidRPr="001E1A94">
        <w:rPr>
          <w:rFonts w:ascii="Arial" w:hAnsi="Arial" w:cs="Arial"/>
          <w:lang w:val="en-US"/>
        </w:rPr>
        <w:t xml:space="preserve">. </w:t>
      </w:r>
    </w:p>
  </w:endnote>
  <w:endnote w:id="28">
    <w:p w14:paraId="26C7BC11" w14:textId="4D976CAB" w:rsidR="00A22536" w:rsidRPr="001E1A94" w:rsidRDefault="00A22536" w:rsidP="00480C7D">
      <w:pPr>
        <w:pStyle w:val="Textonotapie"/>
        <w:jc w:val="both"/>
      </w:pPr>
      <w:r>
        <w:rPr>
          <w:rStyle w:val="Refdenotaalfinal"/>
        </w:rPr>
        <w:endnoteRef/>
      </w:r>
      <w:r w:rsidRPr="001E1A94">
        <w:rPr>
          <w:lang w:val="en-US"/>
        </w:rPr>
        <w:t xml:space="preserve"> Malone DC, Dean R, Arjunji R, et al. </w:t>
      </w:r>
      <w:r w:rsidRPr="00161C5D">
        <w:rPr>
          <w:lang w:val="en-US"/>
        </w:rPr>
        <w:t>Cost-effectiveness analysis of using onasemnogene abeparvocec (AVXS-101) in spinal muscular atrophy type 1 patients. </w:t>
      </w:r>
      <w:r w:rsidRPr="001E1A94">
        <w:t xml:space="preserve">J Mark Access Health Policy. 2019;7(1):1601484. </w:t>
      </w:r>
    </w:p>
  </w:endnote>
  <w:endnote w:id="29">
    <w:p w14:paraId="06BF6B0A" w14:textId="1DBE0DAE" w:rsidR="00A22536" w:rsidRPr="001E1A94" w:rsidRDefault="00A22536" w:rsidP="00480C7D">
      <w:pPr>
        <w:pStyle w:val="Textonotaalfinal"/>
        <w:jc w:val="both"/>
        <w:rPr>
          <w:rFonts w:ascii="Arial" w:hAnsi="Arial" w:cs="Arial"/>
          <w:lang w:val="en-GB"/>
        </w:rPr>
      </w:pPr>
      <w:r w:rsidRPr="00480C7D">
        <w:rPr>
          <w:rStyle w:val="Refdenotaalfinal"/>
          <w:rFonts w:ascii="Arial" w:hAnsi="Arial" w:cs="Arial"/>
        </w:rPr>
        <w:endnoteRef/>
      </w:r>
      <w:r w:rsidRPr="001E1A94">
        <w:rPr>
          <w:rFonts w:ascii="Arial" w:hAnsi="Arial" w:cs="Arial"/>
          <w:lang w:val="en-GB"/>
        </w:rPr>
        <w:t xml:space="preserve"> Zolgensma: We all know the price, but how is it made? Gareth Macdonald. 10/06/2020. Bioprocess international  </w:t>
      </w:r>
      <w:hyperlink r:id="rId10" w:history="1">
        <w:r w:rsidRPr="001E1A94">
          <w:rPr>
            <w:rStyle w:val="Hipervnculo"/>
            <w:rFonts w:ascii="Arial" w:hAnsi="Arial" w:cs="Arial"/>
            <w:lang w:val="en-GB"/>
          </w:rPr>
          <w:t>https://bioprocessintl.com/bioprocess-insider/therapeutic-class/zolgensma-we-all-know-the-price-but-how-is-it-made/</w:t>
        </w:r>
      </w:hyperlink>
      <w:r w:rsidRPr="001E1A94">
        <w:rPr>
          <w:rFonts w:ascii="Arial" w:hAnsi="Arial" w:cs="Arial"/>
          <w:lang w:val="en-GB"/>
        </w:rPr>
        <w:t xml:space="preserve"> </w:t>
      </w:r>
    </w:p>
  </w:endnote>
  <w:endnote w:id="30">
    <w:p w14:paraId="0B61AFE5" w14:textId="77777777" w:rsidR="00A22536" w:rsidRPr="001E1A94" w:rsidRDefault="00A22536" w:rsidP="000A316A">
      <w:pPr>
        <w:pStyle w:val="Textonotaalfinal"/>
        <w:jc w:val="both"/>
        <w:rPr>
          <w:lang w:val="en-GB"/>
        </w:rPr>
      </w:pPr>
      <w:r>
        <w:rPr>
          <w:rStyle w:val="Refdenotaalfinal"/>
        </w:rPr>
        <w:endnoteRef/>
      </w:r>
      <w:r w:rsidRPr="001E1A94">
        <w:rPr>
          <w:rFonts w:ascii="Arial" w:hAnsi="Arial" w:cs="Arial"/>
          <w:lang w:val="en-GB"/>
        </w:rPr>
        <w:t xml:space="preserve">Spotlight on Zolgensma®: REGENXBIO receives $80m from Novartis for AAV vector Allie Nawrat 18-11- 2020 </w:t>
      </w:r>
      <w:hyperlink r:id="rId11" w:history="1">
        <w:r w:rsidRPr="001E1A94">
          <w:rPr>
            <w:rStyle w:val="Hipervnculo"/>
            <w:rFonts w:ascii="Arial" w:hAnsi="Arial" w:cs="Arial"/>
            <w:lang w:val="en-GB"/>
          </w:rPr>
          <w:t>https://www.pharmaceutical-technology.com/features/Zolgensma®-regenxbio-novartis/</w:t>
        </w:r>
      </w:hyperlink>
      <w:r w:rsidRPr="001E1A94">
        <w:rPr>
          <w:lang w:val="en-GB"/>
        </w:rPr>
        <w:t xml:space="preserve"> </w:t>
      </w:r>
    </w:p>
  </w:endnote>
  <w:endnote w:id="31">
    <w:p w14:paraId="3DA59EC9" w14:textId="77777777" w:rsidR="00A22536" w:rsidRPr="00427995" w:rsidRDefault="00A22536" w:rsidP="000A316A">
      <w:pPr>
        <w:pStyle w:val="Textonotaalfinal"/>
        <w:jc w:val="both"/>
        <w:rPr>
          <w:rFonts w:ascii="Arial" w:hAnsi="Arial" w:cs="Arial"/>
          <w:lang w:val="en-GB"/>
        </w:rPr>
      </w:pPr>
      <w:r w:rsidRPr="00031803">
        <w:rPr>
          <w:rStyle w:val="Refdenotaalfinal"/>
          <w:rFonts w:ascii="Arial" w:hAnsi="Arial" w:cs="Arial"/>
        </w:rPr>
        <w:endnoteRef/>
      </w:r>
      <w:r w:rsidRPr="001E1A94">
        <w:rPr>
          <w:rFonts w:ascii="Arial" w:hAnsi="Arial" w:cs="Arial"/>
          <w:lang w:val="en-GB"/>
        </w:rPr>
        <w:t xml:space="preserve"> Ned Pagliarulo Feb. 21, 2020 With supply tight, Novartis readies gene therapy plant for production </w:t>
      </w:r>
      <w:hyperlink r:id="rId12" w:history="1">
        <w:r w:rsidRPr="00427995">
          <w:rPr>
            <w:rStyle w:val="Hipervnculo"/>
            <w:rFonts w:ascii="Arial" w:hAnsi="Arial" w:cs="Arial"/>
            <w:lang w:val="en-GB"/>
          </w:rPr>
          <w:t>https://www.biopharmadive.com/news/Zolgensma®-manufacturing-durham-novartis/572731/</w:t>
        </w:r>
      </w:hyperlink>
      <w:r w:rsidRPr="00427995">
        <w:rPr>
          <w:rFonts w:ascii="Arial" w:hAnsi="Arial" w:cs="Arial"/>
          <w:lang w:val="en-GB"/>
        </w:rPr>
        <w:t xml:space="preserve"> </w:t>
      </w:r>
    </w:p>
  </w:endnote>
  <w:endnote w:id="32">
    <w:p w14:paraId="144C527C" w14:textId="77777777" w:rsidR="00A22536" w:rsidRDefault="00A22536" w:rsidP="009E568A">
      <w:pPr>
        <w:pStyle w:val="Textonotaalfinal"/>
        <w:jc w:val="both"/>
      </w:pPr>
      <w:r>
        <w:rPr>
          <w:rStyle w:val="Refdenotaalfinal"/>
        </w:rPr>
        <w:endnoteRef/>
      </w:r>
      <w:r>
        <w:t xml:space="preserve"> </w:t>
      </w:r>
      <w:r w:rsidRPr="00480C7D">
        <w:rPr>
          <w:rFonts w:ascii="Arial" w:hAnsi="Arial" w:cs="Arial"/>
        </w:rPr>
        <w:t xml:space="preserve">Lamata F,¿Es el precio de Zolgensma (2,1 millones de dólares) un precio justo? </w:t>
      </w:r>
      <w:r w:rsidRPr="00FE30F2">
        <w:rPr>
          <w:rFonts w:ascii="Arial" w:hAnsi="Arial" w:cs="Arial"/>
          <w:lang w:val="en-GB"/>
        </w:rPr>
        <w:t xml:space="preserve">Blog  20/06/2019 </w:t>
      </w:r>
      <w:hyperlink r:id="rId13" w:history="1">
        <w:r w:rsidRPr="00FE30F2">
          <w:rPr>
            <w:rStyle w:val="Hipervnculo"/>
            <w:rFonts w:ascii="Arial" w:hAnsi="Arial" w:cs="Arial"/>
            <w:lang w:val="en-GB"/>
          </w:rPr>
          <w:t>http://fernandolamata.blogspot.com/2019/06/el-caso-de-zolgensma-el-medicamento-con.html?m=1</w:t>
        </w:r>
      </w:hyperlink>
    </w:p>
  </w:endnote>
  <w:endnote w:id="33">
    <w:p w14:paraId="4F051718" w14:textId="77777777" w:rsidR="00A22536" w:rsidRPr="00427995" w:rsidRDefault="00A22536" w:rsidP="009E568A">
      <w:pPr>
        <w:pStyle w:val="Textonotaalfinal"/>
        <w:jc w:val="both"/>
        <w:rPr>
          <w:rFonts w:ascii="Arial" w:hAnsi="Arial" w:cs="Arial"/>
          <w:lang w:val="en-GB"/>
        </w:rPr>
      </w:pPr>
      <w:r w:rsidRPr="00B61BF6">
        <w:rPr>
          <w:rStyle w:val="Refdenotaalfinal"/>
          <w:rFonts w:ascii="Arial" w:hAnsi="Arial" w:cs="Arial"/>
        </w:rPr>
        <w:endnoteRef/>
      </w:r>
      <w:r w:rsidRPr="00427995">
        <w:rPr>
          <w:rFonts w:ascii="Arial" w:hAnsi="Arial" w:cs="Arial"/>
          <w:lang w:val="en-GB"/>
        </w:rPr>
        <w:t xml:space="preserve"> Novartis enters agreement to acquire AveXis Inc. for USD 8.7 bn to transform care in SMA and expand position as a gene therapy and Neuroscience leader Apr 09, 2018 </w:t>
      </w:r>
      <w:hyperlink r:id="rId14" w:anchor=":~:text=Basel%2C%20April%209%2C%202018%20-,USD%208.7%20billion%20in%20cash" w:history="1">
        <w:r w:rsidRPr="00427995">
          <w:rPr>
            <w:rStyle w:val="Hipervnculo"/>
            <w:rFonts w:ascii="Arial" w:hAnsi="Arial" w:cs="Arial"/>
            <w:lang w:val="en-GB"/>
          </w:rPr>
          <w:t>https://www.novartis.com/news/media-releases/novartis-enters-agreement-acquire-avexis-inc-usd-87-bn-transform-care-sma-and-expand-position-gene-therapy-and-neuroscience-leader#:~:text=Basel%2C%20April%209%2C%202018%20-,USD%208.7%20billion%20in%20cash</w:t>
        </w:r>
      </w:hyperlink>
      <w:r w:rsidRPr="00427995">
        <w:rPr>
          <w:rFonts w:ascii="Arial" w:hAnsi="Arial" w:cs="Arial"/>
          <w:lang w:val="en-GB"/>
        </w:rPr>
        <w:t xml:space="preserve"> </w:t>
      </w:r>
    </w:p>
  </w:endnote>
  <w:endnote w:id="34">
    <w:p w14:paraId="1153C877" w14:textId="77777777" w:rsidR="00A22536" w:rsidRPr="00427995" w:rsidRDefault="00A22536" w:rsidP="009E568A">
      <w:pPr>
        <w:pStyle w:val="Textonotaalfinal"/>
        <w:jc w:val="both"/>
        <w:rPr>
          <w:rFonts w:ascii="Arial" w:hAnsi="Arial" w:cs="Arial"/>
          <w:lang w:val="en-GB"/>
        </w:rPr>
      </w:pPr>
      <w:r>
        <w:rPr>
          <w:rStyle w:val="Refdenotaalfinal"/>
        </w:rPr>
        <w:endnoteRef/>
      </w:r>
      <w:r w:rsidRPr="00427995">
        <w:rPr>
          <w:rFonts w:ascii="Arial" w:hAnsi="Arial" w:cs="Arial"/>
          <w:lang w:val="en-GB"/>
        </w:rPr>
        <w:t xml:space="preserve">  Charity and NIH funding related to Zolgensma KNOWLEDGE ECOLOGY INTERNATIONAL  14/06/2019 </w:t>
      </w:r>
      <w:hyperlink r:id="rId15" w:history="1">
        <w:r w:rsidRPr="00427995">
          <w:rPr>
            <w:rStyle w:val="Hipervnculo"/>
            <w:rFonts w:ascii="Arial" w:hAnsi="Arial" w:cs="Arial"/>
            <w:lang w:val="en-GB"/>
          </w:rPr>
          <w:t>https://www.keionline.org/charity-nih-funding-related-to-zolgensma</w:t>
        </w:r>
      </w:hyperlink>
      <w:r w:rsidRPr="00427995">
        <w:rPr>
          <w:rFonts w:ascii="Arial" w:hAnsi="Arial" w:cs="Arial"/>
          <w:lang w:val="en-GB"/>
        </w:rPr>
        <w:t xml:space="preserve"> </w:t>
      </w:r>
    </w:p>
  </w:endnote>
  <w:endnote w:id="35">
    <w:p w14:paraId="563E416A" w14:textId="77777777" w:rsidR="00A22536" w:rsidRPr="00427995" w:rsidRDefault="00A22536" w:rsidP="009E568A">
      <w:pPr>
        <w:pStyle w:val="Textonotaalfinal"/>
        <w:jc w:val="both"/>
        <w:rPr>
          <w:rFonts w:ascii="Arial" w:hAnsi="Arial" w:cs="Arial"/>
          <w:lang w:val="en-GB"/>
        </w:rPr>
      </w:pPr>
      <w:r>
        <w:rPr>
          <w:rStyle w:val="Refdenotaalfinal"/>
        </w:rPr>
        <w:endnoteRef/>
      </w:r>
      <w:r w:rsidRPr="00427995">
        <w:rPr>
          <w:rFonts w:ascii="Arial" w:hAnsi="Arial" w:cs="Arial"/>
          <w:lang w:val="en-GB"/>
        </w:rPr>
        <w:t xml:space="preserve">Martin Connock, Will the US$5 million Onasemnogene abeparvosec treatment for spinal muscular atrophy represent ‘value for money’ for the NHS? A rapid inquiry into suggestions that it may be cost-effective.  </w:t>
      </w:r>
      <w:hyperlink r:id="rId16" w:history="1">
        <w:r w:rsidRPr="00427995">
          <w:rPr>
            <w:rStyle w:val="Hipervnculo"/>
            <w:rFonts w:ascii="Arial" w:hAnsi="Arial" w:cs="Arial"/>
            <w:lang w:val="en-GB"/>
          </w:rPr>
          <w:t>https://www.researchgate.net/profile/Lazaros_Andronis/publication/341546301_Will_the_US5_million_onasemnogene_abeparvosec_treatment_for_spinal_muscular_atrophy_represent_'value_for_money'_for_the_NHS_A_rapid_inquiry_into_suggestions_that_it_may_be_cost-effective/links/5ef455bc299bf15a2ea096da/Will-the-US5-million-onasemnogene-abeparvosec-treatment-for-spinal-muscular-atrophy-represent-value-for-money-for-the-NHS-A-rapid-inquiry-into-suggestions-that-it-may-be-cost-effective.pdf</w:t>
        </w:r>
      </w:hyperlink>
      <w:r w:rsidRPr="00427995">
        <w:rPr>
          <w:rFonts w:ascii="Arial" w:hAnsi="Arial" w:cs="Arial"/>
          <w:lang w:val="en-GB"/>
        </w:rPr>
        <w:t xml:space="preserve"> </w:t>
      </w:r>
    </w:p>
  </w:endnote>
  <w:endnote w:id="36">
    <w:p w14:paraId="24F17EA5" w14:textId="2F5136A2" w:rsidR="00A22536" w:rsidRPr="00427995" w:rsidRDefault="00A22536" w:rsidP="00B61BF6">
      <w:pPr>
        <w:pStyle w:val="Textonotaalfinal"/>
        <w:jc w:val="both"/>
        <w:rPr>
          <w:rFonts w:ascii="Arial" w:hAnsi="Arial" w:cs="Arial"/>
          <w:lang w:val="fr-FR"/>
        </w:rPr>
      </w:pPr>
      <w:r w:rsidRPr="00B61BF6">
        <w:rPr>
          <w:rStyle w:val="Refdenotaalfinal"/>
          <w:rFonts w:ascii="Arial" w:hAnsi="Arial" w:cs="Arial"/>
        </w:rPr>
        <w:endnoteRef/>
      </w:r>
      <w:r w:rsidRPr="00427995">
        <w:rPr>
          <w:rFonts w:ascii="Arial" w:hAnsi="Arial" w:cs="Arial"/>
          <w:lang w:val="fr-FR"/>
        </w:rPr>
        <w:t xml:space="preserve"> Le casse d'un géant pharmaceutique sur une merveille de la recherche française. Dans le Canard enchaîné du 5 juin 2019. </w:t>
      </w:r>
      <w:hyperlink r:id="rId17" w:history="1">
        <w:r w:rsidRPr="00427995">
          <w:rPr>
            <w:rStyle w:val="Hipervnculo"/>
            <w:rFonts w:ascii="Arial" w:hAnsi="Arial" w:cs="Arial"/>
            <w:lang w:val="fr-FR"/>
          </w:rPr>
          <w:t>http://shaarli.guiguishow.info/?-sGUjA</w:t>
        </w:r>
      </w:hyperlink>
    </w:p>
  </w:endnote>
  <w:endnote w:id="37">
    <w:p w14:paraId="513FF63F" w14:textId="1D1E0E6B" w:rsidR="00A22536" w:rsidRPr="00427995" w:rsidRDefault="00A22536" w:rsidP="00937A74">
      <w:pPr>
        <w:pStyle w:val="Textonotaalfinal"/>
        <w:jc w:val="both"/>
        <w:rPr>
          <w:rFonts w:ascii="Arial" w:hAnsi="Arial" w:cs="Arial"/>
          <w:lang w:val="en-GB"/>
        </w:rPr>
      </w:pPr>
      <w:r w:rsidRPr="00937A74">
        <w:rPr>
          <w:rStyle w:val="Refdenotaalfinal"/>
          <w:rFonts w:ascii="Arial" w:hAnsi="Arial" w:cs="Arial"/>
        </w:rPr>
        <w:endnoteRef/>
      </w:r>
      <w:r w:rsidRPr="00427995">
        <w:rPr>
          <w:rFonts w:ascii="Arial" w:hAnsi="Arial" w:cs="Arial"/>
          <w:lang w:val="en-GB"/>
        </w:rPr>
        <w:t xml:space="preserve"> Jayasundara et al  Estimating the clinical cost of drug development for orphan versus non-orphan drugs. Orphanet Journal of Rare Diseases (2019) 14:12 </w:t>
      </w:r>
      <w:hyperlink r:id="rId18" w:history="1">
        <w:r w:rsidRPr="00427995">
          <w:rPr>
            <w:rStyle w:val="Hipervnculo"/>
            <w:rFonts w:ascii="Arial" w:hAnsi="Arial" w:cs="Arial"/>
            <w:lang w:val="en-GB"/>
          </w:rPr>
          <w:t>https://www.ncbi.nlm.nih.gov/pmc/articles/PMC6327525/pdf/13023_2018_Article_990.pdf</w:t>
        </w:r>
      </w:hyperlink>
    </w:p>
  </w:endnote>
  <w:endnote w:id="38">
    <w:p w14:paraId="6D0E37AB" w14:textId="3290CE14" w:rsidR="00A22536" w:rsidRPr="00427995" w:rsidRDefault="00A22536" w:rsidP="00937A74">
      <w:pPr>
        <w:pStyle w:val="Textonotaalfinal"/>
        <w:jc w:val="both"/>
        <w:rPr>
          <w:rFonts w:ascii="Arial" w:hAnsi="Arial" w:cs="Arial"/>
          <w:lang w:val="en-GB"/>
        </w:rPr>
      </w:pPr>
      <w:r w:rsidRPr="00937A74">
        <w:rPr>
          <w:rStyle w:val="Refdenotaalfinal"/>
          <w:rFonts w:ascii="Arial" w:hAnsi="Arial" w:cs="Arial"/>
        </w:rPr>
        <w:endnoteRef/>
      </w:r>
      <w:r w:rsidRPr="00427995">
        <w:rPr>
          <w:rFonts w:ascii="Arial" w:hAnsi="Arial" w:cs="Arial"/>
          <w:lang w:val="en-GB"/>
        </w:rPr>
        <w:t xml:space="preserve"> Berdud, M., Drummond, M. &amp; Towse, A. Establishing a reasonable price for an orphan drug. Cost Eff Resour Alloc 18, 31 (2020).  </w:t>
      </w:r>
      <w:hyperlink r:id="rId19" w:history="1">
        <w:r w:rsidRPr="00427995">
          <w:rPr>
            <w:rStyle w:val="Hipervnculo"/>
            <w:rFonts w:ascii="Arial" w:hAnsi="Arial" w:cs="Arial"/>
            <w:lang w:val="en-GB"/>
          </w:rPr>
          <w:t>https://resource-allocation.biomedcentral.com/articles/10.1186/s12962-020-00223-x</w:t>
        </w:r>
      </w:hyperlink>
      <w:r w:rsidRPr="00427995">
        <w:rPr>
          <w:rFonts w:ascii="Arial" w:hAnsi="Arial" w:cs="Arial"/>
          <w:lang w:val="en-GB"/>
        </w:rPr>
        <w:t xml:space="preserve"> </w:t>
      </w:r>
    </w:p>
  </w:endnote>
  <w:endnote w:id="39">
    <w:p w14:paraId="240255CB" w14:textId="77777777" w:rsidR="00A22536" w:rsidRPr="00427995" w:rsidRDefault="00A22536" w:rsidP="00621BAF">
      <w:pPr>
        <w:pStyle w:val="Textonotaalfinal"/>
        <w:jc w:val="both"/>
        <w:rPr>
          <w:rFonts w:ascii="Arial" w:hAnsi="Arial" w:cs="Arial"/>
          <w:lang w:val="fr-FR"/>
        </w:rPr>
      </w:pPr>
      <w:r>
        <w:rPr>
          <w:rStyle w:val="Refdenotaalfinal"/>
        </w:rPr>
        <w:endnoteRef/>
      </w:r>
      <w:r w:rsidRPr="00427995">
        <w:rPr>
          <w:rFonts w:ascii="Arial" w:hAnsi="Arial" w:cs="Arial"/>
          <w:lang w:val="fr-FR"/>
        </w:rPr>
        <w:t>Jeanne Le Borgne  Une découverte française vendue des milliards par des Américains</w:t>
      </w:r>
    </w:p>
    <w:p w14:paraId="08A21881" w14:textId="77777777" w:rsidR="00A22536" w:rsidRPr="00427995" w:rsidRDefault="00A22536" w:rsidP="00621BAF">
      <w:pPr>
        <w:pStyle w:val="Textonotaalfinal"/>
        <w:rPr>
          <w:lang w:val="fr-FR"/>
        </w:rPr>
      </w:pPr>
      <w:r w:rsidRPr="00427995">
        <w:rPr>
          <w:rFonts w:ascii="Arial" w:hAnsi="Arial" w:cs="Arial"/>
          <w:lang w:val="fr-FR"/>
        </w:rPr>
        <w:t xml:space="preserve">rédigé le 01 juillet 2019 à 12h52 </w:t>
      </w:r>
      <w:hyperlink r:id="rId20" w:history="1">
        <w:r w:rsidRPr="00427995">
          <w:rPr>
            <w:rStyle w:val="Hipervnculo"/>
            <w:rFonts w:ascii="Arial" w:hAnsi="Arial" w:cs="Arial"/>
            <w:lang w:val="fr-FR"/>
          </w:rPr>
          <w:t>https://www.alternativesante.fr/genes/une-decouverte-francaise-vendue-des-milliards-par-des-americains</w:t>
        </w:r>
      </w:hyperlink>
      <w:r w:rsidRPr="00427995">
        <w:rPr>
          <w:lang w:val="fr-FR"/>
        </w:rPr>
        <w:t xml:space="preserve"> </w:t>
      </w:r>
    </w:p>
  </w:endnote>
  <w:endnote w:id="40">
    <w:p w14:paraId="1A525A30" w14:textId="6D55EA17" w:rsidR="00A22536" w:rsidRPr="00427995" w:rsidRDefault="00A22536" w:rsidP="00937A74">
      <w:pPr>
        <w:pStyle w:val="Textonotaalfinal"/>
        <w:jc w:val="both"/>
        <w:rPr>
          <w:rFonts w:ascii="Arial" w:hAnsi="Arial" w:cs="Arial"/>
          <w:lang w:val="en-GB"/>
        </w:rPr>
      </w:pPr>
      <w:r w:rsidRPr="00937A74">
        <w:rPr>
          <w:rStyle w:val="Refdenotaalfinal"/>
          <w:rFonts w:ascii="Arial" w:hAnsi="Arial" w:cs="Arial"/>
        </w:rPr>
        <w:endnoteRef/>
      </w:r>
      <w:r w:rsidRPr="00427995">
        <w:rPr>
          <w:rFonts w:ascii="Arial" w:hAnsi="Arial" w:cs="Arial"/>
          <w:lang w:val="en-GB"/>
        </w:rPr>
        <w:t xml:space="preserve"> Biopharmaceutical Industry-Sponsored Clinical Trials: Impact on State EconomiesPrepared by Battelle Technology Partnership Practice Prepared for Pharmaceutical Research and Manufacturers of America (PhRMA) March 2015 </w:t>
      </w:r>
      <w:hyperlink r:id="rId21" w:history="1">
        <w:r w:rsidRPr="00427995">
          <w:rPr>
            <w:rStyle w:val="Hipervnculo"/>
            <w:rFonts w:ascii="Arial" w:hAnsi="Arial" w:cs="Arial"/>
            <w:lang w:val="en-GB"/>
          </w:rPr>
          <w:t>http://phrma-docs.phrma.org/sites/default/files/pdf/biopharmaceutical-industry-sponsored-clinical-trials-impact-on-state-economies.pdf</w:t>
        </w:r>
      </w:hyperlink>
    </w:p>
  </w:endnote>
  <w:endnote w:id="41">
    <w:p w14:paraId="4B7A6BA0" w14:textId="140262A7" w:rsidR="00A22536" w:rsidRPr="00427995" w:rsidRDefault="00A22536" w:rsidP="00937A74">
      <w:pPr>
        <w:pStyle w:val="Textonotaalfinal"/>
        <w:jc w:val="both"/>
        <w:rPr>
          <w:rFonts w:ascii="Arial" w:hAnsi="Arial" w:cs="Arial"/>
          <w:lang w:val="en-GB"/>
        </w:rPr>
      </w:pPr>
      <w:r>
        <w:rPr>
          <w:rStyle w:val="Refdenotaalfinal"/>
        </w:rPr>
        <w:endnoteRef/>
      </w:r>
      <w:r w:rsidRPr="00427995">
        <w:rPr>
          <w:lang w:val="en-GB"/>
        </w:rPr>
        <w:t xml:space="preserve"> </w:t>
      </w:r>
      <w:r w:rsidRPr="00427995">
        <w:rPr>
          <w:rFonts w:ascii="Arial" w:hAnsi="Arial" w:cs="Arial"/>
          <w:lang w:val="en-GB"/>
        </w:rPr>
        <w:t xml:space="preserve">Ledesma P .How much does a clinical trial cost? 2 Jan, 2020 </w:t>
      </w:r>
      <w:hyperlink r:id="rId22" w:history="1">
        <w:r w:rsidRPr="00427995">
          <w:rPr>
            <w:rStyle w:val="Hipervnculo"/>
            <w:rFonts w:ascii="Arial" w:hAnsi="Arial" w:cs="Arial"/>
            <w:lang w:val="en-GB"/>
          </w:rPr>
          <w:t>https://www.sofpromed.com/how-much-does-a-clinical-trial-cost/</w:t>
        </w:r>
      </w:hyperlink>
      <w:r w:rsidRPr="00427995">
        <w:rPr>
          <w:rFonts w:ascii="Arial" w:hAnsi="Arial" w:cs="Arial"/>
          <w:lang w:val="en-GB"/>
        </w:rPr>
        <w:t xml:space="preserve"> </w:t>
      </w:r>
    </w:p>
  </w:endnote>
  <w:endnote w:id="42">
    <w:p w14:paraId="6256C66D" w14:textId="138D59C5" w:rsidR="00A22536" w:rsidRPr="00427995" w:rsidRDefault="00A22536">
      <w:pPr>
        <w:pStyle w:val="Textonotaalfinal"/>
        <w:rPr>
          <w:lang w:val="en-GB"/>
        </w:rPr>
      </w:pPr>
      <w:r>
        <w:rPr>
          <w:rStyle w:val="Refdenotaalfinal"/>
        </w:rPr>
        <w:endnoteRef/>
      </w:r>
      <w:r w:rsidRPr="00427995">
        <w:rPr>
          <w:lang w:val="en-GB"/>
        </w:rPr>
        <w:t xml:space="preserve"> </w:t>
      </w:r>
      <w:r w:rsidRPr="00427995">
        <w:rPr>
          <w:rFonts w:ascii="Arial" w:hAnsi="Arial" w:cs="Arial"/>
          <w:lang w:val="en-GB"/>
        </w:rPr>
        <w:t xml:space="preserve">Thomas J Moore Variation in the estimated costs of pivotal clinical benefit trials supporting the US approval of new therapeutic agents, 2015–2017: a cross-sectional study BMJ Open. 2020; 10(6): </w:t>
      </w:r>
      <w:hyperlink r:id="rId23" w:history="1">
        <w:r w:rsidRPr="00427995">
          <w:rPr>
            <w:rStyle w:val="Hipervnculo"/>
            <w:rFonts w:ascii="Arial" w:hAnsi="Arial" w:cs="Arial"/>
            <w:lang w:val="en-GB"/>
          </w:rPr>
          <w:t>https://www.ncbi.nlm.nih.gov/pmc/articles/PMC7295430/</w:t>
        </w:r>
      </w:hyperlink>
      <w:r w:rsidRPr="00427995">
        <w:rPr>
          <w:rFonts w:ascii="Arial" w:hAnsi="Arial" w:cs="Arial"/>
          <w:lang w:val="en-GB"/>
        </w:rPr>
        <w:t xml:space="preserve"> </w:t>
      </w:r>
    </w:p>
  </w:endnote>
  <w:endnote w:id="43">
    <w:p w14:paraId="051DC848" w14:textId="423DCB8C" w:rsidR="00A22536" w:rsidRPr="00427995" w:rsidRDefault="00A22536" w:rsidP="00C60670">
      <w:pPr>
        <w:pStyle w:val="Textonotaalfinal"/>
        <w:jc w:val="both"/>
        <w:rPr>
          <w:rFonts w:ascii="Arial" w:hAnsi="Arial" w:cs="Arial"/>
          <w:lang w:val="en-GB"/>
        </w:rPr>
      </w:pPr>
      <w:r w:rsidRPr="00C60670">
        <w:rPr>
          <w:rStyle w:val="Refdenotaalfinal"/>
          <w:rFonts w:ascii="Arial" w:hAnsi="Arial" w:cs="Arial"/>
        </w:rPr>
        <w:endnoteRef/>
      </w:r>
      <w:r w:rsidRPr="00427995">
        <w:rPr>
          <w:rFonts w:ascii="Arial" w:hAnsi="Arial" w:cs="Arial"/>
          <w:lang w:val="en-GB"/>
        </w:rPr>
        <w:t xml:space="preserve"> News briefing: Novartis' Zolgensma hits blockbuster status, triggering $80M milestone; John Carroll October 27, 2020 </w:t>
      </w:r>
      <w:hyperlink r:id="rId24" w:history="1">
        <w:r w:rsidRPr="00427995">
          <w:rPr>
            <w:rStyle w:val="Hipervnculo"/>
            <w:rFonts w:ascii="Arial" w:hAnsi="Arial" w:cs="Arial"/>
            <w:lang w:val="en-GB"/>
          </w:rPr>
          <w:t>https://endpts.com/news-briefing-novartis-zolgensma-hits-blockbuster-status-triggering-80m-milestone-caris-raises-310m-for-genomic-profiling-expansion/</w:t>
        </w:r>
      </w:hyperlink>
    </w:p>
  </w:endnote>
  <w:endnote w:id="44">
    <w:p w14:paraId="5E56A6DD" w14:textId="77777777" w:rsidR="00A22536" w:rsidRPr="00427995" w:rsidRDefault="00A22536" w:rsidP="00DB183D">
      <w:pPr>
        <w:pStyle w:val="Textonotaalfinal"/>
        <w:jc w:val="both"/>
        <w:rPr>
          <w:rFonts w:ascii="Arial" w:hAnsi="Arial" w:cs="Arial"/>
          <w:lang w:val="en-GB"/>
        </w:rPr>
      </w:pPr>
      <w:r w:rsidRPr="00DB183D">
        <w:rPr>
          <w:rStyle w:val="Refdenotaalfinal"/>
          <w:rFonts w:ascii="Arial" w:hAnsi="Arial" w:cs="Arial"/>
        </w:rPr>
        <w:endnoteRef/>
      </w:r>
      <w:r w:rsidRPr="00427995">
        <w:rPr>
          <w:rFonts w:ascii="Arial" w:hAnsi="Arial" w:cs="Arial"/>
          <w:lang w:val="en-GB"/>
        </w:rPr>
        <w:t xml:space="preserve"> Novartis delivers strong Q3 performance from key growth drivers, Entresto sales +47%, Zolgensma up 82%</w:t>
      </w:r>
    </w:p>
    <w:p w14:paraId="2759E046" w14:textId="362390D8" w:rsidR="00A22536" w:rsidRPr="00427995" w:rsidRDefault="00A22536" w:rsidP="00DB183D">
      <w:pPr>
        <w:pStyle w:val="Textonotaalfinal"/>
        <w:jc w:val="both"/>
        <w:rPr>
          <w:lang w:val="en-GB"/>
        </w:rPr>
      </w:pPr>
      <w:r w:rsidRPr="00427995">
        <w:rPr>
          <w:rFonts w:ascii="Arial" w:hAnsi="Arial" w:cs="Arial"/>
          <w:lang w:val="en-GB"/>
        </w:rPr>
        <w:t xml:space="preserve">Oct. 27, 2020 4:21 AM ETNovartis  AG (NVS)By: Mamta Mayani, SA News Edito </w:t>
      </w:r>
      <w:hyperlink r:id="rId25" w:history="1">
        <w:r w:rsidRPr="00427995">
          <w:rPr>
            <w:rStyle w:val="Hipervnculo"/>
            <w:rFonts w:ascii="Arial" w:hAnsi="Arial" w:cs="Arial"/>
            <w:lang w:val="en-GB"/>
          </w:rPr>
          <w:t>https://seekingalpha.com/news/3626180-novartis-delivers-strong-q3-performance-from-key-growth-drivers-entresto-salesplus-47</w:t>
        </w:r>
      </w:hyperlink>
      <w:r w:rsidRPr="00427995">
        <w:rPr>
          <w:lang w:val="en-GB"/>
        </w:rPr>
        <w:t xml:space="preserve"> </w:t>
      </w:r>
    </w:p>
  </w:endnote>
  <w:endnote w:id="45">
    <w:p w14:paraId="381F9DFF" w14:textId="41F961F9" w:rsidR="00A22536" w:rsidRPr="00427995" w:rsidRDefault="00A22536" w:rsidP="00DB183D">
      <w:pPr>
        <w:pStyle w:val="Textonotaalfinal"/>
        <w:jc w:val="both"/>
        <w:rPr>
          <w:rFonts w:ascii="Arial" w:hAnsi="Arial" w:cs="Arial"/>
          <w:lang w:val="en-GB"/>
        </w:rPr>
      </w:pPr>
      <w:r w:rsidRPr="00DB183D">
        <w:rPr>
          <w:rStyle w:val="Refdenotaalfinal"/>
          <w:rFonts w:ascii="Arial" w:hAnsi="Arial" w:cs="Arial"/>
        </w:rPr>
        <w:endnoteRef/>
      </w:r>
      <w:r w:rsidRPr="00427995">
        <w:rPr>
          <w:rFonts w:ascii="Arial" w:hAnsi="Arial" w:cs="Arial"/>
          <w:lang w:val="en-GB"/>
        </w:rPr>
        <w:t xml:space="preserve"> Novartis Q3 2020 Results Investor presentation October 27, 2020 </w:t>
      </w:r>
      <w:hyperlink r:id="rId26" w:history="1">
        <w:r w:rsidRPr="00427995">
          <w:rPr>
            <w:rStyle w:val="Hipervnculo"/>
            <w:rFonts w:ascii="Arial" w:hAnsi="Arial" w:cs="Arial"/>
            <w:lang w:val="en-GB"/>
          </w:rPr>
          <w:t>https://www.novartis.com/sites/www.novartis.com/files/q3-2020-investor-presentation.pdf</w:t>
        </w:r>
      </w:hyperlink>
    </w:p>
  </w:endnote>
  <w:endnote w:id="46">
    <w:p w14:paraId="61F63D7C" w14:textId="69E0D912" w:rsidR="00A22536" w:rsidRPr="00427995" w:rsidRDefault="00A22536">
      <w:pPr>
        <w:pStyle w:val="Textonotaalfinal"/>
        <w:rPr>
          <w:rFonts w:ascii="Arial" w:hAnsi="Arial" w:cs="Arial"/>
          <w:lang w:val="en-GB"/>
        </w:rPr>
      </w:pPr>
      <w:r w:rsidRPr="00DB183D">
        <w:rPr>
          <w:rStyle w:val="Refdenotaalfinal"/>
          <w:rFonts w:ascii="Arial" w:hAnsi="Arial" w:cs="Arial"/>
        </w:rPr>
        <w:endnoteRef/>
      </w:r>
      <w:r w:rsidRPr="00427995">
        <w:rPr>
          <w:rFonts w:ascii="Arial" w:hAnsi="Arial" w:cs="Arial"/>
          <w:lang w:val="en-GB"/>
        </w:rPr>
        <w:t xml:space="preserve"> REGENXBIO to Receive $80.0 Million Milestone Payment from Novartis AG Published: Oct 27, 2020 </w:t>
      </w:r>
      <w:hyperlink r:id="rId27" w:history="1">
        <w:r w:rsidRPr="00427995">
          <w:rPr>
            <w:rStyle w:val="Hipervnculo"/>
            <w:rFonts w:ascii="Arial" w:hAnsi="Arial" w:cs="Arial"/>
            <w:lang w:val="en-GB"/>
          </w:rPr>
          <w:t>https://www.biospace.com/article/releases/regenxbio-to-receive-80-0-million-milestone-payment-from-novartis-ag/</w:t>
        </w:r>
      </w:hyperlink>
      <w:r w:rsidRPr="00427995">
        <w:rPr>
          <w:rFonts w:ascii="Arial" w:hAnsi="Arial" w:cs="Arial"/>
          <w:lang w:val="en-GB"/>
        </w:rPr>
        <w:t xml:space="preserve"> </w:t>
      </w:r>
    </w:p>
  </w:endnote>
  <w:endnote w:id="47">
    <w:p w14:paraId="7A76E2C6" w14:textId="01D8A42A" w:rsidR="00A22536" w:rsidRPr="00427995" w:rsidRDefault="00A22536" w:rsidP="00DB183D">
      <w:pPr>
        <w:pStyle w:val="Textonotaalfinal"/>
        <w:rPr>
          <w:rFonts w:ascii="Arial" w:hAnsi="Arial" w:cs="Arial"/>
          <w:lang w:val="en-GB"/>
        </w:rPr>
      </w:pPr>
      <w:r w:rsidRPr="00DB183D">
        <w:rPr>
          <w:rStyle w:val="Refdenotaalfinal"/>
          <w:rFonts w:ascii="Arial" w:hAnsi="Arial" w:cs="Arial"/>
        </w:rPr>
        <w:endnoteRef/>
      </w:r>
      <w:r w:rsidRPr="00427995">
        <w:rPr>
          <w:rFonts w:ascii="Arial" w:hAnsi="Arial" w:cs="Arial"/>
          <w:lang w:val="en-GB"/>
        </w:rPr>
        <w:t xml:space="preserve"> Study suggests Zolgensma will generate $2.5bn of global sales by 20251 March 2020 | Victoria Rees EPR European Pharmaceutical Review  </w:t>
      </w:r>
      <w:hyperlink r:id="rId28" w:history="1">
        <w:r w:rsidRPr="00427995">
          <w:rPr>
            <w:rStyle w:val="Hipervnculo"/>
            <w:rFonts w:ascii="Arial" w:hAnsi="Arial" w:cs="Arial"/>
            <w:lang w:val="en-GB"/>
          </w:rPr>
          <w:t>https://www.europeanpharmaceuticalreview.com/news/116064/study-suggests-zolgensma-will-generate-2-5bn-of-global-sales-by-2025/</w:t>
        </w:r>
      </w:hyperlink>
      <w:r w:rsidRPr="00427995">
        <w:rPr>
          <w:rFonts w:ascii="Arial" w:hAnsi="Arial" w:cs="Arial"/>
          <w:lang w:val="en-GB"/>
        </w:rPr>
        <w:t xml:space="preserve"> </w:t>
      </w:r>
    </w:p>
  </w:endnote>
  <w:endnote w:id="48">
    <w:p w14:paraId="13E74898" w14:textId="0CADE0FC" w:rsidR="00A22536" w:rsidRDefault="00A22536">
      <w:pPr>
        <w:pStyle w:val="Textonotaalfinal"/>
      </w:pPr>
      <w:r>
        <w:rPr>
          <w:rStyle w:val="Refdenotaalfinal"/>
        </w:rPr>
        <w:endnoteRef/>
      </w:r>
      <w:r w:rsidRPr="00427995">
        <w:rPr>
          <w:lang w:val="en-GB"/>
        </w:rPr>
        <w:t xml:space="preserve"> </w:t>
      </w:r>
      <w:r w:rsidRPr="00427995">
        <w:rPr>
          <w:rFonts w:ascii="Arial" w:hAnsi="Arial" w:cs="Arial"/>
          <w:lang w:val="en-GB"/>
        </w:rPr>
        <w:t xml:space="preserve">Novartis’ Zolgensma expected to generate global sales of $2.5bn by 2025 with new data set to bolster the drug’s uptake, says GlobalData 27 Mar 2020. </w:t>
      </w:r>
      <w:hyperlink r:id="rId29" w:history="1">
        <w:r w:rsidRPr="004D409E">
          <w:rPr>
            <w:rStyle w:val="Hipervnculo"/>
            <w:rFonts w:ascii="Arial" w:hAnsi="Arial" w:cs="Arial"/>
          </w:rPr>
          <w:t>https://www.globaldata.com/novartis-zolgensma-expected-to-generate-global-sales-of-2-5bn-by-2025-with-new-data-set-to-bolster-the-drugs-uptake-says-globaldata/</w:t>
        </w:r>
      </w:hyperlink>
      <w:r>
        <w:rPr>
          <w:rFonts w:ascii="Arial" w:hAnsi="Arial" w:cs="Arial"/>
        </w:rPr>
        <w:t xml:space="preserve"> </w:t>
      </w:r>
    </w:p>
  </w:endnote>
  <w:endnote w:id="49">
    <w:p w14:paraId="490F885C" w14:textId="0DB19A4A" w:rsidR="00A22536" w:rsidRPr="00427995" w:rsidRDefault="00A22536" w:rsidP="00DB183D">
      <w:pPr>
        <w:pStyle w:val="Textonotaalfinal"/>
        <w:jc w:val="both"/>
        <w:rPr>
          <w:rFonts w:ascii="Arial" w:hAnsi="Arial" w:cs="Arial"/>
          <w:lang w:val="en-GB"/>
        </w:rPr>
      </w:pPr>
      <w:r w:rsidRPr="00DB183D">
        <w:rPr>
          <w:rStyle w:val="Refdenotaalfinal"/>
          <w:rFonts w:ascii="Arial" w:hAnsi="Arial" w:cs="Arial"/>
        </w:rPr>
        <w:endnoteRef/>
      </w:r>
      <w:r w:rsidRPr="00427995">
        <w:rPr>
          <w:rFonts w:ascii="Arial" w:hAnsi="Arial" w:cs="Arial"/>
          <w:lang w:val="en-GB"/>
        </w:rPr>
        <w:t xml:space="preserve"> 14 Aug 2019 Manipulated Zolgensma data may add to further woes for Novartis Posted in Pharma </w:t>
      </w:r>
      <w:hyperlink r:id="rId30" w:history="1">
        <w:r w:rsidRPr="00427995">
          <w:rPr>
            <w:rStyle w:val="Hipervnculo"/>
            <w:rFonts w:ascii="Arial" w:hAnsi="Arial" w:cs="Arial"/>
            <w:lang w:val="en-GB"/>
          </w:rPr>
          <w:t>https://www.globaldata.com/manipulated-zolgensma-data-may-add-to-further-woes-for-novartis/</w:t>
        </w:r>
      </w:hyperlink>
      <w:r w:rsidRPr="00427995">
        <w:rPr>
          <w:rFonts w:ascii="Arial" w:hAnsi="Arial" w:cs="Arial"/>
          <w:lang w:val="en-GB"/>
        </w:rPr>
        <w:t xml:space="preserve"> </w:t>
      </w:r>
    </w:p>
  </w:endnote>
  <w:endnote w:id="50">
    <w:p w14:paraId="5991A42B" w14:textId="54BD926C" w:rsidR="00A22536" w:rsidRPr="00427995" w:rsidRDefault="00A22536" w:rsidP="00DB183D">
      <w:pPr>
        <w:pStyle w:val="Textonotaalfinal"/>
        <w:jc w:val="both"/>
        <w:rPr>
          <w:lang w:val="en-GB"/>
        </w:rPr>
      </w:pPr>
      <w:r>
        <w:rPr>
          <w:rStyle w:val="Refdenotaalfinal"/>
        </w:rPr>
        <w:endnoteRef/>
      </w:r>
      <w:r w:rsidRPr="00427995">
        <w:rPr>
          <w:lang w:val="en-GB"/>
        </w:rPr>
        <w:t xml:space="preserve"> </w:t>
      </w:r>
      <w:r w:rsidRPr="00427995">
        <w:rPr>
          <w:rFonts w:ascii="Arial" w:hAnsi="Arial" w:cs="Arial"/>
          <w:lang w:val="en-GB"/>
        </w:rPr>
        <w:t xml:space="preserve">17 Jul 2019 Zolgensma’s reimbursement challenges are expected to be overcome, says GlobalData Posted in Press Release </w:t>
      </w:r>
      <w:hyperlink r:id="rId31" w:history="1">
        <w:r w:rsidRPr="00427995">
          <w:rPr>
            <w:rStyle w:val="Hipervnculo"/>
            <w:rFonts w:ascii="Arial" w:hAnsi="Arial" w:cs="Arial"/>
            <w:lang w:val="en-GB"/>
          </w:rPr>
          <w:t>https://www.globaldata.com/zolgensmas-reimbursement-challenges-are-expected-to-be-overcome-says-globaldata/</w:t>
        </w:r>
      </w:hyperlink>
      <w:r w:rsidRPr="00427995">
        <w:rPr>
          <w:rFonts w:ascii="Arial" w:hAnsi="Arial" w:cs="Arial"/>
          <w:lang w:val="en-GB"/>
        </w:rPr>
        <w:t xml:space="preserve"> </w:t>
      </w:r>
    </w:p>
  </w:endnote>
  <w:endnote w:id="51">
    <w:p w14:paraId="39C931E6" w14:textId="67CC1658" w:rsidR="00A22536" w:rsidRPr="00427995" w:rsidRDefault="00A22536">
      <w:pPr>
        <w:pStyle w:val="Textonotaalfinal"/>
        <w:rPr>
          <w:lang w:val="en-GB"/>
        </w:rPr>
      </w:pPr>
      <w:r>
        <w:rPr>
          <w:rStyle w:val="Refdenotaalfinal"/>
        </w:rPr>
        <w:endnoteRef/>
      </w:r>
      <w:r w:rsidRPr="00427995">
        <w:rPr>
          <w:lang w:val="en-GB"/>
        </w:rPr>
        <w:t xml:space="preserve"> </w:t>
      </w:r>
      <w:hyperlink r:id="rId32" w:history="1">
        <w:r w:rsidRPr="00427995">
          <w:rPr>
            <w:rStyle w:val="Hipervnculo"/>
            <w:rFonts w:ascii="Arial" w:hAnsi="Arial" w:cs="Arial"/>
            <w:lang w:val="en-GB"/>
          </w:rPr>
          <w:t>https://store.globaldata.com/report/gdhc096poa--spinal-muscular-atrophy-sma-opportunity-analysis-and-forecasts-to-2028/</w:t>
        </w:r>
      </w:hyperlink>
    </w:p>
  </w:endnote>
  <w:endnote w:id="52">
    <w:p w14:paraId="38FF5B74" w14:textId="369901A4" w:rsidR="00A22536" w:rsidRPr="00621BAF" w:rsidRDefault="00A22536" w:rsidP="00621BAF">
      <w:pPr>
        <w:pStyle w:val="Textonotaalfinal"/>
        <w:rPr>
          <w:rFonts w:ascii="Arial" w:hAnsi="Arial" w:cs="Arial"/>
        </w:rPr>
      </w:pPr>
      <w:r w:rsidRPr="00DB183D">
        <w:rPr>
          <w:rStyle w:val="Refdenotaalfinal"/>
          <w:rFonts w:ascii="Arial" w:hAnsi="Arial" w:cs="Arial"/>
        </w:rPr>
        <w:endnoteRef/>
      </w:r>
      <w:r w:rsidRPr="00427995">
        <w:rPr>
          <w:rFonts w:ascii="Arial" w:hAnsi="Arial" w:cs="Arial"/>
          <w:lang w:val="en-GB"/>
        </w:rPr>
        <w:t xml:space="preserve"> Spinal Muscular Atrophy (SMA): Opportunity Analysis and Forecasts to 2028 Pages: 88  Published: June 2019.  </w:t>
      </w:r>
      <w:hyperlink r:id="rId33" w:history="1">
        <w:r w:rsidRPr="00621BAF">
          <w:rPr>
            <w:rStyle w:val="Hipervnculo"/>
            <w:rFonts w:ascii="Arial" w:hAnsi="Arial" w:cs="Arial"/>
          </w:rPr>
          <w:t>https://www.globaldata.com/novartis-intrathecal-zolgensma-delay-older-patients-bodes-well-competitors/</w:t>
        </w:r>
      </w:hyperlink>
      <w:r w:rsidRPr="00621BAF">
        <w:rPr>
          <w:rFonts w:ascii="Arial" w:hAnsi="Arial" w:cs="Arial"/>
        </w:rPr>
        <w:t xml:space="preserve"> </w:t>
      </w:r>
    </w:p>
  </w:endnote>
  <w:endnote w:id="53">
    <w:p w14:paraId="571F665B" w14:textId="238B6B1D" w:rsidR="00A22536" w:rsidRDefault="00A22536" w:rsidP="00621BAF">
      <w:pPr>
        <w:pStyle w:val="Textonotaalfinal"/>
      </w:pPr>
      <w:r w:rsidRPr="00621BAF">
        <w:rPr>
          <w:rStyle w:val="Refdenotaalfinal"/>
          <w:rFonts w:ascii="Arial" w:hAnsi="Arial" w:cs="Arial"/>
        </w:rPr>
        <w:endnoteRef/>
      </w:r>
      <w:r w:rsidRPr="00427995">
        <w:rPr>
          <w:rFonts w:ascii="Arial" w:hAnsi="Arial" w:cs="Arial"/>
          <w:lang w:val="en-GB"/>
        </w:rPr>
        <w:t xml:space="preserve">Drug Launch of the Year: Zolgensma Dic 2019. </w:t>
      </w:r>
      <w:hyperlink r:id="rId34" w:history="1">
        <w:r w:rsidRPr="00621BAF">
          <w:rPr>
            <w:rStyle w:val="Hipervnculo"/>
            <w:rFonts w:ascii="Arial" w:hAnsi="Arial" w:cs="Arial"/>
          </w:rPr>
          <w:t>https://www.biopharmadive.com/news/zolgensma-novartis-drug-launch-dive-awards/566260/</w:t>
        </w:r>
      </w:hyperlink>
      <w:r>
        <w:t xml:space="preserve"> </w:t>
      </w:r>
    </w:p>
  </w:endnote>
  <w:endnote w:id="54">
    <w:p w14:paraId="6AA69097" w14:textId="77777777" w:rsidR="00A22536" w:rsidRPr="00427995" w:rsidRDefault="00A22536" w:rsidP="00621BAF">
      <w:pPr>
        <w:jc w:val="both"/>
        <w:rPr>
          <w:rFonts w:ascii="Arial" w:hAnsi="Arial" w:cs="Arial"/>
          <w:sz w:val="20"/>
          <w:szCs w:val="20"/>
          <w:lang w:val="en-GB"/>
        </w:rPr>
      </w:pPr>
      <w:r w:rsidRPr="00591A3A">
        <w:rPr>
          <w:rStyle w:val="Refdenotaalfinal"/>
          <w:rFonts w:ascii="Arial" w:hAnsi="Arial" w:cs="Arial"/>
          <w:sz w:val="20"/>
          <w:szCs w:val="20"/>
        </w:rPr>
        <w:endnoteRef/>
      </w:r>
      <w:r w:rsidRPr="00427995">
        <w:rPr>
          <w:rFonts w:ascii="Arial" w:hAnsi="Arial" w:cs="Arial"/>
          <w:sz w:val="20"/>
          <w:szCs w:val="20"/>
          <w:lang w:val="en-GB"/>
        </w:rPr>
        <w:t xml:space="preserve"> Ned Pagliarulo Biogen to study use of key SMA drug after Novartis gene therapy. 21/07/2020 </w:t>
      </w:r>
      <w:hyperlink r:id="rId35" w:history="1">
        <w:r w:rsidRPr="00427995">
          <w:rPr>
            <w:rStyle w:val="Hipervnculo"/>
            <w:rFonts w:ascii="Arial" w:hAnsi="Arial" w:cs="Arial"/>
            <w:sz w:val="20"/>
            <w:szCs w:val="20"/>
            <w:lang w:val="en-GB"/>
          </w:rPr>
          <w:t>https://www.biopharmadive.com/news/biogen-to-study-use-of-key-sma-drug-after-novartis-gene-therapy/581996/</w:t>
        </w:r>
      </w:hyperlink>
      <w:r w:rsidRPr="00427995">
        <w:rPr>
          <w:rFonts w:ascii="Arial" w:hAnsi="Arial" w:cs="Arial"/>
          <w:color w:val="C00000"/>
          <w:sz w:val="20"/>
          <w:szCs w:val="20"/>
          <w:lang w:val="en-GB"/>
        </w:rPr>
        <w:t xml:space="preserve"> </w:t>
      </w:r>
    </w:p>
  </w:endnote>
  <w:endnote w:id="55">
    <w:p w14:paraId="1305E167" w14:textId="77777777" w:rsidR="00A22536" w:rsidRPr="00427995" w:rsidRDefault="00A22536" w:rsidP="00621BAF">
      <w:pPr>
        <w:pStyle w:val="Textonotaalfinal"/>
        <w:rPr>
          <w:rFonts w:ascii="Arial" w:hAnsi="Arial" w:cs="Arial"/>
          <w:lang w:val="en-GB"/>
        </w:rPr>
      </w:pPr>
      <w:r w:rsidRPr="004E33D7">
        <w:rPr>
          <w:rStyle w:val="Refdenotaalfinal"/>
          <w:rFonts w:ascii="Arial" w:hAnsi="Arial" w:cs="Arial"/>
        </w:rPr>
        <w:endnoteRef/>
      </w:r>
      <w:r w:rsidRPr="00427995">
        <w:rPr>
          <w:rFonts w:ascii="Arial" w:hAnsi="Arial" w:cs="Arial"/>
          <w:lang w:val="en-GB"/>
        </w:rPr>
        <w:t xml:space="preserve"> Biogen plana to initiate phase 4  study evaluating benefit of Spinraza (nusirensen)  in pateints trated with Zolgensma (Onasemnogene abeparvovec) July 21, 2020   </w:t>
      </w:r>
      <w:hyperlink r:id="rId36" w:history="1">
        <w:r w:rsidRPr="00427995">
          <w:rPr>
            <w:rFonts w:ascii="Arial" w:hAnsi="Arial" w:cs="Arial"/>
            <w:color w:val="0000FF"/>
            <w:u w:val="single"/>
            <w:lang w:val="en-GB"/>
          </w:rPr>
          <w:t>https://investors.biogen.com/news-releases/news-release-details/biogen-plans-initiate-phase-4-study-evaluating-benefit-spinrazar</w:t>
        </w:r>
      </w:hyperlink>
    </w:p>
  </w:endnote>
  <w:endnote w:id="56">
    <w:p w14:paraId="0C131482" w14:textId="783D16EA" w:rsidR="00A22536" w:rsidRPr="00427995" w:rsidRDefault="00A22536" w:rsidP="00D254B6">
      <w:pPr>
        <w:pStyle w:val="Textonotaalfinal"/>
        <w:jc w:val="both"/>
        <w:rPr>
          <w:rFonts w:ascii="Arial" w:hAnsi="Arial" w:cs="Arial"/>
          <w:lang w:val="en-GB"/>
        </w:rPr>
      </w:pPr>
      <w:r w:rsidRPr="00D254B6">
        <w:rPr>
          <w:rStyle w:val="Refdenotaalfinal"/>
          <w:rFonts w:ascii="Arial" w:hAnsi="Arial" w:cs="Arial"/>
        </w:rPr>
        <w:endnoteRef/>
      </w:r>
      <w:r w:rsidRPr="00427995">
        <w:rPr>
          <w:rFonts w:ascii="Arial" w:hAnsi="Arial" w:cs="Arial"/>
          <w:lang w:val="en-GB"/>
        </w:rPr>
        <w:t xml:space="preserve"> Novartis Gene Therapies president talks Zolgensma competition, path forward for new formulation by Angus Liu | Oct 29, 2020 </w:t>
      </w:r>
      <w:hyperlink r:id="rId37" w:history="1">
        <w:r w:rsidRPr="00427995">
          <w:rPr>
            <w:rStyle w:val="Hipervnculo"/>
            <w:rFonts w:ascii="Arial" w:hAnsi="Arial" w:cs="Arial"/>
            <w:lang w:val="en-GB"/>
          </w:rPr>
          <w:t>https://www.fiercepharma.com/pharma/novartis-gene-therapies-president-talks-zolgensma-competition-path-forward-for-new</w:t>
        </w:r>
      </w:hyperlink>
      <w:r w:rsidRPr="00427995">
        <w:rPr>
          <w:rFonts w:ascii="Arial" w:hAnsi="Arial" w:cs="Arial"/>
          <w:lang w:val="en-GB"/>
        </w:rPr>
        <w:t xml:space="preserve"> </w:t>
      </w:r>
    </w:p>
  </w:endnote>
  <w:endnote w:id="57">
    <w:p w14:paraId="411FFD1F" w14:textId="680F5E53" w:rsidR="00A22536" w:rsidRPr="00427995" w:rsidRDefault="00A22536" w:rsidP="00D254B6">
      <w:pPr>
        <w:pStyle w:val="Textonotaalfinal"/>
        <w:jc w:val="both"/>
        <w:rPr>
          <w:rFonts w:ascii="Arial" w:hAnsi="Arial" w:cs="Arial"/>
          <w:lang w:val="en-GB"/>
        </w:rPr>
      </w:pPr>
      <w:r w:rsidRPr="00D254B6">
        <w:rPr>
          <w:rStyle w:val="Refdenotaalfinal"/>
          <w:rFonts w:ascii="Arial" w:hAnsi="Arial" w:cs="Arial"/>
        </w:rPr>
        <w:endnoteRef/>
      </w:r>
      <w:r w:rsidRPr="00427995">
        <w:rPr>
          <w:rFonts w:ascii="Arial" w:hAnsi="Arial" w:cs="Arial"/>
          <w:lang w:val="en-GB"/>
        </w:rPr>
        <w:t xml:space="preserve"> Peter B. Bach Zolgensma: A Remarkable New Treatment, An ICER Analysis, And A Poorly Justified Price JUNE 18, 2019 </w:t>
      </w:r>
      <w:hyperlink r:id="rId38" w:history="1">
        <w:r w:rsidRPr="00427995">
          <w:rPr>
            <w:rStyle w:val="Hipervnculo"/>
            <w:rFonts w:ascii="Arial" w:hAnsi="Arial" w:cs="Arial"/>
            <w:lang w:val="en-GB"/>
          </w:rPr>
          <w:t>https://www.healthaffairs.org/do/10.1377/hblog20190617.50453/full/</w:t>
        </w:r>
      </w:hyperlink>
      <w:r w:rsidRPr="00427995">
        <w:rPr>
          <w:rFonts w:ascii="Arial" w:hAnsi="Arial" w:cs="Arial"/>
          <w:lang w:val="en-GB"/>
        </w:rPr>
        <w:t xml:space="preserve"> </w:t>
      </w:r>
    </w:p>
  </w:endnote>
  <w:endnote w:id="58">
    <w:p w14:paraId="2DAE8E20" w14:textId="77777777" w:rsidR="00A22536" w:rsidRPr="00427995" w:rsidRDefault="00A22536" w:rsidP="00A01307">
      <w:pPr>
        <w:jc w:val="both"/>
        <w:rPr>
          <w:rFonts w:ascii="Arial" w:hAnsi="Arial" w:cs="Arial"/>
          <w:sz w:val="20"/>
          <w:szCs w:val="20"/>
          <w:lang w:val="en-GB"/>
        </w:rPr>
      </w:pPr>
      <w:r w:rsidRPr="00427995">
        <w:rPr>
          <w:rStyle w:val="Refdenotaalfinal"/>
          <w:rFonts w:ascii="Arial" w:hAnsi="Arial" w:cs="Arial"/>
          <w:sz w:val="20"/>
        </w:rPr>
        <w:endnoteRef/>
      </w:r>
      <w:r w:rsidRPr="00427995">
        <w:rPr>
          <w:rFonts w:ascii="Arial" w:hAnsi="Arial" w:cs="Arial"/>
          <w:sz w:val="20"/>
          <w:lang w:val="en-GB"/>
        </w:rPr>
        <w:t xml:space="preserve"> </w:t>
      </w:r>
      <w:r w:rsidRPr="00427995">
        <w:rPr>
          <w:rFonts w:ascii="Arial" w:hAnsi="Arial" w:cs="Arial"/>
          <w:sz w:val="20"/>
          <w:szCs w:val="20"/>
          <w:lang w:val="en-GB"/>
        </w:rPr>
        <w:t>ICER. Spinraza® and Zolgensma®® for Spinal Muscular Atrophy: Effectiveness and Value</w:t>
      </w:r>
    </w:p>
    <w:p w14:paraId="1C8F1C26" w14:textId="77777777" w:rsidR="00A22536" w:rsidRPr="00427995" w:rsidRDefault="00A22536" w:rsidP="00A01307">
      <w:pPr>
        <w:jc w:val="both"/>
        <w:rPr>
          <w:rFonts w:ascii="Arial" w:hAnsi="Arial" w:cs="Arial"/>
          <w:sz w:val="20"/>
          <w:szCs w:val="20"/>
          <w:lang w:val="en-GB"/>
        </w:rPr>
      </w:pPr>
      <w:r w:rsidRPr="00427995">
        <w:rPr>
          <w:rFonts w:ascii="Arial" w:hAnsi="Arial" w:cs="Arial"/>
          <w:sz w:val="20"/>
          <w:szCs w:val="20"/>
          <w:lang w:val="en-GB"/>
        </w:rPr>
        <w:t xml:space="preserve">Final Evidence Report April 3, 201 </w:t>
      </w:r>
    </w:p>
    <w:p w14:paraId="39378BF6" w14:textId="77777777" w:rsidR="00A22536" w:rsidRPr="00427995" w:rsidRDefault="00A22536" w:rsidP="00A01307">
      <w:pPr>
        <w:jc w:val="both"/>
        <w:rPr>
          <w:rFonts w:ascii="Arial" w:hAnsi="Arial" w:cs="Arial"/>
          <w:color w:val="C00000"/>
          <w:sz w:val="18"/>
          <w:szCs w:val="20"/>
          <w:lang w:val="en-GB"/>
        </w:rPr>
      </w:pPr>
      <w:hyperlink r:id="rId39" w:history="1">
        <w:r w:rsidRPr="00427995">
          <w:rPr>
            <w:rStyle w:val="Hipervnculo"/>
            <w:rFonts w:ascii="Arial" w:hAnsi="Arial" w:cs="Arial"/>
            <w:sz w:val="18"/>
            <w:szCs w:val="20"/>
            <w:lang w:val="en-GB"/>
          </w:rPr>
          <w:t>https://icer-review.org/wp-content/uploads/2018/07/ICER_SMA_Final_Evidence_Report_110220.pdf</w:t>
        </w:r>
      </w:hyperlink>
      <w:r w:rsidRPr="00427995">
        <w:rPr>
          <w:rFonts w:ascii="Arial" w:hAnsi="Arial" w:cs="Arial"/>
          <w:color w:val="C00000"/>
          <w:sz w:val="18"/>
          <w:szCs w:val="20"/>
          <w:lang w:val="en-GB"/>
        </w:rPr>
        <w:t xml:space="preserve"> </w:t>
      </w:r>
    </w:p>
  </w:endnote>
  <w:endnote w:id="59">
    <w:p w14:paraId="242E11AB" w14:textId="77777777" w:rsidR="00A22536" w:rsidRPr="00427995" w:rsidRDefault="00A22536" w:rsidP="00282FA4">
      <w:pPr>
        <w:pStyle w:val="Textonotapie"/>
        <w:jc w:val="both"/>
        <w:rPr>
          <w:lang w:val="en-GB"/>
        </w:rPr>
      </w:pPr>
      <w:r w:rsidRPr="00282FA4">
        <w:rPr>
          <w:rStyle w:val="Refdenotaalfinal"/>
        </w:rPr>
        <w:endnoteRef/>
      </w:r>
      <w:r w:rsidRPr="00427995">
        <w:rPr>
          <w:lang w:val="en-GB"/>
        </w:rPr>
        <w:t xml:space="preserve"> ICER’s Assessment Finds Spinraza and Zolgensma Provide Substantial Health Benefits for People with Spinal Muscular Atrophy February 22, 2019  </w:t>
      </w:r>
      <w:hyperlink r:id="rId40" w:history="1">
        <w:r w:rsidRPr="00427995">
          <w:rPr>
            <w:rStyle w:val="Hipervnculo"/>
            <w:lang w:val="en-GB"/>
          </w:rPr>
          <w:t>https://icer-review.org/announcements/sma_evidence_report/</w:t>
        </w:r>
      </w:hyperlink>
      <w:r w:rsidRPr="00427995">
        <w:rPr>
          <w:lang w:val="en-GB"/>
        </w:rPr>
        <w:t xml:space="preserve">     </w:t>
      </w:r>
    </w:p>
    <w:p w14:paraId="49C0133D" w14:textId="27FFD0EA" w:rsidR="00A22536" w:rsidRPr="00427995" w:rsidRDefault="00A22536" w:rsidP="00282FA4">
      <w:pPr>
        <w:pStyle w:val="Textonotaalfinal"/>
        <w:jc w:val="both"/>
        <w:rPr>
          <w:rFonts w:ascii="Arial" w:hAnsi="Arial" w:cs="Arial"/>
          <w:lang w:val="en-GB"/>
        </w:rPr>
      </w:pPr>
      <w:r w:rsidRPr="00427995">
        <w:rPr>
          <w:rFonts w:ascii="Arial" w:hAnsi="Arial" w:cs="Arial"/>
          <w:lang w:val="en-GB"/>
        </w:rPr>
        <w:t xml:space="preserve">How this gene therapy drug earned its $2.1 million price tag  SALLY C. PIPES .Fortune February 7, 2020 </w:t>
      </w:r>
      <w:hyperlink r:id="rId41" w:history="1">
        <w:r w:rsidRPr="00427995">
          <w:rPr>
            <w:rStyle w:val="Hipervnculo"/>
            <w:rFonts w:ascii="Arial" w:hAnsi="Arial" w:cs="Arial"/>
            <w:lang w:val="en-GB"/>
          </w:rPr>
          <w:t>https://fortune.com/2020/02/07/zolgensma-high-drug-prices/</w:t>
        </w:r>
      </w:hyperlink>
    </w:p>
  </w:endnote>
  <w:endnote w:id="60">
    <w:p w14:paraId="082F7CE2" w14:textId="5E2D997F" w:rsidR="00A22536" w:rsidRPr="00427995" w:rsidRDefault="00A22536" w:rsidP="00426AA6">
      <w:pPr>
        <w:pStyle w:val="Textonotaalfinal"/>
        <w:jc w:val="both"/>
        <w:rPr>
          <w:rFonts w:ascii="Arial" w:hAnsi="Arial" w:cs="Arial"/>
          <w:lang w:val="en-GB"/>
        </w:rPr>
      </w:pPr>
      <w:r>
        <w:rPr>
          <w:rStyle w:val="Refdenotaalfinal"/>
        </w:rPr>
        <w:endnoteRef/>
      </w:r>
      <w:r w:rsidRPr="00427995">
        <w:rPr>
          <w:lang w:val="en-GB"/>
        </w:rPr>
        <w:t xml:space="preserve"> </w:t>
      </w:r>
      <w:r w:rsidRPr="00427995">
        <w:rPr>
          <w:rFonts w:ascii="Arial" w:hAnsi="Arial" w:cs="Arial"/>
          <w:lang w:val="en-GB"/>
        </w:rPr>
        <w:t xml:space="preserve">How this gene therapy drug earned its $2.1 million price tag  SALLY C. PIPES .Fortune February 7, 2020 </w:t>
      </w:r>
      <w:hyperlink r:id="rId42" w:history="1">
        <w:r w:rsidRPr="00427995">
          <w:rPr>
            <w:rStyle w:val="Hipervnculo"/>
            <w:rFonts w:ascii="Arial" w:hAnsi="Arial" w:cs="Arial"/>
            <w:lang w:val="en-GB"/>
          </w:rPr>
          <w:t>https://fortune.com/2020/02/07/zolgensma-high-drug-prices/</w:t>
        </w:r>
      </w:hyperlink>
      <w:r w:rsidRPr="00427995">
        <w:rPr>
          <w:rStyle w:val="Hipervnculo"/>
          <w:rFonts w:ascii="Arial" w:hAnsi="Arial" w:cs="Arial"/>
          <w:lang w:val="en-GB"/>
        </w:rPr>
        <w:t xml:space="preserve"> </w:t>
      </w:r>
    </w:p>
  </w:endnote>
  <w:endnote w:id="61">
    <w:p w14:paraId="55603E9D" w14:textId="00A42677" w:rsidR="00A22536" w:rsidRPr="00427995" w:rsidRDefault="00A22536" w:rsidP="00282FA4">
      <w:pPr>
        <w:pStyle w:val="Textonotaalfinal"/>
        <w:jc w:val="both"/>
        <w:rPr>
          <w:rFonts w:ascii="Arial" w:hAnsi="Arial" w:cs="Arial"/>
          <w:lang w:val="en-GB"/>
        </w:rPr>
      </w:pPr>
      <w:r w:rsidRPr="00282FA4">
        <w:rPr>
          <w:rStyle w:val="Refdenotaalfinal"/>
          <w:rFonts w:ascii="Arial" w:hAnsi="Arial" w:cs="Arial"/>
        </w:rPr>
        <w:endnoteRef/>
      </w:r>
      <w:r w:rsidRPr="00427995">
        <w:rPr>
          <w:rFonts w:ascii="Arial" w:hAnsi="Arial" w:cs="Arial"/>
          <w:lang w:val="en-GB"/>
        </w:rPr>
        <w:t xml:space="preserve"> Peter B. Bach Zolgensma: A Remarkable New Treatment, An ICER Analysis, And A Poorly Justified Price JUNE 18, 2019 </w:t>
      </w:r>
      <w:hyperlink r:id="rId43" w:history="1">
        <w:r w:rsidRPr="00427995">
          <w:rPr>
            <w:rStyle w:val="Hipervnculo"/>
            <w:rFonts w:ascii="Arial" w:hAnsi="Arial" w:cs="Arial"/>
            <w:lang w:val="en-GB"/>
          </w:rPr>
          <w:t>https://www.healthaffairs.org/do/10.1377/hblog20190617.50453/full/</w:t>
        </w:r>
      </w:hyperlink>
      <w:r w:rsidRPr="00427995">
        <w:rPr>
          <w:rFonts w:ascii="Arial" w:hAnsi="Arial" w:cs="Arial"/>
          <w:lang w:val="en-GB"/>
        </w:rPr>
        <w:t xml:space="preserve"> </w:t>
      </w:r>
    </w:p>
  </w:endnote>
  <w:endnote w:id="62">
    <w:p w14:paraId="08C32DC6" w14:textId="77777777" w:rsidR="00A22536" w:rsidRPr="00472812" w:rsidRDefault="00A22536" w:rsidP="004C735B">
      <w:pPr>
        <w:pStyle w:val="Textonotaalfinal"/>
        <w:jc w:val="both"/>
        <w:rPr>
          <w:rFonts w:ascii="Arial" w:hAnsi="Arial" w:cs="Arial"/>
        </w:rPr>
      </w:pPr>
      <w:r w:rsidRPr="00472812">
        <w:rPr>
          <w:rStyle w:val="Refdenotaalfinal"/>
          <w:rFonts w:ascii="Arial" w:hAnsi="Arial" w:cs="Arial"/>
        </w:rPr>
        <w:endnoteRef/>
      </w:r>
      <w:r w:rsidRPr="00472812">
        <w:rPr>
          <w:rFonts w:ascii="Arial" w:hAnsi="Arial" w:cs="Arial"/>
        </w:rPr>
        <w:t xml:space="preserve"> Ortega Eslava A, Marín Gil R, Fraga Fuentes MD, López-Briz E, Puigventós Latorre F (GENESIS-SEFH). Guía de evaluación económica e impacto presupuestario en los informes de evaluación de medicamentos. Guía práctica asociada al programa MADRE v4.0. Madrid: SEFH (e.), 2016 ISBN: 978-84-617-6757-1.: </w:t>
      </w:r>
      <w:hyperlink r:id="rId44" w:history="1">
        <w:r w:rsidRPr="00472812">
          <w:rPr>
            <w:rStyle w:val="Hipervnculo"/>
            <w:rFonts w:ascii="Arial" w:hAnsi="Arial" w:cs="Arial"/>
          </w:rPr>
          <w:t>http://gruposdetrabajo.sefh.es/genesis</w:t>
        </w:r>
      </w:hyperlink>
      <w:r w:rsidRPr="00472812">
        <w:rPr>
          <w:rFonts w:ascii="Arial" w:hAnsi="Arial" w:cs="Aria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
    <w:altName w:val="MS Gothic"/>
    <w:charset w:val="80"/>
    <w:family w:val="roman"/>
    <w:pitch w:val="default"/>
    <w:sig w:usb0="00000000" w:usb1="0000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ZYYKLI+TimesTen-Roma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NBIQZG+HelveticaNeue-Light">
    <w:altName w:val="Segoe Print"/>
    <w:charset w:val="00"/>
    <w:family w:val="swiss"/>
    <w:pitch w:val="default"/>
    <w:sig w:usb0="00000000" w:usb1="00000000" w:usb2="00000000" w:usb3="00000000" w:csb0="00000001" w:csb1="00000000"/>
  </w:font>
  <w:font w:name="GNQAFU+HelveticaNeue-Black">
    <w:altName w:val="Segoe Print"/>
    <w:charset w:val="00"/>
    <w:family w:val="swiss"/>
    <w:pitch w:val="default"/>
    <w:sig w:usb0="00000000" w:usb1="00000000" w:usb2="00000000" w:usb3="00000000" w:csb0="00000001" w:csb1="00000000"/>
  </w:font>
  <w:font w:name="DZMIPA+HelveticaNeue-Medium">
    <w:altName w:val="Cambria"/>
    <w:charset w:val="00"/>
    <w:family w:val="swiss"/>
    <w:pitch w:val="default"/>
    <w:sig w:usb0="00000000" w:usb1="00000000" w:usb2="00000000" w:usb3="00000000" w:csb0="00000001" w:csb1="00000000"/>
  </w:font>
  <w:font w:name="TimesNewRoman">
    <w:altName w:val="MS Gothic"/>
    <w:charset w:val="80"/>
    <w:family w:val="auto"/>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UnicodeMS">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IDFont+F6">
    <w:altName w:val="Arial Unicode MS"/>
    <w:panose1 w:val="00000000000000000000"/>
    <w:charset w:val="88"/>
    <w:family w:val="auto"/>
    <w:notTrueType/>
    <w:pitch w:val="default"/>
    <w:sig w:usb0="00000001" w:usb1="08080000" w:usb2="00000010" w:usb3="00000000" w:csb0="00100000" w:csb1="00000000"/>
  </w:font>
  <w:font w:name="CIDFont+F3">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45970" w14:textId="77777777" w:rsidR="00CE3E40" w:rsidRDefault="00CE3E40">
      <w:r>
        <w:separator/>
      </w:r>
    </w:p>
  </w:footnote>
  <w:footnote w:type="continuationSeparator" w:id="0">
    <w:p w14:paraId="58DA37BC" w14:textId="77777777" w:rsidR="00CE3E40" w:rsidRDefault="00CE3E40">
      <w:r>
        <w:continuationSeparator/>
      </w:r>
    </w:p>
  </w:footnote>
  <w:footnote w:id="1">
    <w:p w14:paraId="28909740" w14:textId="2654DA71" w:rsidR="00A22536" w:rsidRDefault="00A22536">
      <w:pPr>
        <w:widowControl w:val="0"/>
        <w:suppressAutoHyphens/>
        <w:jc w:val="both"/>
      </w:pPr>
      <w:r w:rsidRPr="00AB502C">
        <w:rPr>
          <w:rStyle w:val="Refdenotaalpie"/>
          <w:rFonts w:ascii="Arial" w:hAnsi="Arial" w:cs="Arial"/>
          <w:sz w:val="16"/>
          <w:szCs w:val="16"/>
        </w:rPr>
        <w:footnoteRef/>
      </w:r>
      <w:r w:rsidRPr="00231B31">
        <w:rPr>
          <w:rStyle w:val="Refdenotaalpie"/>
        </w:rPr>
        <w:t xml:space="preserve"> </w:t>
      </w:r>
      <w:r w:rsidRPr="00AB502C">
        <w:rPr>
          <w:rFonts w:ascii="Arial" w:hAnsi="Arial" w:cs="Arial"/>
          <w:b/>
          <w:bCs/>
          <w:i/>
          <w:iCs/>
          <w:sz w:val="16"/>
          <w:szCs w:val="16"/>
        </w:rPr>
        <w:t>Marín R, Puigventós F, Fraga MD, Ortega A, López-Briz E, Arocas V, Santos B.</w:t>
      </w:r>
      <w:r w:rsidRPr="00AB502C">
        <w:rPr>
          <w:rFonts w:ascii="Arial" w:hAnsi="Arial" w:cs="Arial"/>
          <w:sz w:val="16"/>
          <w:szCs w:val="16"/>
        </w:rPr>
        <w:t xml:space="preserve"> Grupo de Evaluación de</w:t>
      </w:r>
      <w:r>
        <w:rPr>
          <w:rFonts w:ascii="Arial" w:hAnsi="Arial" w:cs="Arial"/>
          <w:sz w:val="16"/>
          <w:szCs w:val="16"/>
        </w:rPr>
        <w:t xml:space="preserv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footnote>
  <w:footnote w:id="2">
    <w:p w14:paraId="11910C8E" w14:textId="43213A85" w:rsidR="00A22536" w:rsidRPr="00FC7E58" w:rsidRDefault="00A22536">
      <w:pPr>
        <w:jc w:val="both"/>
        <w:rPr>
          <w:sz w:val="22"/>
          <w:szCs w:val="22"/>
          <w:lang w:val="en-US"/>
        </w:rPr>
      </w:pPr>
      <w:r w:rsidRPr="00AB502C">
        <w:rPr>
          <w:rStyle w:val="Refdenotaalpie"/>
          <w:rFonts w:ascii="Arial" w:hAnsi="Arial" w:cs="Arial"/>
          <w:sz w:val="16"/>
          <w:szCs w:val="16"/>
        </w:rPr>
        <w:footnoteRef/>
      </w:r>
      <w:r w:rsidRPr="00AB502C">
        <w:rPr>
          <w:rFonts w:ascii="Arial" w:hAnsi="Arial" w:cs="Arial"/>
          <w:sz w:val="16"/>
          <w:szCs w:val="16"/>
        </w:rPr>
        <w:t xml:space="preserve"> </w:t>
      </w:r>
      <w:r w:rsidRPr="00AB502C">
        <w:rPr>
          <w:rFonts w:ascii="Arial" w:hAnsi="Arial" w:cs="Arial"/>
          <w:b/>
          <w:bCs/>
          <w:i/>
          <w:iCs/>
          <w:sz w:val="16"/>
          <w:szCs w:val="16"/>
        </w:rPr>
        <w:t>Ortega Eslava A, Marín Gil R, Fraga Fuentes MD, López-Briz E, Puigventós Latorre F (GENESIS-SEFH</w:t>
      </w:r>
      <w:r w:rsidRPr="00AB502C">
        <w:rPr>
          <w:rFonts w:ascii="Arial" w:hAnsi="Arial" w:cs="Arial"/>
          <w:sz w:val="16"/>
          <w:szCs w:val="16"/>
        </w:rPr>
        <w:t>). Guía de</w:t>
      </w:r>
      <w:r>
        <w:rPr>
          <w:rFonts w:ascii="Arial" w:hAnsi="Arial" w:cs="Arial"/>
          <w:sz w:val="16"/>
          <w:szCs w:val="16"/>
        </w:rPr>
        <w:t xml:space="preserve"> evaluación económica e impacto presupuestario en los informes de evaluación de medicamentos. Guía práctica asociada al programa MADRE v4.0. Madrid: SEFH (e.), 2016 ISBN: 978-84-617-6757-1. </w:t>
      </w:r>
      <w:r>
        <w:rPr>
          <w:rFonts w:ascii="Arial" w:hAnsi="Arial" w:cs="Arial"/>
          <w:sz w:val="16"/>
          <w:szCs w:val="16"/>
          <w:lang w:val="en-US"/>
        </w:rPr>
        <w:t xml:space="preserve">Disponible en: </w:t>
      </w:r>
      <w:hyperlink r:id="rId2" w:history="1">
        <w:r w:rsidRPr="009B5530">
          <w:rPr>
            <w:rStyle w:val="Hipervnculo"/>
            <w:rFonts w:ascii="Arial" w:hAnsi="Arial" w:cs="Arial"/>
            <w:sz w:val="16"/>
            <w:szCs w:val="16"/>
            <w:lang w:val="en-US"/>
          </w:rPr>
          <w:t>http://gruposdetrabajo.sefh.es/genesis</w:t>
        </w:r>
      </w:hyperlink>
      <w:r>
        <w:rPr>
          <w:sz w:val="22"/>
          <w:szCs w:val="22"/>
          <w:lang w:val="en-US"/>
        </w:rPr>
        <w:t xml:space="preserve"> </w:t>
      </w:r>
    </w:p>
    <w:p w14:paraId="093B3D51" w14:textId="77777777" w:rsidR="00A22536" w:rsidRPr="00FF73BC" w:rsidRDefault="00A22536">
      <w:pPr>
        <w:jc w:val="both"/>
        <w:rPr>
          <w:lang w:val="en-GB"/>
        </w:rPr>
      </w:pPr>
    </w:p>
  </w:footnote>
  <w:footnote w:id="3">
    <w:p w14:paraId="0FAC326C" w14:textId="77777777" w:rsidR="00A22536" w:rsidRPr="00FF73BC" w:rsidRDefault="00A22536" w:rsidP="00AF0DE8">
      <w:pPr>
        <w:pStyle w:val="Textonotapie"/>
        <w:jc w:val="both"/>
        <w:rPr>
          <w:sz w:val="16"/>
          <w:lang w:val="en-GB"/>
        </w:rPr>
      </w:pPr>
      <w:r w:rsidRPr="00995922">
        <w:rPr>
          <w:rStyle w:val="Refdenotaalpie"/>
          <w:sz w:val="16"/>
        </w:rPr>
        <w:footnoteRef/>
      </w:r>
      <w:r w:rsidRPr="00FF73BC">
        <w:rPr>
          <w:sz w:val="16"/>
          <w:lang w:val="en-GB"/>
        </w:rPr>
        <w:t xml:space="preserve"> Novartis . Zolgensma® data including patients with more severe SMA at baseline further demonstrate therapeutic benefit, including prolonged event-free survival, increased motor function and milestone achievement </w:t>
      </w:r>
      <w:hyperlink r:id="rId3" w:history="1">
        <w:r w:rsidRPr="00FF73BC">
          <w:rPr>
            <w:rStyle w:val="Hipervnculo"/>
            <w:sz w:val="16"/>
            <w:lang w:val="en-GB"/>
          </w:rPr>
          <w:t>https://www.novartis.com/news/media-releases/zolgensma-data-including-patients-more-severe-sma-baseline-further-demonstrate-therapeutic-benefit-including-prolonged-event-free-survival-increased-motor</w:t>
        </w:r>
      </w:hyperlink>
      <w:r w:rsidRPr="00FF73BC">
        <w:rPr>
          <w:sz w:val="16"/>
          <w:lang w:val="en-GB"/>
        </w:rPr>
        <w:t xml:space="preserve"> </w:t>
      </w:r>
    </w:p>
  </w:footnote>
  <w:footnote w:id="4">
    <w:p w14:paraId="5C1702AB" w14:textId="77777777" w:rsidR="00A22536" w:rsidRPr="00FF73BC" w:rsidRDefault="00A22536" w:rsidP="00AF0DE8">
      <w:pPr>
        <w:pStyle w:val="Textonotapie"/>
        <w:jc w:val="both"/>
        <w:rPr>
          <w:lang w:val="en-GB"/>
        </w:rPr>
      </w:pPr>
      <w:r w:rsidRPr="00995922">
        <w:rPr>
          <w:rStyle w:val="Refdenotaalpie"/>
          <w:sz w:val="16"/>
        </w:rPr>
        <w:footnoteRef/>
      </w:r>
      <w:r w:rsidRPr="00FF73BC">
        <w:rPr>
          <w:sz w:val="16"/>
          <w:lang w:val="en-GB"/>
        </w:rPr>
        <w:t xml:space="preserve"> </w:t>
      </w:r>
      <w:hyperlink r:id="rId4" w:history="1">
        <w:r w:rsidRPr="00FF73BC">
          <w:rPr>
            <w:rStyle w:val="Hipervnculo"/>
            <w:sz w:val="16"/>
            <w:lang w:val="en-GB"/>
          </w:rPr>
          <w:t>https://www.progressnp.com/news/progress-for-treatments-of-rare-disorders/</w:t>
        </w:r>
      </w:hyperlink>
      <w:r w:rsidRPr="00FF73BC">
        <w:rPr>
          <w:sz w:val="16"/>
          <w:lang w:val="en-GB"/>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68" w:type="dxa"/>
      <w:tblLayout w:type="fixed"/>
      <w:tblCellMar>
        <w:left w:w="70" w:type="dxa"/>
        <w:right w:w="70" w:type="dxa"/>
      </w:tblCellMar>
      <w:tblLook w:val="00A0" w:firstRow="1" w:lastRow="0" w:firstColumn="1" w:lastColumn="0" w:noHBand="0" w:noVBand="0"/>
    </w:tblPr>
    <w:tblGrid>
      <w:gridCol w:w="6300"/>
      <w:gridCol w:w="1080"/>
      <w:gridCol w:w="1440"/>
    </w:tblGrid>
    <w:tr w:rsidR="00A22536" w14:paraId="7A94E1A2" w14:textId="77777777">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14:paraId="617AFFFC" w14:textId="77777777" w:rsidR="00A22536" w:rsidRPr="00D47E8B" w:rsidRDefault="00A22536" w:rsidP="00AB502C">
          <w:pPr>
            <w:pStyle w:val="Encabezado"/>
            <w:rPr>
              <w:rFonts w:ascii="Arial" w:hAnsi="Arial" w:cs="Arial"/>
              <w:color w:val="FFFFFF"/>
              <w:sz w:val="20"/>
              <w:szCs w:val="20"/>
            </w:rPr>
          </w:pPr>
          <w:r w:rsidRPr="00D47E8B">
            <w:rPr>
              <w:rFonts w:ascii="Arial" w:hAnsi="Arial" w:cs="Arial"/>
              <w:color w:val="FFFFFF"/>
              <w:sz w:val="20"/>
              <w:szCs w:val="20"/>
            </w:rPr>
            <w:t>GENESIS-SEFH</w:t>
          </w:r>
        </w:p>
        <w:p w14:paraId="46BB4854" w14:textId="7DC49996" w:rsidR="00A22536" w:rsidRPr="00D47E8B" w:rsidRDefault="00A22536" w:rsidP="00AB502C">
          <w:pPr>
            <w:pStyle w:val="Encabezado"/>
            <w:jc w:val="right"/>
            <w:rPr>
              <w:rFonts w:ascii="Arial" w:hAnsi="Arial" w:cs="Arial"/>
              <w:color w:val="FFFFFF"/>
              <w:sz w:val="20"/>
              <w:szCs w:val="20"/>
            </w:rPr>
          </w:pPr>
          <w:r>
            <w:rPr>
              <w:rFonts w:ascii="Arial" w:hAnsi="Arial" w:cs="Arial"/>
              <w:color w:val="FFFFFF"/>
              <w:sz w:val="20"/>
              <w:szCs w:val="20"/>
            </w:rPr>
            <w:t>Programa MADRE versión 4.0</w:t>
          </w:r>
          <w:r w:rsidRPr="00D47E8B">
            <w:rPr>
              <w:rFonts w:ascii="Arial" w:hAnsi="Arial" w:cs="Arial"/>
              <w:color w:val="FFFFFF"/>
              <w:sz w:val="20"/>
              <w:szCs w:val="20"/>
            </w:rPr>
            <w:t xml:space="preserve">  </w:t>
          </w:r>
        </w:p>
        <w:p w14:paraId="19D299EE" w14:textId="77777777" w:rsidR="00A22536" w:rsidRPr="00D47E8B" w:rsidRDefault="00A22536" w:rsidP="00AB502C">
          <w:pPr>
            <w:pStyle w:val="Encabezado"/>
            <w:jc w:val="right"/>
            <w:rPr>
              <w:rFonts w:ascii="Arial" w:hAnsi="Arial" w:cs="Arial"/>
              <w:b/>
              <w:bCs/>
              <w:color w:val="FFFFFF"/>
            </w:rPr>
          </w:pPr>
          <w:r w:rsidRPr="00D47E8B">
            <w:rPr>
              <w:rFonts w:ascii="Arial" w:hAnsi="Arial" w:cs="Arial"/>
              <w:color w:val="FFFFFF"/>
              <w:sz w:val="20"/>
              <w:szCs w:val="20"/>
            </w:rPr>
            <w:t xml:space="preserve">Informe base actualizado 2017 </w:t>
          </w:r>
          <w:r w:rsidRPr="00D47E8B">
            <w:rPr>
              <w:rFonts w:ascii="Arial" w:hAnsi="Arial" w:cs="Arial"/>
              <w:b/>
              <w:bCs/>
              <w:color w:val="FFFFFF"/>
              <w:sz w:val="22"/>
              <w:szCs w:val="22"/>
            </w:rPr>
            <w:t xml:space="preserve">  </w:t>
          </w:r>
        </w:p>
      </w:tc>
      <w:tc>
        <w:tcPr>
          <w:tcW w:w="1080" w:type="dxa"/>
          <w:tcBorders>
            <w:top w:val="single" w:sz="4" w:space="0" w:color="auto"/>
            <w:left w:val="nil"/>
          </w:tcBorders>
          <w:shd w:val="clear" w:color="auto" w:fill="000080"/>
        </w:tcPr>
        <w:p w14:paraId="3F680A04" w14:textId="77777777" w:rsidR="00A22536" w:rsidRPr="00D47E8B" w:rsidRDefault="00A22536" w:rsidP="00AB502C">
          <w:pPr>
            <w:pStyle w:val="Encabezado"/>
            <w:rPr>
              <w:rFonts w:ascii="Arial" w:hAnsi="Arial" w:cs="Arial"/>
              <w:color w:val="FFFFFF"/>
              <w:sz w:val="18"/>
              <w:szCs w:val="18"/>
            </w:rPr>
          </w:pPr>
          <w:r w:rsidRPr="00D47E8B">
            <w:rPr>
              <w:rFonts w:ascii="Arial" w:hAnsi="Arial" w:cs="Arial"/>
              <w:color w:val="FFFFFF"/>
              <w:sz w:val="18"/>
              <w:szCs w:val="18"/>
            </w:rPr>
            <w:t>Versión:</w:t>
          </w:r>
        </w:p>
      </w:tc>
      <w:tc>
        <w:tcPr>
          <w:tcW w:w="1440" w:type="dxa"/>
          <w:tcBorders>
            <w:top w:val="single" w:sz="4" w:space="0" w:color="auto"/>
            <w:right w:val="single" w:sz="4" w:space="0" w:color="auto"/>
          </w:tcBorders>
          <w:shd w:val="clear" w:color="auto" w:fill="000080"/>
          <w:vAlign w:val="bottom"/>
        </w:tcPr>
        <w:p w14:paraId="15550B08" w14:textId="02FA4013" w:rsidR="00A22536" w:rsidRPr="00D47E8B" w:rsidRDefault="00A22536" w:rsidP="00AB502C">
          <w:pPr>
            <w:pStyle w:val="Encabezado"/>
            <w:tabs>
              <w:tab w:val="left" w:pos="1206"/>
            </w:tabs>
            <w:ind w:right="71"/>
            <w:jc w:val="right"/>
            <w:rPr>
              <w:rFonts w:ascii="Arial" w:hAnsi="Arial" w:cs="Arial"/>
              <w:color w:val="FFFFFF"/>
              <w:sz w:val="18"/>
              <w:szCs w:val="18"/>
            </w:rPr>
          </w:pPr>
          <w:r>
            <w:rPr>
              <w:rFonts w:ascii="Arial" w:hAnsi="Arial" w:cs="Arial"/>
              <w:color w:val="FFFFFF"/>
              <w:sz w:val="18"/>
              <w:szCs w:val="18"/>
            </w:rPr>
            <w:t>4.0</w:t>
          </w:r>
        </w:p>
      </w:tc>
    </w:tr>
    <w:tr w:rsidR="00A22536" w14:paraId="5E03F141" w14:textId="77777777">
      <w:trPr>
        <w:cantSplit/>
        <w:trHeight w:val="240"/>
      </w:trPr>
      <w:tc>
        <w:tcPr>
          <w:tcW w:w="6300" w:type="dxa"/>
          <w:vMerge/>
          <w:tcBorders>
            <w:left w:val="single" w:sz="4" w:space="0" w:color="auto"/>
            <w:right w:val="single" w:sz="4" w:space="0" w:color="auto"/>
          </w:tcBorders>
          <w:shd w:val="clear" w:color="auto" w:fill="000080"/>
          <w:vAlign w:val="center"/>
        </w:tcPr>
        <w:p w14:paraId="3CA0F8BD" w14:textId="77777777" w:rsidR="00A22536" w:rsidRPr="00D47E8B" w:rsidRDefault="00A22536" w:rsidP="00AB502C">
          <w:pPr>
            <w:pStyle w:val="Encabezado"/>
            <w:spacing w:line="360" w:lineRule="auto"/>
            <w:jc w:val="center"/>
            <w:rPr>
              <w:rFonts w:ascii="Arial" w:hAnsi="Arial" w:cs="Arial"/>
              <w:b/>
              <w:bCs/>
              <w:color w:val="FFFFFF"/>
            </w:rPr>
          </w:pPr>
        </w:p>
      </w:tc>
      <w:tc>
        <w:tcPr>
          <w:tcW w:w="1080" w:type="dxa"/>
          <w:tcBorders>
            <w:left w:val="nil"/>
          </w:tcBorders>
          <w:shd w:val="clear" w:color="auto" w:fill="000080"/>
        </w:tcPr>
        <w:p w14:paraId="0673524A" w14:textId="77777777" w:rsidR="00A22536" w:rsidRPr="00D47E8B" w:rsidRDefault="00A22536" w:rsidP="00AB502C">
          <w:pPr>
            <w:pStyle w:val="Encabezado"/>
            <w:rPr>
              <w:rFonts w:ascii="Arial" w:hAnsi="Arial" w:cs="Arial"/>
              <w:color w:val="FFFFFF"/>
              <w:sz w:val="18"/>
              <w:szCs w:val="18"/>
            </w:rPr>
          </w:pPr>
          <w:r w:rsidRPr="00D47E8B">
            <w:rPr>
              <w:rFonts w:ascii="Arial" w:hAnsi="Arial" w:cs="Arial"/>
              <w:color w:val="FFFFFF"/>
              <w:sz w:val="18"/>
              <w:szCs w:val="18"/>
            </w:rPr>
            <w:t>Fecha:</w:t>
          </w:r>
        </w:p>
      </w:tc>
      <w:tc>
        <w:tcPr>
          <w:tcW w:w="1440" w:type="dxa"/>
          <w:tcBorders>
            <w:right w:val="single" w:sz="4" w:space="0" w:color="auto"/>
          </w:tcBorders>
          <w:shd w:val="clear" w:color="auto" w:fill="000080"/>
          <w:vAlign w:val="bottom"/>
        </w:tcPr>
        <w:p w14:paraId="11289C61" w14:textId="15DCAA1C" w:rsidR="00A22536" w:rsidRPr="00D47E8B" w:rsidRDefault="00A22536" w:rsidP="00AB502C">
          <w:pPr>
            <w:pStyle w:val="Encabezado"/>
            <w:tabs>
              <w:tab w:val="left" w:pos="1206"/>
            </w:tabs>
            <w:ind w:right="71"/>
            <w:jc w:val="right"/>
            <w:rPr>
              <w:rFonts w:ascii="Arial" w:hAnsi="Arial" w:cs="Arial"/>
              <w:color w:val="FFFFFF"/>
              <w:sz w:val="18"/>
              <w:szCs w:val="18"/>
            </w:rPr>
          </w:pPr>
          <w:r w:rsidRPr="00D47E8B">
            <w:rPr>
              <w:rFonts w:ascii="Arial" w:hAnsi="Arial" w:cs="Arial"/>
              <w:color w:val="FFFFFF"/>
              <w:sz w:val="18"/>
              <w:szCs w:val="18"/>
            </w:rPr>
            <w:t>1</w:t>
          </w:r>
          <w:r>
            <w:rPr>
              <w:rFonts w:ascii="Arial" w:hAnsi="Arial" w:cs="Arial"/>
              <w:color w:val="FFFFFF"/>
              <w:sz w:val="18"/>
              <w:szCs w:val="18"/>
            </w:rPr>
            <w:t>0-07-2020</w:t>
          </w:r>
        </w:p>
      </w:tc>
    </w:tr>
    <w:tr w:rsidR="00A22536" w14:paraId="0226D52B" w14:textId="77777777">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14:paraId="584B3768" w14:textId="77777777" w:rsidR="00A22536" w:rsidRPr="00D47E8B" w:rsidRDefault="00A22536" w:rsidP="00AB502C">
          <w:pPr>
            <w:pStyle w:val="Encabezado"/>
            <w:spacing w:line="360" w:lineRule="auto"/>
            <w:jc w:val="center"/>
            <w:rPr>
              <w:rFonts w:ascii="Arial" w:hAnsi="Arial" w:cs="Arial"/>
              <w:b/>
              <w:bCs/>
              <w:color w:val="FFFFFF"/>
            </w:rPr>
          </w:pPr>
        </w:p>
      </w:tc>
      <w:tc>
        <w:tcPr>
          <w:tcW w:w="1080" w:type="dxa"/>
          <w:tcBorders>
            <w:left w:val="nil"/>
            <w:bottom w:val="single" w:sz="4" w:space="0" w:color="auto"/>
          </w:tcBorders>
          <w:shd w:val="clear" w:color="auto" w:fill="000080"/>
        </w:tcPr>
        <w:p w14:paraId="58998718" w14:textId="77777777" w:rsidR="00A22536" w:rsidRPr="00D47E8B" w:rsidRDefault="00A22536" w:rsidP="00AB502C">
          <w:pPr>
            <w:pStyle w:val="Encabezado"/>
            <w:rPr>
              <w:rFonts w:ascii="Arial" w:hAnsi="Arial" w:cs="Arial"/>
              <w:color w:val="FFFFFF"/>
              <w:sz w:val="18"/>
              <w:szCs w:val="18"/>
            </w:rPr>
          </w:pPr>
          <w:r w:rsidRPr="00D47E8B">
            <w:rPr>
              <w:rFonts w:ascii="Arial" w:hAnsi="Arial" w:cs="Arial"/>
              <w:color w:val="FFFFFF"/>
              <w:sz w:val="18"/>
              <w:szCs w:val="18"/>
            </w:rPr>
            <w:t>Página:</w:t>
          </w:r>
        </w:p>
      </w:tc>
      <w:tc>
        <w:tcPr>
          <w:tcW w:w="1440" w:type="dxa"/>
          <w:tcBorders>
            <w:bottom w:val="single" w:sz="4" w:space="0" w:color="auto"/>
            <w:right w:val="single" w:sz="4" w:space="0" w:color="auto"/>
          </w:tcBorders>
          <w:shd w:val="clear" w:color="auto" w:fill="000080"/>
          <w:vAlign w:val="bottom"/>
        </w:tcPr>
        <w:p w14:paraId="14E0764B" w14:textId="4EEEB340" w:rsidR="00A22536" w:rsidRPr="00D47E8B" w:rsidRDefault="00A22536" w:rsidP="00AB502C">
          <w:pPr>
            <w:pStyle w:val="Encabezado"/>
            <w:tabs>
              <w:tab w:val="left" w:pos="1206"/>
            </w:tabs>
            <w:ind w:right="71"/>
            <w:jc w:val="right"/>
            <w:rPr>
              <w:rFonts w:ascii="Arial" w:hAnsi="Arial" w:cs="Arial"/>
              <w:color w:val="FFFFFF"/>
              <w:sz w:val="18"/>
              <w:szCs w:val="18"/>
            </w:rPr>
          </w:pPr>
          <w:r w:rsidRPr="00D47E8B">
            <w:rPr>
              <w:rStyle w:val="Nmerodepgina"/>
              <w:rFonts w:ascii="Arial" w:hAnsi="Arial" w:cs="Arial"/>
              <w:color w:val="FFFFFF"/>
              <w:sz w:val="18"/>
              <w:szCs w:val="18"/>
            </w:rPr>
            <w:fldChar w:fldCharType="begin"/>
          </w:r>
          <w:r w:rsidRPr="00D47E8B">
            <w:rPr>
              <w:rStyle w:val="Nmerodepgina"/>
              <w:rFonts w:ascii="Arial" w:hAnsi="Arial" w:cs="Arial"/>
              <w:color w:val="FFFFFF"/>
              <w:sz w:val="18"/>
              <w:szCs w:val="18"/>
            </w:rPr>
            <w:instrText xml:space="preserve"> PAGE </w:instrText>
          </w:r>
          <w:r w:rsidRPr="00D47E8B">
            <w:rPr>
              <w:rStyle w:val="Nmerodepgina"/>
              <w:rFonts w:ascii="Arial" w:hAnsi="Arial" w:cs="Arial"/>
              <w:color w:val="FFFFFF"/>
              <w:sz w:val="18"/>
              <w:szCs w:val="18"/>
            </w:rPr>
            <w:fldChar w:fldCharType="separate"/>
          </w:r>
          <w:r w:rsidR="002F30FA">
            <w:rPr>
              <w:rStyle w:val="Nmerodepgina"/>
              <w:rFonts w:ascii="Arial" w:hAnsi="Arial" w:cs="Arial"/>
              <w:noProof/>
              <w:color w:val="FFFFFF"/>
              <w:sz w:val="18"/>
              <w:szCs w:val="18"/>
            </w:rPr>
            <w:t>55</w:t>
          </w:r>
          <w:r w:rsidRPr="00D47E8B">
            <w:rPr>
              <w:rStyle w:val="Nmerodepgina"/>
              <w:rFonts w:ascii="Arial" w:hAnsi="Arial" w:cs="Arial"/>
              <w:color w:val="FFFFFF"/>
              <w:sz w:val="18"/>
              <w:szCs w:val="18"/>
            </w:rPr>
            <w:fldChar w:fldCharType="end"/>
          </w:r>
        </w:p>
      </w:tc>
    </w:tr>
  </w:tbl>
  <w:p w14:paraId="26CC95C2" w14:textId="77777777" w:rsidR="00A22536" w:rsidRDefault="00A22536">
    <w:pPr>
      <w:pStyle w:val="Encabezado"/>
      <w:rPr>
        <w:color w:va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4C54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D009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9A7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6A76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380F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466F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8A0D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2801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17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3EFB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A73BA"/>
    <w:multiLevelType w:val="hybridMultilevel"/>
    <w:tmpl w:val="DC50876E"/>
    <w:lvl w:ilvl="0" w:tplc="7C1016E0">
      <w:numFmt w:val="bullet"/>
      <w:lvlText w:val="•"/>
      <w:lvlJc w:val="left"/>
      <w:pPr>
        <w:ind w:left="786" w:hanging="360"/>
      </w:pPr>
      <w:rPr>
        <w:rFonts w:ascii="Arial" w:eastAsia="等?"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8113545"/>
    <w:multiLevelType w:val="hybridMultilevel"/>
    <w:tmpl w:val="C7A47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9F81760"/>
    <w:multiLevelType w:val="multilevel"/>
    <w:tmpl w:val="09F817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F624BFC"/>
    <w:multiLevelType w:val="multilevel"/>
    <w:tmpl w:val="0F624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C1B61DC"/>
    <w:multiLevelType w:val="hybridMultilevel"/>
    <w:tmpl w:val="19B6B1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F745536"/>
    <w:multiLevelType w:val="hybridMultilevel"/>
    <w:tmpl w:val="6944DC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0A4707A"/>
    <w:multiLevelType w:val="hybridMultilevel"/>
    <w:tmpl w:val="872891AE"/>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3E9676E"/>
    <w:multiLevelType w:val="hybridMultilevel"/>
    <w:tmpl w:val="342CE0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6A07077"/>
    <w:multiLevelType w:val="hybridMultilevel"/>
    <w:tmpl w:val="93406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6A12345"/>
    <w:multiLevelType w:val="hybridMultilevel"/>
    <w:tmpl w:val="6E86A7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AC42C1"/>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300385"/>
    <w:multiLevelType w:val="hybridMultilevel"/>
    <w:tmpl w:val="6D0A77C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0D10506"/>
    <w:multiLevelType w:val="hybridMultilevel"/>
    <w:tmpl w:val="CD2A3FC4"/>
    <w:lvl w:ilvl="0" w:tplc="4448D36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1D45F49"/>
    <w:multiLevelType w:val="hybridMultilevel"/>
    <w:tmpl w:val="6BE228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5B06BF7"/>
    <w:multiLevelType w:val="hybridMultilevel"/>
    <w:tmpl w:val="74DA3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8F70D10"/>
    <w:multiLevelType w:val="multilevel"/>
    <w:tmpl w:val="38F70D10"/>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503983"/>
    <w:multiLevelType w:val="hybridMultilevel"/>
    <w:tmpl w:val="AE30DB0E"/>
    <w:lvl w:ilvl="0" w:tplc="99A243BE">
      <w:start w:val="5"/>
      <w:numFmt w:val="bullet"/>
      <w:lvlText w:val="-"/>
      <w:lvlJc w:val="left"/>
      <w:pPr>
        <w:ind w:left="1074" w:hanging="360"/>
      </w:pPr>
      <w:rPr>
        <w:rFonts w:ascii="Arial" w:eastAsia="等?" w:hAnsi="Arial" w:cs="Arial" w:hint="default"/>
      </w:rPr>
    </w:lvl>
    <w:lvl w:ilvl="1" w:tplc="0C0A0003" w:tentative="1">
      <w:start w:val="1"/>
      <w:numFmt w:val="bullet"/>
      <w:lvlText w:val="o"/>
      <w:lvlJc w:val="left"/>
      <w:pPr>
        <w:ind w:left="1794" w:hanging="360"/>
      </w:pPr>
      <w:rPr>
        <w:rFonts w:ascii="Courier New" w:hAnsi="Courier New" w:cs="Courier New" w:hint="default"/>
      </w:rPr>
    </w:lvl>
    <w:lvl w:ilvl="2" w:tplc="0C0A0005" w:tentative="1">
      <w:start w:val="1"/>
      <w:numFmt w:val="bullet"/>
      <w:lvlText w:val=""/>
      <w:lvlJc w:val="left"/>
      <w:pPr>
        <w:ind w:left="2514" w:hanging="360"/>
      </w:pPr>
      <w:rPr>
        <w:rFonts w:ascii="Wingdings" w:hAnsi="Wingdings" w:hint="default"/>
      </w:rPr>
    </w:lvl>
    <w:lvl w:ilvl="3" w:tplc="0C0A0001" w:tentative="1">
      <w:start w:val="1"/>
      <w:numFmt w:val="bullet"/>
      <w:lvlText w:val=""/>
      <w:lvlJc w:val="left"/>
      <w:pPr>
        <w:ind w:left="3234" w:hanging="360"/>
      </w:pPr>
      <w:rPr>
        <w:rFonts w:ascii="Symbol" w:hAnsi="Symbol" w:hint="default"/>
      </w:rPr>
    </w:lvl>
    <w:lvl w:ilvl="4" w:tplc="0C0A0003" w:tentative="1">
      <w:start w:val="1"/>
      <w:numFmt w:val="bullet"/>
      <w:lvlText w:val="o"/>
      <w:lvlJc w:val="left"/>
      <w:pPr>
        <w:ind w:left="3954" w:hanging="360"/>
      </w:pPr>
      <w:rPr>
        <w:rFonts w:ascii="Courier New" w:hAnsi="Courier New" w:cs="Courier New" w:hint="default"/>
      </w:rPr>
    </w:lvl>
    <w:lvl w:ilvl="5" w:tplc="0C0A0005" w:tentative="1">
      <w:start w:val="1"/>
      <w:numFmt w:val="bullet"/>
      <w:lvlText w:val=""/>
      <w:lvlJc w:val="left"/>
      <w:pPr>
        <w:ind w:left="4674" w:hanging="360"/>
      </w:pPr>
      <w:rPr>
        <w:rFonts w:ascii="Wingdings" w:hAnsi="Wingdings" w:hint="default"/>
      </w:rPr>
    </w:lvl>
    <w:lvl w:ilvl="6" w:tplc="0C0A0001" w:tentative="1">
      <w:start w:val="1"/>
      <w:numFmt w:val="bullet"/>
      <w:lvlText w:val=""/>
      <w:lvlJc w:val="left"/>
      <w:pPr>
        <w:ind w:left="5394" w:hanging="360"/>
      </w:pPr>
      <w:rPr>
        <w:rFonts w:ascii="Symbol" w:hAnsi="Symbol" w:hint="default"/>
      </w:rPr>
    </w:lvl>
    <w:lvl w:ilvl="7" w:tplc="0C0A0003" w:tentative="1">
      <w:start w:val="1"/>
      <w:numFmt w:val="bullet"/>
      <w:lvlText w:val="o"/>
      <w:lvlJc w:val="left"/>
      <w:pPr>
        <w:ind w:left="6114" w:hanging="360"/>
      </w:pPr>
      <w:rPr>
        <w:rFonts w:ascii="Courier New" w:hAnsi="Courier New" w:cs="Courier New" w:hint="default"/>
      </w:rPr>
    </w:lvl>
    <w:lvl w:ilvl="8" w:tplc="0C0A0005" w:tentative="1">
      <w:start w:val="1"/>
      <w:numFmt w:val="bullet"/>
      <w:lvlText w:val=""/>
      <w:lvlJc w:val="left"/>
      <w:pPr>
        <w:ind w:left="6834" w:hanging="360"/>
      </w:pPr>
      <w:rPr>
        <w:rFonts w:ascii="Wingdings" w:hAnsi="Wingdings" w:hint="default"/>
      </w:rPr>
    </w:lvl>
  </w:abstractNum>
  <w:abstractNum w:abstractNumId="27" w15:restartNumberingAfterBreak="0">
    <w:nsid w:val="3B9E52DC"/>
    <w:multiLevelType w:val="hybridMultilevel"/>
    <w:tmpl w:val="1568AF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CC475FC"/>
    <w:multiLevelType w:val="multilevel"/>
    <w:tmpl w:val="3CC475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4CD3E96"/>
    <w:multiLevelType w:val="hybridMultilevel"/>
    <w:tmpl w:val="497CA404"/>
    <w:lvl w:ilvl="0" w:tplc="19647EF6">
      <w:start w:val="1"/>
      <w:numFmt w:val="decimal"/>
      <w:lvlText w:val="%1-"/>
      <w:lvlJc w:val="left"/>
      <w:pPr>
        <w:ind w:left="920" w:hanging="360"/>
      </w:pPr>
      <w:rPr>
        <w:rFonts w:hint="default"/>
      </w:rPr>
    </w:lvl>
    <w:lvl w:ilvl="1" w:tplc="0C0A0019" w:tentative="1">
      <w:start w:val="1"/>
      <w:numFmt w:val="lowerLetter"/>
      <w:lvlText w:val="%2."/>
      <w:lvlJc w:val="left"/>
      <w:pPr>
        <w:ind w:left="1640" w:hanging="360"/>
      </w:pPr>
    </w:lvl>
    <w:lvl w:ilvl="2" w:tplc="0C0A001B" w:tentative="1">
      <w:start w:val="1"/>
      <w:numFmt w:val="lowerRoman"/>
      <w:lvlText w:val="%3."/>
      <w:lvlJc w:val="right"/>
      <w:pPr>
        <w:ind w:left="2360" w:hanging="180"/>
      </w:pPr>
    </w:lvl>
    <w:lvl w:ilvl="3" w:tplc="0C0A000F" w:tentative="1">
      <w:start w:val="1"/>
      <w:numFmt w:val="decimal"/>
      <w:lvlText w:val="%4."/>
      <w:lvlJc w:val="left"/>
      <w:pPr>
        <w:ind w:left="3080" w:hanging="360"/>
      </w:pPr>
    </w:lvl>
    <w:lvl w:ilvl="4" w:tplc="0C0A0019" w:tentative="1">
      <w:start w:val="1"/>
      <w:numFmt w:val="lowerLetter"/>
      <w:lvlText w:val="%5."/>
      <w:lvlJc w:val="left"/>
      <w:pPr>
        <w:ind w:left="3800" w:hanging="360"/>
      </w:pPr>
    </w:lvl>
    <w:lvl w:ilvl="5" w:tplc="0C0A001B" w:tentative="1">
      <w:start w:val="1"/>
      <w:numFmt w:val="lowerRoman"/>
      <w:lvlText w:val="%6."/>
      <w:lvlJc w:val="right"/>
      <w:pPr>
        <w:ind w:left="4520" w:hanging="180"/>
      </w:pPr>
    </w:lvl>
    <w:lvl w:ilvl="6" w:tplc="0C0A000F" w:tentative="1">
      <w:start w:val="1"/>
      <w:numFmt w:val="decimal"/>
      <w:lvlText w:val="%7."/>
      <w:lvlJc w:val="left"/>
      <w:pPr>
        <w:ind w:left="5240" w:hanging="360"/>
      </w:pPr>
    </w:lvl>
    <w:lvl w:ilvl="7" w:tplc="0C0A0019" w:tentative="1">
      <w:start w:val="1"/>
      <w:numFmt w:val="lowerLetter"/>
      <w:lvlText w:val="%8."/>
      <w:lvlJc w:val="left"/>
      <w:pPr>
        <w:ind w:left="5960" w:hanging="360"/>
      </w:pPr>
    </w:lvl>
    <w:lvl w:ilvl="8" w:tplc="0C0A001B" w:tentative="1">
      <w:start w:val="1"/>
      <w:numFmt w:val="lowerRoman"/>
      <w:lvlText w:val="%9."/>
      <w:lvlJc w:val="right"/>
      <w:pPr>
        <w:ind w:left="6680" w:hanging="180"/>
      </w:pPr>
    </w:lvl>
  </w:abstractNum>
  <w:abstractNum w:abstractNumId="30" w15:restartNumberingAfterBreak="0">
    <w:nsid w:val="499653D7"/>
    <w:multiLevelType w:val="hybridMultilevel"/>
    <w:tmpl w:val="BBFC3218"/>
    <w:lvl w:ilvl="0" w:tplc="B2AAC0DE">
      <w:start w:val="9"/>
      <w:numFmt w:val="bullet"/>
      <w:lvlText w:val="-"/>
      <w:lvlJc w:val="left"/>
      <w:pPr>
        <w:ind w:left="720" w:hanging="360"/>
      </w:pPr>
      <w:rPr>
        <w:rFonts w:ascii="Arial" w:eastAsia="等?"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9B01CA2"/>
    <w:multiLevelType w:val="hybridMultilevel"/>
    <w:tmpl w:val="89A025B8"/>
    <w:lvl w:ilvl="0" w:tplc="B2145F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CAC2A1C"/>
    <w:multiLevelType w:val="hybridMultilevel"/>
    <w:tmpl w:val="3CC255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1377C95"/>
    <w:multiLevelType w:val="hybridMultilevel"/>
    <w:tmpl w:val="73121BA4"/>
    <w:lvl w:ilvl="0" w:tplc="7C1016E0">
      <w:numFmt w:val="bullet"/>
      <w:lvlText w:val="•"/>
      <w:lvlJc w:val="left"/>
      <w:pPr>
        <w:ind w:left="836" w:hanging="360"/>
      </w:pPr>
      <w:rPr>
        <w:rFonts w:ascii="Arial" w:eastAsia="等?" w:hAnsi="Arial" w:cs="Aria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4" w15:restartNumberingAfterBreak="0">
    <w:nsid w:val="52B949FF"/>
    <w:multiLevelType w:val="hybridMultilevel"/>
    <w:tmpl w:val="E1087148"/>
    <w:lvl w:ilvl="0" w:tplc="B2AAC0DE">
      <w:start w:val="9"/>
      <w:numFmt w:val="bullet"/>
      <w:lvlText w:val="-"/>
      <w:lvlJc w:val="left"/>
      <w:pPr>
        <w:ind w:left="1004" w:hanging="360"/>
      </w:pPr>
      <w:rPr>
        <w:rFonts w:ascii="Arial" w:eastAsia="等?" w:hAnsi="Arial"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15:restartNumberingAfterBreak="0">
    <w:nsid w:val="530E7D5B"/>
    <w:multiLevelType w:val="hybridMultilevel"/>
    <w:tmpl w:val="ACCA5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49A627D"/>
    <w:multiLevelType w:val="multilevel"/>
    <w:tmpl w:val="636C9CE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549C30E8"/>
    <w:multiLevelType w:val="hybridMultilevel"/>
    <w:tmpl w:val="F81ABCAC"/>
    <w:lvl w:ilvl="0" w:tplc="7C1016E0">
      <w:numFmt w:val="bullet"/>
      <w:lvlText w:val="•"/>
      <w:lvlJc w:val="left"/>
      <w:pPr>
        <w:ind w:left="786" w:hanging="360"/>
      </w:pPr>
      <w:rPr>
        <w:rFonts w:ascii="Arial" w:eastAsia="等?" w:hAnsi="Arial"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8" w15:restartNumberingAfterBreak="0">
    <w:nsid w:val="5B3A177F"/>
    <w:multiLevelType w:val="hybridMultilevel"/>
    <w:tmpl w:val="3C7A88BA"/>
    <w:lvl w:ilvl="0" w:tplc="ABE2A6C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CBC643C"/>
    <w:multiLevelType w:val="hybridMultilevel"/>
    <w:tmpl w:val="236E77FC"/>
    <w:lvl w:ilvl="0" w:tplc="A344D54C">
      <w:start w:val="1"/>
      <w:numFmt w:val="decimal"/>
      <w:lvlText w:val="(%1)"/>
      <w:lvlJc w:val="left"/>
      <w:pPr>
        <w:ind w:left="720" w:hanging="360"/>
      </w:pPr>
      <w:rPr>
        <w:rFonts w:hint="default"/>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CD76BD2"/>
    <w:multiLevelType w:val="multilevel"/>
    <w:tmpl w:val="5CD76B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5E7735D7"/>
    <w:multiLevelType w:val="hybridMultilevel"/>
    <w:tmpl w:val="71E278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005631B"/>
    <w:multiLevelType w:val="hybridMultilevel"/>
    <w:tmpl w:val="C106A3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20C44F1"/>
    <w:multiLevelType w:val="hybridMultilevel"/>
    <w:tmpl w:val="02A617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4112D6A"/>
    <w:multiLevelType w:val="hybridMultilevel"/>
    <w:tmpl w:val="EE5AA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5C62E44"/>
    <w:multiLevelType w:val="hybridMultilevel"/>
    <w:tmpl w:val="18E21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8165DEF"/>
    <w:multiLevelType w:val="hybridMultilevel"/>
    <w:tmpl w:val="89A025B8"/>
    <w:lvl w:ilvl="0" w:tplc="B2145F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CFB23EB"/>
    <w:multiLevelType w:val="hybridMultilevel"/>
    <w:tmpl w:val="48E0231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15:restartNumberingAfterBreak="0">
    <w:nsid w:val="70DB5D0D"/>
    <w:multiLevelType w:val="hybridMultilevel"/>
    <w:tmpl w:val="F3C0C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E8339EC"/>
    <w:multiLevelType w:val="multilevel"/>
    <w:tmpl w:val="242C36F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6"/>
  </w:num>
  <w:num w:numId="2">
    <w:abstractNumId w:val="28"/>
  </w:num>
  <w:num w:numId="3">
    <w:abstractNumId w:val="13"/>
  </w:num>
  <w:num w:numId="4">
    <w:abstractNumId w:val="12"/>
  </w:num>
  <w:num w:numId="5">
    <w:abstractNumId w:val="42"/>
  </w:num>
  <w:num w:numId="6">
    <w:abstractNumId w:val="26"/>
  </w:num>
  <w:num w:numId="7">
    <w:abstractNumId w:val="40"/>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37"/>
  </w:num>
  <w:num w:numId="11">
    <w:abstractNumId w:val="33"/>
  </w:num>
  <w:num w:numId="12">
    <w:abstractNumId w:val="10"/>
  </w:num>
  <w:num w:numId="13">
    <w:abstractNumId w:val="18"/>
  </w:num>
  <w:num w:numId="14">
    <w:abstractNumId w:val="17"/>
  </w:num>
  <w:num w:numId="15">
    <w:abstractNumId w:val="15"/>
  </w:num>
  <w:num w:numId="16">
    <w:abstractNumId w:val="35"/>
  </w:num>
  <w:num w:numId="17">
    <w:abstractNumId w:val="14"/>
  </w:num>
  <w:num w:numId="18">
    <w:abstractNumId w:val="24"/>
  </w:num>
  <w:num w:numId="19">
    <w:abstractNumId w:val="43"/>
  </w:num>
  <w:num w:numId="20">
    <w:abstractNumId w:val="27"/>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48"/>
  </w:num>
  <w:num w:numId="32">
    <w:abstractNumId w:val="41"/>
  </w:num>
  <w:num w:numId="33">
    <w:abstractNumId w:val="39"/>
  </w:num>
  <w:num w:numId="34">
    <w:abstractNumId w:val="22"/>
  </w:num>
  <w:num w:numId="35">
    <w:abstractNumId w:val="16"/>
  </w:num>
  <w:num w:numId="36">
    <w:abstractNumId w:val="47"/>
  </w:num>
  <w:num w:numId="37">
    <w:abstractNumId w:val="45"/>
  </w:num>
  <w:num w:numId="38">
    <w:abstractNumId w:val="25"/>
  </w:num>
  <w:num w:numId="39">
    <w:abstractNumId w:val="31"/>
  </w:num>
  <w:num w:numId="40">
    <w:abstractNumId w:val="21"/>
  </w:num>
  <w:num w:numId="41">
    <w:abstractNumId w:val="30"/>
  </w:num>
  <w:num w:numId="42">
    <w:abstractNumId w:val="32"/>
  </w:num>
  <w:num w:numId="43">
    <w:abstractNumId w:val="34"/>
  </w:num>
  <w:num w:numId="44">
    <w:abstractNumId w:val="19"/>
  </w:num>
  <w:num w:numId="45">
    <w:abstractNumId w:val="49"/>
  </w:num>
  <w:num w:numId="46">
    <w:abstractNumId w:val="23"/>
  </w:num>
  <w:num w:numId="47">
    <w:abstractNumId w:val="38"/>
  </w:num>
  <w:num w:numId="48">
    <w:abstractNumId w:val="11"/>
  </w:num>
  <w:num w:numId="49">
    <w:abstractNumId w:val="46"/>
  </w:num>
  <w:num w:numId="50">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oNotHyphenateCaps/>
  <w:noPunctuationKerning/>
  <w:characterSpacingControl w:val="doNotCompress"/>
  <w:doNotValidateAgainstSchema/>
  <w:doNotDemarcateInvalidXml/>
  <w:hdrShapeDefaults>
    <o:shapedefaults v:ext="edit" spidmax="2049"/>
  </w:hdrShapeDefaults>
  <w:footnotePr>
    <w:numFmt w:val="lowerLette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CE"/>
    <w:rsid w:val="00000AA2"/>
    <w:rsid w:val="00000C88"/>
    <w:rsid w:val="00001C8E"/>
    <w:rsid w:val="00003A6F"/>
    <w:rsid w:val="00003C07"/>
    <w:rsid w:val="00005F34"/>
    <w:rsid w:val="00010591"/>
    <w:rsid w:val="000105AD"/>
    <w:rsid w:val="00010B2D"/>
    <w:rsid w:val="00011677"/>
    <w:rsid w:val="000164CD"/>
    <w:rsid w:val="000173D0"/>
    <w:rsid w:val="00020A00"/>
    <w:rsid w:val="00021342"/>
    <w:rsid w:val="00023DAB"/>
    <w:rsid w:val="000243D9"/>
    <w:rsid w:val="00024C74"/>
    <w:rsid w:val="00025B17"/>
    <w:rsid w:val="00025D62"/>
    <w:rsid w:val="00026708"/>
    <w:rsid w:val="00030957"/>
    <w:rsid w:val="00033176"/>
    <w:rsid w:val="000337B1"/>
    <w:rsid w:val="000347C1"/>
    <w:rsid w:val="00034D6E"/>
    <w:rsid w:val="00036479"/>
    <w:rsid w:val="00036A6B"/>
    <w:rsid w:val="00036F13"/>
    <w:rsid w:val="00037A7D"/>
    <w:rsid w:val="000402CC"/>
    <w:rsid w:val="000405B5"/>
    <w:rsid w:val="00043418"/>
    <w:rsid w:val="00043852"/>
    <w:rsid w:val="000447FB"/>
    <w:rsid w:val="00045244"/>
    <w:rsid w:val="000453E1"/>
    <w:rsid w:val="00045F8C"/>
    <w:rsid w:val="00046D17"/>
    <w:rsid w:val="00046F25"/>
    <w:rsid w:val="00047F85"/>
    <w:rsid w:val="000504B0"/>
    <w:rsid w:val="000505CE"/>
    <w:rsid w:val="000506D4"/>
    <w:rsid w:val="00051915"/>
    <w:rsid w:val="000528CF"/>
    <w:rsid w:val="000530CD"/>
    <w:rsid w:val="000538C6"/>
    <w:rsid w:val="00055BFB"/>
    <w:rsid w:val="00055DAD"/>
    <w:rsid w:val="000562B6"/>
    <w:rsid w:val="00056FF1"/>
    <w:rsid w:val="00060233"/>
    <w:rsid w:val="00064990"/>
    <w:rsid w:val="00065FBB"/>
    <w:rsid w:val="000675D5"/>
    <w:rsid w:val="00071F94"/>
    <w:rsid w:val="000731A7"/>
    <w:rsid w:val="000731C6"/>
    <w:rsid w:val="0007354C"/>
    <w:rsid w:val="00073F23"/>
    <w:rsid w:val="00074285"/>
    <w:rsid w:val="000747CF"/>
    <w:rsid w:val="00076997"/>
    <w:rsid w:val="000774F9"/>
    <w:rsid w:val="00077702"/>
    <w:rsid w:val="000816AF"/>
    <w:rsid w:val="00081E1F"/>
    <w:rsid w:val="000829D3"/>
    <w:rsid w:val="000834CD"/>
    <w:rsid w:val="00083638"/>
    <w:rsid w:val="00083EA9"/>
    <w:rsid w:val="00084930"/>
    <w:rsid w:val="00085205"/>
    <w:rsid w:val="000853A3"/>
    <w:rsid w:val="000856C6"/>
    <w:rsid w:val="00085DBB"/>
    <w:rsid w:val="0009182B"/>
    <w:rsid w:val="00091AD3"/>
    <w:rsid w:val="00092000"/>
    <w:rsid w:val="00092001"/>
    <w:rsid w:val="00092424"/>
    <w:rsid w:val="000929E9"/>
    <w:rsid w:val="0009317F"/>
    <w:rsid w:val="000936EF"/>
    <w:rsid w:val="00095BFB"/>
    <w:rsid w:val="00095D35"/>
    <w:rsid w:val="00095F8F"/>
    <w:rsid w:val="000965AE"/>
    <w:rsid w:val="00096CFE"/>
    <w:rsid w:val="000A147E"/>
    <w:rsid w:val="000A316A"/>
    <w:rsid w:val="000A513E"/>
    <w:rsid w:val="000A615B"/>
    <w:rsid w:val="000A6A95"/>
    <w:rsid w:val="000A6CC5"/>
    <w:rsid w:val="000B1FDE"/>
    <w:rsid w:val="000B2053"/>
    <w:rsid w:val="000B327E"/>
    <w:rsid w:val="000B3999"/>
    <w:rsid w:val="000B3B05"/>
    <w:rsid w:val="000B60A3"/>
    <w:rsid w:val="000B616F"/>
    <w:rsid w:val="000B6807"/>
    <w:rsid w:val="000B76F5"/>
    <w:rsid w:val="000C072F"/>
    <w:rsid w:val="000C1BEF"/>
    <w:rsid w:val="000C59F7"/>
    <w:rsid w:val="000D1884"/>
    <w:rsid w:val="000D1E10"/>
    <w:rsid w:val="000D2283"/>
    <w:rsid w:val="000D6AA7"/>
    <w:rsid w:val="000D76CF"/>
    <w:rsid w:val="000D7B74"/>
    <w:rsid w:val="000E2394"/>
    <w:rsid w:val="000E3546"/>
    <w:rsid w:val="000E5CC9"/>
    <w:rsid w:val="000E5CE3"/>
    <w:rsid w:val="000E61FF"/>
    <w:rsid w:val="000E65AB"/>
    <w:rsid w:val="000E7ACA"/>
    <w:rsid w:val="000F069B"/>
    <w:rsid w:val="000F0CEA"/>
    <w:rsid w:val="000F123D"/>
    <w:rsid w:val="000F1CE8"/>
    <w:rsid w:val="000F27CF"/>
    <w:rsid w:val="000F28F2"/>
    <w:rsid w:val="000F2CFF"/>
    <w:rsid w:val="000F3155"/>
    <w:rsid w:val="000F3529"/>
    <w:rsid w:val="000F3E2E"/>
    <w:rsid w:val="000F4DA7"/>
    <w:rsid w:val="000F5691"/>
    <w:rsid w:val="000F5ABC"/>
    <w:rsid w:val="000F729A"/>
    <w:rsid w:val="000F72E1"/>
    <w:rsid w:val="000F7751"/>
    <w:rsid w:val="000F785B"/>
    <w:rsid w:val="00100874"/>
    <w:rsid w:val="0010191C"/>
    <w:rsid w:val="001026F0"/>
    <w:rsid w:val="00102EC8"/>
    <w:rsid w:val="00102EDA"/>
    <w:rsid w:val="0010329B"/>
    <w:rsid w:val="00103D28"/>
    <w:rsid w:val="00103ED6"/>
    <w:rsid w:val="00104EFD"/>
    <w:rsid w:val="001068F7"/>
    <w:rsid w:val="0010693E"/>
    <w:rsid w:val="00106C08"/>
    <w:rsid w:val="0010749C"/>
    <w:rsid w:val="00107597"/>
    <w:rsid w:val="00107C6F"/>
    <w:rsid w:val="00107F30"/>
    <w:rsid w:val="0011068D"/>
    <w:rsid w:val="00110A5F"/>
    <w:rsid w:val="001112BE"/>
    <w:rsid w:val="0011135F"/>
    <w:rsid w:val="0011163C"/>
    <w:rsid w:val="00114C50"/>
    <w:rsid w:val="00115D11"/>
    <w:rsid w:val="00115E3B"/>
    <w:rsid w:val="00116C5F"/>
    <w:rsid w:val="00116F00"/>
    <w:rsid w:val="00117945"/>
    <w:rsid w:val="0012064F"/>
    <w:rsid w:val="00120F01"/>
    <w:rsid w:val="0012174D"/>
    <w:rsid w:val="00121CDE"/>
    <w:rsid w:val="00122520"/>
    <w:rsid w:val="00122BB1"/>
    <w:rsid w:val="00124891"/>
    <w:rsid w:val="00124FE6"/>
    <w:rsid w:val="00125799"/>
    <w:rsid w:val="00126C72"/>
    <w:rsid w:val="00127501"/>
    <w:rsid w:val="00130447"/>
    <w:rsid w:val="00132A37"/>
    <w:rsid w:val="00134AA0"/>
    <w:rsid w:val="0013517F"/>
    <w:rsid w:val="0013638D"/>
    <w:rsid w:val="00136E89"/>
    <w:rsid w:val="00137696"/>
    <w:rsid w:val="00140FE0"/>
    <w:rsid w:val="0014308D"/>
    <w:rsid w:val="00143A86"/>
    <w:rsid w:val="00143FE7"/>
    <w:rsid w:val="001458B3"/>
    <w:rsid w:val="0015076B"/>
    <w:rsid w:val="00151040"/>
    <w:rsid w:val="001528F8"/>
    <w:rsid w:val="0015327B"/>
    <w:rsid w:val="001547B9"/>
    <w:rsid w:val="001556BD"/>
    <w:rsid w:val="00155F56"/>
    <w:rsid w:val="001560CC"/>
    <w:rsid w:val="001570AA"/>
    <w:rsid w:val="001615BB"/>
    <w:rsid w:val="00161C5D"/>
    <w:rsid w:val="00165C25"/>
    <w:rsid w:val="001707A2"/>
    <w:rsid w:val="00171D1D"/>
    <w:rsid w:val="001744F8"/>
    <w:rsid w:val="001761B2"/>
    <w:rsid w:val="001769AD"/>
    <w:rsid w:val="001809FE"/>
    <w:rsid w:val="00180A7F"/>
    <w:rsid w:val="0018106C"/>
    <w:rsid w:val="001821D1"/>
    <w:rsid w:val="00182C61"/>
    <w:rsid w:val="00182E63"/>
    <w:rsid w:val="00185B6C"/>
    <w:rsid w:val="001861F8"/>
    <w:rsid w:val="00186435"/>
    <w:rsid w:val="001868AF"/>
    <w:rsid w:val="00193421"/>
    <w:rsid w:val="00193A8E"/>
    <w:rsid w:val="00193D3B"/>
    <w:rsid w:val="00195178"/>
    <w:rsid w:val="00195352"/>
    <w:rsid w:val="00195DFB"/>
    <w:rsid w:val="00196703"/>
    <w:rsid w:val="00196EBF"/>
    <w:rsid w:val="0019708E"/>
    <w:rsid w:val="00197FA2"/>
    <w:rsid w:val="001A0620"/>
    <w:rsid w:val="001A0803"/>
    <w:rsid w:val="001A087F"/>
    <w:rsid w:val="001A27AD"/>
    <w:rsid w:val="001A4B0B"/>
    <w:rsid w:val="001A4D92"/>
    <w:rsid w:val="001A58D1"/>
    <w:rsid w:val="001A64E5"/>
    <w:rsid w:val="001A6645"/>
    <w:rsid w:val="001A6826"/>
    <w:rsid w:val="001B0EA9"/>
    <w:rsid w:val="001B1E51"/>
    <w:rsid w:val="001B2654"/>
    <w:rsid w:val="001B2827"/>
    <w:rsid w:val="001B29E2"/>
    <w:rsid w:val="001B3247"/>
    <w:rsid w:val="001B3795"/>
    <w:rsid w:val="001B3D27"/>
    <w:rsid w:val="001B41A6"/>
    <w:rsid w:val="001B54A8"/>
    <w:rsid w:val="001B5865"/>
    <w:rsid w:val="001B5CBD"/>
    <w:rsid w:val="001B6160"/>
    <w:rsid w:val="001B7104"/>
    <w:rsid w:val="001B731A"/>
    <w:rsid w:val="001C0947"/>
    <w:rsid w:val="001C12F0"/>
    <w:rsid w:val="001C18A4"/>
    <w:rsid w:val="001C1F50"/>
    <w:rsid w:val="001C37FA"/>
    <w:rsid w:val="001C3BE4"/>
    <w:rsid w:val="001C61C4"/>
    <w:rsid w:val="001C6526"/>
    <w:rsid w:val="001C6A58"/>
    <w:rsid w:val="001D0043"/>
    <w:rsid w:val="001D0D24"/>
    <w:rsid w:val="001D1D76"/>
    <w:rsid w:val="001D256D"/>
    <w:rsid w:val="001D26D6"/>
    <w:rsid w:val="001D3A26"/>
    <w:rsid w:val="001D3F68"/>
    <w:rsid w:val="001D5724"/>
    <w:rsid w:val="001D602D"/>
    <w:rsid w:val="001D6093"/>
    <w:rsid w:val="001D639A"/>
    <w:rsid w:val="001D6F7E"/>
    <w:rsid w:val="001E0753"/>
    <w:rsid w:val="001E1A94"/>
    <w:rsid w:val="001E1B4F"/>
    <w:rsid w:val="001E24FC"/>
    <w:rsid w:val="001E4C93"/>
    <w:rsid w:val="001E5AA2"/>
    <w:rsid w:val="001E64BD"/>
    <w:rsid w:val="001E66A0"/>
    <w:rsid w:val="001E6CB7"/>
    <w:rsid w:val="001E6E93"/>
    <w:rsid w:val="001E76CF"/>
    <w:rsid w:val="001E7F2D"/>
    <w:rsid w:val="001F0DB8"/>
    <w:rsid w:val="001F24F3"/>
    <w:rsid w:val="001F344E"/>
    <w:rsid w:val="001F51D4"/>
    <w:rsid w:val="001F6130"/>
    <w:rsid w:val="001F6887"/>
    <w:rsid w:val="002011A9"/>
    <w:rsid w:val="00201417"/>
    <w:rsid w:val="00201B03"/>
    <w:rsid w:val="00201D47"/>
    <w:rsid w:val="0020203B"/>
    <w:rsid w:val="00203472"/>
    <w:rsid w:val="00205509"/>
    <w:rsid w:val="00205C95"/>
    <w:rsid w:val="002074CF"/>
    <w:rsid w:val="00207D60"/>
    <w:rsid w:val="002115A3"/>
    <w:rsid w:val="002136E0"/>
    <w:rsid w:val="00213C59"/>
    <w:rsid w:val="00213F6F"/>
    <w:rsid w:val="0021436F"/>
    <w:rsid w:val="0021552C"/>
    <w:rsid w:val="00215DE5"/>
    <w:rsid w:val="0021650D"/>
    <w:rsid w:val="00216A11"/>
    <w:rsid w:val="002177E8"/>
    <w:rsid w:val="002204A4"/>
    <w:rsid w:val="00222B13"/>
    <w:rsid w:val="00223CD5"/>
    <w:rsid w:val="00224033"/>
    <w:rsid w:val="00225621"/>
    <w:rsid w:val="00226437"/>
    <w:rsid w:val="0023033F"/>
    <w:rsid w:val="0023069C"/>
    <w:rsid w:val="00231B31"/>
    <w:rsid w:val="00231D03"/>
    <w:rsid w:val="00231DC4"/>
    <w:rsid w:val="00233B2D"/>
    <w:rsid w:val="00233C79"/>
    <w:rsid w:val="0023566F"/>
    <w:rsid w:val="00236A20"/>
    <w:rsid w:val="002370E5"/>
    <w:rsid w:val="00237A4C"/>
    <w:rsid w:val="00237DEA"/>
    <w:rsid w:val="0024027B"/>
    <w:rsid w:val="00241AFD"/>
    <w:rsid w:val="002422AF"/>
    <w:rsid w:val="0024270B"/>
    <w:rsid w:val="00242C7C"/>
    <w:rsid w:val="00243919"/>
    <w:rsid w:val="0024549F"/>
    <w:rsid w:val="0024671B"/>
    <w:rsid w:val="00250032"/>
    <w:rsid w:val="00251401"/>
    <w:rsid w:val="00252E61"/>
    <w:rsid w:val="0025321E"/>
    <w:rsid w:val="002537F2"/>
    <w:rsid w:val="00255E95"/>
    <w:rsid w:val="002575CE"/>
    <w:rsid w:val="00261E14"/>
    <w:rsid w:val="00262242"/>
    <w:rsid w:val="0026441B"/>
    <w:rsid w:val="0026583E"/>
    <w:rsid w:val="0026648B"/>
    <w:rsid w:val="00266A59"/>
    <w:rsid w:val="0026752C"/>
    <w:rsid w:val="00267745"/>
    <w:rsid w:val="002703D9"/>
    <w:rsid w:val="00270623"/>
    <w:rsid w:val="00271C60"/>
    <w:rsid w:val="0027308B"/>
    <w:rsid w:val="00273AA0"/>
    <w:rsid w:val="00274A6A"/>
    <w:rsid w:val="0027520B"/>
    <w:rsid w:val="00275235"/>
    <w:rsid w:val="00276944"/>
    <w:rsid w:val="00276EEF"/>
    <w:rsid w:val="00280372"/>
    <w:rsid w:val="002806C4"/>
    <w:rsid w:val="00281F44"/>
    <w:rsid w:val="00282C19"/>
    <w:rsid w:val="00282FA4"/>
    <w:rsid w:val="00283EE6"/>
    <w:rsid w:val="00285A73"/>
    <w:rsid w:val="00286636"/>
    <w:rsid w:val="00286F22"/>
    <w:rsid w:val="00287CD7"/>
    <w:rsid w:val="0029027F"/>
    <w:rsid w:val="00290575"/>
    <w:rsid w:val="0029094F"/>
    <w:rsid w:val="00290C93"/>
    <w:rsid w:val="00291E8E"/>
    <w:rsid w:val="00291ED4"/>
    <w:rsid w:val="0029257E"/>
    <w:rsid w:val="00293854"/>
    <w:rsid w:val="002951CE"/>
    <w:rsid w:val="002953A8"/>
    <w:rsid w:val="0029541E"/>
    <w:rsid w:val="0029554E"/>
    <w:rsid w:val="00295619"/>
    <w:rsid w:val="00295753"/>
    <w:rsid w:val="00295C28"/>
    <w:rsid w:val="0029677D"/>
    <w:rsid w:val="002A0186"/>
    <w:rsid w:val="002A0326"/>
    <w:rsid w:val="002A0444"/>
    <w:rsid w:val="002A0CF2"/>
    <w:rsid w:val="002A19EE"/>
    <w:rsid w:val="002A1C62"/>
    <w:rsid w:val="002A1E94"/>
    <w:rsid w:val="002A26DC"/>
    <w:rsid w:val="002A29EE"/>
    <w:rsid w:val="002A3632"/>
    <w:rsid w:val="002A40D0"/>
    <w:rsid w:val="002A5260"/>
    <w:rsid w:val="002A616A"/>
    <w:rsid w:val="002A7150"/>
    <w:rsid w:val="002A7DEB"/>
    <w:rsid w:val="002B0997"/>
    <w:rsid w:val="002B09CC"/>
    <w:rsid w:val="002B0E96"/>
    <w:rsid w:val="002B112B"/>
    <w:rsid w:val="002B2D4F"/>
    <w:rsid w:val="002B3C0E"/>
    <w:rsid w:val="002B5A78"/>
    <w:rsid w:val="002B66DD"/>
    <w:rsid w:val="002C1297"/>
    <w:rsid w:val="002C226C"/>
    <w:rsid w:val="002C3AC8"/>
    <w:rsid w:val="002C436D"/>
    <w:rsid w:val="002C4B8C"/>
    <w:rsid w:val="002C50DD"/>
    <w:rsid w:val="002C5BC4"/>
    <w:rsid w:val="002D1814"/>
    <w:rsid w:val="002D1C07"/>
    <w:rsid w:val="002D33E4"/>
    <w:rsid w:val="002D5D42"/>
    <w:rsid w:val="002D66B3"/>
    <w:rsid w:val="002D7371"/>
    <w:rsid w:val="002D7A8E"/>
    <w:rsid w:val="002D7BD0"/>
    <w:rsid w:val="002E00FD"/>
    <w:rsid w:val="002E06BF"/>
    <w:rsid w:val="002E0EC0"/>
    <w:rsid w:val="002E3377"/>
    <w:rsid w:val="002E4778"/>
    <w:rsid w:val="002E5420"/>
    <w:rsid w:val="002E71BA"/>
    <w:rsid w:val="002F0E8F"/>
    <w:rsid w:val="002F16A6"/>
    <w:rsid w:val="002F1AB2"/>
    <w:rsid w:val="002F2A5C"/>
    <w:rsid w:val="002F2C46"/>
    <w:rsid w:val="002F2F75"/>
    <w:rsid w:val="002F30FA"/>
    <w:rsid w:val="002F3307"/>
    <w:rsid w:val="002F42A8"/>
    <w:rsid w:val="002F48E6"/>
    <w:rsid w:val="002F4972"/>
    <w:rsid w:val="002F61A9"/>
    <w:rsid w:val="002F6246"/>
    <w:rsid w:val="002F6EE7"/>
    <w:rsid w:val="002F74D9"/>
    <w:rsid w:val="002F788E"/>
    <w:rsid w:val="00300E81"/>
    <w:rsid w:val="00301839"/>
    <w:rsid w:val="00301EB6"/>
    <w:rsid w:val="003027F8"/>
    <w:rsid w:val="00303844"/>
    <w:rsid w:val="00303AFE"/>
    <w:rsid w:val="00303BB1"/>
    <w:rsid w:val="00303D28"/>
    <w:rsid w:val="00303D5C"/>
    <w:rsid w:val="00303DFC"/>
    <w:rsid w:val="003041F1"/>
    <w:rsid w:val="00304400"/>
    <w:rsid w:val="00304474"/>
    <w:rsid w:val="0030595D"/>
    <w:rsid w:val="00306A2D"/>
    <w:rsid w:val="0031011F"/>
    <w:rsid w:val="00310D7D"/>
    <w:rsid w:val="003124F4"/>
    <w:rsid w:val="00313285"/>
    <w:rsid w:val="003132E6"/>
    <w:rsid w:val="003137B2"/>
    <w:rsid w:val="00314F5F"/>
    <w:rsid w:val="0031619F"/>
    <w:rsid w:val="00316871"/>
    <w:rsid w:val="00316D9B"/>
    <w:rsid w:val="00317461"/>
    <w:rsid w:val="00317E66"/>
    <w:rsid w:val="0032019C"/>
    <w:rsid w:val="00320D04"/>
    <w:rsid w:val="00322419"/>
    <w:rsid w:val="00322F89"/>
    <w:rsid w:val="003230ED"/>
    <w:rsid w:val="00323F50"/>
    <w:rsid w:val="00325262"/>
    <w:rsid w:val="0032592E"/>
    <w:rsid w:val="00330830"/>
    <w:rsid w:val="00330D5F"/>
    <w:rsid w:val="00330EA1"/>
    <w:rsid w:val="00331798"/>
    <w:rsid w:val="003320FB"/>
    <w:rsid w:val="0033284C"/>
    <w:rsid w:val="00332B4B"/>
    <w:rsid w:val="00333203"/>
    <w:rsid w:val="0033400E"/>
    <w:rsid w:val="003340CB"/>
    <w:rsid w:val="003356E9"/>
    <w:rsid w:val="00336F14"/>
    <w:rsid w:val="00337349"/>
    <w:rsid w:val="003400D3"/>
    <w:rsid w:val="0034064E"/>
    <w:rsid w:val="003406F2"/>
    <w:rsid w:val="00341A2C"/>
    <w:rsid w:val="003429EA"/>
    <w:rsid w:val="00343359"/>
    <w:rsid w:val="003439DA"/>
    <w:rsid w:val="003441A6"/>
    <w:rsid w:val="003443A6"/>
    <w:rsid w:val="00344D6F"/>
    <w:rsid w:val="00345B4D"/>
    <w:rsid w:val="00350137"/>
    <w:rsid w:val="0035092D"/>
    <w:rsid w:val="00350939"/>
    <w:rsid w:val="00351370"/>
    <w:rsid w:val="003516B8"/>
    <w:rsid w:val="00351FB6"/>
    <w:rsid w:val="003527C2"/>
    <w:rsid w:val="00360957"/>
    <w:rsid w:val="00361372"/>
    <w:rsid w:val="00361F4D"/>
    <w:rsid w:val="003623B4"/>
    <w:rsid w:val="00363BAE"/>
    <w:rsid w:val="00364671"/>
    <w:rsid w:val="00366A96"/>
    <w:rsid w:val="00367529"/>
    <w:rsid w:val="00373DA0"/>
    <w:rsid w:val="003754CB"/>
    <w:rsid w:val="00375C67"/>
    <w:rsid w:val="0037646E"/>
    <w:rsid w:val="00376DF5"/>
    <w:rsid w:val="00377009"/>
    <w:rsid w:val="00381CC5"/>
    <w:rsid w:val="0038265D"/>
    <w:rsid w:val="00382B62"/>
    <w:rsid w:val="00383A25"/>
    <w:rsid w:val="00384203"/>
    <w:rsid w:val="0038506C"/>
    <w:rsid w:val="003853FF"/>
    <w:rsid w:val="00385B6B"/>
    <w:rsid w:val="003865B1"/>
    <w:rsid w:val="0038759A"/>
    <w:rsid w:val="00390986"/>
    <w:rsid w:val="00390BBB"/>
    <w:rsid w:val="00390F25"/>
    <w:rsid w:val="00391A86"/>
    <w:rsid w:val="00392D19"/>
    <w:rsid w:val="00392D90"/>
    <w:rsid w:val="0039307C"/>
    <w:rsid w:val="00393FE1"/>
    <w:rsid w:val="00394B3D"/>
    <w:rsid w:val="0039525C"/>
    <w:rsid w:val="00397423"/>
    <w:rsid w:val="003A0794"/>
    <w:rsid w:val="003A0FCB"/>
    <w:rsid w:val="003A1455"/>
    <w:rsid w:val="003A3418"/>
    <w:rsid w:val="003A3B1A"/>
    <w:rsid w:val="003A4FF7"/>
    <w:rsid w:val="003A5F28"/>
    <w:rsid w:val="003A64D3"/>
    <w:rsid w:val="003B0584"/>
    <w:rsid w:val="003B1D75"/>
    <w:rsid w:val="003B23C8"/>
    <w:rsid w:val="003B2606"/>
    <w:rsid w:val="003B3CDC"/>
    <w:rsid w:val="003B43E2"/>
    <w:rsid w:val="003B4995"/>
    <w:rsid w:val="003B55D0"/>
    <w:rsid w:val="003B70FB"/>
    <w:rsid w:val="003B7636"/>
    <w:rsid w:val="003C0F85"/>
    <w:rsid w:val="003C2508"/>
    <w:rsid w:val="003C2CDB"/>
    <w:rsid w:val="003C4B39"/>
    <w:rsid w:val="003C4DB7"/>
    <w:rsid w:val="003C5915"/>
    <w:rsid w:val="003C5C72"/>
    <w:rsid w:val="003C7473"/>
    <w:rsid w:val="003D06FE"/>
    <w:rsid w:val="003D10E1"/>
    <w:rsid w:val="003D1706"/>
    <w:rsid w:val="003D25D6"/>
    <w:rsid w:val="003D3E0F"/>
    <w:rsid w:val="003D4ABC"/>
    <w:rsid w:val="003D4E59"/>
    <w:rsid w:val="003D527B"/>
    <w:rsid w:val="003D5420"/>
    <w:rsid w:val="003D5A89"/>
    <w:rsid w:val="003D6271"/>
    <w:rsid w:val="003D63B7"/>
    <w:rsid w:val="003D6562"/>
    <w:rsid w:val="003D66A6"/>
    <w:rsid w:val="003D6F6A"/>
    <w:rsid w:val="003D6FCD"/>
    <w:rsid w:val="003E0591"/>
    <w:rsid w:val="003E1266"/>
    <w:rsid w:val="003E740A"/>
    <w:rsid w:val="003E74E4"/>
    <w:rsid w:val="003E7AFF"/>
    <w:rsid w:val="003E7D27"/>
    <w:rsid w:val="003F02E2"/>
    <w:rsid w:val="003F0FE6"/>
    <w:rsid w:val="003F14C2"/>
    <w:rsid w:val="003F1D05"/>
    <w:rsid w:val="003F21F9"/>
    <w:rsid w:val="003F3463"/>
    <w:rsid w:val="003F36DA"/>
    <w:rsid w:val="003F4278"/>
    <w:rsid w:val="003F4DBC"/>
    <w:rsid w:val="003F5C4E"/>
    <w:rsid w:val="003F6473"/>
    <w:rsid w:val="003F6ACE"/>
    <w:rsid w:val="003F6F85"/>
    <w:rsid w:val="00400546"/>
    <w:rsid w:val="00400A35"/>
    <w:rsid w:val="00400D47"/>
    <w:rsid w:val="004017A2"/>
    <w:rsid w:val="00401AD0"/>
    <w:rsid w:val="0040366B"/>
    <w:rsid w:val="00403A1F"/>
    <w:rsid w:val="004056AE"/>
    <w:rsid w:val="00405D3F"/>
    <w:rsid w:val="00411FD5"/>
    <w:rsid w:val="004124A0"/>
    <w:rsid w:val="00412F89"/>
    <w:rsid w:val="004134BE"/>
    <w:rsid w:val="00413E68"/>
    <w:rsid w:val="00414740"/>
    <w:rsid w:val="00414E66"/>
    <w:rsid w:val="004151DA"/>
    <w:rsid w:val="004158AA"/>
    <w:rsid w:val="00415C2B"/>
    <w:rsid w:val="0041677F"/>
    <w:rsid w:val="004208A4"/>
    <w:rsid w:val="004212EC"/>
    <w:rsid w:val="00421D74"/>
    <w:rsid w:val="00422950"/>
    <w:rsid w:val="004230A4"/>
    <w:rsid w:val="00424525"/>
    <w:rsid w:val="00424E3B"/>
    <w:rsid w:val="0042573A"/>
    <w:rsid w:val="00425D7E"/>
    <w:rsid w:val="00425EFC"/>
    <w:rsid w:val="004269E9"/>
    <w:rsid w:val="00426AA6"/>
    <w:rsid w:val="00427432"/>
    <w:rsid w:val="00427995"/>
    <w:rsid w:val="004315E0"/>
    <w:rsid w:val="00431EC5"/>
    <w:rsid w:val="00432EEC"/>
    <w:rsid w:val="004330EA"/>
    <w:rsid w:val="00433416"/>
    <w:rsid w:val="004342C4"/>
    <w:rsid w:val="00434606"/>
    <w:rsid w:val="00434A1A"/>
    <w:rsid w:val="00434B52"/>
    <w:rsid w:val="00434F10"/>
    <w:rsid w:val="0044127D"/>
    <w:rsid w:val="00441B69"/>
    <w:rsid w:val="004422B2"/>
    <w:rsid w:val="00444B40"/>
    <w:rsid w:val="00445372"/>
    <w:rsid w:val="004457D2"/>
    <w:rsid w:val="004460DB"/>
    <w:rsid w:val="00446398"/>
    <w:rsid w:val="004477F7"/>
    <w:rsid w:val="00450B54"/>
    <w:rsid w:val="00451550"/>
    <w:rsid w:val="00451713"/>
    <w:rsid w:val="0045218A"/>
    <w:rsid w:val="004540EA"/>
    <w:rsid w:val="0045536B"/>
    <w:rsid w:val="004554E7"/>
    <w:rsid w:val="00455830"/>
    <w:rsid w:val="00455BD0"/>
    <w:rsid w:val="00456049"/>
    <w:rsid w:val="004564CC"/>
    <w:rsid w:val="00456936"/>
    <w:rsid w:val="004576EE"/>
    <w:rsid w:val="00461111"/>
    <w:rsid w:val="0046139D"/>
    <w:rsid w:val="004620D7"/>
    <w:rsid w:val="00463AEF"/>
    <w:rsid w:val="004648BD"/>
    <w:rsid w:val="004650D8"/>
    <w:rsid w:val="00465197"/>
    <w:rsid w:val="00466AD3"/>
    <w:rsid w:val="00466C9D"/>
    <w:rsid w:val="00467273"/>
    <w:rsid w:val="004677DB"/>
    <w:rsid w:val="00471438"/>
    <w:rsid w:val="0047159D"/>
    <w:rsid w:val="00471A41"/>
    <w:rsid w:val="00471DBA"/>
    <w:rsid w:val="004722B7"/>
    <w:rsid w:val="004737DF"/>
    <w:rsid w:val="00473AA4"/>
    <w:rsid w:val="00474586"/>
    <w:rsid w:val="00474910"/>
    <w:rsid w:val="00474B1F"/>
    <w:rsid w:val="004751A2"/>
    <w:rsid w:val="00476CE9"/>
    <w:rsid w:val="004771C4"/>
    <w:rsid w:val="00477E88"/>
    <w:rsid w:val="00480AE5"/>
    <w:rsid w:val="00480C7D"/>
    <w:rsid w:val="0048170D"/>
    <w:rsid w:val="00481718"/>
    <w:rsid w:val="004827B6"/>
    <w:rsid w:val="00482C21"/>
    <w:rsid w:val="00482F3E"/>
    <w:rsid w:val="00484C41"/>
    <w:rsid w:val="0048500F"/>
    <w:rsid w:val="00485C24"/>
    <w:rsid w:val="0048622F"/>
    <w:rsid w:val="0048748D"/>
    <w:rsid w:val="00487577"/>
    <w:rsid w:val="00487C40"/>
    <w:rsid w:val="00490EF6"/>
    <w:rsid w:val="004923FC"/>
    <w:rsid w:val="0049264C"/>
    <w:rsid w:val="0049279E"/>
    <w:rsid w:val="00493B43"/>
    <w:rsid w:val="00493C38"/>
    <w:rsid w:val="00494B9B"/>
    <w:rsid w:val="00495F7C"/>
    <w:rsid w:val="00497CBD"/>
    <w:rsid w:val="004A05E6"/>
    <w:rsid w:val="004A299F"/>
    <w:rsid w:val="004A2A5E"/>
    <w:rsid w:val="004A2C77"/>
    <w:rsid w:val="004A3D68"/>
    <w:rsid w:val="004A41F1"/>
    <w:rsid w:val="004A6359"/>
    <w:rsid w:val="004A6CF3"/>
    <w:rsid w:val="004A796F"/>
    <w:rsid w:val="004B001D"/>
    <w:rsid w:val="004B0D34"/>
    <w:rsid w:val="004B1BD3"/>
    <w:rsid w:val="004B1EE4"/>
    <w:rsid w:val="004B2030"/>
    <w:rsid w:val="004B34D8"/>
    <w:rsid w:val="004B3504"/>
    <w:rsid w:val="004B4683"/>
    <w:rsid w:val="004B5764"/>
    <w:rsid w:val="004B582B"/>
    <w:rsid w:val="004B6542"/>
    <w:rsid w:val="004C0CF5"/>
    <w:rsid w:val="004C0E59"/>
    <w:rsid w:val="004C289A"/>
    <w:rsid w:val="004C37E0"/>
    <w:rsid w:val="004C4D0E"/>
    <w:rsid w:val="004C5933"/>
    <w:rsid w:val="004C6113"/>
    <w:rsid w:val="004C66BB"/>
    <w:rsid w:val="004C72D4"/>
    <w:rsid w:val="004C735B"/>
    <w:rsid w:val="004D01E0"/>
    <w:rsid w:val="004D1BF2"/>
    <w:rsid w:val="004D351C"/>
    <w:rsid w:val="004D406D"/>
    <w:rsid w:val="004D5D35"/>
    <w:rsid w:val="004D61BA"/>
    <w:rsid w:val="004D6AEF"/>
    <w:rsid w:val="004D6F01"/>
    <w:rsid w:val="004E0089"/>
    <w:rsid w:val="004E1156"/>
    <w:rsid w:val="004E27AE"/>
    <w:rsid w:val="004E36DC"/>
    <w:rsid w:val="004E3917"/>
    <w:rsid w:val="004E41CF"/>
    <w:rsid w:val="004E652F"/>
    <w:rsid w:val="004E7B00"/>
    <w:rsid w:val="004F0B1B"/>
    <w:rsid w:val="004F2163"/>
    <w:rsid w:val="004F75B7"/>
    <w:rsid w:val="00500721"/>
    <w:rsid w:val="00500FB2"/>
    <w:rsid w:val="0050104F"/>
    <w:rsid w:val="005041C7"/>
    <w:rsid w:val="00504694"/>
    <w:rsid w:val="00505C3E"/>
    <w:rsid w:val="00505CD5"/>
    <w:rsid w:val="00505D4A"/>
    <w:rsid w:val="00505FDA"/>
    <w:rsid w:val="00506282"/>
    <w:rsid w:val="00507D92"/>
    <w:rsid w:val="00510290"/>
    <w:rsid w:val="00511AB4"/>
    <w:rsid w:val="00511D02"/>
    <w:rsid w:val="00512B7C"/>
    <w:rsid w:val="00512C98"/>
    <w:rsid w:val="005143C2"/>
    <w:rsid w:val="00516492"/>
    <w:rsid w:val="0051731C"/>
    <w:rsid w:val="00520218"/>
    <w:rsid w:val="00521DDA"/>
    <w:rsid w:val="00522E61"/>
    <w:rsid w:val="00522F05"/>
    <w:rsid w:val="00524D02"/>
    <w:rsid w:val="005257A9"/>
    <w:rsid w:val="00525906"/>
    <w:rsid w:val="00527392"/>
    <w:rsid w:val="0052772E"/>
    <w:rsid w:val="00530571"/>
    <w:rsid w:val="00530995"/>
    <w:rsid w:val="00531739"/>
    <w:rsid w:val="0053218D"/>
    <w:rsid w:val="0053263B"/>
    <w:rsid w:val="00532A8E"/>
    <w:rsid w:val="00534AD3"/>
    <w:rsid w:val="00534C1D"/>
    <w:rsid w:val="00535B6C"/>
    <w:rsid w:val="00535FE3"/>
    <w:rsid w:val="00536006"/>
    <w:rsid w:val="00536BDC"/>
    <w:rsid w:val="00540E4E"/>
    <w:rsid w:val="00540F5A"/>
    <w:rsid w:val="0054138A"/>
    <w:rsid w:val="0054167C"/>
    <w:rsid w:val="00543AF9"/>
    <w:rsid w:val="005451BE"/>
    <w:rsid w:val="0054756F"/>
    <w:rsid w:val="00550FAA"/>
    <w:rsid w:val="00551F00"/>
    <w:rsid w:val="00552647"/>
    <w:rsid w:val="005532AD"/>
    <w:rsid w:val="00553D8B"/>
    <w:rsid w:val="0055427F"/>
    <w:rsid w:val="00554313"/>
    <w:rsid w:val="005546DA"/>
    <w:rsid w:val="00554EC9"/>
    <w:rsid w:val="00555E98"/>
    <w:rsid w:val="00563041"/>
    <w:rsid w:val="005654AA"/>
    <w:rsid w:val="00565CA6"/>
    <w:rsid w:val="00566465"/>
    <w:rsid w:val="00566688"/>
    <w:rsid w:val="005670E8"/>
    <w:rsid w:val="005673CF"/>
    <w:rsid w:val="0057049A"/>
    <w:rsid w:val="00571E19"/>
    <w:rsid w:val="00573696"/>
    <w:rsid w:val="00575E3E"/>
    <w:rsid w:val="005766AC"/>
    <w:rsid w:val="005769C0"/>
    <w:rsid w:val="00577141"/>
    <w:rsid w:val="005803A2"/>
    <w:rsid w:val="00581AE4"/>
    <w:rsid w:val="00581B73"/>
    <w:rsid w:val="0058236F"/>
    <w:rsid w:val="00582A66"/>
    <w:rsid w:val="005840D8"/>
    <w:rsid w:val="005840E0"/>
    <w:rsid w:val="005842B9"/>
    <w:rsid w:val="00584831"/>
    <w:rsid w:val="00585528"/>
    <w:rsid w:val="005857D2"/>
    <w:rsid w:val="00585848"/>
    <w:rsid w:val="00585A01"/>
    <w:rsid w:val="0059030D"/>
    <w:rsid w:val="00590BD5"/>
    <w:rsid w:val="00590FED"/>
    <w:rsid w:val="00594A45"/>
    <w:rsid w:val="00595A14"/>
    <w:rsid w:val="00596DB8"/>
    <w:rsid w:val="0059731E"/>
    <w:rsid w:val="00597409"/>
    <w:rsid w:val="00597FF7"/>
    <w:rsid w:val="005A00B9"/>
    <w:rsid w:val="005A0852"/>
    <w:rsid w:val="005A0D50"/>
    <w:rsid w:val="005A0E49"/>
    <w:rsid w:val="005A14F0"/>
    <w:rsid w:val="005A2E54"/>
    <w:rsid w:val="005A3851"/>
    <w:rsid w:val="005A4CB5"/>
    <w:rsid w:val="005A5B76"/>
    <w:rsid w:val="005A7494"/>
    <w:rsid w:val="005B05EB"/>
    <w:rsid w:val="005B13A4"/>
    <w:rsid w:val="005B1BD7"/>
    <w:rsid w:val="005B245C"/>
    <w:rsid w:val="005B260A"/>
    <w:rsid w:val="005B37FC"/>
    <w:rsid w:val="005B45B8"/>
    <w:rsid w:val="005B6F77"/>
    <w:rsid w:val="005C2411"/>
    <w:rsid w:val="005C2E37"/>
    <w:rsid w:val="005C2F2B"/>
    <w:rsid w:val="005C3946"/>
    <w:rsid w:val="005C40EF"/>
    <w:rsid w:val="005C6E5B"/>
    <w:rsid w:val="005D0119"/>
    <w:rsid w:val="005D09CC"/>
    <w:rsid w:val="005D1809"/>
    <w:rsid w:val="005D1AB9"/>
    <w:rsid w:val="005D1EFF"/>
    <w:rsid w:val="005D2B23"/>
    <w:rsid w:val="005D2C9D"/>
    <w:rsid w:val="005D2EFE"/>
    <w:rsid w:val="005D3680"/>
    <w:rsid w:val="005D3755"/>
    <w:rsid w:val="005D383A"/>
    <w:rsid w:val="005D6463"/>
    <w:rsid w:val="005D70CC"/>
    <w:rsid w:val="005D7386"/>
    <w:rsid w:val="005D7469"/>
    <w:rsid w:val="005E2D1C"/>
    <w:rsid w:val="005E35CB"/>
    <w:rsid w:val="005E4168"/>
    <w:rsid w:val="005E46ED"/>
    <w:rsid w:val="005E54E2"/>
    <w:rsid w:val="005E57C6"/>
    <w:rsid w:val="005E59ED"/>
    <w:rsid w:val="005E7484"/>
    <w:rsid w:val="005F070B"/>
    <w:rsid w:val="005F08D3"/>
    <w:rsid w:val="005F1483"/>
    <w:rsid w:val="005F2188"/>
    <w:rsid w:val="005F3127"/>
    <w:rsid w:val="005F362F"/>
    <w:rsid w:val="005F487D"/>
    <w:rsid w:val="005F53B9"/>
    <w:rsid w:val="005F65E0"/>
    <w:rsid w:val="005F65F1"/>
    <w:rsid w:val="005F6DCD"/>
    <w:rsid w:val="005F71E2"/>
    <w:rsid w:val="00601B10"/>
    <w:rsid w:val="0060435F"/>
    <w:rsid w:val="006044FE"/>
    <w:rsid w:val="006070D2"/>
    <w:rsid w:val="0060785D"/>
    <w:rsid w:val="00607D7B"/>
    <w:rsid w:val="00610F08"/>
    <w:rsid w:val="0061122B"/>
    <w:rsid w:val="00613A1B"/>
    <w:rsid w:val="006143C3"/>
    <w:rsid w:val="00615A44"/>
    <w:rsid w:val="006167D4"/>
    <w:rsid w:val="00616A31"/>
    <w:rsid w:val="00617436"/>
    <w:rsid w:val="0061794F"/>
    <w:rsid w:val="006201EF"/>
    <w:rsid w:val="00620D33"/>
    <w:rsid w:val="006219E3"/>
    <w:rsid w:val="00621BAF"/>
    <w:rsid w:val="006220A4"/>
    <w:rsid w:val="00622AAA"/>
    <w:rsid w:val="00623EF7"/>
    <w:rsid w:val="0062468F"/>
    <w:rsid w:val="006248CF"/>
    <w:rsid w:val="00631D6C"/>
    <w:rsid w:val="00634103"/>
    <w:rsid w:val="006346D2"/>
    <w:rsid w:val="00634CDE"/>
    <w:rsid w:val="00635A15"/>
    <w:rsid w:val="00635C65"/>
    <w:rsid w:val="00636029"/>
    <w:rsid w:val="0063644E"/>
    <w:rsid w:val="00636943"/>
    <w:rsid w:val="0063703D"/>
    <w:rsid w:val="006409C4"/>
    <w:rsid w:val="006417AD"/>
    <w:rsid w:val="00641ED7"/>
    <w:rsid w:val="00642C02"/>
    <w:rsid w:val="00642EA5"/>
    <w:rsid w:val="00643736"/>
    <w:rsid w:val="006438E2"/>
    <w:rsid w:val="00644031"/>
    <w:rsid w:val="006441F7"/>
    <w:rsid w:val="006455E6"/>
    <w:rsid w:val="00645FCB"/>
    <w:rsid w:val="0064752F"/>
    <w:rsid w:val="00650B55"/>
    <w:rsid w:val="00652A4D"/>
    <w:rsid w:val="00652A73"/>
    <w:rsid w:val="006533CB"/>
    <w:rsid w:val="00653659"/>
    <w:rsid w:val="00655E00"/>
    <w:rsid w:val="00656204"/>
    <w:rsid w:val="00656D2F"/>
    <w:rsid w:val="00657081"/>
    <w:rsid w:val="00657741"/>
    <w:rsid w:val="00657B03"/>
    <w:rsid w:val="00660F6B"/>
    <w:rsid w:val="0066272E"/>
    <w:rsid w:val="0066304A"/>
    <w:rsid w:val="00663AB8"/>
    <w:rsid w:val="00664C79"/>
    <w:rsid w:val="00665944"/>
    <w:rsid w:val="00665CD9"/>
    <w:rsid w:val="00666536"/>
    <w:rsid w:val="00666A7E"/>
    <w:rsid w:val="00670208"/>
    <w:rsid w:val="006702C9"/>
    <w:rsid w:val="00670C38"/>
    <w:rsid w:val="0067159D"/>
    <w:rsid w:val="0067181B"/>
    <w:rsid w:val="00672738"/>
    <w:rsid w:val="006731F5"/>
    <w:rsid w:val="00674182"/>
    <w:rsid w:val="0067539B"/>
    <w:rsid w:val="00676A31"/>
    <w:rsid w:val="00676BD1"/>
    <w:rsid w:val="00680953"/>
    <w:rsid w:val="006815E9"/>
    <w:rsid w:val="00682717"/>
    <w:rsid w:val="0068347C"/>
    <w:rsid w:val="006835F9"/>
    <w:rsid w:val="00684018"/>
    <w:rsid w:val="00684095"/>
    <w:rsid w:val="0068502A"/>
    <w:rsid w:val="006867D7"/>
    <w:rsid w:val="00686936"/>
    <w:rsid w:val="00690A6B"/>
    <w:rsid w:val="00690F11"/>
    <w:rsid w:val="00691073"/>
    <w:rsid w:val="00691301"/>
    <w:rsid w:val="0069155A"/>
    <w:rsid w:val="006919B3"/>
    <w:rsid w:val="00691ED5"/>
    <w:rsid w:val="006922E2"/>
    <w:rsid w:val="0069230D"/>
    <w:rsid w:val="00693B24"/>
    <w:rsid w:val="00695A32"/>
    <w:rsid w:val="00695A75"/>
    <w:rsid w:val="00695FF6"/>
    <w:rsid w:val="006965CD"/>
    <w:rsid w:val="006A0E74"/>
    <w:rsid w:val="006A1201"/>
    <w:rsid w:val="006A24AF"/>
    <w:rsid w:val="006A2DDD"/>
    <w:rsid w:val="006A33B3"/>
    <w:rsid w:val="006A4022"/>
    <w:rsid w:val="006A4C06"/>
    <w:rsid w:val="006A4D7F"/>
    <w:rsid w:val="006A5533"/>
    <w:rsid w:val="006A58BC"/>
    <w:rsid w:val="006A5EC0"/>
    <w:rsid w:val="006A7BEB"/>
    <w:rsid w:val="006B2554"/>
    <w:rsid w:val="006B2DFE"/>
    <w:rsid w:val="006B4B30"/>
    <w:rsid w:val="006B531C"/>
    <w:rsid w:val="006B7B3B"/>
    <w:rsid w:val="006C0177"/>
    <w:rsid w:val="006C0226"/>
    <w:rsid w:val="006C12AE"/>
    <w:rsid w:val="006C1430"/>
    <w:rsid w:val="006C2F58"/>
    <w:rsid w:val="006C3754"/>
    <w:rsid w:val="006C54DA"/>
    <w:rsid w:val="006C6214"/>
    <w:rsid w:val="006C67E2"/>
    <w:rsid w:val="006C74DA"/>
    <w:rsid w:val="006C7E9F"/>
    <w:rsid w:val="006D056D"/>
    <w:rsid w:val="006D1426"/>
    <w:rsid w:val="006D35F6"/>
    <w:rsid w:val="006D5118"/>
    <w:rsid w:val="006D58BA"/>
    <w:rsid w:val="006D5F6B"/>
    <w:rsid w:val="006D759D"/>
    <w:rsid w:val="006E0458"/>
    <w:rsid w:val="006E0533"/>
    <w:rsid w:val="006E1092"/>
    <w:rsid w:val="006E1262"/>
    <w:rsid w:val="006E19F7"/>
    <w:rsid w:val="006E26A9"/>
    <w:rsid w:val="006E2790"/>
    <w:rsid w:val="006E27F7"/>
    <w:rsid w:val="006E35F0"/>
    <w:rsid w:val="006E36D8"/>
    <w:rsid w:val="006E4DEB"/>
    <w:rsid w:val="006E556B"/>
    <w:rsid w:val="006E65A1"/>
    <w:rsid w:val="006E661A"/>
    <w:rsid w:val="006E68B7"/>
    <w:rsid w:val="006E728E"/>
    <w:rsid w:val="006F2BEA"/>
    <w:rsid w:val="006F377A"/>
    <w:rsid w:val="006F6ABB"/>
    <w:rsid w:val="0070077A"/>
    <w:rsid w:val="00700A6D"/>
    <w:rsid w:val="007012AA"/>
    <w:rsid w:val="007028BC"/>
    <w:rsid w:val="007029E7"/>
    <w:rsid w:val="00702DE9"/>
    <w:rsid w:val="00703A3E"/>
    <w:rsid w:val="00703C2F"/>
    <w:rsid w:val="007043E5"/>
    <w:rsid w:val="00704936"/>
    <w:rsid w:val="00705E87"/>
    <w:rsid w:val="00706D1B"/>
    <w:rsid w:val="0070726C"/>
    <w:rsid w:val="00710ECA"/>
    <w:rsid w:val="007112C5"/>
    <w:rsid w:val="0071188F"/>
    <w:rsid w:val="00712B2D"/>
    <w:rsid w:val="00712BA2"/>
    <w:rsid w:val="00712E2A"/>
    <w:rsid w:val="00716F3B"/>
    <w:rsid w:val="0071762F"/>
    <w:rsid w:val="007237D7"/>
    <w:rsid w:val="00723AA4"/>
    <w:rsid w:val="00724222"/>
    <w:rsid w:val="00724817"/>
    <w:rsid w:val="00726AE4"/>
    <w:rsid w:val="007279DC"/>
    <w:rsid w:val="00730F68"/>
    <w:rsid w:val="00731896"/>
    <w:rsid w:val="007322F6"/>
    <w:rsid w:val="00732ED1"/>
    <w:rsid w:val="007340E6"/>
    <w:rsid w:val="00734590"/>
    <w:rsid w:val="00734F6A"/>
    <w:rsid w:val="00737E26"/>
    <w:rsid w:val="0074124E"/>
    <w:rsid w:val="00741A45"/>
    <w:rsid w:val="00744C1E"/>
    <w:rsid w:val="00745E80"/>
    <w:rsid w:val="0074613A"/>
    <w:rsid w:val="0074644A"/>
    <w:rsid w:val="0074746E"/>
    <w:rsid w:val="00747542"/>
    <w:rsid w:val="0075093E"/>
    <w:rsid w:val="0075255A"/>
    <w:rsid w:val="007526CB"/>
    <w:rsid w:val="007536AE"/>
    <w:rsid w:val="007543CF"/>
    <w:rsid w:val="007546B9"/>
    <w:rsid w:val="007553F4"/>
    <w:rsid w:val="00756A6D"/>
    <w:rsid w:val="00761789"/>
    <w:rsid w:val="00761B69"/>
    <w:rsid w:val="00761F65"/>
    <w:rsid w:val="007637AC"/>
    <w:rsid w:val="00763F9C"/>
    <w:rsid w:val="007648CA"/>
    <w:rsid w:val="00764C0B"/>
    <w:rsid w:val="00765109"/>
    <w:rsid w:val="00765B9F"/>
    <w:rsid w:val="00767386"/>
    <w:rsid w:val="00767390"/>
    <w:rsid w:val="0077087A"/>
    <w:rsid w:val="007720C1"/>
    <w:rsid w:val="00774D20"/>
    <w:rsid w:val="007771D9"/>
    <w:rsid w:val="0077767A"/>
    <w:rsid w:val="00777AC4"/>
    <w:rsid w:val="00780CBC"/>
    <w:rsid w:val="007841CA"/>
    <w:rsid w:val="00785726"/>
    <w:rsid w:val="00786EFD"/>
    <w:rsid w:val="00790DAD"/>
    <w:rsid w:val="007913C4"/>
    <w:rsid w:val="00791797"/>
    <w:rsid w:val="00792253"/>
    <w:rsid w:val="0079313A"/>
    <w:rsid w:val="007933A5"/>
    <w:rsid w:val="007936E6"/>
    <w:rsid w:val="00795FC0"/>
    <w:rsid w:val="00796845"/>
    <w:rsid w:val="0079730D"/>
    <w:rsid w:val="007A1526"/>
    <w:rsid w:val="007A1F3D"/>
    <w:rsid w:val="007A2856"/>
    <w:rsid w:val="007A2E00"/>
    <w:rsid w:val="007A2E88"/>
    <w:rsid w:val="007A4E44"/>
    <w:rsid w:val="007A6026"/>
    <w:rsid w:val="007B12F0"/>
    <w:rsid w:val="007B2CF4"/>
    <w:rsid w:val="007B47BC"/>
    <w:rsid w:val="007B59A0"/>
    <w:rsid w:val="007B5ECB"/>
    <w:rsid w:val="007B6308"/>
    <w:rsid w:val="007B7634"/>
    <w:rsid w:val="007B76CB"/>
    <w:rsid w:val="007C05B5"/>
    <w:rsid w:val="007C220D"/>
    <w:rsid w:val="007C293A"/>
    <w:rsid w:val="007C391D"/>
    <w:rsid w:val="007C3EDE"/>
    <w:rsid w:val="007C3F13"/>
    <w:rsid w:val="007C41A3"/>
    <w:rsid w:val="007C5146"/>
    <w:rsid w:val="007C5347"/>
    <w:rsid w:val="007C57AC"/>
    <w:rsid w:val="007C5977"/>
    <w:rsid w:val="007C62DA"/>
    <w:rsid w:val="007C676F"/>
    <w:rsid w:val="007C7F70"/>
    <w:rsid w:val="007C7FDE"/>
    <w:rsid w:val="007D0665"/>
    <w:rsid w:val="007D0EAA"/>
    <w:rsid w:val="007D25F5"/>
    <w:rsid w:val="007D299B"/>
    <w:rsid w:val="007D2F5A"/>
    <w:rsid w:val="007D3AFB"/>
    <w:rsid w:val="007D3C9B"/>
    <w:rsid w:val="007D3DCE"/>
    <w:rsid w:val="007D5379"/>
    <w:rsid w:val="007D6622"/>
    <w:rsid w:val="007D68EC"/>
    <w:rsid w:val="007D7AFB"/>
    <w:rsid w:val="007E2E4E"/>
    <w:rsid w:val="007E34E7"/>
    <w:rsid w:val="007E3988"/>
    <w:rsid w:val="007E4815"/>
    <w:rsid w:val="007E5B53"/>
    <w:rsid w:val="007E632D"/>
    <w:rsid w:val="007E6721"/>
    <w:rsid w:val="007E6E1F"/>
    <w:rsid w:val="007F0FDE"/>
    <w:rsid w:val="007F2D28"/>
    <w:rsid w:val="007F2E75"/>
    <w:rsid w:val="007F38EC"/>
    <w:rsid w:val="007F4EC3"/>
    <w:rsid w:val="007F6427"/>
    <w:rsid w:val="008024A5"/>
    <w:rsid w:val="0080257F"/>
    <w:rsid w:val="00802B13"/>
    <w:rsid w:val="00803074"/>
    <w:rsid w:val="00804A30"/>
    <w:rsid w:val="0080540D"/>
    <w:rsid w:val="008056F3"/>
    <w:rsid w:val="008057B8"/>
    <w:rsid w:val="008105D7"/>
    <w:rsid w:val="0081091D"/>
    <w:rsid w:val="00810DDE"/>
    <w:rsid w:val="00812DDF"/>
    <w:rsid w:val="008135AB"/>
    <w:rsid w:val="00816AE3"/>
    <w:rsid w:val="00821B66"/>
    <w:rsid w:val="00822B0C"/>
    <w:rsid w:val="0082659E"/>
    <w:rsid w:val="00827C5C"/>
    <w:rsid w:val="00831A12"/>
    <w:rsid w:val="008322B8"/>
    <w:rsid w:val="00833881"/>
    <w:rsid w:val="00834A4A"/>
    <w:rsid w:val="00834CB1"/>
    <w:rsid w:val="00835385"/>
    <w:rsid w:val="00836BC8"/>
    <w:rsid w:val="00840990"/>
    <w:rsid w:val="008420B4"/>
    <w:rsid w:val="0084364B"/>
    <w:rsid w:val="00843C26"/>
    <w:rsid w:val="00844A3D"/>
    <w:rsid w:val="00844CE1"/>
    <w:rsid w:val="00845322"/>
    <w:rsid w:val="00845611"/>
    <w:rsid w:val="008456EB"/>
    <w:rsid w:val="00850181"/>
    <w:rsid w:val="0085093B"/>
    <w:rsid w:val="0085139D"/>
    <w:rsid w:val="00851EC0"/>
    <w:rsid w:val="00852E02"/>
    <w:rsid w:val="008553E4"/>
    <w:rsid w:val="00855446"/>
    <w:rsid w:val="00855F56"/>
    <w:rsid w:val="00861ADA"/>
    <w:rsid w:val="00862132"/>
    <w:rsid w:val="008631DF"/>
    <w:rsid w:val="00863F65"/>
    <w:rsid w:val="0086457B"/>
    <w:rsid w:val="00864C8D"/>
    <w:rsid w:val="00866DF2"/>
    <w:rsid w:val="00867A3E"/>
    <w:rsid w:val="008710EA"/>
    <w:rsid w:val="0087121C"/>
    <w:rsid w:val="00871F1C"/>
    <w:rsid w:val="00872E93"/>
    <w:rsid w:val="00872F81"/>
    <w:rsid w:val="008737B1"/>
    <w:rsid w:val="008752E4"/>
    <w:rsid w:val="008770C1"/>
    <w:rsid w:val="008771AF"/>
    <w:rsid w:val="0087722D"/>
    <w:rsid w:val="00877C5F"/>
    <w:rsid w:val="00881BDE"/>
    <w:rsid w:val="00881C87"/>
    <w:rsid w:val="00881FA4"/>
    <w:rsid w:val="0088229D"/>
    <w:rsid w:val="00882602"/>
    <w:rsid w:val="0088315C"/>
    <w:rsid w:val="00883DC2"/>
    <w:rsid w:val="00884583"/>
    <w:rsid w:val="00884A10"/>
    <w:rsid w:val="00884A43"/>
    <w:rsid w:val="00884E96"/>
    <w:rsid w:val="00886809"/>
    <w:rsid w:val="00887F8D"/>
    <w:rsid w:val="008907B7"/>
    <w:rsid w:val="00890E86"/>
    <w:rsid w:val="0089147F"/>
    <w:rsid w:val="008919AE"/>
    <w:rsid w:val="00891EFE"/>
    <w:rsid w:val="00892772"/>
    <w:rsid w:val="008939B0"/>
    <w:rsid w:val="008950CC"/>
    <w:rsid w:val="00896996"/>
    <w:rsid w:val="008A1E6C"/>
    <w:rsid w:val="008A3A26"/>
    <w:rsid w:val="008A4CBC"/>
    <w:rsid w:val="008A5987"/>
    <w:rsid w:val="008A683F"/>
    <w:rsid w:val="008A7FF0"/>
    <w:rsid w:val="008B0ACD"/>
    <w:rsid w:val="008B11F1"/>
    <w:rsid w:val="008B18C7"/>
    <w:rsid w:val="008B4B2A"/>
    <w:rsid w:val="008B62F8"/>
    <w:rsid w:val="008B6A40"/>
    <w:rsid w:val="008B760F"/>
    <w:rsid w:val="008C22A7"/>
    <w:rsid w:val="008C3A61"/>
    <w:rsid w:val="008C3BE2"/>
    <w:rsid w:val="008C3F3A"/>
    <w:rsid w:val="008C445E"/>
    <w:rsid w:val="008C463C"/>
    <w:rsid w:val="008C4FFB"/>
    <w:rsid w:val="008C5FFC"/>
    <w:rsid w:val="008C796F"/>
    <w:rsid w:val="008D27F1"/>
    <w:rsid w:val="008D2A3D"/>
    <w:rsid w:val="008D70F4"/>
    <w:rsid w:val="008D757C"/>
    <w:rsid w:val="008E0A4F"/>
    <w:rsid w:val="008E12EB"/>
    <w:rsid w:val="008E1E41"/>
    <w:rsid w:val="008E26D1"/>
    <w:rsid w:val="008E26F6"/>
    <w:rsid w:val="008E2960"/>
    <w:rsid w:val="008E2A18"/>
    <w:rsid w:val="008E52F8"/>
    <w:rsid w:val="008E5914"/>
    <w:rsid w:val="008E61EB"/>
    <w:rsid w:val="008E742D"/>
    <w:rsid w:val="008E7A3F"/>
    <w:rsid w:val="008F107F"/>
    <w:rsid w:val="008F1874"/>
    <w:rsid w:val="008F274C"/>
    <w:rsid w:val="008F27BE"/>
    <w:rsid w:val="008F2D44"/>
    <w:rsid w:val="008F3D6E"/>
    <w:rsid w:val="008F5FBA"/>
    <w:rsid w:val="008F627F"/>
    <w:rsid w:val="008F7C14"/>
    <w:rsid w:val="0090151F"/>
    <w:rsid w:val="00901E22"/>
    <w:rsid w:val="00902B34"/>
    <w:rsid w:val="00902E04"/>
    <w:rsid w:val="00911CB6"/>
    <w:rsid w:val="009155D8"/>
    <w:rsid w:val="00915E65"/>
    <w:rsid w:val="0091752B"/>
    <w:rsid w:val="00920B12"/>
    <w:rsid w:val="00921905"/>
    <w:rsid w:val="0092246C"/>
    <w:rsid w:val="00922625"/>
    <w:rsid w:val="00924E12"/>
    <w:rsid w:val="00926CA3"/>
    <w:rsid w:val="0093018E"/>
    <w:rsid w:val="00930AF5"/>
    <w:rsid w:val="00931E96"/>
    <w:rsid w:val="00932A0F"/>
    <w:rsid w:val="00933271"/>
    <w:rsid w:val="00934EF3"/>
    <w:rsid w:val="0093533E"/>
    <w:rsid w:val="00935F01"/>
    <w:rsid w:val="00937838"/>
    <w:rsid w:val="00937A74"/>
    <w:rsid w:val="00940691"/>
    <w:rsid w:val="009418EB"/>
    <w:rsid w:val="009422FC"/>
    <w:rsid w:val="00943C8E"/>
    <w:rsid w:val="0094604A"/>
    <w:rsid w:val="0094676A"/>
    <w:rsid w:val="009472A8"/>
    <w:rsid w:val="009472E3"/>
    <w:rsid w:val="009476C2"/>
    <w:rsid w:val="0095170E"/>
    <w:rsid w:val="00952294"/>
    <w:rsid w:val="0095290F"/>
    <w:rsid w:val="0095303C"/>
    <w:rsid w:val="00953891"/>
    <w:rsid w:val="00953F52"/>
    <w:rsid w:val="00954F9B"/>
    <w:rsid w:val="00956245"/>
    <w:rsid w:val="009574D3"/>
    <w:rsid w:val="0095760F"/>
    <w:rsid w:val="00957BD8"/>
    <w:rsid w:val="00960171"/>
    <w:rsid w:val="0096027D"/>
    <w:rsid w:val="009608A8"/>
    <w:rsid w:val="00960EFD"/>
    <w:rsid w:val="009619A0"/>
    <w:rsid w:val="00962407"/>
    <w:rsid w:val="0096264B"/>
    <w:rsid w:val="00963668"/>
    <w:rsid w:val="00963DEC"/>
    <w:rsid w:val="0096467C"/>
    <w:rsid w:val="00964AA9"/>
    <w:rsid w:val="009675EA"/>
    <w:rsid w:val="00973453"/>
    <w:rsid w:val="00974725"/>
    <w:rsid w:val="009752AE"/>
    <w:rsid w:val="009772ED"/>
    <w:rsid w:val="00977465"/>
    <w:rsid w:val="00977637"/>
    <w:rsid w:val="00977803"/>
    <w:rsid w:val="00977D38"/>
    <w:rsid w:val="00980D25"/>
    <w:rsid w:val="009810C1"/>
    <w:rsid w:val="009814E9"/>
    <w:rsid w:val="00982A0E"/>
    <w:rsid w:val="00982C44"/>
    <w:rsid w:val="0098381D"/>
    <w:rsid w:val="009838F9"/>
    <w:rsid w:val="00984B9A"/>
    <w:rsid w:val="00985AF0"/>
    <w:rsid w:val="009863DB"/>
    <w:rsid w:val="00986807"/>
    <w:rsid w:val="009873CB"/>
    <w:rsid w:val="00987A30"/>
    <w:rsid w:val="00987E19"/>
    <w:rsid w:val="00987E88"/>
    <w:rsid w:val="00991041"/>
    <w:rsid w:val="009935F1"/>
    <w:rsid w:val="009941FE"/>
    <w:rsid w:val="00994CB6"/>
    <w:rsid w:val="00995393"/>
    <w:rsid w:val="00995922"/>
    <w:rsid w:val="009962B4"/>
    <w:rsid w:val="009962CF"/>
    <w:rsid w:val="00996356"/>
    <w:rsid w:val="0099642B"/>
    <w:rsid w:val="00997C5F"/>
    <w:rsid w:val="009A20F9"/>
    <w:rsid w:val="009A2187"/>
    <w:rsid w:val="009A264F"/>
    <w:rsid w:val="009A27F6"/>
    <w:rsid w:val="009A2C39"/>
    <w:rsid w:val="009A328E"/>
    <w:rsid w:val="009A48CA"/>
    <w:rsid w:val="009A675A"/>
    <w:rsid w:val="009A784B"/>
    <w:rsid w:val="009A78AB"/>
    <w:rsid w:val="009B0C30"/>
    <w:rsid w:val="009B15B0"/>
    <w:rsid w:val="009B1EC0"/>
    <w:rsid w:val="009B3F0E"/>
    <w:rsid w:val="009B4055"/>
    <w:rsid w:val="009B4E4B"/>
    <w:rsid w:val="009B7E9D"/>
    <w:rsid w:val="009C07C8"/>
    <w:rsid w:val="009C32A4"/>
    <w:rsid w:val="009C59F3"/>
    <w:rsid w:val="009C5C4A"/>
    <w:rsid w:val="009C62A0"/>
    <w:rsid w:val="009C6314"/>
    <w:rsid w:val="009D0C7C"/>
    <w:rsid w:val="009D0ECA"/>
    <w:rsid w:val="009D34B3"/>
    <w:rsid w:val="009D389D"/>
    <w:rsid w:val="009D4D1F"/>
    <w:rsid w:val="009D5722"/>
    <w:rsid w:val="009D5A84"/>
    <w:rsid w:val="009D626A"/>
    <w:rsid w:val="009D707F"/>
    <w:rsid w:val="009D7668"/>
    <w:rsid w:val="009D7CEC"/>
    <w:rsid w:val="009E09FB"/>
    <w:rsid w:val="009E1727"/>
    <w:rsid w:val="009E3CBD"/>
    <w:rsid w:val="009E408A"/>
    <w:rsid w:val="009E44AB"/>
    <w:rsid w:val="009E4640"/>
    <w:rsid w:val="009E4666"/>
    <w:rsid w:val="009E48DC"/>
    <w:rsid w:val="009E568A"/>
    <w:rsid w:val="009E57C1"/>
    <w:rsid w:val="009E5916"/>
    <w:rsid w:val="009E72C8"/>
    <w:rsid w:val="009F0A54"/>
    <w:rsid w:val="009F2977"/>
    <w:rsid w:val="009F365E"/>
    <w:rsid w:val="009F371C"/>
    <w:rsid w:val="009F4CDC"/>
    <w:rsid w:val="009F6BFD"/>
    <w:rsid w:val="009F6E69"/>
    <w:rsid w:val="009F71ED"/>
    <w:rsid w:val="00A01307"/>
    <w:rsid w:val="00A020EC"/>
    <w:rsid w:val="00A050BD"/>
    <w:rsid w:val="00A0703E"/>
    <w:rsid w:val="00A070AA"/>
    <w:rsid w:val="00A10048"/>
    <w:rsid w:val="00A111A4"/>
    <w:rsid w:val="00A120CD"/>
    <w:rsid w:val="00A142E2"/>
    <w:rsid w:val="00A14671"/>
    <w:rsid w:val="00A17809"/>
    <w:rsid w:val="00A202EC"/>
    <w:rsid w:val="00A22536"/>
    <w:rsid w:val="00A244AA"/>
    <w:rsid w:val="00A24967"/>
    <w:rsid w:val="00A26727"/>
    <w:rsid w:val="00A26F15"/>
    <w:rsid w:val="00A26F8F"/>
    <w:rsid w:val="00A27419"/>
    <w:rsid w:val="00A2769A"/>
    <w:rsid w:val="00A27856"/>
    <w:rsid w:val="00A27C58"/>
    <w:rsid w:val="00A33872"/>
    <w:rsid w:val="00A3400F"/>
    <w:rsid w:val="00A35225"/>
    <w:rsid w:val="00A35382"/>
    <w:rsid w:val="00A35A9A"/>
    <w:rsid w:val="00A35B0B"/>
    <w:rsid w:val="00A35C6C"/>
    <w:rsid w:val="00A35C6F"/>
    <w:rsid w:val="00A37408"/>
    <w:rsid w:val="00A375D8"/>
    <w:rsid w:val="00A379A0"/>
    <w:rsid w:val="00A41060"/>
    <w:rsid w:val="00A413B3"/>
    <w:rsid w:val="00A43915"/>
    <w:rsid w:val="00A452D3"/>
    <w:rsid w:val="00A47476"/>
    <w:rsid w:val="00A474B4"/>
    <w:rsid w:val="00A50136"/>
    <w:rsid w:val="00A51663"/>
    <w:rsid w:val="00A52CA4"/>
    <w:rsid w:val="00A53300"/>
    <w:rsid w:val="00A53876"/>
    <w:rsid w:val="00A53892"/>
    <w:rsid w:val="00A547C1"/>
    <w:rsid w:val="00A55858"/>
    <w:rsid w:val="00A5591A"/>
    <w:rsid w:val="00A5668C"/>
    <w:rsid w:val="00A57395"/>
    <w:rsid w:val="00A57EA5"/>
    <w:rsid w:val="00A6026F"/>
    <w:rsid w:val="00A60310"/>
    <w:rsid w:val="00A61474"/>
    <w:rsid w:val="00A62016"/>
    <w:rsid w:val="00A62388"/>
    <w:rsid w:val="00A62EAA"/>
    <w:rsid w:val="00A63325"/>
    <w:rsid w:val="00A641AF"/>
    <w:rsid w:val="00A649F8"/>
    <w:rsid w:val="00A64B83"/>
    <w:rsid w:val="00A665D0"/>
    <w:rsid w:val="00A66839"/>
    <w:rsid w:val="00A66B3C"/>
    <w:rsid w:val="00A66F7F"/>
    <w:rsid w:val="00A677E5"/>
    <w:rsid w:val="00A7119D"/>
    <w:rsid w:val="00A711D4"/>
    <w:rsid w:val="00A711ED"/>
    <w:rsid w:val="00A74F67"/>
    <w:rsid w:val="00A76703"/>
    <w:rsid w:val="00A8154A"/>
    <w:rsid w:val="00A8224B"/>
    <w:rsid w:val="00A86B66"/>
    <w:rsid w:val="00A870AC"/>
    <w:rsid w:val="00A875A9"/>
    <w:rsid w:val="00A9057A"/>
    <w:rsid w:val="00A92C03"/>
    <w:rsid w:val="00A92DBA"/>
    <w:rsid w:val="00A9392B"/>
    <w:rsid w:val="00A93949"/>
    <w:rsid w:val="00A93E29"/>
    <w:rsid w:val="00A95EC1"/>
    <w:rsid w:val="00A97370"/>
    <w:rsid w:val="00AA3843"/>
    <w:rsid w:val="00AA4A64"/>
    <w:rsid w:val="00AA5957"/>
    <w:rsid w:val="00AA7186"/>
    <w:rsid w:val="00AA7309"/>
    <w:rsid w:val="00AA7AFB"/>
    <w:rsid w:val="00AA7CFC"/>
    <w:rsid w:val="00AB00EA"/>
    <w:rsid w:val="00AB032C"/>
    <w:rsid w:val="00AB2FA9"/>
    <w:rsid w:val="00AB31F4"/>
    <w:rsid w:val="00AB502C"/>
    <w:rsid w:val="00AB577A"/>
    <w:rsid w:val="00AB58F1"/>
    <w:rsid w:val="00AB67A8"/>
    <w:rsid w:val="00AC17B9"/>
    <w:rsid w:val="00AC2D0B"/>
    <w:rsid w:val="00AC3B0C"/>
    <w:rsid w:val="00AC4C51"/>
    <w:rsid w:val="00AC528C"/>
    <w:rsid w:val="00AC5D80"/>
    <w:rsid w:val="00AC6805"/>
    <w:rsid w:val="00AC68BF"/>
    <w:rsid w:val="00AC6AF4"/>
    <w:rsid w:val="00AC78E4"/>
    <w:rsid w:val="00AC7E45"/>
    <w:rsid w:val="00AD0447"/>
    <w:rsid w:val="00AD26CB"/>
    <w:rsid w:val="00AD3D31"/>
    <w:rsid w:val="00AD5154"/>
    <w:rsid w:val="00AD51E1"/>
    <w:rsid w:val="00AD61C3"/>
    <w:rsid w:val="00AD724B"/>
    <w:rsid w:val="00AE008B"/>
    <w:rsid w:val="00AE0510"/>
    <w:rsid w:val="00AE3249"/>
    <w:rsid w:val="00AE3263"/>
    <w:rsid w:val="00AE415E"/>
    <w:rsid w:val="00AE4799"/>
    <w:rsid w:val="00AE641C"/>
    <w:rsid w:val="00AE6CFF"/>
    <w:rsid w:val="00AF0DE8"/>
    <w:rsid w:val="00AF2224"/>
    <w:rsid w:val="00AF28A1"/>
    <w:rsid w:val="00AF2D95"/>
    <w:rsid w:val="00AF4BEA"/>
    <w:rsid w:val="00AF5787"/>
    <w:rsid w:val="00AF5E12"/>
    <w:rsid w:val="00AF61F0"/>
    <w:rsid w:val="00AF7D09"/>
    <w:rsid w:val="00AF7E14"/>
    <w:rsid w:val="00B0076E"/>
    <w:rsid w:val="00B018BF"/>
    <w:rsid w:val="00B02AA3"/>
    <w:rsid w:val="00B0483A"/>
    <w:rsid w:val="00B0508E"/>
    <w:rsid w:val="00B070A2"/>
    <w:rsid w:val="00B07291"/>
    <w:rsid w:val="00B10513"/>
    <w:rsid w:val="00B118B7"/>
    <w:rsid w:val="00B12DF7"/>
    <w:rsid w:val="00B13519"/>
    <w:rsid w:val="00B1445F"/>
    <w:rsid w:val="00B14CDA"/>
    <w:rsid w:val="00B17D1F"/>
    <w:rsid w:val="00B17E76"/>
    <w:rsid w:val="00B200AE"/>
    <w:rsid w:val="00B234F7"/>
    <w:rsid w:val="00B24AF0"/>
    <w:rsid w:val="00B24BFD"/>
    <w:rsid w:val="00B25B3B"/>
    <w:rsid w:val="00B26710"/>
    <w:rsid w:val="00B2691F"/>
    <w:rsid w:val="00B30C7F"/>
    <w:rsid w:val="00B30E85"/>
    <w:rsid w:val="00B33090"/>
    <w:rsid w:val="00B337EC"/>
    <w:rsid w:val="00B348FC"/>
    <w:rsid w:val="00B359A5"/>
    <w:rsid w:val="00B35A86"/>
    <w:rsid w:val="00B370A4"/>
    <w:rsid w:val="00B37294"/>
    <w:rsid w:val="00B40BFA"/>
    <w:rsid w:val="00B41C90"/>
    <w:rsid w:val="00B4226E"/>
    <w:rsid w:val="00B446C0"/>
    <w:rsid w:val="00B44DAD"/>
    <w:rsid w:val="00B44FA1"/>
    <w:rsid w:val="00B47B16"/>
    <w:rsid w:val="00B47B30"/>
    <w:rsid w:val="00B5014D"/>
    <w:rsid w:val="00B50E49"/>
    <w:rsid w:val="00B5122F"/>
    <w:rsid w:val="00B51930"/>
    <w:rsid w:val="00B51937"/>
    <w:rsid w:val="00B51F75"/>
    <w:rsid w:val="00B51FAA"/>
    <w:rsid w:val="00B524A0"/>
    <w:rsid w:val="00B53A5D"/>
    <w:rsid w:val="00B53FD3"/>
    <w:rsid w:val="00B5404C"/>
    <w:rsid w:val="00B545AD"/>
    <w:rsid w:val="00B54894"/>
    <w:rsid w:val="00B55116"/>
    <w:rsid w:val="00B56FF5"/>
    <w:rsid w:val="00B571AC"/>
    <w:rsid w:val="00B60B7D"/>
    <w:rsid w:val="00B60C4D"/>
    <w:rsid w:val="00B61BF6"/>
    <w:rsid w:val="00B6346C"/>
    <w:rsid w:val="00B637AE"/>
    <w:rsid w:val="00B63DE1"/>
    <w:rsid w:val="00B6462F"/>
    <w:rsid w:val="00B64993"/>
    <w:rsid w:val="00B64AAC"/>
    <w:rsid w:val="00B6649B"/>
    <w:rsid w:val="00B667C9"/>
    <w:rsid w:val="00B66ED2"/>
    <w:rsid w:val="00B700CE"/>
    <w:rsid w:val="00B71EE3"/>
    <w:rsid w:val="00B73207"/>
    <w:rsid w:val="00B74E6B"/>
    <w:rsid w:val="00B7507C"/>
    <w:rsid w:val="00B756A2"/>
    <w:rsid w:val="00B80C12"/>
    <w:rsid w:val="00B80D30"/>
    <w:rsid w:val="00B80ED6"/>
    <w:rsid w:val="00B81A78"/>
    <w:rsid w:val="00B8519F"/>
    <w:rsid w:val="00B8529F"/>
    <w:rsid w:val="00B856B9"/>
    <w:rsid w:val="00B862CC"/>
    <w:rsid w:val="00B86596"/>
    <w:rsid w:val="00B86B85"/>
    <w:rsid w:val="00B86CCA"/>
    <w:rsid w:val="00B871EE"/>
    <w:rsid w:val="00B91F6B"/>
    <w:rsid w:val="00B922D4"/>
    <w:rsid w:val="00B923CD"/>
    <w:rsid w:val="00B93152"/>
    <w:rsid w:val="00B9320B"/>
    <w:rsid w:val="00B94122"/>
    <w:rsid w:val="00B9556F"/>
    <w:rsid w:val="00B95B55"/>
    <w:rsid w:val="00B95EBB"/>
    <w:rsid w:val="00B96271"/>
    <w:rsid w:val="00B977D7"/>
    <w:rsid w:val="00BA014A"/>
    <w:rsid w:val="00BA0D48"/>
    <w:rsid w:val="00BA0D6C"/>
    <w:rsid w:val="00BA1BB6"/>
    <w:rsid w:val="00BA3B05"/>
    <w:rsid w:val="00BA3BC1"/>
    <w:rsid w:val="00BA46B8"/>
    <w:rsid w:val="00BA5319"/>
    <w:rsid w:val="00BA643B"/>
    <w:rsid w:val="00BA64E0"/>
    <w:rsid w:val="00BA7654"/>
    <w:rsid w:val="00BB032F"/>
    <w:rsid w:val="00BB1412"/>
    <w:rsid w:val="00BB2579"/>
    <w:rsid w:val="00BB257A"/>
    <w:rsid w:val="00BB2E72"/>
    <w:rsid w:val="00BB372A"/>
    <w:rsid w:val="00BB4F9A"/>
    <w:rsid w:val="00BB5AC9"/>
    <w:rsid w:val="00BB76F9"/>
    <w:rsid w:val="00BC0346"/>
    <w:rsid w:val="00BC0A25"/>
    <w:rsid w:val="00BC16D4"/>
    <w:rsid w:val="00BC1A72"/>
    <w:rsid w:val="00BC224E"/>
    <w:rsid w:val="00BC31F8"/>
    <w:rsid w:val="00BC3E8E"/>
    <w:rsid w:val="00BC4426"/>
    <w:rsid w:val="00BC4A15"/>
    <w:rsid w:val="00BC5C24"/>
    <w:rsid w:val="00BC5FE7"/>
    <w:rsid w:val="00BC60F2"/>
    <w:rsid w:val="00BC74FD"/>
    <w:rsid w:val="00BC75A8"/>
    <w:rsid w:val="00BC7EA9"/>
    <w:rsid w:val="00BD16B7"/>
    <w:rsid w:val="00BD2FE4"/>
    <w:rsid w:val="00BD32F0"/>
    <w:rsid w:val="00BD668E"/>
    <w:rsid w:val="00BD6BFE"/>
    <w:rsid w:val="00BD7B33"/>
    <w:rsid w:val="00BE1B1D"/>
    <w:rsid w:val="00BE2F00"/>
    <w:rsid w:val="00BE31A6"/>
    <w:rsid w:val="00BE32A7"/>
    <w:rsid w:val="00BE33A1"/>
    <w:rsid w:val="00BE3C83"/>
    <w:rsid w:val="00BE4C49"/>
    <w:rsid w:val="00BE4F07"/>
    <w:rsid w:val="00BE5FC4"/>
    <w:rsid w:val="00BE64E5"/>
    <w:rsid w:val="00BE6D1F"/>
    <w:rsid w:val="00BE764D"/>
    <w:rsid w:val="00BE7E0C"/>
    <w:rsid w:val="00BE7FF8"/>
    <w:rsid w:val="00BF0757"/>
    <w:rsid w:val="00BF07F0"/>
    <w:rsid w:val="00BF2BCE"/>
    <w:rsid w:val="00BF4062"/>
    <w:rsid w:val="00BF529B"/>
    <w:rsid w:val="00BF52AA"/>
    <w:rsid w:val="00C011EB"/>
    <w:rsid w:val="00C014F8"/>
    <w:rsid w:val="00C019BD"/>
    <w:rsid w:val="00C02A4A"/>
    <w:rsid w:val="00C03566"/>
    <w:rsid w:val="00C03D98"/>
    <w:rsid w:val="00C04454"/>
    <w:rsid w:val="00C05F67"/>
    <w:rsid w:val="00C06EA2"/>
    <w:rsid w:val="00C10055"/>
    <w:rsid w:val="00C11F33"/>
    <w:rsid w:val="00C1224A"/>
    <w:rsid w:val="00C131FE"/>
    <w:rsid w:val="00C13337"/>
    <w:rsid w:val="00C13FC4"/>
    <w:rsid w:val="00C14A71"/>
    <w:rsid w:val="00C14E15"/>
    <w:rsid w:val="00C15735"/>
    <w:rsid w:val="00C15BA2"/>
    <w:rsid w:val="00C168CC"/>
    <w:rsid w:val="00C17172"/>
    <w:rsid w:val="00C1729A"/>
    <w:rsid w:val="00C2019B"/>
    <w:rsid w:val="00C20D6E"/>
    <w:rsid w:val="00C2105B"/>
    <w:rsid w:val="00C2117F"/>
    <w:rsid w:val="00C21598"/>
    <w:rsid w:val="00C21806"/>
    <w:rsid w:val="00C21F4E"/>
    <w:rsid w:val="00C231AE"/>
    <w:rsid w:val="00C24A37"/>
    <w:rsid w:val="00C25A29"/>
    <w:rsid w:val="00C25B59"/>
    <w:rsid w:val="00C25C19"/>
    <w:rsid w:val="00C26104"/>
    <w:rsid w:val="00C268FB"/>
    <w:rsid w:val="00C26BD0"/>
    <w:rsid w:val="00C26F3D"/>
    <w:rsid w:val="00C31803"/>
    <w:rsid w:val="00C32DB6"/>
    <w:rsid w:val="00C33309"/>
    <w:rsid w:val="00C33F6B"/>
    <w:rsid w:val="00C34472"/>
    <w:rsid w:val="00C36620"/>
    <w:rsid w:val="00C368EC"/>
    <w:rsid w:val="00C3713B"/>
    <w:rsid w:val="00C37AF8"/>
    <w:rsid w:val="00C40AB2"/>
    <w:rsid w:val="00C40CD5"/>
    <w:rsid w:val="00C41EE3"/>
    <w:rsid w:val="00C427B0"/>
    <w:rsid w:val="00C43A26"/>
    <w:rsid w:val="00C441B8"/>
    <w:rsid w:val="00C44A39"/>
    <w:rsid w:val="00C467AC"/>
    <w:rsid w:val="00C50164"/>
    <w:rsid w:val="00C502FC"/>
    <w:rsid w:val="00C50FF9"/>
    <w:rsid w:val="00C53BAA"/>
    <w:rsid w:val="00C5427C"/>
    <w:rsid w:val="00C548A2"/>
    <w:rsid w:val="00C60227"/>
    <w:rsid w:val="00C604A2"/>
    <w:rsid w:val="00C60670"/>
    <w:rsid w:val="00C63A2A"/>
    <w:rsid w:val="00C63ACD"/>
    <w:rsid w:val="00C641BC"/>
    <w:rsid w:val="00C64239"/>
    <w:rsid w:val="00C6533E"/>
    <w:rsid w:val="00C65F7D"/>
    <w:rsid w:val="00C66F87"/>
    <w:rsid w:val="00C67DF8"/>
    <w:rsid w:val="00C70FF8"/>
    <w:rsid w:val="00C716C5"/>
    <w:rsid w:val="00C7430B"/>
    <w:rsid w:val="00C74753"/>
    <w:rsid w:val="00C74B89"/>
    <w:rsid w:val="00C74EA0"/>
    <w:rsid w:val="00C75A41"/>
    <w:rsid w:val="00C7723E"/>
    <w:rsid w:val="00C775E1"/>
    <w:rsid w:val="00C77DCE"/>
    <w:rsid w:val="00C81990"/>
    <w:rsid w:val="00C8199F"/>
    <w:rsid w:val="00C8252E"/>
    <w:rsid w:val="00C843A9"/>
    <w:rsid w:val="00C845C0"/>
    <w:rsid w:val="00C84934"/>
    <w:rsid w:val="00C84AC8"/>
    <w:rsid w:val="00C85D18"/>
    <w:rsid w:val="00C9264D"/>
    <w:rsid w:val="00C9267A"/>
    <w:rsid w:val="00C94424"/>
    <w:rsid w:val="00C95835"/>
    <w:rsid w:val="00C963C4"/>
    <w:rsid w:val="00C9644D"/>
    <w:rsid w:val="00C970F4"/>
    <w:rsid w:val="00CA07B4"/>
    <w:rsid w:val="00CA2390"/>
    <w:rsid w:val="00CA2593"/>
    <w:rsid w:val="00CA303A"/>
    <w:rsid w:val="00CA38BF"/>
    <w:rsid w:val="00CA3B48"/>
    <w:rsid w:val="00CA4920"/>
    <w:rsid w:val="00CA4D96"/>
    <w:rsid w:val="00CA5642"/>
    <w:rsid w:val="00CB1A0D"/>
    <w:rsid w:val="00CB1B19"/>
    <w:rsid w:val="00CB2563"/>
    <w:rsid w:val="00CB310A"/>
    <w:rsid w:val="00CB34B6"/>
    <w:rsid w:val="00CB36AB"/>
    <w:rsid w:val="00CB4008"/>
    <w:rsid w:val="00CB574C"/>
    <w:rsid w:val="00CB62AB"/>
    <w:rsid w:val="00CB6666"/>
    <w:rsid w:val="00CC064F"/>
    <w:rsid w:val="00CC1632"/>
    <w:rsid w:val="00CC213E"/>
    <w:rsid w:val="00CC2451"/>
    <w:rsid w:val="00CC448C"/>
    <w:rsid w:val="00CC45BB"/>
    <w:rsid w:val="00CC47D4"/>
    <w:rsid w:val="00CC4C47"/>
    <w:rsid w:val="00CC505C"/>
    <w:rsid w:val="00CC6663"/>
    <w:rsid w:val="00CC7E4A"/>
    <w:rsid w:val="00CD1ACB"/>
    <w:rsid w:val="00CD1E13"/>
    <w:rsid w:val="00CD1F14"/>
    <w:rsid w:val="00CD22FA"/>
    <w:rsid w:val="00CD3F8A"/>
    <w:rsid w:val="00CD5825"/>
    <w:rsid w:val="00CD6C82"/>
    <w:rsid w:val="00CD7138"/>
    <w:rsid w:val="00CD76EF"/>
    <w:rsid w:val="00CE0126"/>
    <w:rsid w:val="00CE13D7"/>
    <w:rsid w:val="00CE1E71"/>
    <w:rsid w:val="00CE2FD7"/>
    <w:rsid w:val="00CE3105"/>
    <w:rsid w:val="00CE31B5"/>
    <w:rsid w:val="00CE3E40"/>
    <w:rsid w:val="00CF083A"/>
    <w:rsid w:val="00CF1D69"/>
    <w:rsid w:val="00CF2C2C"/>
    <w:rsid w:val="00CF32D1"/>
    <w:rsid w:val="00CF3CA8"/>
    <w:rsid w:val="00CF42B6"/>
    <w:rsid w:val="00CF430A"/>
    <w:rsid w:val="00CF4F78"/>
    <w:rsid w:val="00CF53DA"/>
    <w:rsid w:val="00CF600C"/>
    <w:rsid w:val="00CF6657"/>
    <w:rsid w:val="00CF7B73"/>
    <w:rsid w:val="00D00DA4"/>
    <w:rsid w:val="00D041F6"/>
    <w:rsid w:val="00D0420C"/>
    <w:rsid w:val="00D050D2"/>
    <w:rsid w:val="00D06470"/>
    <w:rsid w:val="00D07158"/>
    <w:rsid w:val="00D074F8"/>
    <w:rsid w:val="00D11BFF"/>
    <w:rsid w:val="00D11FCA"/>
    <w:rsid w:val="00D12C75"/>
    <w:rsid w:val="00D130A0"/>
    <w:rsid w:val="00D13160"/>
    <w:rsid w:val="00D13C45"/>
    <w:rsid w:val="00D14508"/>
    <w:rsid w:val="00D16B1A"/>
    <w:rsid w:val="00D16B5A"/>
    <w:rsid w:val="00D177E6"/>
    <w:rsid w:val="00D17AB4"/>
    <w:rsid w:val="00D200F6"/>
    <w:rsid w:val="00D2116C"/>
    <w:rsid w:val="00D23092"/>
    <w:rsid w:val="00D23444"/>
    <w:rsid w:val="00D254B6"/>
    <w:rsid w:val="00D256FA"/>
    <w:rsid w:val="00D25B02"/>
    <w:rsid w:val="00D26504"/>
    <w:rsid w:val="00D30700"/>
    <w:rsid w:val="00D30D1E"/>
    <w:rsid w:val="00D31278"/>
    <w:rsid w:val="00D314AB"/>
    <w:rsid w:val="00D31F50"/>
    <w:rsid w:val="00D3204F"/>
    <w:rsid w:val="00D321B3"/>
    <w:rsid w:val="00D3295C"/>
    <w:rsid w:val="00D32F87"/>
    <w:rsid w:val="00D33921"/>
    <w:rsid w:val="00D33B1A"/>
    <w:rsid w:val="00D3582B"/>
    <w:rsid w:val="00D36F17"/>
    <w:rsid w:val="00D36F31"/>
    <w:rsid w:val="00D37336"/>
    <w:rsid w:val="00D400B7"/>
    <w:rsid w:val="00D40424"/>
    <w:rsid w:val="00D422EA"/>
    <w:rsid w:val="00D427C8"/>
    <w:rsid w:val="00D44F6E"/>
    <w:rsid w:val="00D45254"/>
    <w:rsid w:val="00D454E5"/>
    <w:rsid w:val="00D455C7"/>
    <w:rsid w:val="00D468CC"/>
    <w:rsid w:val="00D4797E"/>
    <w:rsid w:val="00D47D22"/>
    <w:rsid w:val="00D47D6B"/>
    <w:rsid w:val="00D47E8B"/>
    <w:rsid w:val="00D47EE1"/>
    <w:rsid w:val="00D516BC"/>
    <w:rsid w:val="00D51B00"/>
    <w:rsid w:val="00D5226F"/>
    <w:rsid w:val="00D5350F"/>
    <w:rsid w:val="00D53D8C"/>
    <w:rsid w:val="00D53F16"/>
    <w:rsid w:val="00D543B5"/>
    <w:rsid w:val="00D543DD"/>
    <w:rsid w:val="00D54600"/>
    <w:rsid w:val="00D550E0"/>
    <w:rsid w:val="00D553DD"/>
    <w:rsid w:val="00D60D93"/>
    <w:rsid w:val="00D60E34"/>
    <w:rsid w:val="00D6178D"/>
    <w:rsid w:val="00D64525"/>
    <w:rsid w:val="00D6480C"/>
    <w:rsid w:val="00D64D6A"/>
    <w:rsid w:val="00D678E5"/>
    <w:rsid w:val="00D67924"/>
    <w:rsid w:val="00D7067E"/>
    <w:rsid w:val="00D756EC"/>
    <w:rsid w:val="00D75BEB"/>
    <w:rsid w:val="00D7699D"/>
    <w:rsid w:val="00D77F91"/>
    <w:rsid w:val="00D803CB"/>
    <w:rsid w:val="00D8227F"/>
    <w:rsid w:val="00D828F1"/>
    <w:rsid w:val="00D84C8C"/>
    <w:rsid w:val="00D8759D"/>
    <w:rsid w:val="00D87D77"/>
    <w:rsid w:val="00D9031D"/>
    <w:rsid w:val="00D90961"/>
    <w:rsid w:val="00D90A6D"/>
    <w:rsid w:val="00D921B2"/>
    <w:rsid w:val="00D92C55"/>
    <w:rsid w:val="00D9357C"/>
    <w:rsid w:val="00D93FB7"/>
    <w:rsid w:val="00D9525D"/>
    <w:rsid w:val="00D95494"/>
    <w:rsid w:val="00D96232"/>
    <w:rsid w:val="00D970CF"/>
    <w:rsid w:val="00DA182B"/>
    <w:rsid w:val="00DA1943"/>
    <w:rsid w:val="00DA1E86"/>
    <w:rsid w:val="00DA2563"/>
    <w:rsid w:val="00DA2A7D"/>
    <w:rsid w:val="00DA3815"/>
    <w:rsid w:val="00DA383F"/>
    <w:rsid w:val="00DA38F3"/>
    <w:rsid w:val="00DA48AE"/>
    <w:rsid w:val="00DA4AD3"/>
    <w:rsid w:val="00DA4C64"/>
    <w:rsid w:val="00DA730B"/>
    <w:rsid w:val="00DA7597"/>
    <w:rsid w:val="00DB183D"/>
    <w:rsid w:val="00DB1B1C"/>
    <w:rsid w:val="00DB1F0D"/>
    <w:rsid w:val="00DB27DA"/>
    <w:rsid w:val="00DB3619"/>
    <w:rsid w:val="00DB3FB7"/>
    <w:rsid w:val="00DB4644"/>
    <w:rsid w:val="00DB4689"/>
    <w:rsid w:val="00DB6B8C"/>
    <w:rsid w:val="00DB7EDB"/>
    <w:rsid w:val="00DC1809"/>
    <w:rsid w:val="00DC1837"/>
    <w:rsid w:val="00DC224B"/>
    <w:rsid w:val="00DC513F"/>
    <w:rsid w:val="00DC588B"/>
    <w:rsid w:val="00DC5D7D"/>
    <w:rsid w:val="00DC7A53"/>
    <w:rsid w:val="00DD0062"/>
    <w:rsid w:val="00DD0124"/>
    <w:rsid w:val="00DD014F"/>
    <w:rsid w:val="00DD0CD8"/>
    <w:rsid w:val="00DD11A7"/>
    <w:rsid w:val="00DD28EC"/>
    <w:rsid w:val="00DD3DD7"/>
    <w:rsid w:val="00DD3E10"/>
    <w:rsid w:val="00DD71A3"/>
    <w:rsid w:val="00DD765D"/>
    <w:rsid w:val="00DE0053"/>
    <w:rsid w:val="00DE082A"/>
    <w:rsid w:val="00DE2B56"/>
    <w:rsid w:val="00DE3364"/>
    <w:rsid w:val="00DE47D6"/>
    <w:rsid w:val="00DE4BA8"/>
    <w:rsid w:val="00DE4CB8"/>
    <w:rsid w:val="00DE73F3"/>
    <w:rsid w:val="00DE7D23"/>
    <w:rsid w:val="00DF07B6"/>
    <w:rsid w:val="00DF0B92"/>
    <w:rsid w:val="00DF1A97"/>
    <w:rsid w:val="00DF1ED2"/>
    <w:rsid w:val="00DF2C80"/>
    <w:rsid w:val="00DF2E2D"/>
    <w:rsid w:val="00DF3B00"/>
    <w:rsid w:val="00DF4F8E"/>
    <w:rsid w:val="00DF60C7"/>
    <w:rsid w:val="00DF6679"/>
    <w:rsid w:val="00E008F5"/>
    <w:rsid w:val="00E00E2B"/>
    <w:rsid w:val="00E00FE6"/>
    <w:rsid w:val="00E032D0"/>
    <w:rsid w:val="00E03DF4"/>
    <w:rsid w:val="00E03E3A"/>
    <w:rsid w:val="00E04371"/>
    <w:rsid w:val="00E045E0"/>
    <w:rsid w:val="00E045E9"/>
    <w:rsid w:val="00E04F91"/>
    <w:rsid w:val="00E06A29"/>
    <w:rsid w:val="00E11E0A"/>
    <w:rsid w:val="00E11FD7"/>
    <w:rsid w:val="00E12968"/>
    <w:rsid w:val="00E12BB2"/>
    <w:rsid w:val="00E12BEB"/>
    <w:rsid w:val="00E1314F"/>
    <w:rsid w:val="00E14062"/>
    <w:rsid w:val="00E1460C"/>
    <w:rsid w:val="00E1505F"/>
    <w:rsid w:val="00E16A0E"/>
    <w:rsid w:val="00E17E42"/>
    <w:rsid w:val="00E20295"/>
    <w:rsid w:val="00E20DDF"/>
    <w:rsid w:val="00E20FCD"/>
    <w:rsid w:val="00E218EB"/>
    <w:rsid w:val="00E21C0F"/>
    <w:rsid w:val="00E228BE"/>
    <w:rsid w:val="00E23D38"/>
    <w:rsid w:val="00E240AC"/>
    <w:rsid w:val="00E262EF"/>
    <w:rsid w:val="00E27297"/>
    <w:rsid w:val="00E277F2"/>
    <w:rsid w:val="00E27955"/>
    <w:rsid w:val="00E3061E"/>
    <w:rsid w:val="00E306B4"/>
    <w:rsid w:val="00E309D0"/>
    <w:rsid w:val="00E310A8"/>
    <w:rsid w:val="00E31199"/>
    <w:rsid w:val="00E32170"/>
    <w:rsid w:val="00E32505"/>
    <w:rsid w:val="00E3472F"/>
    <w:rsid w:val="00E3550A"/>
    <w:rsid w:val="00E35E37"/>
    <w:rsid w:val="00E377ED"/>
    <w:rsid w:val="00E409E4"/>
    <w:rsid w:val="00E417FD"/>
    <w:rsid w:val="00E423AD"/>
    <w:rsid w:val="00E42FBE"/>
    <w:rsid w:val="00E448F9"/>
    <w:rsid w:val="00E44F50"/>
    <w:rsid w:val="00E458AF"/>
    <w:rsid w:val="00E4638C"/>
    <w:rsid w:val="00E50007"/>
    <w:rsid w:val="00E51EE2"/>
    <w:rsid w:val="00E54D8B"/>
    <w:rsid w:val="00E55477"/>
    <w:rsid w:val="00E556A2"/>
    <w:rsid w:val="00E56361"/>
    <w:rsid w:val="00E565CF"/>
    <w:rsid w:val="00E56878"/>
    <w:rsid w:val="00E57F7F"/>
    <w:rsid w:val="00E60582"/>
    <w:rsid w:val="00E60631"/>
    <w:rsid w:val="00E606C3"/>
    <w:rsid w:val="00E60918"/>
    <w:rsid w:val="00E618F2"/>
    <w:rsid w:val="00E624DA"/>
    <w:rsid w:val="00E635BE"/>
    <w:rsid w:val="00E63EF2"/>
    <w:rsid w:val="00E64C7F"/>
    <w:rsid w:val="00E64D12"/>
    <w:rsid w:val="00E66239"/>
    <w:rsid w:val="00E67788"/>
    <w:rsid w:val="00E67EB5"/>
    <w:rsid w:val="00E711A4"/>
    <w:rsid w:val="00E718CC"/>
    <w:rsid w:val="00E73D40"/>
    <w:rsid w:val="00E73E7F"/>
    <w:rsid w:val="00E75CF2"/>
    <w:rsid w:val="00E75ED2"/>
    <w:rsid w:val="00E770E5"/>
    <w:rsid w:val="00E816E0"/>
    <w:rsid w:val="00E82E9C"/>
    <w:rsid w:val="00E83BED"/>
    <w:rsid w:val="00E84768"/>
    <w:rsid w:val="00E84832"/>
    <w:rsid w:val="00E848A5"/>
    <w:rsid w:val="00E84C05"/>
    <w:rsid w:val="00E85D48"/>
    <w:rsid w:val="00E86223"/>
    <w:rsid w:val="00E8673C"/>
    <w:rsid w:val="00E86E94"/>
    <w:rsid w:val="00E90633"/>
    <w:rsid w:val="00E9253D"/>
    <w:rsid w:val="00E92830"/>
    <w:rsid w:val="00E92972"/>
    <w:rsid w:val="00E94445"/>
    <w:rsid w:val="00E945E3"/>
    <w:rsid w:val="00E952F9"/>
    <w:rsid w:val="00E974CF"/>
    <w:rsid w:val="00EA03F2"/>
    <w:rsid w:val="00EA1051"/>
    <w:rsid w:val="00EA1726"/>
    <w:rsid w:val="00EA1794"/>
    <w:rsid w:val="00EA1802"/>
    <w:rsid w:val="00EA2B28"/>
    <w:rsid w:val="00EA3E73"/>
    <w:rsid w:val="00EA57D3"/>
    <w:rsid w:val="00EA57F5"/>
    <w:rsid w:val="00EA68F1"/>
    <w:rsid w:val="00EB0B70"/>
    <w:rsid w:val="00EB0F35"/>
    <w:rsid w:val="00EB16BB"/>
    <w:rsid w:val="00EB171F"/>
    <w:rsid w:val="00EB1FB0"/>
    <w:rsid w:val="00EB45D1"/>
    <w:rsid w:val="00EB48F4"/>
    <w:rsid w:val="00EB55B5"/>
    <w:rsid w:val="00EB6138"/>
    <w:rsid w:val="00EB6690"/>
    <w:rsid w:val="00EC0C3D"/>
    <w:rsid w:val="00EC15FA"/>
    <w:rsid w:val="00EC17F5"/>
    <w:rsid w:val="00EC286F"/>
    <w:rsid w:val="00EC291C"/>
    <w:rsid w:val="00EC3884"/>
    <w:rsid w:val="00EC3D02"/>
    <w:rsid w:val="00EC4ACF"/>
    <w:rsid w:val="00EC4E6F"/>
    <w:rsid w:val="00EC631F"/>
    <w:rsid w:val="00EC69B7"/>
    <w:rsid w:val="00EC7274"/>
    <w:rsid w:val="00EC7620"/>
    <w:rsid w:val="00ED506B"/>
    <w:rsid w:val="00ED529E"/>
    <w:rsid w:val="00ED5956"/>
    <w:rsid w:val="00ED64CC"/>
    <w:rsid w:val="00ED67ED"/>
    <w:rsid w:val="00ED7A6D"/>
    <w:rsid w:val="00EE0064"/>
    <w:rsid w:val="00EE0DA8"/>
    <w:rsid w:val="00EE115E"/>
    <w:rsid w:val="00EE15F6"/>
    <w:rsid w:val="00EE2676"/>
    <w:rsid w:val="00EE2C0C"/>
    <w:rsid w:val="00EE2E78"/>
    <w:rsid w:val="00EE3EB9"/>
    <w:rsid w:val="00EE44B8"/>
    <w:rsid w:val="00EE5A2A"/>
    <w:rsid w:val="00EE6295"/>
    <w:rsid w:val="00EE72D7"/>
    <w:rsid w:val="00EF0026"/>
    <w:rsid w:val="00EF2295"/>
    <w:rsid w:val="00EF578C"/>
    <w:rsid w:val="00EF57AE"/>
    <w:rsid w:val="00EF732D"/>
    <w:rsid w:val="00EF7681"/>
    <w:rsid w:val="00F00558"/>
    <w:rsid w:val="00F00622"/>
    <w:rsid w:val="00F00868"/>
    <w:rsid w:val="00F05EB1"/>
    <w:rsid w:val="00F06E7B"/>
    <w:rsid w:val="00F1065D"/>
    <w:rsid w:val="00F112F1"/>
    <w:rsid w:val="00F1201F"/>
    <w:rsid w:val="00F13A57"/>
    <w:rsid w:val="00F1461E"/>
    <w:rsid w:val="00F15CEF"/>
    <w:rsid w:val="00F160F0"/>
    <w:rsid w:val="00F168C5"/>
    <w:rsid w:val="00F20040"/>
    <w:rsid w:val="00F20D46"/>
    <w:rsid w:val="00F215A3"/>
    <w:rsid w:val="00F22023"/>
    <w:rsid w:val="00F22C2B"/>
    <w:rsid w:val="00F2316D"/>
    <w:rsid w:val="00F23688"/>
    <w:rsid w:val="00F249CD"/>
    <w:rsid w:val="00F26922"/>
    <w:rsid w:val="00F26D88"/>
    <w:rsid w:val="00F27F0A"/>
    <w:rsid w:val="00F27F28"/>
    <w:rsid w:val="00F3018D"/>
    <w:rsid w:val="00F304AE"/>
    <w:rsid w:val="00F3144C"/>
    <w:rsid w:val="00F3150A"/>
    <w:rsid w:val="00F315EB"/>
    <w:rsid w:val="00F32D0B"/>
    <w:rsid w:val="00F34BED"/>
    <w:rsid w:val="00F3676C"/>
    <w:rsid w:val="00F3795A"/>
    <w:rsid w:val="00F40083"/>
    <w:rsid w:val="00F414E1"/>
    <w:rsid w:val="00F41A53"/>
    <w:rsid w:val="00F443CA"/>
    <w:rsid w:val="00F44582"/>
    <w:rsid w:val="00F44B13"/>
    <w:rsid w:val="00F4517D"/>
    <w:rsid w:val="00F46F25"/>
    <w:rsid w:val="00F47506"/>
    <w:rsid w:val="00F47730"/>
    <w:rsid w:val="00F5167C"/>
    <w:rsid w:val="00F52462"/>
    <w:rsid w:val="00F52A3A"/>
    <w:rsid w:val="00F53CED"/>
    <w:rsid w:val="00F53DB7"/>
    <w:rsid w:val="00F54E6D"/>
    <w:rsid w:val="00F560D3"/>
    <w:rsid w:val="00F56413"/>
    <w:rsid w:val="00F57102"/>
    <w:rsid w:val="00F57A5C"/>
    <w:rsid w:val="00F60D10"/>
    <w:rsid w:val="00F60DC9"/>
    <w:rsid w:val="00F62568"/>
    <w:rsid w:val="00F62D81"/>
    <w:rsid w:val="00F63F69"/>
    <w:rsid w:val="00F63FE9"/>
    <w:rsid w:val="00F6577A"/>
    <w:rsid w:val="00F70239"/>
    <w:rsid w:val="00F70FF1"/>
    <w:rsid w:val="00F74A9C"/>
    <w:rsid w:val="00F75013"/>
    <w:rsid w:val="00F76674"/>
    <w:rsid w:val="00F76A77"/>
    <w:rsid w:val="00F774DE"/>
    <w:rsid w:val="00F77C77"/>
    <w:rsid w:val="00F802D8"/>
    <w:rsid w:val="00F80D13"/>
    <w:rsid w:val="00F83E21"/>
    <w:rsid w:val="00F840B5"/>
    <w:rsid w:val="00F85AF4"/>
    <w:rsid w:val="00F85D8F"/>
    <w:rsid w:val="00F86AC8"/>
    <w:rsid w:val="00F87BC1"/>
    <w:rsid w:val="00F91088"/>
    <w:rsid w:val="00F91939"/>
    <w:rsid w:val="00F91A97"/>
    <w:rsid w:val="00F922C5"/>
    <w:rsid w:val="00F92427"/>
    <w:rsid w:val="00F92E23"/>
    <w:rsid w:val="00F92E26"/>
    <w:rsid w:val="00F92EE0"/>
    <w:rsid w:val="00F9338E"/>
    <w:rsid w:val="00F94931"/>
    <w:rsid w:val="00F95CD5"/>
    <w:rsid w:val="00F963AD"/>
    <w:rsid w:val="00F9650C"/>
    <w:rsid w:val="00F96840"/>
    <w:rsid w:val="00F97234"/>
    <w:rsid w:val="00FA0C0C"/>
    <w:rsid w:val="00FA13B7"/>
    <w:rsid w:val="00FA1BA7"/>
    <w:rsid w:val="00FA2B86"/>
    <w:rsid w:val="00FA3F2F"/>
    <w:rsid w:val="00FA47DC"/>
    <w:rsid w:val="00FA7145"/>
    <w:rsid w:val="00FA72E2"/>
    <w:rsid w:val="00FA73C0"/>
    <w:rsid w:val="00FB16ED"/>
    <w:rsid w:val="00FB3B9C"/>
    <w:rsid w:val="00FB4514"/>
    <w:rsid w:val="00FB528B"/>
    <w:rsid w:val="00FB57B9"/>
    <w:rsid w:val="00FB73E2"/>
    <w:rsid w:val="00FB7CA9"/>
    <w:rsid w:val="00FC12AA"/>
    <w:rsid w:val="00FC160B"/>
    <w:rsid w:val="00FC1922"/>
    <w:rsid w:val="00FC19F4"/>
    <w:rsid w:val="00FC1F7D"/>
    <w:rsid w:val="00FC2ECF"/>
    <w:rsid w:val="00FC43C7"/>
    <w:rsid w:val="00FC4E00"/>
    <w:rsid w:val="00FC536F"/>
    <w:rsid w:val="00FC7678"/>
    <w:rsid w:val="00FC7A3F"/>
    <w:rsid w:val="00FC7E58"/>
    <w:rsid w:val="00FD0336"/>
    <w:rsid w:val="00FD03DD"/>
    <w:rsid w:val="00FD1238"/>
    <w:rsid w:val="00FD2027"/>
    <w:rsid w:val="00FD28CE"/>
    <w:rsid w:val="00FD3B18"/>
    <w:rsid w:val="00FD4F43"/>
    <w:rsid w:val="00FD529F"/>
    <w:rsid w:val="00FD5D4D"/>
    <w:rsid w:val="00FD5EC2"/>
    <w:rsid w:val="00FD5F5B"/>
    <w:rsid w:val="00FD73C3"/>
    <w:rsid w:val="00FD7D56"/>
    <w:rsid w:val="00FE0A4B"/>
    <w:rsid w:val="00FE0F77"/>
    <w:rsid w:val="00FE2262"/>
    <w:rsid w:val="00FE3247"/>
    <w:rsid w:val="00FE5EB2"/>
    <w:rsid w:val="00FF01C3"/>
    <w:rsid w:val="00FF1688"/>
    <w:rsid w:val="00FF1BD5"/>
    <w:rsid w:val="00FF2CC6"/>
    <w:rsid w:val="00FF2FDC"/>
    <w:rsid w:val="00FF39A5"/>
    <w:rsid w:val="00FF4965"/>
    <w:rsid w:val="00FF73BC"/>
    <w:rsid w:val="00FF776D"/>
    <w:rsid w:val="00FF7EFA"/>
    <w:rsid w:val="0A2E2FF8"/>
    <w:rsid w:val="2DC25412"/>
    <w:rsid w:val="30A43107"/>
    <w:rsid w:val="3543195F"/>
    <w:rsid w:val="3AF853E0"/>
    <w:rsid w:val="447060D2"/>
    <w:rsid w:val="56561EA8"/>
    <w:rsid w:val="7B1547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C754"/>
  <w15:docId w15:val="{E8A6D234-4EFD-4653-A95A-6171A603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等?"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iPriority="0" w:unhideWhenUsed="1"/>
    <w:lsdException w:name="toc 3" w:semiHidden="1" w:uiPriority="0"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semiHidden="1" w:unhideWhenUsed="1"/>
    <w:lsdException w:name="Strong" w:locked="1" w:uiPriority="22" w:qFormat="1"/>
    <w:lsdException w:name="Emphasis" w:locked="1" w:uiPriority="20" w:qFormat="1"/>
    <w:lsdException w:name="Document Map" w:locked="1" w:semiHidden="1" w:unhideWhenUsed="1"/>
    <w:lsdException w:name="Plain Text"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EFD"/>
    <w:rPr>
      <w:sz w:val="24"/>
      <w:szCs w:val="24"/>
    </w:rPr>
  </w:style>
  <w:style w:type="paragraph" w:styleId="Ttulo1">
    <w:name w:val="heading 1"/>
    <w:basedOn w:val="Normal"/>
    <w:next w:val="Normal"/>
    <w:link w:val="Ttulo1Car"/>
    <w:uiPriority w:val="99"/>
    <w:qFormat/>
    <w:rsid w:val="0026583E"/>
    <w:pPr>
      <w:keepNext/>
      <w:autoSpaceDE w:val="0"/>
      <w:autoSpaceDN w:val="0"/>
      <w:adjustRightInd w:val="0"/>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26583E"/>
    <w:pPr>
      <w:keepNext/>
      <w:shd w:val="clear" w:color="auto" w:fill="FFFFFF"/>
      <w:jc w:val="both"/>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26583E"/>
    <w:pPr>
      <w:keepNext/>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26583E"/>
    <w:pPr>
      <w:keepNext/>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26583E"/>
    <w:pPr>
      <w:keepNext/>
      <w:shd w:val="clear" w:color="auto" w:fill="FFCC99"/>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26583E"/>
    <w:pPr>
      <w:keepNext/>
      <w:autoSpaceDE w:val="0"/>
      <w:autoSpaceDN w:val="0"/>
      <w:adjustRightInd w:val="0"/>
      <w:outlineLvl w:val="5"/>
    </w:pPr>
    <w:rPr>
      <w:rFonts w:ascii="Calibri" w:hAnsi="Calibri" w:cs="Calibri"/>
      <w:b/>
      <w:bCs/>
      <w:sz w:val="22"/>
      <w:szCs w:val="22"/>
    </w:rPr>
  </w:style>
  <w:style w:type="paragraph" w:styleId="Ttulo7">
    <w:name w:val="heading 7"/>
    <w:basedOn w:val="Normal"/>
    <w:next w:val="Normal"/>
    <w:link w:val="Ttulo7Car"/>
    <w:uiPriority w:val="99"/>
    <w:qFormat/>
    <w:rsid w:val="0026583E"/>
    <w:pPr>
      <w:keepNext/>
      <w:tabs>
        <w:tab w:val="left" w:pos="1673"/>
      </w:tabs>
      <w:jc w:val="center"/>
      <w:outlineLvl w:val="6"/>
    </w:pPr>
    <w:rPr>
      <w:rFonts w:ascii="Calibri" w:hAnsi="Calibri" w:cs="Calibri"/>
    </w:rPr>
  </w:style>
  <w:style w:type="paragraph" w:styleId="Ttulo8">
    <w:name w:val="heading 8"/>
    <w:basedOn w:val="Normal"/>
    <w:next w:val="Normal"/>
    <w:link w:val="Ttulo8Car"/>
    <w:uiPriority w:val="99"/>
    <w:qFormat/>
    <w:rsid w:val="0026583E"/>
    <w:pPr>
      <w:keepNext/>
      <w:jc w:val="both"/>
      <w:outlineLvl w:val="7"/>
    </w:pPr>
    <w:rPr>
      <w:rFonts w:ascii="Calibri" w:hAnsi="Calibri" w:cs="Calibri"/>
      <w:i/>
      <w:iCs/>
    </w:rPr>
  </w:style>
  <w:style w:type="paragraph" w:styleId="Ttulo9">
    <w:name w:val="heading 9"/>
    <w:basedOn w:val="Normal"/>
    <w:next w:val="Normal"/>
    <w:link w:val="Ttulo9Car"/>
    <w:uiPriority w:val="99"/>
    <w:qFormat/>
    <w:rsid w:val="0026583E"/>
    <w:pPr>
      <w:keepNext/>
      <w:jc w:val="both"/>
      <w:outlineLvl w:val="8"/>
    </w:pPr>
    <w:rPr>
      <w:rFonts w:ascii="Cambria" w:hAnsi="Cambria" w:cs="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6583E"/>
    <w:rPr>
      <w:rFonts w:ascii="Cambria" w:hAnsi="Cambria" w:cs="Cambria"/>
      <w:b/>
      <w:bCs/>
      <w:kern w:val="32"/>
      <w:sz w:val="32"/>
      <w:szCs w:val="32"/>
    </w:rPr>
  </w:style>
  <w:style w:type="character" w:customStyle="1" w:styleId="Ttulo2Car">
    <w:name w:val="Título 2 Car"/>
    <w:basedOn w:val="Fuentedeprrafopredeter"/>
    <w:link w:val="Ttulo2"/>
    <w:uiPriority w:val="99"/>
    <w:locked/>
    <w:rsid w:val="0026583E"/>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26583E"/>
    <w:rPr>
      <w:rFonts w:ascii="Cambria" w:hAnsi="Cambria" w:cs="Cambria"/>
      <w:b/>
      <w:bCs/>
      <w:sz w:val="26"/>
      <w:szCs w:val="26"/>
    </w:rPr>
  </w:style>
  <w:style w:type="character" w:customStyle="1" w:styleId="Ttulo4Car">
    <w:name w:val="Título 4 Car"/>
    <w:basedOn w:val="Fuentedeprrafopredeter"/>
    <w:link w:val="Ttulo4"/>
    <w:uiPriority w:val="99"/>
    <w:semiHidden/>
    <w:locked/>
    <w:rsid w:val="0026583E"/>
    <w:rPr>
      <w:rFonts w:ascii="Calibri" w:hAnsi="Calibri" w:cs="Calibri"/>
      <w:b/>
      <w:bCs/>
      <w:sz w:val="28"/>
      <w:szCs w:val="28"/>
    </w:rPr>
  </w:style>
  <w:style w:type="character" w:customStyle="1" w:styleId="Ttulo5Car">
    <w:name w:val="Título 5 Car"/>
    <w:basedOn w:val="Fuentedeprrafopredeter"/>
    <w:link w:val="Ttulo5"/>
    <w:uiPriority w:val="99"/>
    <w:semiHidden/>
    <w:locked/>
    <w:rsid w:val="0026583E"/>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26583E"/>
    <w:rPr>
      <w:rFonts w:ascii="Calibri" w:hAnsi="Calibri" w:cs="Calibri"/>
      <w:b/>
      <w:bCs/>
      <w:sz w:val="22"/>
      <w:szCs w:val="22"/>
    </w:rPr>
  </w:style>
  <w:style w:type="character" w:customStyle="1" w:styleId="Ttulo7Car">
    <w:name w:val="Título 7 Car"/>
    <w:basedOn w:val="Fuentedeprrafopredeter"/>
    <w:link w:val="Ttulo7"/>
    <w:uiPriority w:val="99"/>
    <w:semiHidden/>
    <w:locked/>
    <w:rsid w:val="0026583E"/>
    <w:rPr>
      <w:rFonts w:ascii="Calibri" w:hAnsi="Calibri" w:cs="Calibri"/>
      <w:sz w:val="24"/>
      <w:szCs w:val="24"/>
    </w:rPr>
  </w:style>
  <w:style w:type="character" w:customStyle="1" w:styleId="Ttulo8Car">
    <w:name w:val="Título 8 Car"/>
    <w:basedOn w:val="Fuentedeprrafopredeter"/>
    <w:link w:val="Ttulo8"/>
    <w:uiPriority w:val="99"/>
    <w:semiHidden/>
    <w:locked/>
    <w:rsid w:val="0026583E"/>
    <w:rPr>
      <w:rFonts w:ascii="Calibri" w:hAnsi="Calibri" w:cs="Calibri"/>
      <w:i/>
      <w:iCs/>
      <w:sz w:val="24"/>
      <w:szCs w:val="24"/>
    </w:rPr>
  </w:style>
  <w:style w:type="character" w:customStyle="1" w:styleId="Ttulo9Car">
    <w:name w:val="Título 9 Car"/>
    <w:basedOn w:val="Fuentedeprrafopredeter"/>
    <w:link w:val="Ttulo9"/>
    <w:uiPriority w:val="99"/>
    <w:semiHidden/>
    <w:locked/>
    <w:rsid w:val="0026583E"/>
    <w:rPr>
      <w:rFonts w:ascii="Cambria" w:hAnsi="Cambria" w:cs="Cambria"/>
      <w:sz w:val="22"/>
      <w:szCs w:val="22"/>
    </w:rPr>
  </w:style>
  <w:style w:type="paragraph" w:styleId="Textodeglobo">
    <w:name w:val="Balloon Text"/>
    <w:basedOn w:val="Normal"/>
    <w:link w:val="TextodegloboCar"/>
    <w:uiPriority w:val="99"/>
    <w:semiHidden/>
    <w:rsid w:val="00CF083A"/>
    <w:rPr>
      <w:sz w:val="16"/>
      <w:szCs w:val="2"/>
      <w:lang w:val="zh-CN" w:eastAsia="zh-CN"/>
    </w:rPr>
  </w:style>
  <w:style w:type="character" w:customStyle="1" w:styleId="TextodegloboCar">
    <w:name w:val="Texto de globo Car"/>
    <w:basedOn w:val="Fuentedeprrafopredeter"/>
    <w:link w:val="Textodeglobo"/>
    <w:uiPriority w:val="99"/>
    <w:semiHidden/>
    <w:locked/>
    <w:rsid w:val="00CF083A"/>
    <w:rPr>
      <w:sz w:val="16"/>
      <w:szCs w:val="2"/>
      <w:lang w:val="zh-CN" w:eastAsia="zh-CN"/>
    </w:rPr>
  </w:style>
  <w:style w:type="paragraph" w:styleId="Textoindependiente">
    <w:name w:val="Body Text"/>
    <w:basedOn w:val="Normal"/>
    <w:link w:val="TextoindependienteCar"/>
    <w:uiPriority w:val="99"/>
    <w:semiHidden/>
    <w:rsid w:val="0026583E"/>
  </w:style>
  <w:style w:type="character" w:customStyle="1" w:styleId="TextoindependienteCar">
    <w:name w:val="Texto independiente Car"/>
    <w:basedOn w:val="Fuentedeprrafopredeter"/>
    <w:link w:val="Textoindependiente"/>
    <w:uiPriority w:val="99"/>
    <w:semiHidden/>
    <w:locked/>
    <w:rsid w:val="0026583E"/>
    <w:rPr>
      <w:sz w:val="24"/>
      <w:szCs w:val="24"/>
    </w:rPr>
  </w:style>
  <w:style w:type="paragraph" w:styleId="Textoindependiente2">
    <w:name w:val="Body Text 2"/>
    <w:basedOn w:val="Normal"/>
    <w:link w:val="Textoindependiente2Car"/>
    <w:uiPriority w:val="99"/>
    <w:semiHidden/>
    <w:rsid w:val="0026583E"/>
    <w:pPr>
      <w:autoSpaceDE w:val="0"/>
      <w:autoSpaceDN w:val="0"/>
      <w:adjustRightInd w:val="0"/>
      <w:jc w:val="center"/>
    </w:pPr>
  </w:style>
  <w:style w:type="character" w:customStyle="1" w:styleId="Textoindependiente2Car">
    <w:name w:val="Texto independiente 2 Car"/>
    <w:basedOn w:val="Fuentedeprrafopredeter"/>
    <w:link w:val="Textoindependiente2"/>
    <w:uiPriority w:val="99"/>
    <w:semiHidden/>
    <w:locked/>
    <w:rsid w:val="0026583E"/>
    <w:rPr>
      <w:sz w:val="24"/>
      <w:szCs w:val="24"/>
    </w:rPr>
  </w:style>
  <w:style w:type="paragraph" w:styleId="Textoindependiente3">
    <w:name w:val="Body Text 3"/>
    <w:basedOn w:val="Normal"/>
    <w:link w:val="Textoindependiente3Car"/>
    <w:uiPriority w:val="99"/>
    <w:semiHidden/>
    <w:rsid w:val="0026583E"/>
    <w:rPr>
      <w:sz w:val="16"/>
      <w:szCs w:val="16"/>
    </w:rPr>
  </w:style>
  <w:style w:type="character" w:customStyle="1" w:styleId="Textoindependiente3Car">
    <w:name w:val="Texto independiente 3 Car"/>
    <w:basedOn w:val="Fuentedeprrafopredeter"/>
    <w:link w:val="Textoindependiente3"/>
    <w:uiPriority w:val="99"/>
    <w:semiHidden/>
    <w:locked/>
    <w:rsid w:val="0026583E"/>
    <w:rPr>
      <w:sz w:val="16"/>
      <w:szCs w:val="16"/>
    </w:rPr>
  </w:style>
  <w:style w:type="paragraph" w:styleId="Sangradetextonormal">
    <w:name w:val="Body Text Indent"/>
    <w:basedOn w:val="Normal"/>
    <w:link w:val="SangradetextonormalCar"/>
    <w:uiPriority w:val="99"/>
    <w:semiHidden/>
    <w:rsid w:val="0026583E"/>
    <w:pPr>
      <w:shd w:val="clear" w:color="auto" w:fill="FFFFFF"/>
      <w:ind w:left="708"/>
      <w:jc w:val="both"/>
    </w:pPr>
  </w:style>
  <w:style w:type="character" w:customStyle="1" w:styleId="SangradetextonormalCar">
    <w:name w:val="Sangría de texto normal Car"/>
    <w:basedOn w:val="Fuentedeprrafopredeter"/>
    <w:link w:val="Sangradetextonormal"/>
    <w:uiPriority w:val="99"/>
    <w:semiHidden/>
    <w:locked/>
    <w:rsid w:val="0026583E"/>
    <w:rPr>
      <w:sz w:val="24"/>
      <w:szCs w:val="24"/>
    </w:rPr>
  </w:style>
  <w:style w:type="paragraph" w:styleId="Sangra2detindependiente">
    <w:name w:val="Body Text Indent 2"/>
    <w:basedOn w:val="Normal"/>
    <w:link w:val="Sangra2detindependienteCar"/>
    <w:uiPriority w:val="99"/>
    <w:rsid w:val="0026583E"/>
    <w:pPr>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uiPriority w:val="99"/>
    <w:semiHidden/>
    <w:locked/>
    <w:rsid w:val="0026583E"/>
    <w:rPr>
      <w:sz w:val="24"/>
      <w:szCs w:val="24"/>
    </w:rPr>
  </w:style>
  <w:style w:type="paragraph" w:styleId="Sangra3detindependiente">
    <w:name w:val="Body Text Indent 3"/>
    <w:basedOn w:val="Normal"/>
    <w:link w:val="Sangra3detindependienteCar"/>
    <w:uiPriority w:val="99"/>
    <w:semiHidden/>
    <w:rsid w:val="0026583E"/>
    <w:pPr>
      <w:ind w:left="708"/>
      <w:jc w:val="both"/>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26583E"/>
    <w:rPr>
      <w:sz w:val="16"/>
      <w:szCs w:val="16"/>
    </w:rPr>
  </w:style>
  <w:style w:type="paragraph" w:styleId="Textocomentario">
    <w:name w:val="annotation text"/>
    <w:basedOn w:val="Normal"/>
    <w:link w:val="TextocomentarioCar"/>
    <w:uiPriority w:val="99"/>
    <w:rsid w:val="0026583E"/>
    <w:rPr>
      <w:sz w:val="20"/>
      <w:szCs w:val="20"/>
    </w:rPr>
  </w:style>
  <w:style w:type="character" w:customStyle="1" w:styleId="TextocomentarioCar">
    <w:name w:val="Texto comentario Car"/>
    <w:basedOn w:val="Fuentedeprrafopredeter"/>
    <w:link w:val="Textocomentario"/>
    <w:uiPriority w:val="99"/>
    <w:locked/>
    <w:rsid w:val="0026583E"/>
    <w:rPr>
      <w:sz w:val="20"/>
      <w:szCs w:val="20"/>
    </w:rPr>
  </w:style>
  <w:style w:type="paragraph" w:styleId="Asuntodelcomentario">
    <w:name w:val="annotation subject"/>
    <w:basedOn w:val="Textocomentario"/>
    <w:next w:val="Textocomentario"/>
    <w:link w:val="AsuntodelcomentarioCar"/>
    <w:uiPriority w:val="99"/>
    <w:semiHidden/>
    <w:rsid w:val="0026583E"/>
    <w:rPr>
      <w:b/>
      <w:bCs/>
    </w:rPr>
  </w:style>
  <w:style w:type="character" w:customStyle="1" w:styleId="AsuntodelcomentarioCar">
    <w:name w:val="Asunto del comentario Car"/>
    <w:basedOn w:val="TextocomentarioCar"/>
    <w:link w:val="Asuntodelcomentario"/>
    <w:uiPriority w:val="99"/>
    <w:semiHidden/>
    <w:locked/>
    <w:rsid w:val="0026583E"/>
    <w:rPr>
      <w:b/>
      <w:bCs/>
      <w:sz w:val="20"/>
      <w:szCs w:val="20"/>
    </w:rPr>
  </w:style>
  <w:style w:type="paragraph" w:styleId="Textonotaalfinal">
    <w:name w:val="endnote text"/>
    <w:basedOn w:val="Normal"/>
    <w:link w:val="TextonotaalfinalCar"/>
    <w:uiPriority w:val="99"/>
    <w:semiHidden/>
    <w:rsid w:val="0026583E"/>
    <w:rPr>
      <w:sz w:val="20"/>
      <w:szCs w:val="20"/>
    </w:rPr>
  </w:style>
  <w:style w:type="character" w:customStyle="1" w:styleId="TextonotaalfinalCar">
    <w:name w:val="Texto nota al final Car"/>
    <w:basedOn w:val="Fuentedeprrafopredeter"/>
    <w:link w:val="Textonotaalfinal"/>
    <w:uiPriority w:val="99"/>
    <w:semiHidden/>
    <w:locked/>
    <w:rsid w:val="0026583E"/>
    <w:rPr>
      <w:sz w:val="20"/>
      <w:szCs w:val="20"/>
    </w:rPr>
  </w:style>
  <w:style w:type="paragraph" w:styleId="Piedepgina">
    <w:name w:val="footer"/>
    <w:basedOn w:val="Normal"/>
    <w:link w:val="PiedepginaCar"/>
    <w:uiPriority w:val="99"/>
    <w:semiHidden/>
    <w:rsid w:val="0026583E"/>
    <w:pPr>
      <w:tabs>
        <w:tab w:val="center" w:pos="4252"/>
        <w:tab w:val="right" w:pos="8504"/>
      </w:tabs>
    </w:pPr>
  </w:style>
  <w:style w:type="character" w:customStyle="1" w:styleId="PiedepginaCar">
    <w:name w:val="Pie de página Car"/>
    <w:basedOn w:val="Fuentedeprrafopredeter"/>
    <w:link w:val="Piedepgina"/>
    <w:uiPriority w:val="99"/>
    <w:semiHidden/>
    <w:locked/>
    <w:rsid w:val="0026583E"/>
    <w:rPr>
      <w:sz w:val="24"/>
      <w:szCs w:val="24"/>
    </w:rPr>
  </w:style>
  <w:style w:type="paragraph" w:styleId="Textonotapie">
    <w:name w:val="footnote text"/>
    <w:basedOn w:val="Normal"/>
    <w:link w:val="TextonotapieCar"/>
    <w:uiPriority w:val="99"/>
    <w:semiHidden/>
    <w:rsid w:val="0026583E"/>
    <w:rPr>
      <w:rFonts w:ascii="Arial" w:hAnsi="Arial" w:cs="Arial"/>
      <w:sz w:val="20"/>
      <w:szCs w:val="20"/>
    </w:rPr>
  </w:style>
  <w:style w:type="character" w:customStyle="1" w:styleId="TextonotapieCar">
    <w:name w:val="Texto nota pie Car"/>
    <w:basedOn w:val="Fuentedeprrafopredeter"/>
    <w:link w:val="Textonotapie"/>
    <w:uiPriority w:val="99"/>
    <w:semiHidden/>
    <w:locked/>
    <w:rsid w:val="0026583E"/>
    <w:rPr>
      <w:sz w:val="20"/>
      <w:szCs w:val="20"/>
    </w:rPr>
  </w:style>
  <w:style w:type="paragraph" w:styleId="Encabezado">
    <w:name w:val="header"/>
    <w:basedOn w:val="Normal"/>
    <w:link w:val="EncabezadoCar"/>
    <w:semiHidden/>
    <w:rsid w:val="0026583E"/>
    <w:pPr>
      <w:tabs>
        <w:tab w:val="center" w:pos="4252"/>
        <w:tab w:val="right" w:pos="8504"/>
      </w:tabs>
    </w:pPr>
  </w:style>
  <w:style w:type="character" w:customStyle="1" w:styleId="HeaderChar">
    <w:name w:val="Header Char"/>
    <w:basedOn w:val="Fuentedeprrafopredeter"/>
    <w:uiPriority w:val="99"/>
    <w:semiHidden/>
    <w:locked/>
    <w:rsid w:val="0026583E"/>
    <w:rPr>
      <w:sz w:val="24"/>
      <w:szCs w:val="24"/>
    </w:rPr>
  </w:style>
  <w:style w:type="paragraph" w:styleId="HTMLconformatoprevio">
    <w:name w:val="HTML Preformatted"/>
    <w:basedOn w:val="Normal"/>
    <w:link w:val="HTMLconformatoprevioCar"/>
    <w:uiPriority w:val="99"/>
    <w:semiHidden/>
    <w:rsid w:val="00265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26583E"/>
    <w:rPr>
      <w:rFonts w:ascii="Courier New" w:hAnsi="Courier New" w:cs="Courier New"/>
    </w:rPr>
  </w:style>
  <w:style w:type="paragraph" w:styleId="NormalWeb">
    <w:name w:val="Normal (Web)"/>
    <w:basedOn w:val="Normal"/>
    <w:uiPriority w:val="99"/>
    <w:rsid w:val="0026583E"/>
    <w:pPr>
      <w:spacing w:before="100" w:beforeAutospacing="1" w:after="100" w:afterAutospacing="1"/>
    </w:pPr>
  </w:style>
  <w:style w:type="paragraph" w:styleId="Textosinformato">
    <w:name w:val="Plain Text"/>
    <w:basedOn w:val="Normal"/>
    <w:link w:val="TextosinformatoCar"/>
    <w:uiPriority w:val="99"/>
    <w:semiHidden/>
    <w:rsid w:val="0026583E"/>
    <w:rPr>
      <w:rFonts w:ascii="Courier New" w:hAnsi="Courier New" w:cs="Courier New"/>
      <w:sz w:val="20"/>
      <w:szCs w:val="20"/>
    </w:rPr>
  </w:style>
  <w:style w:type="character" w:customStyle="1" w:styleId="TextosinformatoCar">
    <w:name w:val="Texto sin formato Car"/>
    <w:basedOn w:val="Fuentedeprrafopredeter"/>
    <w:link w:val="Textosinformato"/>
    <w:uiPriority w:val="99"/>
    <w:semiHidden/>
    <w:locked/>
    <w:rsid w:val="0026583E"/>
    <w:rPr>
      <w:rFonts w:ascii="Courier New" w:hAnsi="Courier New" w:cs="Courier New"/>
    </w:rPr>
  </w:style>
  <w:style w:type="paragraph" w:styleId="Ttulo">
    <w:name w:val="Title"/>
    <w:basedOn w:val="Normal"/>
    <w:link w:val="TtuloCar"/>
    <w:uiPriority w:val="99"/>
    <w:qFormat/>
    <w:rsid w:val="0026583E"/>
    <w:pPr>
      <w:autoSpaceDE w:val="0"/>
      <w:autoSpaceDN w:val="0"/>
      <w:adjustRightInd w:val="0"/>
      <w:jc w:val="center"/>
    </w:pPr>
    <w:rPr>
      <w:rFonts w:ascii="Cambria" w:hAnsi="Cambria" w:cs="Cambria"/>
      <w:b/>
      <w:bCs/>
      <w:kern w:val="28"/>
      <w:sz w:val="32"/>
      <w:szCs w:val="32"/>
    </w:rPr>
  </w:style>
  <w:style w:type="character" w:customStyle="1" w:styleId="TtuloCar">
    <w:name w:val="Título Car"/>
    <w:basedOn w:val="Fuentedeprrafopredeter"/>
    <w:link w:val="Ttulo"/>
    <w:uiPriority w:val="99"/>
    <w:locked/>
    <w:rsid w:val="0026583E"/>
    <w:rPr>
      <w:rFonts w:ascii="Cambria" w:hAnsi="Cambria" w:cs="Cambria"/>
      <w:b/>
      <w:bCs/>
      <w:kern w:val="28"/>
      <w:sz w:val="32"/>
      <w:szCs w:val="32"/>
    </w:rPr>
  </w:style>
  <w:style w:type="paragraph" w:styleId="TDC1">
    <w:name w:val="toc 1"/>
    <w:basedOn w:val="Normal"/>
    <w:next w:val="Normal"/>
    <w:autoRedefine/>
    <w:uiPriority w:val="99"/>
    <w:semiHidden/>
    <w:rsid w:val="00301EB6"/>
    <w:pPr>
      <w:tabs>
        <w:tab w:val="right" w:leader="dot" w:pos="8729"/>
      </w:tabs>
    </w:pPr>
  </w:style>
  <w:style w:type="paragraph" w:styleId="TDC2">
    <w:name w:val="toc 2"/>
    <w:basedOn w:val="Normal"/>
    <w:next w:val="Normal"/>
    <w:autoRedefine/>
    <w:uiPriority w:val="99"/>
    <w:semiHidden/>
    <w:rsid w:val="0026583E"/>
    <w:pPr>
      <w:ind w:left="240"/>
    </w:pPr>
  </w:style>
  <w:style w:type="paragraph" w:styleId="TDC3">
    <w:name w:val="toc 3"/>
    <w:basedOn w:val="Normal"/>
    <w:next w:val="Normal"/>
    <w:autoRedefine/>
    <w:uiPriority w:val="99"/>
    <w:semiHidden/>
    <w:rsid w:val="0026583E"/>
    <w:pPr>
      <w:ind w:left="480"/>
    </w:pPr>
  </w:style>
  <w:style w:type="character" w:styleId="Refdecomentario">
    <w:name w:val="annotation reference"/>
    <w:basedOn w:val="Fuentedeprrafopredeter"/>
    <w:uiPriority w:val="99"/>
    <w:rsid w:val="0026583E"/>
    <w:rPr>
      <w:sz w:val="16"/>
      <w:szCs w:val="16"/>
    </w:rPr>
  </w:style>
  <w:style w:type="character" w:styleId="nfasis">
    <w:name w:val="Emphasis"/>
    <w:basedOn w:val="Fuentedeprrafopredeter"/>
    <w:uiPriority w:val="99"/>
    <w:qFormat/>
    <w:rsid w:val="0026583E"/>
    <w:rPr>
      <w:i/>
      <w:iCs/>
    </w:rPr>
  </w:style>
  <w:style w:type="character" w:styleId="Refdenotaalfinal">
    <w:name w:val="endnote reference"/>
    <w:basedOn w:val="Fuentedeprrafopredeter"/>
    <w:uiPriority w:val="99"/>
    <w:semiHidden/>
    <w:rsid w:val="0026583E"/>
    <w:rPr>
      <w:vertAlign w:val="superscript"/>
    </w:rPr>
  </w:style>
  <w:style w:type="character" w:styleId="Hipervnculovisitado">
    <w:name w:val="FollowedHyperlink"/>
    <w:basedOn w:val="Fuentedeprrafopredeter"/>
    <w:uiPriority w:val="99"/>
    <w:semiHidden/>
    <w:rsid w:val="0026583E"/>
    <w:rPr>
      <w:color w:val="800080"/>
      <w:u w:val="single"/>
    </w:rPr>
  </w:style>
  <w:style w:type="character" w:styleId="Refdenotaalpie">
    <w:name w:val="footnote reference"/>
    <w:basedOn w:val="Fuentedeprrafopredeter"/>
    <w:uiPriority w:val="99"/>
    <w:semiHidden/>
    <w:rsid w:val="0026583E"/>
    <w:rPr>
      <w:vertAlign w:val="superscript"/>
    </w:rPr>
  </w:style>
  <w:style w:type="character" w:styleId="CitaHTML">
    <w:name w:val="HTML Cite"/>
    <w:basedOn w:val="Fuentedeprrafopredeter"/>
    <w:uiPriority w:val="99"/>
    <w:rsid w:val="0026583E"/>
    <w:rPr>
      <w:color w:val="auto"/>
    </w:rPr>
  </w:style>
  <w:style w:type="character" w:styleId="Hipervnculo">
    <w:name w:val="Hyperlink"/>
    <w:basedOn w:val="Fuentedeprrafopredeter"/>
    <w:rsid w:val="0026583E"/>
    <w:rPr>
      <w:color w:val="0000FF"/>
      <w:u w:val="single"/>
    </w:rPr>
  </w:style>
  <w:style w:type="character" w:styleId="Nmerodepgina">
    <w:name w:val="page number"/>
    <w:basedOn w:val="Fuentedeprrafopredeter"/>
    <w:uiPriority w:val="99"/>
    <w:semiHidden/>
    <w:rsid w:val="0026583E"/>
  </w:style>
  <w:style w:type="character" w:styleId="Textoennegrita">
    <w:name w:val="Strong"/>
    <w:basedOn w:val="Fuentedeprrafopredeter"/>
    <w:uiPriority w:val="99"/>
    <w:qFormat/>
    <w:rsid w:val="0026583E"/>
    <w:rPr>
      <w:b/>
      <w:bCs/>
    </w:rPr>
  </w:style>
  <w:style w:type="table" w:styleId="Tablaconcuadrcula">
    <w:name w:val="Table Grid"/>
    <w:basedOn w:val="Tablanormal"/>
    <w:uiPriority w:val="99"/>
    <w:rsid w:val="002658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semiHidden/>
    <w:locked/>
    <w:rsid w:val="0026583E"/>
    <w:rPr>
      <w:sz w:val="24"/>
      <w:szCs w:val="24"/>
    </w:rPr>
  </w:style>
  <w:style w:type="paragraph" w:customStyle="1" w:styleId="Authors">
    <w:name w:val="Authors"/>
    <w:basedOn w:val="Normal"/>
    <w:uiPriority w:val="99"/>
    <w:rsid w:val="0026583E"/>
    <w:pPr>
      <w:keepNext/>
      <w:spacing w:before="240"/>
    </w:pPr>
    <w:rPr>
      <w:rFonts w:ascii="Arial" w:hAnsi="Arial" w:cs="Arial"/>
      <w:color w:val="000000"/>
      <w:sz w:val="22"/>
      <w:szCs w:val="22"/>
      <w:lang w:val="en-US" w:eastAsia="en-US"/>
    </w:rPr>
  </w:style>
  <w:style w:type="paragraph" w:customStyle="1" w:styleId="Encabezadobase">
    <w:name w:val="Encabezado base"/>
    <w:basedOn w:val="Normal"/>
    <w:uiPriority w:val="99"/>
    <w:rsid w:val="0026583E"/>
    <w:pPr>
      <w:keepLines/>
      <w:tabs>
        <w:tab w:val="center" w:pos="4320"/>
        <w:tab w:val="right" w:pos="8640"/>
      </w:tabs>
      <w:spacing w:after="240"/>
      <w:ind w:firstLine="709"/>
      <w:jc w:val="both"/>
    </w:pPr>
    <w:rPr>
      <w:rFonts w:ascii="Arial" w:hAnsi="Arial" w:cs="Arial"/>
      <w:spacing w:val="-4"/>
    </w:rPr>
  </w:style>
  <w:style w:type="character" w:customStyle="1" w:styleId="t101">
    <w:name w:val="t101"/>
    <w:uiPriority w:val="99"/>
    <w:rsid w:val="0026583E"/>
    <w:rPr>
      <w:rFonts w:ascii="Arial" w:hAnsi="Arial" w:cs="Arial"/>
      <w:sz w:val="24"/>
      <w:szCs w:val="24"/>
    </w:rPr>
  </w:style>
  <w:style w:type="character" w:customStyle="1" w:styleId="para1">
    <w:name w:val="para1"/>
    <w:uiPriority w:val="99"/>
    <w:rsid w:val="0026583E"/>
    <w:rPr>
      <w:rFonts w:ascii="Arial" w:hAnsi="Arial" w:cs="Arial"/>
      <w:sz w:val="19"/>
      <w:szCs w:val="19"/>
    </w:rPr>
  </w:style>
  <w:style w:type="paragraph" w:customStyle="1" w:styleId="z-Principiodelformulario1">
    <w:name w:val="z-Principio del formulario1"/>
    <w:basedOn w:val="Normal"/>
    <w:next w:val="Normal"/>
    <w:link w:val="z-PrincipiodelformularioCar"/>
    <w:uiPriority w:val="99"/>
    <w:rsid w:val="0026583E"/>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link w:val="z-Principiodelformulario1"/>
    <w:uiPriority w:val="99"/>
    <w:semiHidden/>
    <w:locked/>
    <w:rsid w:val="0026583E"/>
    <w:rPr>
      <w:rFonts w:ascii="Arial" w:hAnsi="Arial" w:cs="Arial"/>
      <w:vanish/>
      <w:sz w:val="16"/>
      <w:szCs w:val="16"/>
    </w:rPr>
  </w:style>
  <w:style w:type="paragraph" w:customStyle="1" w:styleId="Textoindependiente31">
    <w:name w:val="Texto independiente 31"/>
    <w:basedOn w:val="Normal"/>
    <w:uiPriority w:val="99"/>
    <w:rsid w:val="0026583E"/>
    <w:pPr>
      <w:widowControl w:val="0"/>
      <w:suppressAutoHyphens/>
    </w:pPr>
    <w:rPr>
      <w:color w:val="0000FF"/>
      <w:kern w:val="1"/>
      <w:sz w:val="48"/>
      <w:szCs w:val="48"/>
    </w:rPr>
  </w:style>
  <w:style w:type="paragraph" w:customStyle="1" w:styleId="Default">
    <w:name w:val="Default"/>
    <w:uiPriority w:val="99"/>
    <w:rsid w:val="0026583E"/>
    <w:pPr>
      <w:autoSpaceDE w:val="0"/>
      <w:autoSpaceDN w:val="0"/>
      <w:adjustRightInd w:val="0"/>
      <w:spacing w:after="160" w:line="259" w:lineRule="auto"/>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uiPriority w:val="99"/>
    <w:rsid w:val="0026583E"/>
    <w:pPr>
      <w:spacing w:line="240" w:lineRule="atLeast"/>
    </w:pPr>
    <w:rPr>
      <w:color w:val="auto"/>
    </w:rPr>
  </w:style>
  <w:style w:type="paragraph" w:customStyle="1" w:styleId="Pa50">
    <w:name w:val="Pa50"/>
    <w:basedOn w:val="Default"/>
    <w:next w:val="Default"/>
    <w:uiPriority w:val="99"/>
    <w:rsid w:val="0026583E"/>
    <w:pPr>
      <w:spacing w:line="240" w:lineRule="atLeast"/>
    </w:pPr>
    <w:rPr>
      <w:color w:val="auto"/>
    </w:rPr>
  </w:style>
  <w:style w:type="paragraph" w:customStyle="1" w:styleId="Pa51">
    <w:name w:val="Pa51"/>
    <w:basedOn w:val="Default"/>
    <w:next w:val="Default"/>
    <w:uiPriority w:val="99"/>
    <w:rsid w:val="0026583E"/>
    <w:pPr>
      <w:spacing w:line="240" w:lineRule="atLeast"/>
    </w:pPr>
    <w:rPr>
      <w:color w:val="auto"/>
    </w:rPr>
  </w:style>
  <w:style w:type="paragraph" w:customStyle="1" w:styleId="Pa53">
    <w:name w:val="Pa53"/>
    <w:basedOn w:val="Default"/>
    <w:next w:val="Default"/>
    <w:uiPriority w:val="99"/>
    <w:rsid w:val="0026583E"/>
    <w:pPr>
      <w:spacing w:line="240" w:lineRule="atLeast"/>
    </w:pPr>
    <w:rPr>
      <w:color w:val="auto"/>
    </w:rPr>
  </w:style>
  <w:style w:type="paragraph" w:customStyle="1" w:styleId="Pa14">
    <w:name w:val="Pa14"/>
    <w:basedOn w:val="Default"/>
    <w:next w:val="Default"/>
    <w:uiPriority w:val="99"/>
    <w:rsid w:val="0026583E"/>
    <w:pPr>
      <w:spacing w:line="240" w:lineRule="atLeast"/>
    </w:pPr>
    <w:rPr>
      <w:color w:val="auto"/>
    </w:rPr>
  </w:style>
  <w:style w:type="paragraph" w:styleId="Citadestacada">
    <w:name w:val="Intense Quote"/>
    <w:basedOn w:val="Normal"/>
    <w:next w:val="Normal"/>
    <w:link w:val="CitadestacadaCar"/>
    <w:uiPriority w:val="99"/>
    <w:qFormat/>
    <w:rsid w:val="0026583E"/>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99"/>
    <w:locked/>
    <w:rsid w:val="0026583E"/>
    <w:rPr>
      <w:b/>
      <w:bCs/>
      <w:i/>
      <w:iCs/>
      <w:color w:val="4F81BD"/>
      <w:sz w:val="24"/>
      <w:szCs w:val="24"/>
      <w:lang w:val="es-ES" w:eastAsia="es-ES"/>
    </w:rPr>
  </w:style>
  <w:style w:type="character" w:customStyle="1" w:styleId="st1">
    <w:name w:val="st1"/>
    <w:basedOn w:val="Fuentedeprrafopredeter"/>
    <w:uiPriority w:val="99"/>
    <w:rsid w:val="0026583E"/>
  </w:style>
  <w:style w:type="paragraph" w:customStyle="1" w:styleId="Pa54">
    <w:name w:val="Pa54"/>
    <w:basedOn w:val="Normal"/>
    <w:next w:val="Normal"/>
    <w:uiPriority w:val="99"/>
    <w:rsid w:val="0026583E"/>
    <w:pPr>
      <w:autoSpaceDE w:val="0"/>
      <w:autoSpaceDN w:val="0"/>
      <w:adjustRightInd w:val="0"/>
      <w:spacing w:line="240" w:lineRule="atLeast"/>
    </w:pPr>
    <w:rPr>
      <w:rFonts w:ascii="NBIQZG+HelveticaNeue-Light" w:hAnsi="NBIQZG+HelveticaNeue-Light" w:cs="NBIQZG+HelveticaNeue-Light"/>
    </w:rPr>
  </w:style>
  <w:style w:type="character" w:customStyle="1" w:styleId="A6">
    <w:name w:val="A6"/>
    <w:uiPriority w:val="99"/>
    <w:rsid w:val="0026583E"/>
    <w:rPr>
      <w:color w:val="000000"/>
      <w:sz w:val="18"/>
      <w:szCs w:val="18"/>
    </w:rPr>
  </w:style>
  <w:style w:type="character" w:customStyle="1" w:styleId="sel1348427992542">
    <w:name w:val="sel_1348427992542"/>
    <w:basedOn w:val="Fuentedeprrafopredeter"/>
    <w:uiPriority w:val="99"/>
    <w:rsid w:val="0026583E"/>
  </w:style>
  <w:style w:type="character" w:customStyle="1" w:styleId="yiv1702884738149114909-15062012">
    <w:name w:val="yiv1702884738149114909-15062012"/>
    <w:basedOn w:val="Fuentedeprrafopredeter"/>
    <w:uiPriority w:val="99"/>
    <w:rsid w:val="0026583E"/>
  </w:style>
  <w:style w:type="paragraph" w:customStyle="1" w:styleId="yiv1702884738msonormal">
    <w:name w:val="yiv1702884738msonormal"/>
    <w:basedOn w:val="Normal"/>
    <w:uiPriority w:val="99"/>
    <w:rsid w:val="0026583E"/>
    <w:pPr>
      <w:spacing w:before="100" w:beforeAutospacing="1" w:after="100" w:afterAutospacing="1"/>
    </w:pPr>
  </w:style>
  <w:style w:type="paragraph" w:styleId="Prrafodelista">
    <w:name w:val="List Paragraph"/>
    <w:basedOn w:val="Normal"/>
    <w:uiPriority w:val="99"/>
    <w:qFormat/>
    <w:rsid w:val="0026583E"/>
    <w:pPr>
      <w:ind w:left="708"/>
    </w:pPr>
  </w:style>
  <w:style w:type="character" w:customStyle="1" w:styleId="highlight">
    <w:name w:val="highlight"/>
    <w:basedOn w:val="Fuentedeprrafopredeter"/>
    <w:uiPriority w:val="99"/>
    <w:rsid w:val="0026583E"/>
  </w:style>
  <w:style w:type="paragraph" w:customStyle="1" w:styleId="Pa7">
    <w:name w:val="Pa7"/>
    <w:basedOn w:val="Default"/>
    <w:next w:val="Default"/>
    <w:uiPriority w:val="99"/>
    <w:rsid w:val="0026583E"/>
    <w:pPr>
      <w:spacing w:line="240" w:lineRule="atLeast"/>
    </w:pPr>
    <w:rPr>
      <w:rFonts w:ascii="GNQAFU+HelveticaNeue-Black" w:eastAsia="等?" w:hAnsi="GNQAFU+HelveticaNeue-Black" w:cs="GNQAFU+HelveticaNeue-Black"/>
      <w:color w:val="auto"/>
      <w:lang w:eastAsia="es-ES"/>
    </w:rPr>
  </w:style>
  <w:style w:type="paragraph" w:customStyle="1" w:styleId="Pa24">
    <w:name w:val="Pa24"/>
    <w:basedOn w:val="Default"/>
    <w:next w:val="Default"/>
    <w:uiPriority w:val="99"/>
    <w:rsid w:val="0026583E"/>
    <w:pPr>
      <w:spacing w:line="240" w:lineRule="atLeast"/>
    </w:pPr>
    <w:rPr>
      <w:rFonts w:ascii="GNQAFU+HelveticaNeue-Black" w:eastAsia="等?" w:hAnsi="GNQAFU+HelveticaNeue-Black" w:cs="GNQAFU+HelveticaNeue-Black"/>
      <w:color w:val="auto"/>
      <w:lang w:eastAsia="es-ES"/>
    </w:rPr>
  </w:style>
  <w:style w:type="paragraph" w:customStyle="1" w:styleId="Pa4">
    <w:name w:val="Pa4"/>
    <w:basedOn w:val="Default"/>
    <w:next w:val="Default"/>
    <w:uiPriority w:val="99"/>
    <w:rsid w:val="0026583E"/>
    <w:pPr>
      <w:spacing w:line="240" w:lineRule="atLeast"/>
    </w:pPr>
    <w:rPr>
      <w:rFonts w:ascii="GNQAFU+HelveticaNeue-Black" w:eastAsia="等?" w:hAnsi="GNQAFU+HelveticaNeue-Black" w:cs="GNQAFU+HelveticaNeue-Black"/>
      <w:color w:val="auto"/>
      <w:lang w:eastAsia="es-ES"/>
    </w:rPr>
  </w:style>
  <w:style w:type="paragraph" w:customStyle="1" w:styleId="Pa1">
    <w:name w:val="Pa1"/>
    <w:basedOn w:val="Default"/>
    <w:next w:val="Default"/>
    <w:uiPriority w:val="99"/>
    <w:rsid w:val="0026583E"/>
    <w:pPr>
      <w:spacing w:line="240" w:lineRule="atLeast"/>
    </w:pPr>
    <w:rPr>
      <w:rFonts w:ascii="GNQAFU+HelveticaNeue-Black" w:eastAsia="等?" w:hAnsi="GNQAFU+HelveticaNeue-Black" w:cs="GNQAFU+HelveticaNeue-Black"/>
      <w:color w:val="auto"/>
      <w:lang w:eastAsia="es-ES"/>
    </w:rPr>
  </w:style>
  <w:style w:type="character" w:customStyle="1" w:styleId="CarCar22">
    <w:name w:val="Car Car22"/>
    <w:uiPriority w:val="99"/>
    <w:locked/>
    <w:rsid w:val="0026583E"/>
    <w:rPr>
      <w:rFonts w:ascii="Cambria" w:hAnsi="Cambria" w:cs="Cambria"/>
      <w:b/>
      <w:bCs/>
      <w:kern w:val="32"/>
      <w:sz w:val="32"/>
      <w:szCs w:val="32"/>
    </w:rPr>
  </w:style>
  <w:style w:type="character" w:customStyle="1" w:styleId="A2">
    <w:name w:val="A2"/>
    <w:uiPriority w:val="99"/>
    <w:rsid w:val="0026583E"/>
    <w:rPr>
      <w:rFonts w:ascii="DZMIPA+HelveticaNeue-Medium" w:hAnsi="DZMIPA+HelveticaNeue-Medium" w:cs="DZMIPA+HelveticaNeue-Medium"/>
      <w:color w:val="000000"/>
      <w:sz w:val="16"/>
      <w:szCs w:val="16"/>
    </w:rPr>
  </w:style>
  <w:style w:type="character" w:customStyle="1" w:styleId="longtext">
    <w:name w:val="long_text"/>
    <w:basedOn w:val="Fuentedeprrafopredeter"/>
    <w:uiPriority w:val="99"/>
    <w:rsid w:val="0026583E"/>
  </w:style>
  <w:style w:type="character" w:customStyle="1" w:styleId="hps">
    <w:name w:val="hps"/>
    <w:basedOn w:val="Fuentedeprrafopredeter"/>
    <w:uiPriority w:val="99"/>
    <w:rsid w:val="0026583E"/>
  </w:style>
  <w:style w:type="character" w:customStyle="1" w:styleId="hpsatn">
    <w:name w:val="hps atn"/>
    <w:basedOn w:val="Fuentedeprrafopredeter"/>
    <w:uiPriority w:val="99"/>
    <w:rsid w:val="0026583E"/>
  </w:style>
  <w:style w:type="character" w:customStyle="1" w:styleId="A7">
    <w:name w:val="A7"/>
    <w:uiPriority w:val="99"/>
    <w:rsid w:val="0026583E"/>
    <w:rPr>
      <w:rFonts w:ascii="Arial" w:hAnsi="Arial" w:cs="Arial"/>
      <w:color w:val="auto"/>
      <w:sz w:val="16"/>
      <w:szCs w:val="16"/>
    </w:rPr>
  </w:style>
  <w:style w:type="character" w:customStyle="1" w:styleId="fontstyle01">
    <w:name w:val="fontstyle01"/>
    <w:uiPriority w:val="99"/>
    <w:rsid w:val="0026583E"/>
    <w:rPr>
      <w:rFonts w:ascii="TimesNewRoman" w:hAnsi="TimesNewRoman" w:cs="TimesNewRoman"/>
      <w:color w:val="000000"/>
      <w:sz w:val="22"/>
      <w:szCs w:val="22"/>
    </w:rPr>
  </w:style>
  <w:style w:type="character" w:customStyle="1" w:styleId="fontstyle21">
    <w:name w:val="fontstyle21"/>
    <w:uiPriority w:val="99"/>
    <w:rsid w:val="0026583E"/>
    <w:rPr>
      <w:rFonts w:ascii="TimesNewRoman" w:hAnsi="TimesNewRoman" w:cs="TimesNewRoman"/>
      <w:color w:val="000000"/>
      <w:sz w:val="22"/>
      <w:szCs w:val="22"/>
    </w:rPr>
  </w:style>
  <w:style w:type="paragraph" w:customStyle="1" w:styleId="m-3803666664624225339msoheader">
    <w:name w:val="m_-3803666664624225339msoheader"/>
    <w:basedOn w:val="Normal"/>
    <w:uiPriority w:val="99"/>
    <w:rsid w:val="0026583E"/>
    <w:pPr>
      <w:spacing w:before="100" w:beforeAutospacing="1" w:after="100" w:afterAutospacing="1"/>
    </w:pPr>
  </w:style>
  <w:style w:type="paragraph" w:customStyle="1" w:styleId="Revisin1">
    <w:name w:val="Revisión1"/>
    <w:hidden/>
    <w:uiPriority w:val="99"/>
    <w:semiHidden/>
    <w:rsid w:val="0026583E"/>
    <w:pPr>
      <w:spacing w:after="160" w:line="259" w:lineRule="auto"/>
    </w:pPr>
    <w:rPr>
      <w:sz w:val="24"/>
      <w:szCs w:val="24"/>
    </w:rPr>
  </w:style>
  <w:style w:type="paragraph" w:customStyle="1" w:styleId="Revisin11">
    <w:name w:val="Revisión11"/>
    <w:hidden/>
    <w:uiPriority w:val="99"/>
    <w:semiHidden/>
    <w:rsid w:val="0026583E"/>
    <w:pPr>
      <w:spacing w:after="160" w:line="259" w:lineRule="auto"/>
    </w:pPr>
    <w:rPr>
      <w:sz w:val="24"/>
      <w:szCs w:val="24"/>
    </w:rPr>
  </w:style>
  <w:style w:type="character" w:customStyle="1" w:styleId="16">
    <w:name w:val="16"/>
    <w:basedOn w:val="Fuentedeprrafopredeter"/>
    <w:uiPriority w:val="99"/>
    <w:rsid w:val="0026583E"/>
    <w:rPr>
      <w:rFonts w:ascii="Times New Roman" w:hAnsi="Times New Roman" w:cs="Times New Roman"/>
      <w:color w:val="0000FF"/>
      <w:u w:val="single"/>
    </w:rPr>
  </w:style>
  <w:style w:type="paragraph" w:customStyle="1" w:styleId="CommentText1">
    <w:name w:val="Comment Text1"/>
    <w:basedOn w:val="Normal"/>
    <w:uiPriority w:val="99"/>
    <w:semiHidden/>
    <w:rsid w:val="0026583E"/>
    <w:pPr>
      <w:spacing w:before="100" w:beforeAutospacing="1" w:after="100" w:afterAutospacing="1" w:line="256" w:lineRule="auto"/>
    </w:pPr>
  </w:style>
  <w:style w:type="character" w:customStyle="1" w:styleId="Mencinsinresolver1">
    <w:name w:val="Mención sin resolver1"/>
    <w:basedOn w:val="Fuentedeprrafopredeter"/>
    <w:uiPriority w:val="99"/>
    <w:semiHidden/>
    <w:rsid w:val="0026583E"/>
    <w:rPr>
      <w:color w:val="auto"/>
      <w:shd w:val="clear" w:color="auto" w:fill="auto"/>
    </w:rPr>
  </w:style>
  <w:style w:type="character" w:customStyle="1" w:styleId="object">
    <w:name w:val="object"/>
    <w:basedOn w:val="Fuentedeprrafopredeter"/>
    <w:rsid w:val="00CB62AB"/>
  </w:style>
  <w:style w:type="paragraph" w:styleId="ndice1">
    <w:name w:val="index 1"/>
    <w:basedOn w:val="Normal"/>
    <w:next w:val="Normal"/>
    <w:autoRedefine/>
    <w:uiPriority w:val="99"/>
    <w:semiHidden/>
    <w:unhideWhenUsed/>
    <w:locked/>
    <w:rsid w:val="00CE3105"/>
    <w:pPr>
      <w:ind w:left="240" w:hanging="240"/>
    </w:pPr>
  </w:style>
  <w:style w:type="character" w:customStyle="1" w:styleId="ref-title">
    <w:name w:val="ref-title"/>
    <w:basedOn w:val="Fuentedeprrafopredeter"/>
    <w:rsid w:val="0035092D"/>
  </w:style>
  <w:style w:type="character" w:customStyle="1" w:styleId="ref-journal">
    <w:name w:val="ref-journal"/>
    <w:basedOn w:val="Fuentedeprrafopredeter"/>
    <w:rsid w:val="0035092D"/>
  </w:style>
  <w:style w:type="character" w:customStyle="1" w:styleId="ref-vol">
    <w:name w:val="ref-vol"/>
    <w:basedOn w:val="Fuentedeprrafopredeter"/>
    <w:rsid w:val="0035092D"/>
  </w:style>
  <w:style w:type="character" w:customStyle="1" w:styleId="mixed-citation">
    <w:name w:val="mixed-citation"/>
    <w:basedOn w:val="Fuentedeprrafopredeter"/>
    <w:rsid w:val="0035092D"/>
  </w:style>
  <w:style w:type="character" w:customStyle="1" w:styleId="nowrap">
    <w:name w:val="nowrap"/>
    <w:basedOn w:val="Fuentedeprrafopredeter"/>
    <w:rsid w:val="0035092D"/>
  </w:style>
  <w:style w:type="character" w:customStyle="1" w:styleId="Mencinsinresolver2">
    <w:name w:val="Mención sin resolver2"/>
    <w:basedOn w:val="Fuentedeprrafopredeter"/>
    <w:uiPriority w:val="99"/>
    <w:semiHidden/>
    <w:unhideWhenUsed/>
    <w:rsid w:val="00161C5D"/>
    <w:rPr>
      <w:color w:val="605E5C"/>
      <w:shd w:val="clear" w:color="auto" w:fill="E1DFDD"/>
    </w:rPr>
  </w:style>
  <w:style w:type="paragraph" w:customStyle="1" w:styleId="msonormal0">
    <w:name w:val="msonormal"/>
    <w:basedOn w:val="Normal"/>
    <w:rsid w:val="0060785D"/>
    <w:pPr>
      <w:spacing w:before="100" w:beforeAutospacing="1" w:after="100" w:afterAutospacing="1"/>
    </w:pPr>
    <w:rPr>
      <w:rFonts w:eastAsia="Times New Roman"/>
    </w:rPr>
  </w:style>
  <w:style w:type="character" w:customStyle="1" w:styleId="hitorg">
    <w:name w:val="hit_org"/>
    <w:basedOn w:val="Fuentedeprrafopredeter"/>
    <w:rsid w:val="00196EBF"/>
  </w:style>
  <w:style w:type="paragraph" w:styleId="Revisin">
    <w:name w:val="Revision"/>
    <w:hidden/>
    <w:uiPriority w:val="99"/>
    <w:semiHidden/>
    <w:rsid w:val="0096467C"/>
    <w:rPr>
      <w:sz w:val="24"/>
      <w:szCs w:val="24"/>
    </w:rPr>
  </w:style>
  <w:style w:type="paragraph" w:styleId="Bibliografa">
    <w:name w:val="Bibliography"/>
    <w:basedOn w:val="Normal"/>
    <w:next w:val="Normal"/>
    <w:uiPriority w:val="37"/>
    <w:semiHidden/>
    <w:unhideWhenUsed/>
    <w:rsid w:val="008024A5"/>
  </w:style>
  <w:style w:type="character" w:customStyle="1" w:styleId="normaltextrun">
    <w:name w:val="normaltextrun"/>
    <w:basedOn w:val="Fuentedeprrafopredeter"/>
    <w:rsid w:val="008024A5"/>
  </w:style>
  <w:style w:type="character" w:customStyle="1" w:styleId="eop">
    <w:name w:val="eop"/>
    <w:basedOn w:val="Fuentedeprrafopredeter"/>
    <w:rsid w:val="0080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0318">
      <w:bodyDiv w:val="1"/>
      <w:marLeft w:val="0"/>
      <w:marRight w:val="0"/>
      <w:marTop w:val="0"/>
      <w:marBottom w:val="0"/>
      <w:divBdr>
        <w:top w:val="none" w:sz="0" w:space="0" w:color="auto"/>
        <w:left w:val="none" w:sz="0" w:space="0" w:color="auto"/>
        <w:bottom w:val="none" w:sz="0" w:space="0" w:color="auto"/>
        <w:right w:val="none" w:sz="0" w:space="0" w:color="auto"/>
      </w:divBdr>
    </w:div>
    <w:div w:id="162473036">
      <w:bodyDiv w:val="1"/>
      <w:marLeft w:val="0"/>
      <w:marRight w:val="0"/>
      <w:marTop w:val="0"/>
      <w:marBottom w:val="0"/>
      <w:divBdr>
        <w:top w:val="none" w:sz="0" w:space="0" w:color="auto"/>
        <w:left w:val="none" w:sz="0" w:space="0" w:color="auto"/>
        <w:bottom w:val="none" w:sz="0" w:space="0" w:color="auto"/>
        <w:right w:val="none" w:sz="0" w:space="0" w:color="auto"/>
      </w:divBdr>
    </w:div>
    <w:div w:id="278220734">
      <w:bodyDiv w:val="1"/>
      <w:marLeft w:val="0"/>
      <w:marRight w:val="0"/>
      <w:marTop w:val="0"/>
      <w:marBottom w:val="0"/>
      <w:divBdr>
        <w:top w:val="none" w:sz="0" w:space="0" w:color="auto"/>
        <w:left w:val="none" w:sz="0" w:space="0" w:color="auto"/>
        <w:bottom w:val="none" w:sz="0" w:space="0" w:color="auto"/>
        <w:right w:val="none" w:sz="0" w:space="0" w:color="auto"/>
      </w:divBdr>
    </w:div>
    <w:div w:id="417483746">
      <w:bodyDiv w:val="1"/>
      <w:marLeft w:val="0"/>
      <w:marRight w:val="0"/>
      <w:marTop w:val="0"/>
      <w:marBottom w:val="0"/>
      <w:divBdr>
        <w:top w:val="none" w:sz="0" w:space="0" w:color="auto"/>
        <w:left w:val="none" w:sz="0" w:space="0" w:color="auto"/>
        <w:bottom w:val="none" w:sz="0" w:space="0" w:color="auto"/>
        <w:right w:val="none" w:sz="0" w:space="0" w:color="auto"/>
      </w:divBdr>
    </w:div>
    <w:div w:id="483007742">
      <w:bodyDiv w:val="1"/>
      <w:marLeft w:val="0"/>
      <w:marRight w:val="0"/>
      <w:marTop w:val="0"/>
      <w:marBottom w:val="0"/>
      <w:divBdr>
        <w:top w:val="none" w:sz="0" w:space="0" w:color="auto"/>
        <w:left w:val="none" w:sz="0" w:space="0" w:color="auto"/>
        <w:bottom w:val="none" w:sz="0" w:space="0" w:color="auto"/>
        <w:right w:val="none" w:sz="0" w:space="0" w:color="auto"/>
      </w:divBdr>
    </w:div>
    <w:div w:id="512647820">
      <w:bodyDiv w:val="1"/>
      <w:marLeft w:val="0"/>
      <w:marRight w:val="0"/>
      <w:marTop w:val="0"/>
      <w:marBottom w:val="0"/>
      <w:divBdr>
        <w:top w:val="none" w:sz="0" w:space="0" w:color="auto"/>
        <w:left w:val="none" w:sz="0" w:space="0" w:color="auto"/>
        <w:bottom w:val="none" w:sz="0" w:space="0" w:color="auto"/>
        <w:right w:val="none" w:sz="0" w:space="0" w:color="auto"/>
      </w:divBdr>
    </w:div>
    <w:div w:id="580675213">
      <w:bodyDiv w:val="1"/>
      <w:marLeft w:val="0"/>
      <w:marRight w:val="0"/>
      <w:marTop w:val="0"/>
      <w:marBottom w:val="0"/>
      <w:divBdr>
        <w:top w:val="none" w:sz="0" w:space="0" w:color="auto"/>
        <w:left w:val="none" w:sz="0" w:space="0" w:color="auto"/>
        <w:bottom w:val="none" w:sz="0" w:space="0" w:color="auto"/>
        <w:right w:val="none" w:sz="0" w:space="0" w:color="auto"/>
      </w:divBdr>
    </w:div>
    <w:div w:id="598758761">
      <w:bodyDiv w:val="1"/>
      <w:marLeft w:val="0"/>
      <w:marRight w:val="0"/>
      <w:marTop w:val="0"/>
      <w:marBottom w:val="0"/>
      <w:divBdr>
        <w:top w:val="none" w:sz="0" w:space="0" w:color="auto"/>
        <w:left w:val="none" w:sz="0" w:space="0" w:color="auto"/>
        <w:bottom w:val="none" w:sz="0" w:space="0" w:color="auto"/>
        <w:right w:val="none" w:sz="0" w:space="0" w:color="auto"/>
      </w:divBdr>
    </w:div>
    <w:div w:id="634718763">
      <w:bodyDiv w:val="1"/>
      <w:marLeft w:val="0"/>
      <w:marRight w:val="0"/>
      <w:marTop w:val="0"/>
      <w:marBottom w:val="0"/>
      <w:divBdr>
        <w:top w:val="none" w:sz="0" w:space="0" w:color="auto"/>
        <w:left w:val="none" w:sz="0" w:space="0" w:color="auto"/>
        <w:bottom w:val="none" w:sz="0" w:space="0" w:color="auto"/>
        <w:right w:val="none" w:sz="0" w:space="0" w:color="auto"/>
      </w:divBdr>
    </w:div>
    <w:div w:id="651719693">
      <w:bodyDiv w:val="1"/>
      <w:marLeft w:val="0"/>
      <w:marRight w:val="0"/>
      <w:marTop w:val="0"/>
      <w:marBottom w:val="0"/>
      <w:divBdr>
        <w:top w:val="none" w:sz="0" w:space="0" w:color="auto"/>
        <w:left w:val="none" w:sz="0" w:space="0" w:color="auto"/>
        <w:bottom w:val="none" w:sz="0" w:space="0" w:color="auto"/>
        <w:right w:val="none" w:sz="0" w:space="0" w:color="auto"/>
      </w:divBdr>
    </w:div>
    <w:div w:id="654146253">
      <w:bodyDiv w:val="1"/>
      <w:marLeft w:val="0"/>
      <w:marRight w:val="0"/>
      <w:marTop w:val="0"/>
      <w:marBottom w:val="0"/>
      <w:divBdr>
        <w:top w:val="none" w:sz="0" w:space="0" w:color="auto"/>
        <w:left w:val="none" w:sz="0" w:space="0" w:color="auto"/>
        <w:bottom w:val="none" w:sz="0" w:space="0" w:color="auto"/>
        <w:right w:val="none" w:sz="0" w:space="0" w:color="auto"/>
      </w:divBdr>
      <w:divsChild>
        <w:div w:id="1338843433">
          <w:marLeft w:val="0"/>
          <w:marRight w:val="0"/>
          <w:marTop w:val="0"/>
          <w:marBottom w:val="0"/>
          <w:divBdr>
            <w:top w:val="none" w:sz="0" w:space="0" w:color="auto"/>
            <w:left w:val="none" w:sz="0" w:space="0" w:color="auto"/>
            <w:bottom w:val="none" w:sz="0" w:space="0" w:color="auto"/>
            <w:right w:val="none" w:sz="0" w:space="0" w:color="auto"/>
          </w:divBdr>
          <w:divsChild>
            <w:div w:id="1681737915">
              <w:marLeft w:val="0"/>
              <w:marRight w:val="0"/>
              <w:marTop w:val="0"/>
              <w:marBottom w:val="0"/>
              <w:divBdr>
                <w:top w:val="none" w:sz="0" w:space="0" w:color="auto"/>
                <w:left w:val="none" w:sz="0" w:space="0" w:color="auto"/>
                <w:bottom w:val="none" w:sz="0" w:space="0" w:color="auto"/>
                <w:right w:val="none" w:sz="0" w:space="0" w:color="auto"/>
              </w:divBdr>
              <w:divsChild>
                <w:div w:id="1245452512">
                  <w:marLeft w:val="0"/>
                  <w:marRight w:val="0"/>
                  <w:marTop w:val="0"/>
                  <w:marBottom w:val="0"/>
                  <w:divBdr>
                    <w:top w:val="none" w:sz="0" w:space="0" w:color="auto"/>
                    <w:left w:val="none" w:sz="0" w:space="0" w:color="auto"/>
                    <w:bottom w:val="none" w:sz="0" w:space="0" w:color="auto"/>
                    <w:right w:val="none" w:sz="0" w:space="0" w:color="auto"/>
                  </w:divBdr>
                  <w:divsChild>
                    <w:div w:id="314073363">
                      <w:marLeft w:val="0"/>
                      <w:marRight w:val="0"/>
                      <w:marTop w:val="0"/>
                      <w:marBottom w:val="0"/>
                      <w:divBdr>
                        <w:top w:val="none" w:sz="0" w:space="0" w:color="auto"/>
                        <w:left w:val="none" w:sz="0" w:space="0" w:color="auto"/>
                        <w:bottom w:val="none" w:sz="0" w:space="0" w:color="auto"/>
                        <w:right w:val="none" w:sz="0" w:space="0" w:color="auto"/>
                      </w:divBdr>
                      <w:divsChild>
                        <w:div w:id="361982230">
                          <w:marLeft w:val="0"/>
                          <w:marRight w:val="0"/>
                          <w:marTop w:val="0"/>
                          <w:marBottom w:val="0"/>
                          <w:divBdr>
                            <w:top w:val="none" w:sz="0" w:space="0" w:color="auto"/>
                            <w:left w:val="none" w:sz="0" w:space="0" w:color="auto"/>
                            <w:bottom w:val="none" w:sz="0" w:space="0" w:color="auto"/>
                            <w:right w:val="none" w:sz="0" w:space="0" w:color="auto"/>
                          </w:divBdr>
                          <w:divsChild>
                            <w:div w:id="1530222782">
                              <w:marLeft w:val="0"/>
                              <w:marRight w:val="0"/>
                              <w:marTop w:val="0"/>
                              <w:marBottom w:val="0"/>
                              <w:divBdr>
                                <w:top w:val="none" w:sz="0" w:space="0" w:color="auto"/>
                                <w:left w:val="none" w:sz="0" w:space="0" w:color="auto"/>
                                <w:bottom w:val="none" w:sz="0" w:space="0" w:color="auto"/>
                                <w:right w:val="none" w:sz="0" w:space="0" w:color="auto"/>
                              </w:divBdr>
                              <w:divsChild>
                                <w:div w:id="1614164407">
                                  <w:marLeft w:val="0"/>
                                  <w:marRight w:val="0"/>
                                  <w:marTop w:val="0"/>
                                  <w:marBottom w:val="0"/>
                                  <w:divBdr>
                                    <w:top w:val="none" w:sz="0" w:space="0" w:color="auto"/>
                                    <w:left w:val="none" w:sz="0" w:space="0" w:color="auto"/>
                                    <w:bottom w:val="none" w:sz="0" w:space="0" w:color="auto"/>
                                    <w:right w:val="none" w:sz="0" w:space="0" w:color="auto"/>
                                  </w:divBdr>
                                  <w:divsChild>
                                    <w:div w:id="842167904">
                                      <w:marLeft w:val="0"/>
                                      <w:marRight w:val="0"/>
                                      <w:marTop w:val="0"/>
                                      <w:marBottom w:val="0"/>
                                      <w:divBdr>
                                        <w:top w:val="none" w:sz="0" w:space="0" w:color="auto"/>
                                        <w:left w:val="none" w:sz="0" w:space="0" w:color="auto"/>
                                        <w:bottom w:val="none" w:sz="0" w:space="0" w:color="auto"/>
                                        <w:right w:val="none" w:sz="0" w:space="0" w:color="auto"/>
                                      </w:divBdr>
                                      <w:divsChild>
                                        <w:div w:id="763068399">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2059471704">
                                              <w:marLeft w:val="0"/>
                                              <w:marRight w:val="0"/>
                                              <w:marTop w:val="0"/>
                                              <w:marBottom w:val="0"/>
                                              <w:divBdr>
                                                <w:top w:val="none" w:sz="0" w:space="0" w:color="auto"/>
                                                <w:left w:val="none" w:sz="0" w:space="0" w:color="auto"/>
                                                <w:bottom w:val="none" w:sz="0" w:space="0" w:color="auto"/>
                                                <w:right w:val="none" w:sz="0" w:space="0" w:color="auto"/>
                                              </w:divBdr>
                                              <w:divsChild>
                                                <w:div w:id="1416706212">
                                                  <w:marLeft w:val="0"/>
                                                  <w:marRight w:val="0"/>
                                                  <w:marTop w:val="0"/>
                                                  <w:marBottom w:val="0"/>
                                                  <w:divBdr>
                                                    <w:top w:val="none" w:sz="0" w:space="0" w:color="auto"/>
                                                    <w:left w:val="none" w:sz="0" w:space="0" w:color="auto"/>
                                                    <w:bottom w:val="none" w:sz="0" w:space="0" w:color="auto"/>
                                                    <w:right w:val="none" w:sz="0" w:space="0" w:color="auto"/>
                                                  </w:divBdr>
                                                  <w:divsChild>
                                                    <w:div w:id="694115126">
                                                      <w:marLeft w:val="0"/>
                                                      <w:marRight w:val="0"/>
                                                      <w:marTop w:val="0"/>
                                                      <w:marBottom w:val="0"/>
                                                      <w:divBdr>
                                                        <w:top w:val="none" w:sz="0" w:space="0" w:color="auto"/>
                                                        <w:left w:val="none" w:sz="0" w:space="0" w:color="auto"/>
                                                        <w:bottom w:val="none" w:sz="0" w:space="0" w:color="auto"/>
                                                        <w:right w:val="none" w:sz="0" w:space="0" w:color="auto"/>
                                                      </w:divBdr>
                                                      <w:divsChild>
                                                        <w:div w:id="1671134007">
                                                          <w:marLeft w:val="0"/>
                                                          <w:marRight w:val="0"/>
                                                          <w:marTop w:val="0"/>
                                                          <w:marBottom w:val="0"/>
                                                          <w:divBdr>
                                                            <w:top w:val="none" w:sz="0" w:space="0" w:color="auto"/>
                                                            <w:left w:val="none" w:sz="0" w:space="0" w:color="auto"/>
                                                            <w:bottom w:val="none" w:sz="0" w:space="0" w:color="auto"/>
                                                            <w:right w:val="none" w:sz="0" w:space="0" w:color="auto"/>
                                                          </w:divBdr>
                                                          <w:divsChild>
                                                            <w:div w:id="190844528">
                                                              <w:marLeft w:val="0"/>
                                                              <w:marRight w:val="0"/>
                                                              <w:marTop w:val="0"/>
                                                              <w:marBottom w:val="0"/>
                                                              <w:divBdr>
                                                                <w:top w:val="none" w:sz="0" w:space="0" w:color="auto"/>
                                                                <w:left w:val="none" w:sz="0" w:space="0" w:color="auto"/>
                                                                <w:bottom w:val="none" w:sz="0" w:space="0" w:color="auto"/>
                                                                <w:right w:val="none" w:sz="0" w:space="0" w:color="auto"/>
                                                              </w:divBdr>
                                                              <w:divsChild>
                                                                <w:div w:id="793015925">
                                                                  <w:marLeft w:val="0"/>
                                                                  <w:marRight w:val="0"/>
                                                                  <w:marTop w:val="0"/>
                                                                  <w:marBottom w:val="0"/>
                                                                  <w:divBdr>
                                                                    <w:top w:val="none" w:sz="0" w:space="0" w:color="auto"/>
                                                                    <w:left w:val="none" w:sz="0" w:space="0" w:color="auto"/>
                                                                    <w:bottom w:val="none" w:sz="0" w:space="0" w:color="auto"/>
                                                                    <w:right w:val="none" w:sz="0" w:space="0" w:color="auto"/>
                                                                  </w:divBdr>
                                                                  <w:divsChild>
                                                                    <w:div w:id="2037539992">
                                                                      <w:marLeft w:val="0"/>
                                                                      <w:marRight w:val="0"/>
                                                                      <w:marTop w:val="0"/>
                                                                      <w:marBottom w:val="0"/>
                                                                      <w:divBdr>
                                                                        <w:top w:val="none" w:sz="0" w:space="0" w:color="auto"/>
                                                                        <w:left w:val="none" w:sz="0" w:space="0" w:color="auto"/>
                                                                        <w:bottom w:val="none" w:sz="0" w:space="0" w:color="auto"/>
                                                                        <w:right w:val="none" w:sz="0" w:space="0" w:color="auto"/>
                                                                      </w:divBdr>
                                                                      <w:divsChild>
                                                                        <w:div w:id="251818475">
                                                                          <w:marLeft w:val="0"/>
                                                                          <w:marRight w:val="0"/>
                                                                          <w:marTop w:val="0"/>
                                                                          <w:marBottom w:val="0"/>
                                                                          <w:divBdr>
                                                                            <w:top w:val="none" w:sz="0" w:space="0" w:color="auto"/>
                                                                            <w:left w:val="none" w:sz="0" w:space="0" w:color="auto"/>
                                                                            <w:bottom w:val="none" w:sz="0" w:space="0" w:color="auto"/>
                                                                            <w:right w:val="none" w:sz="0" w:space="0" w:color="auto"/>
                                                                          </w:divBdr>
                                                                          <w:divsChild>
                                                                            <w:div w:id="315957974">
                                                                              <w:marLeft w:val="0"/>
                                                                              <w:marRight w:val="0"/>
                                                                              <w:marTop w:val="0"/>
                                                                              <w:marBottom w:val="0"/>
                                                                              <w:divBdr>
                                                                                <w:top w:val="none" w:sz="0" w:space="0" w:color="auto"/>
                                                                                <w:left w:val="none" w:sz="0" w:space="0" w:color="auto"/>
                                                                                <w:bottom w:val="none" w:sz="0" w:space="0" w:color="auto"/>
                                                                                <w:right w:val="none" w:sz="0" w:space="0" w:color="auto"/>
                                                                              </w:divBdr>
                                                                              <w:divsChild>
                                                                                <w:div w:id="1192304442">
                                                                                  <w:marLeft w:val="0"/>
                                                                                  <w:marRight w:val="0"/>
                                                                                  <w:marTop w:val="0"/>
                                                                                  <w:marBottom w:val="0"/>
                                                                                  <w:divBdr>
                                                                                    <w:top w:val="none" w:sz="0" w:space="0" w:color="auto"/>
                                                                                    <w:left w:val="none" w:sz="0" w:space="0" w:color="auto"/>
                                                                                    <w:bottom w:val="none" w:sz="0" w:space="0" w:color="auto"/>
                                                                                    <w:right w:val="none" w:sz="0" w:space="0" w:color="auto"/>
                                                                                  </w:divBdr>
                                                                                  <w:divsChild>
                                                                                    <w:div w:id="885601929">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296057887">
                                                                                          <w:marLeft w:val="0"/>
                                                                                          <w:marRight w:val="0"/>
                                                                                          <w:marTop w:val="0"/>
                                                                                          <w:marBottom w:val="0"/>
                                                                                          <w:divBdr>
                                                                                            <w:top w:val="none" w:sz="0" w:space="0" w:color="auto"/>
                                                                                            <w:left w:val="none" w:sz="0" w:space="0" w:color="auto"/>
                                                                                            <w:bottom w:val="none" w:sz="0" w:space="0" w:color="auto"/>
                                                                                            <w:right w:val="none" w:sz="0" w:space="0" w:color="auto"/>
                                                                                          </w:divBdr>
                                                                                          <w:divsChild>
                                                                                            <w:div w:id="975600090">
                                                                                              <w:marLeft w:val="0"/>
                                                                                              <w:marRight w:val="0"/>
                                                                                              <w:marTop w:val="0"/>
                                                                                              <w:marBottom w:val="0"/>
                                                                                              <w:divBdr>
                                                                                                <w:top w:val="none" w:sz="0" w:space="0" w:color="auto"/>
                                                                                                <w:left w:val="none" w:sz="0" w:space="0" w:color="auto"/>
                                                                                                <w:bottom w:val="none" w:sz="0" w:space="0" w:color="auto"/>
                                                                                                <w:right w:val="none" w:sz="0" w:space="0" w:color="auto"/>
                                                                                              </w:divBdr>
                                                                                              <w:divsChild>
                                                                                                <w:div w:id="1727221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341367">
                                                                                                      <w:marLeft w:val="0"/>
                                                                                                      <w:marRight w:val="0"/>
                                                                                                      <w:marTop w:val="0"/>
                                                                                                      <w:marBottom w:val="0"/>
                                                                                                      <w:divBdr>
                                                                                                        <w:top w:val="none" w:sz="0" w:space="0" w:color="auto"/>
                                                                                                        <w:left w:val="none" w:sz="0" w:space="0" w:color="auto"/>
                                                                                                        <w:bottom w:val="none" w:sz="0" w:space="0" w:color="auto"/>
                                                                                                        <w:right w:val="none" w:sz="0" w:space="0" w:color="auto"/>
                                                                                                      </w:divBdr>
                                                                                                      <w:divsChild>
                                                                                                        <w:div w:id="890504553">
                                                                                                          <w:marLeft w:val="0"/>
                                                                                                          <w:marRight w:val="0"/>
                                                                                                          <w:marTop w:val="0"/>
                                                                                                          <w:marBottom w:val="0"/>
                                                                                                          <w:divBdr>
                                                                                                            <w:top w:val="none" w:sz="0" w:space="0" w:color="auto"/>
                                                                                                            <w:left w:val="none" w:sz="0" w:space="0" w:color="auto"/>
                                                                                                            <w:bottom w:val="none" w:sz="0" w:space="0" w:color="auto"/>
                                                                                                            <w:right w:val="none" w:sz="0" w:space="0" w:color="auto"/>
                                                                                                          </w:divBdr>
                                                                                                          <w:divsChild>
                                                                                                            <w:div w:id="1287010336">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199319281">
                                                                                                                  <w:marLeft w:val="0"/>
                                                                                                                  <w:marRight w:val="0"/>
                                                                                                                  <w:marTop w:val="0"/>
                                                                                                                  <w:marBottom w:val="0"/>
                                                                                                                  <w:divBdr>
                                                                                                                    <w:top w:val="none" w:sz="0" w:space="0" w:color="auto"/>
                                                                                                                    <w:left w:val="none" w:sz="0" w:space="0" w:color="auto"/>
                                                                                                                    <w:bottom w:val="none" w:sz="0" w:space="0" w:color="auto"/>
                                                                                                                    <w:right w:val="none" w:sz="0" w:space="0" w:color="auto"/>
                                                                                                                  </w:divBdr>
                                                                                                                  <w:divsChild>
                                                                                                                    <w:div w:id="138152616">
                                                                                                                      <w:marLeft w:val="0"/>
                                                                                                                      <w:marRight w:val="0"/>
                                                                                                                      <w:marTop w:val="0"/>
                                                                                                                      <w:marBottom w:val="0"/>
                                                                                                                      <w:divBdr>
                                                                                                                        <w:top w:val="none" w:sz="0" w:space="0" w:color="auto"/>
                                                                                                                        <w:left w:val="none" w:sz="0" w:space="0" w:color="auto"/>
                                                                                                                        <w:bottom w:val="none" w:sz="0" w:space="0" w:color="auto"/>
                                                                                                                        <w:right w:val="none" w:sz="0" w:space="0" w:color="auto"/>
                                                                                                                      </w:divBdr>
                                                                                                                      <w:divsChild>
                                                                                                                        <w:div w:id="628704558">
                                                                                                                          <w:blockQuote w:val="1"/>
                                                                                                                          <w:marLeft w:val="600"/>
                                                                                                                          <w:marRight w:val="0"/>
                                                                                                                          <w:marTop w:val="100"/>
                                                                                                                          <w:marBottom w:val="100"/>
                                                                                                                          <w:divBdr>
                                                                                                                            <w:top w:val="none" w:sz="0" w:space="0" w:color="auto"/>
                                                                                                                            <w:left w:val="none" w:sz="0" w:space="0" w:color="auto"/>
                                                                                                                            <w:bottom w:val="none" w:sz="0" w:space="0" w:color="auto"/>
                                                                                                                            <w:right w:val="none" w:sz="0" w:space="0" w:color="auto"/>
                                                                                                                          </w:divBdr>
                                                                                                                        </w:div>
                                                                                                                        <w:div w:id="337198865">
                                                                                                                          <w:blockQuote w:val="1"/>
                                                                                                                          <w:marLeft w:val="600"/>
                                                                                                                          <w:marRight w:val="0"/>
                                                                                                                          <w:marTop w:val="100"/>
                                                                                                                          <w:marBottom w:val="100"/>
                                                                                                                          <w:divBdr>
                                                                                                                            <w:top w:val="none" w:sz="0" w:space="0" w:color="auto"/>
                                                                                                                            <w:left w:val="none" w:sz="0" w:space="0" w:color="auto"/>
                                                                                                                            <w:bottom w:val="none" w:sz="0" w:space="0" w:color="auto"/>
                                                                                                                            <w:right w:val="none" w:sz="0" w:space="0" w:color="auto"/>
                                                                                                                          </w:divBdr>
                                                                                                                        </w:div>
                                                                                                                        <w:div w:id="14625087">
                                                                                                                          <w:blockQuote w:val="1"/>
                                                                                                                          <w:marLeft w:val="600"/>
                                                                                                                          <w:marRight w:val="0"/>
                                                                                                                          <w:marTop w:val="100"/>
                                                                                                                          <w:marBottom w:val="100"/>
                                                                                                                          <w:divBdr>
                                                                                                                            <w:top w:val="none" w:sz="0" w:space="0" w:color="auto"/>
                                                                                                                            <w:left w:val="none" w:sz="0" w:space="0" w:color="auto"/>
                                                                                                                            <w:bottom w:val="none" w:sz="0" w:space="0" w:color="auto"/>
                                                                                                                            <w:right w:val="none" w:sz="0" w:space="0" w:color="auto"/>
                                                                                                                          </w:divBdr>
                                                                                                                        </w:div>
                                                                                                                        <w:div w:id="2000040540">
                                                                                                                          <w:blockQuote w:val="1"/>
                                                                                                                          <w:marLeft w:val="600"/>
                                                                                                                          <w:marRight w:val="0"/>
                                                                                                                          <w:marTop w:val="100"/>
                                                                                                                          <w:marBottom w:val="100"/>
                                                                                                                          <w:divBdr>
                                                                                                                            <w:top w:val="none" w:sz="0" w:space="0" w:color="auto"/>
                                                                                                                            <w:left w:val="none" w:sz="0" w:space="0" w:color="auto"/>
                                                                                                                            <w:bottom w:val="none" w:sz="0" w:space="0" w:color="auto"/>
                                                                                                                            <w:right w:val="none" w:sz="0" w:space="0" w:color="auto"/>
                                                                                                                          </w:divBdr>
                                                                                                                        </w:div>
                                                                                                                        <w:div w:id="77950714">
                                                                                                                          <w:blockQuote w:val="1"/>
                                                                                                                          <w:marLeft w:val="600"/>
                                                                                                                          <w:marRight w:val="0"/>
                                                                                                                          <w:marTop w:val="100"/>
                                                                                                                          <w:marBottom w:val="100"/>
                                                                                                                          <w:divBdr>
                                                                                                                            <w:top w:val="none" w:sz="0" w:space="0" w:color="auto"/>
                                                                                                                            <w:left w:val="none" w:sz="0" w:space="0" w:color="auto"/>
                                                                                                                            <w:bottom w:val="none" w:sz="0" w:space="0" w:color="auto"/>
                                                                                                                            <w:right w:val="none" w:sz="0" w:space="0" w:color="auto"/>
                                                                                                                          </w:divBdr>
                                                                                                                        </w:div>
                                                                                                                        <w:div w:id="619917411">
                                                                                                                          <w:blockQuote w:val="1"/>
                                                                                                                          <w:marLeft w:val="600"/>
                                                                                                                          <w:marRight w:val="0"/>
                                                                                                                          <w:marTop w:val="100"/>
                                                                                                                          <w:marBottom w:val="100"/>
                                                                                                                          <w:divBdr>
                                                                                                                            <w:top w:val="none" w:sz="0" w:space="0" w:color="auto"/>
                                                                                                                            <w:left w:val="none" w:sz="0" w:space="0" w:color="auto"/>
                                                                                                                            <w:bottom w:val="none" w:sz="0" w:space="0" w:color="auto"/>
                                                                                                                            <w:right w:val="none" w:sz="0" w:space="0" w:color="auto"/>
                                                                                                                          </w:divBdr>
                                                                                                                        </w:div>
                                                                                                                        <w:div w:id="1799178369">
                                                                                                                          <w:blockQuote w:val="1"/>
                                                                                                                          <w:marLeft w:val="600"/>
                                                                                                                          <w:marRight w:val="0"/>
                                                                                                                          <w:marTop w:val="100"/>
                                                                                                                          <w:marBottom w:val="100"/>
                                                                                                                          <w:divBdr>
                                                                                                                            <w:top w:val="none" w:sz="0" w:space="0" w:color="auto"/>
                                                                                                                            <w:left w:val="none" w:sz="0" w:space="0" w:color="auto"/>
                                                                                                                            <w:bottom w:val="none" w:sz="0" w:space="0" w:color="auto"/>
                                                                                                                            <w:right w:val="none" w:sz="0" w:space="0" w:color="auto"/>
                                                                                                                          </w:divBdr>
                                                                                                                        </w:div>
                                                                                                                        <w:div w:id="340280092">
                                                                                                                          <w:blockQuote w:val="1"/>
                                                                                                                          <w:marLeft w:val="600"/>
                                                                                                                          <w:marRight w:val="0"/>
                                                                                                                          <w:marTop w:val="100"/>
                                                                                                                          <w:marBottom w:val="100"/>
                                                                                                                          <w:divBdr>
                                                                                                                            <w:top w:val="none" w:sz="0" w:space="0" w:color="auto"/>
                                                                                                                            <w:left w:val="none" w:sz="0" w:space="0" w:color="auto"/>
                                                                                                                            <w:bottom w:val="none" w:sz="0" w:space="0" w:color="auto"/>
                                                                                                                            <w:right w:val="none" w:sz="0" w:space="0" w:color="auto"/>
                                                                                                                          </w:divBdr>
                                                                                                                        </w:div>
                                                                                                                        <w:div w:id="847796003">
                                                                                                                          <w:blockQuote w:val="1"/>
                                                                                                                          <w:marLeft w:val="600"/>
                                                                                                                          <w:marRight w:val="0"/>
                                                                                                                          <w:marTop w:val="100"/>
                                                                                                                          <w:marBottom w:val="100"/>
                                                                                                                          <w:divBdr>
                                                                                                                            <w:top w:val="none" w:sz="0" w:space="0" w:color="auto"/>
                                                                                                                            <w:left w:val="none" w:sz="0" w:space="0" w:color="auto"/>
                                                                                                                            <w:bottom w:val="none" w:sz="0" w:space="0" w:color="auto"/>
                                                                                                                            <w:right w:val="none" w:sz="0" w:space="0" w:color="auto"/>
                                                                                                                          </w:divBdr>
                                                                                                                        </w:div>
                                                                                                                        <w:div w:id="198857344">
                                                                                                                          <w:blockQuote w:val="1"/>
                                                                                                                          <w:marLeft w:val="600"/>
                                                                                                                          <w:marRight w:val="0"/>
                                                                                                                          <w:marTop w:val="100"/>
                                                                                                                          <w:marBottom w:val="100"/>
                                                                                                                          <w:divBdr>
                                                                                                                            <w:top w:val="none" w:sz="0" w:space="0" w:color="auto"/>
                                                                                                                            <w:left w:val="none" w:sz="0" w:space="0" w:color="auto"/>
                                                                                                                            <w:bottom w:val="none" w:sz="0" w:space="0" w:color="auto"/>
                                                                                                                            <w:right w:val="none" w:sz="0" w:space="0" w:color="auto"/>
                                                                                                                          </w:divBdr>
                                                                                                                        </w:div>
                                                                                                                        <w:div w:id="736130378">
                                                                                                                          <w:blockQuote w:val="1"/>
                                                                                                                          <w:marLeft w:val="600"/>
                                                                                                                          <w:marRight w:val="0"/>
                                                                                                                          <w:marTop w:val="100"/>
                                                                                                                          <w:marBottom w:val="100"/>
                                                                                                                          <w:divBdr>
                                                                                                                            <w:top w:val="none" w:sz="0" w:space="0" w:color="auto"/>
                                                                                                                            <w:left w:val="none" w:sz="0" w:space="0" w:color="auto"/>
                                                                                                                            <w:bottom w:val="none" w:sz="0" w:space="0" w:color="auto"/>
                                                                                                                            <w:right w:val="none" w:sz="0" w:space="0" w:color="auto"/>
                                                                                                                          </w:divBdr>
                                                                                                                        </w:div>
                                                                                                                        <w:div w:id="826554432">
                                                                                                                          <w:blockQuote w:val="1"/>
                                                                                                                          <w:marLeft w:val="60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918471">
      <w:bodyDiv w:val="1"/>
      <w:marLeft w:val="0"/>
      <w:marRight w:val="0"/>
      <w:marTop w:val="0"/>
      <w:marBottom w:val="0"/>
      <w:divBdr>
        <w:top w:val="none" w:sz="0" w:space="0" w:color="auto"/>
        <w:left w:val="none" w:sz="0" w:space="0" w:color="auto"/>
        <w:bottom w:val="none" w:sz="0" w:space="0" w:color="auto"/>
        <w:right w:val="none" w:sz="0" w:space="0" w:color="auto"/>
      </w:divBdr>
    </w:div>
    <w:div w:id="740906844">
      <w:bodyDiv w:val="1"/>
      <w:marLeft w:val="0"/>
      <w:marRight w:val="0"/>
      <w:marTop w:val="0"/>
      <w:marBottom w:val="0"/>
      <w:divBdr>
        <w:top w:val="none" w:sz="0" w:space="0" w:color="auto"/>
        <w:left w:val="none" w:sz="0" w:space="0" w:color="auto"/>
        <w:bottom w:val="none" w:sz="0" w:space="0" w:color="auto"/>
        <w:right w:val="none" w:sz="0" w:space="0" w:color="auto"/>
      </w:divBdr>
    </w:div>
    <w:div w:id="742336298">
      <w:bodyDiv w:val="1"/>
      <w:marLeft w:val="0"/>
      <w:marRight w:val="0"/>
      <w:marTop w:val="0"/>
      <w:marBottom w:val="0"/>
      <w:divBdr>
        <w:top w:val="none" w:sz="0" w:space="0" w:color="auto"/>
        <w:left w:val="none" w:sz="0" w:space="0" w:color="auto"/>
        <w:bottom w:val="none" w:sz="0" w:space="0" w:color="auto"/>
        <w:right w:val="none" w:sz="0" w:space="0" w:color="auto"/>
      </w:divBdr>
    </w:div>
    <w:div w:id="812873580">
      <w:bodyDiv w:val="1"/>
      <w:marLeft w:val="0"/>
      <w:marRight w:val="0"/>
      <w:marTop w:val="0"/>
      <w:marBottom w:val="0"/>
      <w:divBdr>
        <w:top w:val="none" w:sz="0" w:space="0" w:color="auto"/>
        <w:left w:val="none" w:sz="0" w:space="0" w:color="auto"/>
        <w:bottom w:val="none" w:sz="0" w:space="0" w:color="auto"/>
        <w:right w:val="none" w:sz="0" w:space="0" w:color="auto"/>
      </w:divBdr>
    </w:div>
    <w:div w:id="850951283">
      <w:bodyDiv w:val="1"/>
      <w:marLeft w:val="0"/>
      <w:marRight w:val="0"/>
      <w:marTop w:val="0"/>
      <w:marBottom w:val="0"/>
      <w:divBdr>
        <w:top w:val="none" w:sz="0" w:space="0" w:color="auto"/>
        <w:left w:val="none" w:sz="0" w:space="0" w:color="auto"/>
        <w:bottom w:val="none" w:sz="0" w:space="0" w:color="auto"/>
        <w:right w:val="none" w:sz="0" w:space="0" w:color="auto"/>
      </w:divBdr>
    </w:div>
    <w:div w:id="861282358">
      <w:bodyDiv w:val="1"/>
      <w:marLeft w:val="0"/>
      <w:marRight w:val="0"/>
      <w:marTop w:val="0"/>
      <w:marBottom w:val="0"/>
      <w:divBdr>
        <w:top w:val="none" w:sz="0" w:space="0" w:color="auto"/>
        <w:left w:val="none" w:sz="0" w:space="0" w:color="auto"/>
        <w:bottom w:val="none" w:sz="0" w:space="0" w:color="auto"/>
        <w:right w:val="none" w:sz="0" w:space="0" w:color="auto"/>
      </w:divBdr>
    </w:div>
    <w:div w:id="890993715">
      <w:bodyDiv w:val="1"/>
      <w:marLeft w:val="0"/>
      <w:marRight w:val="0"/>
      <w:marTop w:val="0"/>
      <w:marBottom w:val="0"/>
      <w:divBdr>
        <w:top w:val="none" w:sz="0" w:space="0" w:color="auto"/>
        <w:left w:val="none" w:sz="0" w:space="0" w:color="auto"/>
        <w:bottom w:val="none" w:sz="0" w:space="0" w:color="auto"/>
        <w:right w:val="none" w:sz="0" w:space="0" w:color="auto"/>
      </w:divBdr>
    </w:div>
    <w:div w:id="904923460">
      <w:bodyDiv w:val="1"/>
      <w:marLeft w:val="0"/>
      <w:marRight w:val="0"/>
      <w:marTop w:val="0"/>
      <w:marBottom w:val="0"/>
      <w:divBdr>
        <w:top w:val="none" w:sz="0" w:space="0" w:color="auto"/>
        <w:left w:val="none" w:sz="0" w:space="0" w:color="auto"/>
        <w:bottom w:val="none" w:sz="0" w:space="0" w:color="auto"/>
        <w:right w:val="none" w:sz="0" w:space="0" w:color="auto"/>
      </w:divBdr>
    </w:div>
    <w:div w:id="979961832">
      <w:bodyDiv w:val="1"/>
      <w:marLeft w:val="0"/>
      <w:marRight w:val="0"/>
      <w:marTop w:val="0"/>
      <w:marBottom w:val="0"/>
      <w:divBdr>
        <w:top w:val="none" w:sz="0" w:space="0" w:color="auto"/>
        <w:left w:val="none" w:sz="0" w:space="0" w:color="auto"/>
        <w:bottom w:val="none" w:sz="0" w:space="0" w:color="auto"/>
        <w:right w:val="none" w:sz="0" w:space="0" w:color="auto"/>
      </w:divBdr>
    </w:div>
    <w:div w:id="986982624">
      <w:bodyDiv w:val="1"/>
      <w:marLeft w:val="0"/>
      <w:marRight w:val="0"/>
      <w:marTop w:val="0"/>
      <w:marBottom w:val="0"/>
      <w:divBdr>
        <w:top w:val="none" w:sz="0" w:space="0" w:color="auto"/>
        <w:left w:val="none" w:sz="0" w:space="0" w:color="auto"/>
        <w:bottom w:val="none" w:sz="0" w:space="0" w:color="auto"/>
        <w:right w:val="none" w:sz="0" w:space="0" w:color="auto"/>
      </w:divBdr>
    </w:div>
    <w:div w:id="1152795638">
      <w:bodyDiv w:val="1"/>
      <w:marLeft w:val="0"/>
      <w:marRight w:val="0"/>
      <w:marTop w:val="0"/>
      <w:marBottom w:val="0"/>
      <w:divBdr>
        <w:top w:val="none" w:sz="0" w:space="0" w:color="auto"/>
        <w:left w:val="none" w:sz="0" w:space="0" w:color="auto"/>
        <w:bottom w:val="none" w:sz="0" w:space="0" w:color="auto"/>
        <w:right w:val="none" w:sz="0" w:space="0" w:color="auto"/>
      </w:divBdr>
    </w:div>
    <w:div w:id="1177621560">
      <w:bodyDiv w:val="1"/>
      <w:marLeft w:val="0"/>
      <w:marRight w:val="0"/>
      <w:marTop w:val="0"/>
      <w:marBottom w:val="0"/>
      <w:divBdr>
        <w:top w:val="none" w:sz="0" w:space="0" w:color="auto"/>
        <w:left w:val="none" w:sz="0" w:space="0" w:color="auto"/>
        <w:bottom w:val="none" w:sz="0" w:space="0" w:color="auto"/>
        <w:right w:val="none" w:sz="0" w:space="0" w:color="auto"/>
      </w:divBdr>
    </w:div>
    <w:div w:id="1194877033">
      <w:bodyDiv w:val="1"/>
      <w:marLeft w:val="0"/>
      <w:marRight w:val="0"/>
      <w:marTop w:val="0"/>
      <w:marBottom w:val="0"/>
      <w:divBdr>
        <w:top w:val="none" w:sz="0" w:space="0" w:color="auto"/>
        <w:left w:val="none" w:sz="0" w:space="0" w:color="auto"/>
        <w:bottom w:val="none" w:sz="0" w:space="0" w:color="auto"/>
        <w:right w:val="none" w:sz="0" w:space="0" w:color="auto"/>
      </w:divBdr>
    </w:div>
    <w:div w:id="1320889503">
      <w:bodyDiv w:val="1"/>
      <w:marLeft w:val="0"/>
      <w:marRight w:val="0"/>
      <w:marTop w:val="0"/>
      <w:marBottom w:val="0"/>
      <w:divBdr>
        <w:top w:val="none" w:sz="0" w:space="0" w:color="auto"/>
        <w:left w:val="none" w:sz="0" w:space="0" w:color="auto"/>
        <w:bottom w:val="none" w:sz="0" w:space="0" w:color="auto"/>
        <w:right w:val="none" w:sz="0" w:space="0" w:color="auto"/>
      </w:divBdr>
    </w:div>
    <w:div w:id="1362633439">
      <w:bodyDiv w:val="1"/>
      <w:marLeft w:val="0"/>
      <w:marRight w:val="0"/>
      <w:marTop w:val="0"/>
      <w:marBottom w:val="0"/>
      <w:divBdr>
        <w:top w:val="none" w:sz="0" w:space="0" w:color="auto"/>
        <w:left w:val="none" w:sz="0" w:space="0" w:color="auto"/>
        <w:bottom w:val="none" w:sz="0" w:space="0" w:color="auto"/>
        <w:right w:val="none" w:sz="0" w:space="0" w:color="auto"/>
      </w:divBdr>
    </w:div>
    <w:div w:id="1391608577">
      <w:bodyDiv w:val="1"/>
      <w:marLeft w:val="0"/>
      <w:marRight w:val="0"/>
      <w:marTop w:val="0"/>
      <w:marBottom w:val="0"/>
      <w:divBdr>
        <w:top w:val="none" w:sz="0" w:space="0" w:color="auto"/>
        <w:left w:val="none" w:sz="0" w:space="0" w:color="auto"/>
        <w:bottom w:val="none" w:sz="0" w:space="0" w:color="auto"/>
        <w:right w:val="none" w:sz="0" w:space="0" w:color="auto"/>
      </w:divBdr>
    </w:div>
    <w:div w:id="1423914772">
      <w:bodyDiv w:val="1"/>
      <w:marLeft w:val="0"/>
      <w:marRight w:val="0"/>
      <w:marTop w:val="0"/>
      <w:marBottom w:val="0"/>
      <w:divBdr>
        <w:top w:val="none" w:sz="0" w:space="0" w:color="auto"/>
        <w:left w:val="none" w:sz="0" w:space="0" w:color="auto"/>
        <w:bottom w:val="none" w:sz="0" w:space="0" w:color="auto"/>
        <w:right w:val="none" w:sz="0" w:space="0" w:color="auto"/>
      </w:divBdr>
    </w:div>
    <w:div w:id="1470397278">
      <w:bodyDiv w:val="1"/>
      <w:marLeft w:val="0"/>
      <w:marRight w:val="0"/>
      <w:marTop w:val="0"/>
      <w:marBottom w:val="0"/>
      <w:divBdr>
        <w:top w:val="none" w:sz="0" w:space="0" w:color="auto"/>
        <w:left w:val="none" w:sz="0" w:space="0" w:color="auto"/>
        <w:bottom w:val="none" w:sz="0" w:space="0" w:color="auto"/>
        <w:right w:val="none" w:sz="0" w:space="0" w:color="auto"/>
      </w:divBdr>
    </w:div>
    <w:div w:id="1563637517">
      <w:bodyDiv w:val="1"/>
      <w:marLeft w:val="0"/>
      <w:marRight w:val="0"/>
      <w:marTop w:val="0"/>
      <w:marBottom w:val="0"/>
      <w:divBdr>
        <w:top w:val="none" w:sz="0" w:space="0" w:color="auto"/>
        <w:left w:val="none" w:sz="0" w:space="0" w:color="auto"/>
        <w:bottom w:val="none" w:sz="0" w:space="0" w:color="auto"/>
        <w:right w:val="none" w:sz="0" w:space="0" w:color="auto"/>
      </w:divBdr>
    </w:div>
    <w:div w:id="1585799292">
      <w:bodyDiv w:val="1"/>
      <w:marLeft w:val="0"/>
      <w:marRight w:val="0"/>
      <w:marTop w:val="0"/>
      <w:marBottom w:val="0"/>
      <w:divBdr>
        <w:top w:val="none" w:sz="0" w:space="0" w:color="auto"/>
        <w:left w:val="none" w:sz="0" w:space="0" w:color="auto"/>
        <w:bottom w:val="none" w:sz="0" w:space="0" w:color="auto"/>
        <w:right w:val="none" w:sz="0" w:space="0" w:color="auto"/>
      </w:divBdr>
    </w:div>
    <w:div w:id="1619220928">
      <w:bodyDiv w:val="1"/>
      <w:marLeft w:val="0"/>
      <w:marRight w:val="0"/>
      <w:marTop w:val="0"/>
      <w:marBottom w:val="0"/>
      <w:divBdr>
        <w:top w:val="none" w:sz="0" w:space="0" w:color="auto"/>
        <w:left w:val="none" w:sz="0" w:space="0" w:color="auto"/>
        <w:bottom w:val="none" w:sz="0" w:space="0" w:color="auto"/>
        <w:right w:val="none" w:sz="0" w:space="0" w:color="auto"/>
      </w:divBdr>
    </w:div>
    <w:div w:id="1732263494">
      <w:bodyDiv w:val="1"/>
      <w:marLeft w:val="0"/>
      <w:marRight w:val="0"/>
      <w:marTop w:val="0"/>
      <w:marBottom w:val="0"/>
      <w:divBdr>
        <w:top w:val="none" w:sz="0" w:space="0" w:color="auto"/>
        <w:left w:val="none" w:sz="0" w:space="0" w:color="auto"/>
        <w:bottom w:val="none" w:sz="0" w:space="0" w:color="auto"/>
        <w:right w:val="none" w:sz="0" w:space="0" w:color="auto"/>
      </w:divBdr>
    </w:div>
    <w:div w:id="1738086842">
      <w:bodyDiv w:val="1"/>
      <w:marLeft w:val="0"/>
      <w:marRight w:val="0"/>
      <w:marTop w:val="0"/>
      <w:marBottom w:val="0"/>
      <w:divBdr>
        <w:top w:val="none" w:sz="0" w:space="0" w:color="auto"/>
        <w:left w:val="none" w:sz="0" w:space="0" w:color="auto"/>
        <w:bottom w:val="none" w:sz="0" w:space="0" w:color="auto"/>
        <w:right w:val="none" w:sz="0" w:space="0" w:color="auto"/>
      </w:divBdr>
    </w:div>
    <w:div w:id="1752778132">
      <w:bodyDiv w:val="1"/>
      <w:marLeft w:val="0"/>
      <w:marRight w:val="0"/>
      <w:marTop w:val="0"/>
      <w:marBottom w:val="0"/>
      <w:divBdr>
        <w:top w:val="none" w:sz="0" w:space="0" w:color="auto"/>
        <w:left w:val="none" w:sz="0" w:space="0" w:color="auto"/>
        <w:bottom w:val="none" w:sz="0" w:space="0" w:color="auto"/>
        <w:right w:val="none" w:sz="0" w:space="0" w:color="auto"/>
      </w:divBdr>
    </w:div>
    <w:div w:id="1764643200">
      <w:bodyDiv w:val="1"/>
      <w:marLeft w:val="0"/>
      <w:marRight w:val="0"/>
      <w:marTop w:val="0"/>
      <w:marBottom w:val="0"/>
      <w:divBdr>
        <w:top w:val="none" w:sz="0" w:space="0" w:color="auto"/>
        <w:left w:val="none" w:sz="0" w:space="0" w:color="auto"/>
        <w:bottom w:val="none" w:sz="0" w:space="0" w:color="auto"/>
        <w:right w:val="none" w:sz="0" w:space="0" w:color="auto"/>
      </w:divBdr>
    </w:div>
    <w:div w:id="1773814958">
      <w:bodyDiv w:val="1"/>
      <w:marLeft w:val="0"/>
      <w:marRight w:val="0"/>
      <w:marTop w:val="0"/>
      <w:marBottom w:val="0"/>
      <w:divBdr>
        <w:top w:val="none" w:sz="0" w:space="0" w:color="auto"/>
        <w:left w:val="none" w:sz="0" w:space="0" w:color="auto"/>
        <w:bottom w:val="none" w:sz="0" w:space="0" w:color="auto"/>
        <w:right w:val="none" w:sz="0" w:space="0" w:color="auto"/>
      </w:divBdr>
    </w:div>
    <w:div w:id="1779715219">
      <w:bodyDiv w:val="1"/>
      <w:marLeft w:val="0"/>
      <w:marRight w:val="0"/>
      <w:marTop w:val="0"/>
      <w:marBottom w:val="0"/>
      <w:divBdr>
        <w:top w:val="none" w:sz="0" w:space="0" w:color="auto"/>
        <w:left w:val="none" w:sz="0" w:space="0" w:color="auto"/>
        <w:bottom w:val="none" w:sz="0" w:space="0" w:color="auto"/>
        <w:right w:val="none" w:sz="0" w:space="0" w:color="auto"/>
      </w:divBdr>
    </w:div>
    <w:div w:id="1799253838">
      <w:bodyDiv w:val="1"/>
      <w:marLeft w:val="0"/>
      <w:marRight w:val="0"/>
      <w:marTop w:val="0"/>
      <w:marBottom w:val="0"/>
      <w:divBdr>
        <w:top w:val="none" w:sz="0" w:space="0" w:color="auto"/>
        <w:left w:val="none" w:sz="0" w:space="0" w:color="auto"/>
        <w:bottom w:val="none" w:sz="0" w:space="0" w:color="auto"/>
        <w:right w:val="none" w:sz="0" w:space="0" w:color="auto"/>
      </w:divBdr>
      <w:divsChild>
        <w:div w:id="152140655">
          <w:marLeft w:val="0"/>
          <w:marRight w:val="0"/>
          <w:marTop w:val="166"/>
          <w:marBottom w:val="166"/>
          <w:divBdr>
            <w:top w:val="none" w:sz="0" w:space="0" w:color="auto"/>
            <w:left w:val="none" w:sz="0" w:space="0" w:color="auto"/>
            <w:bottom w:val="none" w:sz="0" w:space="0" w:color="auto"/>
            <w:right w:val="none" w:sz="0" w:space="0" w:color="auto"/>
          </w:divBdr>
        </w:div>
        <w:div w:id="990063259">
          <w:marLeft w:val="0"/>
          <w:marRight w:val="0"/>
          <w:marTop w:val="166"/>
          <w:marBottom w:val="166"/>
          <w:divBdr>
            <w:top w:val="none" w:sz="0" w:space="0" w:color="auto"/>
            <w:left w:val="none" w:sz="0" w:space="0" w:color="auto"/>
            <w:bottom w:val="none" w:sz="0" w:space="0" w:color="auto"/>
            <w:right w:val="none" w:sz="0" w:space="0" w:color="auto"/>
          </w:divBdr>
        </w:div>
      </w:divsChild>
    </w:div>
    <w:div w:id="1879972470">
      <w:bodyDiv w:val="1"/>
      <w:marLeft w:val="0"/>
      <w:marRight w:val="0"/>
      <w:marTop w:val="0"/>
      <w:marBottom w:val="0"/>
      <w:divBdr>
        <w:top w:val="none" w:sz="0" w:space="0" w:color="auto"/>
        <w:left w:val="none" w:sz="0" w:space="0" w:color="auto"/>
        <w:bottom w:val="none" w:sz="0" w:space="0" w:color="auto"/>
        <w:right w:val="none" w:sz="0" w:space="0" w:color="auto"/>
      </w:divBdr>
    </w:div>
    <w:div w:id="1951429168">
      <w:bodyDiv w:val="1"/>
      <w:marLeft w:val="0"/>
      <w:marRight w:val="0"/>
      <w:marTop w:val="0"/>
      <w:marBottom w:val="0"/>
      <w:divBdr>
        <w:top w:val="none" w:sz="0" w:space="0" w:color="auto"/>
        <w:left w:val="none" w:sz="0" w:space="0" w:color="auto"/>
        <w:bottom w:val="none" w:sz="0" w:space="0" w:color="auto"/>
        <w:right w:val="none" w:sz="0" w:space="0" w:color="auto"/>
      </w:divBdr>
    </w:div>
    <w:div w:id="1966038289">
      <w:bodyDiv w:val="1"/>
      <w:marLeft w:val="0"/>
      <w:marRight w:val="0"/>
      <w:marTop w:val="0"/>
      <w:marBottom w:val="0"/>
      <w:divBdr>
        <w:top w:val="none" w:sz="0" w:space="0" w:color="auto"/>
        <w:left w:val="none" w:sz="0" w:space="0" w:color="auto"/>
        <w:bottom w:val="none" w:sz="0" w:space="0" w:color="auto"/>
        <w:right w:val="none" w:sz="0" w:space="0" w:color="auto"/>
      </w:divBdr>
    </w:div>
    <w:div w:id="2020573028">
      <w:bodyDiv w:val="1"/>
      <w:marLeft w:val="0"/>
      <w:marRight w:val="0"/>
      <w:marTop w:val="0"/>
      <w:marBottom w:val="0"/>
      <w:divBdr>
        <w:top w:val="none" w:sz="0" w:space="0" w:color="auto"/>
        <w:left w:val="none" w:sz="0" w:space="0" w:color="auto"/>
        <w:bottom w:val="none" w:sz="0" w:space="0" w:color="auto"/>
        <w:right w:val="none" w:sz="0" w:space="0" w:color="auto"/>
      </w:divBdr>
    </w:div>
    <w:div w:id="2043049168">
      <w:bodyDiv w:val="1"/>
      <w:marLeft w:val="0"/>
      <w:marRight w:val="0"/>
      <w:marTop w:val="0"/>
      <w:marBottom w:val="0"/>
      <w:divBdr>
        <w:top w:val="none" w:sz="0" w:space="0" w:color="auto"/>
        <w:left w:val="none" w:sz="0" w:space="0" w:color="auto"/>
        <w:bottom w:val="none" w:sz="0" w:space="0" w:color="auto"/>
        <w:right w:val="none" w:sz="0" w:space="0" w:color="auto"/>
      </w:divBdr>
    </w:div>
    <w:div w:id="2067487148">
      <w:bodyDiv w:val="1"/>
      <w:marLeft w:val="0"/>
      <w:marRight w:val="0"/>
      <w:marTop w:val="0"/>
      <w:marBottom w:val="0"/>
      <w:divBdr>
        <w:top w:val="none" w:sz="0" w:space="0" w:color="auto"/>
        <w:left w:val="none" w:sz="0" w:space="0" w:color="auto"/>
        <w:bottom w:val="none" w:sz="0" w:space="0" w:color="auto"/>
        <w:right w:val="none" w:sz="0" w:space="0" w:color="auto"/>
      </w:divBdr>
      <w:divsChild>
        <w:div w:id="273440342">
          <w:marLeft w:val="0"/>
          <w:marRight w:val="0"/>
          <w:marTop w:val="0"/>
          <w:marBottom w:val="0"/>
          <w:divBdr>
            <w:top w:val="none" w:sz="0" w:space="0" w:color="auto"/>
            <w:left w:val="none" w:sz="0" w:space="0" w:color="auto"/>
            <w:bottom w:val="none" w:sz="0" w:space="0" w:color="auto"/>
            <w:right w:val="none" w:sz="0" w:space="0" w:color="auto"/>
          </w:divBdr>
          <w:divsChild>
            <w:div w:id="745033594">
              <w:marLeft w:val="0"/>
              <w:marRight w:val="0"/>
              <w:marTop w:val="0"/>
              <w:marBottom w:val="0"/>
              <w:divBdr>
                <w:top w:val="none" w:sz="0" w:space="0" w:color="auto"/>
                <w:left w:val="none" w:sz="0" w:space="0" w:color="auto"/>
                <w:bottom w:val="none" w:sz="0" w:space="0" w:color="auto"/>
                <w:right w:val="none" w:sz="0" w:space="0" w:color="auto"/>
              </w:divBdr>
              <w:divsChild>
                <w:div w:id="670183262">
                  <w:marLeft w:val="0"/>
                  <w:marRight w:val="0"/>
                  <w:marTop w:val="0"/>
                  <w:marBottom w:val="0"/>
                  <w:divBdr>
                    <w:top w:val="none" w:sz="0" w:space="0" w:color="auto"/>
                    <w:left w:val="none" w:sz="0" w:space="0" w:color="auto"/>
                    <w:bottom w:val="none" w:sz="0" w:space="0" w:color="auto"/>
                    <w:right w:val="none" w:sz="0" w:space="0" w:color="auto"/>
                  </w:divBdr>
                  <w:divsChild>
                    <w:div w:id="1362363343">
                      <w:marLeft w:val="0"/>
                      <w:marRight w:val="0"/>
                      <w:marTop w:val="0"/>
                      <w:marBottom w:val="0"/>
                      <w:divBdr>
                        <w:top w:val="none" w:sz="0" w:space="0" w:color="auto"/>
                        <w:left w:val="none" w:sz="0" w:space="0" w:color="auto"/>
                        <w:bottom w:val="none" w:sz="0" w:space="0" w:color="auto"/>
                        <w:right w:val="none" w:sz="0" w:space="0" w:color="auto"/>
                      </w:divBdr>
                      <w:divsChild>
                        <w:div w:id="1085760418">
                          <w:marLeft w:val="0"/>
                          <w:marRight w:val="0"/>
                          <w:marTop w:val="0"/>
                          <w:marBottom w:val="0"/>
                          <w:divBdr>
                            <w:top w:val="none" w:sz="0" w:space="0" w:color="auto"/>
                            <w:left w:val="none" w:sz="0" w:space="0" w:color="auto"/>
                            <w:bottom w:val="none" w:sz="0" w:space="0" w:color="auto"/>
                            <w:right w:val="none" w:sz="0" w:space="0" w:color="auto"/>
                          </w:divBdr>
                          <w:divsChild>
                            <w:div w:id="1826241068">
                              <w:marLeft w:val="0"/>
                              <w:marRight w:val="300"/>
                              <w:marTop w:val="180"/>
                              <w:marBottom w:val="0"/>
                              <w:divBdr>
                                <w:top w:val="none" w:sz="0" w:space="0" w:color="auto"/>
                                <w:left w:val="none" w:sz="0" w:space="0" w:color="auto"/>
                                <w:bottom w:val="none" w:sz="0" w:space="0" w:color="auto"/>
                                <w:right w:val="none" w:sz="0" w:space="0" w:color="auto"/>
                              </w:divBdr>
                              <w:divsChild>
                                <w:div w:id="134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179922">
          <w:marLeft w:val="0"/>
          <w:marRight w:val="0"/>
          <w:marTop w:val="0"/>
          <w:marBottom w:val="0"/>
          <w:divBdr>
            <w:top w:val="none" w:sz="0" w:space="0" w:color="auto"/>
            <w:left w:val="none" w:sz="0" w:space="0" w:color="auto"/>
            <w:bottom w:val="none" w:sz="0" w:space="0" w:color="auto"/>
            <w:right w:val="none" w:sz="0" w:space="0" w:color="auto"/>
          </w:divBdr>
          <w:divsChild>
            <w:div w:id="1850946669">
              <w:marLeft w:val="0"/>
              <w:marRight w:val="0"/>
              <w:marTop w:val="0"/>
              <w:marBottom w:val="0"/>
              <w:divBdr>
                <w:top w:val="none" w:sz="0" w:space="0" w:color="auto"/>
                <w:left w:val="none" w:sz="0" w:space="0" w:color="auto"/>
                <w:bottom w:val="none" w:sz="0" w:space="0" w:color="auto"/>
                <w:right w:val="none" w:sz="0" w:space="0" w:color="auto"/>
              </w:divBdr>
              <w:divsChild>
                <w:div w:id="38169620">
                  <w:marLeft w:val="0"/>
                  <w:marRight w:val="0"/>
                  <w:marTop w:val="0"/>
                  <w:marBottom w:val="0"/>
                  <w:divBdr>
                    <w:top w:val="none" w:sz="0" w:space="0" w:color="auto"/>
                    <w:left w:val="none" w:sz="0" w:space="0" w:color="auto"/>
                    <w:bottom w:val="none" w:sz="0" w:space="0" w:color="auto"/>
                    <w:right w:val="none" w:sz="0" w:space="0" w:color="auto"/>
                  </w:divBdr>
                  <w:divsChild>
                    <w:div w:id="825586536">
                      <w:marLeft w:val="0"/>
                      <w:marRight w:val="0"/>
                      <w:marTop w:val="0"/>
                      <w:marBottom w:val="0"/>
                      <w:divBdr>
                        <w:top w:val="none" w:sz="0" w:space="0" w:color="auto"/>
                        <w:left w:val="none" w:sz="0" w:space="0" w:color="auto"/>
                        <w:bottom w:val="none" w:sz="0" w:space="0" w:color="auto"/>
                        <w:right w:val="none" w:sz="0" w:space="0" w:color="auto"/>
                      </w:divBdr>
                      <w:divsChild>
                        <w:div w:id="8214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863152">
      <w:bodyDiv w:val="1"/>
      <w:marLeft w:val="0"/>
      <w:marRight w:val="0"/>
      <w:marTop w:val="0"/>
      <w:marBottom w:val="0"/>
      <w:divBdr>
        <w:top w:val="none" w:sz="0" w:space="0" w:color="auto"/>
        <w:left w:val="none" w:sz="0" w:space="0" w:color="auto"/>
        <w:bottom w:val="none" w:sz="0" w:space="0" w:color="auto"/>
        <w:right w:val="none" w:sz="0" w:space="0" w:color="auto"/>
      </w:divBdr>
    </w:div>
    <w:div w:id="2087801129">
      <w:bodyDiv w:val="1"/>
      <w:marLeft w:val="0"/>
      <w:marRight w:val="0"/>
      <w:marTop w:val="0"/>
      <w:marBottom w:val="0"/>
      <w:divBdr>
        <w:top w:val="none" w:sz="0" w:space="0" w:color="auto"/>
        <w:left w:val="none" w:sz="0" w:space="0" w:color="auto"/>
        <w:bottom w:val="none" w:sz="0" w:space="0" w:color="auto"/>
        <w:right w:val="none" w:sz="0" w:space="0" w:color="auto"/>
      </w:divBdr>
    </w:div>
    <w:div w:id="2107186315">
      <w:bodyDiv w:val="1"/>
      <w:marLeft w:val="0"/>
      <w:marRight w:val="0"/>
      <w:marTop w:val="0"/>
      <w:marBottom w:val="0"/>
      <w:divBdr>
        <w:top w:val="none" w:sz="0" w:space="0" w:color="auto"/>
        <w:left w:val="none" w:sz="0" w:space="0" w:color="auto"/>
        <w:bottom w:val="none" w:sz="0" w:space="0" w:color="auto"/>
        <w:right w:val="none" w:sz="0" w:space="0" w:color="auto"/>
      </w:divBdr>
    </w:div>
    <w:div w:id="211092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vestors.biogen.com/static-files/7d40149f-af6a-4bcb-8bd0-97b18ff2d9f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e.es/dyngs/INEbase/es/operacion.htm?c=Estadistica_C&amp;cid=1254736177007&amp;menu=ultiDatos&amp;idp=1254735573002" TargetMode="External"/><Relationship Id="rId23" Type="http://schemas.openxmlformats.org/officeDocument/2006/relationships/hyperlink" Target="https://www.marketscreener.com/quote/stock/BIOGEN-INC-4853/news/Biogen-Q2-2020-Biogen-Earnings-Presentation-30968809/" TargetMode="External"/><Relationship Id="rId10" Type="http://schemas.openxmlformats.org/officeDocument/2006/relationships/image" Target="media/image3.png"/><Relationship Id="rId19" Type="http://schemas.openxmlformats.org/officeDocument/2006/relationships/image" Target="media/image10.emf"/><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e.es/dyngs/INEbase/es/operacion.htm?c=Estadistica_C&amp;cid=1254736177007&amp;menu=ultiDatos&amp;idp=1254735573002" TargetMode="External"/><Relationship Id="rId22" Type="http://schemas.openxmlformats.org/officeDocument/2006/relationships/hyperlink" Target="https://doi.org/10.1016/j.jval.2020.08.1333" TargetMode="External"/><Relationship Id="rId30" Type="http://schemas.microsoft.com/office/2018/08/relationships/commentsExtensible" Target="commentsExtensible.xml"/></Relationships>
</file>

<file path=word/_rels/endnotes.xml.rels><?xml version="1.0" encoding="UTF-8" standalone="yes"?>
<Relationships xmlns="http://schemas.openxmlformats.org/package/2006/relationships"><Relationship Id="rId13" Type="http://schemas.openxmlformats.org/officeDocument/2006/relationships/hyperlink" Target="http://fernandolamata.blogspot.com/2019/06/el-caso-de-zolgensma-el-medicamento-con.html?m=1" TargetMode="External"/><Relationship Id="rId18" Type="http://schemas.openxmlformats.org/officeDocument/2006/relationships/hyperlink" Target="https://www.ncbi.nlm.nih.gov/pmc/articles/PMC6327525/pdf/13023_2018_Article_990.pdf" TargetMode="External"/><Relationship Id="rId26" Type="http://schemas.openxmlformats.org/officeDocument/2006/relationships/hyperlink" Target="https://www.novartis.com/sites/www.novartis.com/files/q3-2020-investor-presentation.pdf" TargetMode="External"/><Relationship Id="rId39" Type="http://schemas.openxmlformats.org/officeDocument/2006/relationships/hyperlink" Target="https://icer-review.org/wp-content/uploads/2018/07/ICER_SMA_Final_Evidence_Report_110220.pdf" TargetMode="External"/><Relationship Id="rId21" Type="http://schemas.openxmlformats.org/officeDocument/2006/relationships/hyperlink" Target="http://phrma-docs.phrma.org/sites/default/files/pdf/biopharmaceutical-industry-sponsored-clinical-trials-impact-on-state-economies.pdf" TargetMode="External"/><Relationship Id="rId34" Type="http://schemas.openxmlformats.org/officeDocument/2006/relationships/hyperlink" Target="https://www.biopharmadive.com/news/zolgensma-novartis-drug-launch-dive-awards/566260/" TargetMode="External"/><Relationship Id="rId42" Type="http://schemas.openxmlformats.org/officeDocument/2006/relationships/hyperlink" Target="https://fortune.com/2020/02/07/zolgensma-high-drug-prices/" TargetMode="External"/><Relationship Id="rId7" Type="http://schemas.openxmlformats.org/officeDocument/2006/relationships/hyperlink" Target="https://www.sma-europe.eu/?s=onasemnogene+abeparvovec" TargetMode="External"/><Relationship Id="rId2" Type="http://schemas.openxmlformats.org/officeDocument/2006/relationships/hyperlink" Target="https://www.aemps.gob.es/medicamentosUsoHumano/informesPublicos/docs/IPT-nusinersen-Spinraza-atrofia-muscular-espinal.pdf" TargetMode="External"/><Relationship Id="rId16" Type="http://schemas.openxmlformats.org/officeDocument/2006/relationships/hyperlink" Target="https://www.researchgate.net/profile/Lazaros_Andronis/publication/341546301_Will_the_US5_million_onasemnogene_abeparvosec_treatment_for_spinal_muscular_atrophy_represent_'value_for_money'_for_the_NHS_A_rapid_inquiry_into_suggestions_that_it_may_be_cost-effective/links/5ef455bc299bf15a2ea096da/Will-the-US5-million-onasemnogene-abeparvosec-treatment-for-spinal-muscular-atrophy-represent-value-for-money-for-the-NHS-A-rapid-inquiry-into-suggestions-that-it-may-be-cost-effective.pdf" TargetMode="External"/><Relationship Id="rId20" Type="http://schemas.openxmlformats.org/officeDocument/2006/relationships/hyperlink" Target="https://www.alternativesante.fr/genes/une-decouverte-francaise-vendue-des-milliards-par-des-americains" TargetMode="External"/><Relationship Id="rId29" Type="http://schemas.openxmlformats.org/officeDocument/2006/relationships/hyperlink" Target="https://www.globaldata.com/novartis-zolgensma-expected-to-generate-global-sales-of-2-5bn-by-2025-with-new-data-set-to-bolster-the-drugs-uptake-says-globaldata/" TargetMode="External"/><Relationship Id="rId41" Type="http://schemas.openxmlformats.org/officeDocument/2006/relationships/hyperlink" Target="https://fortune.com/2020/02/07/zolgensma-high-drug-prices/" TargetMode="External"/><Relationship Id="rId1" Type="http://schemas.openxmlformats.org/officeDocument/2006/relationships/hyperlink" Target="https://www.ema.europa.eu/en/documents/assessment-report/zolgensma-epar-public-assessment-report_en.pdf" TargetMode="External"/><Relationship Id="rId6" Type="http://schemas.openxmlformats.org/officeDocument/2006/relationships/hyperlink" Target="https://clinicaltrials.gov/ct2/bye/rQoPWwoRrXS9-i-wudNgpQDxudhWudNzlXNiZip9Ei7ym67VZR0wxRF5EgC5A6h9Ei4L3BUgWwNG0it." TargetMode="External"/><Relationship Id="rId11" Type="http://schemas.openxmlformats.org/officeDocument/2006/relationships/hyperlink" Target="https://www.pharmaceutical-technology.com/features/zolgensma-regenxbio-novartis/" TargetMode="External"/><Relationship Id="rId24" Type="http://schemas.openxmlformats.org/officeDocument/2006/relationships/hyperlink" Target="https://endpts.com/news-briefing-novartis-zolgensma-hits-blockbuster-status-triggering-80m-milestone-caris-raises-310m-for-genomic-profiling-expansion/" TargetMode="External"/><Relationship Id="rId32" Type="http://schemas.openxmlformats.org/officeDocument/2006/relationships/hyperlink" Target="https://store.globaldata.com/report/gdhc096poa--spinal-muscular-atrophy-sma-opportunity-analysis-and-forecasts-to-2028/" TargetMode="External"/><Relationship Id="rId37" Type="http://schemas.openxmlformats.org/officeDocument/2006/relationships/hyperlink" Target="https://www.fiercepharma.com/pharma/novartis-gene-therapies-president-talks-zolgensma-competition-path-forward-for-new" TargetMode="External"/><Relationship Id="rId40" Type="http://schemas.openxmlformats.org/officeDocument/2006/relationships/hyperlink" Target="https://icer-review.org/announcements/sma_evidence_report/" TargetMode="External"/><Relationship Id="rId5" Type="http://schemas.openxmlformats.org/officeDocument/2006/relationships/hyperlink" Target="https://www.fda.gov/vaccines-blood-biologics/zolgensma" TargetMode="External"/><Relationship Id="rId15" Type="http://schemas.openxmlformats.org/officeDocument/2006/relationships/hyperlink" Target="https://www.keionline.org/charity-nih-funding-related-to-zolgensma" TargetMode="External"/><Relationship Id="rId23" Type="http://schemas.openxmlformats.org/officeDocument/2006/relationships/hyperlink" Target="https://www.ncbi.nlm.nih.gov/pmc/articles/PMC7295430/" TargetMode="External"/><Relationship Id="rId28" Type="http://schemas.openxmlformats.org/officeDocument/2006/relationships/hyperlink" Target="https://www.europeanpharmaceuticalreview.com/news/116064/study-suggests-zolgensma-will-generate-2-5bn-of-global-sales-by-2025/" TargetMode="External"/><Relationship Id="rId36" Type="http://schemas.openxmlformats.org/officeDocument/2006/relationships/hyperlink" Target="https://investors.biogen.com/news-releases/news-release-details/biogen-plans-initiate-phase-4-study-evaluating-benefit-spinrazar" TargetMode="External"/><Relationship Id="rId10" Type="http://schemas.openxmlformats.org/officeDocument/2006/relationships/hyperlink" Target="https://bioprocessintl.com/bioprocess-insider/therapeutic-class/zolgensma-we-all-know-the-price-but-how-is-it-made/" TargetMode="External"/><Relationship Id="rId19" Type="http://schemas.openxmlformats.org/officeDocument/2006/relationships/hyperlink" Target="https://resource-allocation.biomedcentral.com/articles/10.1186/s12962-020-00223-x" TargetMode="External"/><Relationship Id="rId31" Type="http://schemas.openxmlformats.org/officeDocument/2006/relationships/hyperlink" Target="https://www.globaldata.com/zolgensmas-reimbursement-challenges-are-expected-to-be-overcome-says-globaldata/" TargetMode="External"/><Relationship Id="rId44" Type="http://schemas.openxmlformats.org/officeDocument/2006/relationships/hyperlink" Target="http://gruposdetrabajo.sefh.es/genesis" TargetMode="External"/><Relationship Id="rId4" Type="http://schemas.openxmlformats.org/officeDocument/2006/relationships/hyperlink" Target="https://www.ema.europa.eu/en/medicines/human/EPAR/spinraza" TargetMode="External"/><Relationship Id="rId9" Type="http://schemas.openxmlformats.org/officeDocument/2006/relationships/hyperlink" Target="https://doi.org/10.1016/j.ejpn.2020.07.001" TargetMode="External"/><Relationship Id="rId14" Type="http://schemas.openxmlformats.org/officeDocument/2006/relationships/hyperlink" Target="https://www.novartis.com/news/media-releases/novartis-enters-agreement-acquire-avexis-inc-usd-87-bn-transform-care-sma-and-expand-position-gene-therapy-and-neuroscience-leader" TargetMode="External"/><Relationship Id="rId22" Type="http://schemas.openxmlformats.org/officeDocument/2006/relationships/hyperlink" Target="https://www.sofpromed.com/how-much-does-a-clinical-trial-cost/" TargetMode="External"/><Relationship Id="rId27" Type="http://schemas.openxmlformats.org/officeDocument/2006/relationships/hyperlink" Target="https://www.biospace.com/article/releases/regenxbio-to-receive-80-0-million-milestone-payment-from-novartis-ag/" TargetMode="External"/><Relationship Id="rId30" Type="http://schemas.openxmlformats.org/officeDocument/2006/relationships/hyperlink" Target="https://www.globaldata.com/manipulated-zolgensma-data-may-add-to-further-woes-for-novartis/" TargetMode="External"/><Relationship Id="rId35" Type="http://schemas.openxmlformats.org/officeDocument/2006/relationships/hyperlink" Target="https://www.biopharmadive.com/news/biogen-to-study-use-of-key-sma-drug-after-novartis-gene-therapy/581996/" TargetMode="External"/><Relationship Id="rId43" Type="http://schemas.openxmlformats.org/officeDocument/2006/relationships/hyperlink" Target="https://www.healthaffairs.org/do/10.1377/hblog20190617.50453/full/" TargetMode="External"/><Relationship Id="rId8" Type="http://schemas.openxmlformats.org/officeDocument/2006/relationships/hyperlink" Target="https://icer-review.org/material/sma-final-evidence-report/" TargetMode="External"/><Relationship Id="rId3" Type="http://schemas.openxmlformats.org/officeDocument/2006/relationships/hyperlink" Target="http://www.fundame.net/sobre-ame/que-es-la-ame.html" TargetMode="External"/><Relationship Id="rId12" Type="http://schemas.openxmlformats.org/officeDocument/2006/relationships/hyperlink" Target="https://www.biopharmadive.com/news/zolgensma-manufacturing-durham-novartis/572731/" TargetMode="External"/><Relationship Id="rId17" Type="http://schemas.openxmlformats.org/officeDocument/2006/relationships/hyperlink" Target="http://shaarli.guiguishow.info/?-sGUjA" TargetMode="External"/><Relationship Id="rId25" Type="http://schemas.openxmlformats.org/officeDocument/2006/relationships/hyperlink" Target="https://seekingalpha.com/news/3626180-novartis-delivers-strong-q3-performance-from-key-growth-drivers-entresto-salesplus-47" TargetMode="External"/><Relationship Id="rId33" Type="http://schemas.openxmlformats.org/officeDocument/2006/relationships/hyperlink" Target="https://www.globaldata.com/novartis-intrathecal-zolgensma-delay-older-patients-bodes-well-competitors/" TargetMode="External"/><Relationship Id="rId38" Type="http://schemas.openxmlformats.org/officeDocument/2006/relationships/hyperlink" Target="https://www.healthaffairs.org/do/10.1377/hblog20190617.50453/ful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ovartis.com/news/media-releases/zolgensma-data-including-patients-more-severe-sma-baseline-further-demonstrate-therapeutic-benefit-including-prolonged-event-free-survival-increased-motor" TargetMode="External"/><Relationship Id="rId2" Type="http://schemas.openxmlformats.org/officeDocument/2006/relationships/hyperlink" Target="http://gruposdetrabajo.sefh.es/genesis" TargetMode="External"/><Relationship Id="rId1" Type="http://schemas.openxmlformats.org/officeDocument/2006/relationships/hyperlink" Target="http://gruposdetrabajo.sefh.es/genesis/genesis/basesmetodologicas/programamadre/index.html" TargetMode="External"/><Relationship Id="rId4" Type="http://schemas.openxmlformats.org/officeDocument/2006/relationships/hyperlink" Target="https://www.progressnp.com/news/progress-for-treatments-of-rare-disor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9772B-1461-4B08-B5CB-9FB7DB552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65</Pages>
  <Words>33097</Words>
  <Characters>182038</Characters>
  <Application>Microsoft Office Word</Application>
  <DocSecurity>0</DocSecurity>
  <Lines>1516</Lines>
  <Paragraphs>429</Paragraphs>
  <ScaleCrop>false</ScaleCrop>
  <HeadingPairs>
    <vt:vector size="2" baseType="variant">
      <vt:variant>
        <vt:lpstr>Título</vt:lpstr>
      </vt:variant>
      <vt:variant>
        <vt:i4>1</vt:i4>
      </vt:variant>
    </vt:vector>
  </HeadingPairs>
  <TitlesOfParts>
    <vt:vector size="1" baseType="lpstr">
      <vt:lpstr>NOMBRE DEL FÁRMACO</vt:lpstr>
    </vt:vector>
  </TitlesOfParts>
  <Company>FPL</Company>
  <LinksUpToDate>false</LinksUpToDate>
  <CharactersWithSpaces>214706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FÁRMACO</dc:title>
  <dc:creator>usuario</dc:creator>
  <cp:lastModifiedBy>luciavelascoroces@outlook.es</cp:lastModifiedBy>
  <cp:revision>7</cp:revision>
  <cp:lastPrinted>2021-01-05T08:57:00Z</cp:lastPrinted>
  <dcterms:created xsi:type="dcterms:W3CDTF">2021-02-25T21:30:00Z</dcterms:created>
  <dcterms:modified xsi:type="dcterms:W3CDTF">2021-02-25T21:48:00Z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5f89261e-5bb3-38c1-a7ff-ab0018296728</vt:lpwstr>
  </property>
  <property fmtid="{D5CDD505-2E9C-101B-9397-08002B2CF9AE}" pid="24" name="Mendeley Citation Style_1">
    <vt:lpwstr>http://www.zotero.org/styles/vancouver-superscript</vt:lpwstr>
  </property>
  <property fmtid="{D5CDD505-2E9C-101B-9397-08002B2CF9AE}" pid="25" name="KSOProductBuildVer">
    <vt:lpwstr>1033-10.2.0.5838</vt:lpwstr>
  </property>
</Properties>
</file>