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35C7A" w14:textId="77777777" w:rsidR="00BC3E8E" w:rsidRPr="006F6ABB" w:rsidRDefault="00BC3E8E" w:rsidP="00BC3E8E">
      <w:pPr>
        <w:pStyle w:val="Ttulo4"/>
        <w:rPr>
          <w:bCs w:val="0"/>
          <w:color w:val="0000FF"/>
          <w:sz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20173DC5" w14:textId="77777777" w:rsidTr="00BC3E8E">
        <w:tc>
          <w:tcPr>
            <w:tcW w:w="8890" w:type="dxa"/>
            <w:shd w:val="clear" w:color="auto" w:fill="FFCC99"/>
          </w:tcPr>
          <w:p w14:paraId="456F865E" w14:textId="77777777" w:rsidR="00BC3E8E" w:rsidRPr="006F6ABB" w:rsidRDefault="00BC3E8E" w:rsidP="00BC3E8E">
            <w:pPr>
              <w:rPr>
                <w:rFonts w:ascii="Arial" w:hAnsi="Arial" w:cs="Arial"/>
                <w:b/>
                <w:bCs/>
                <w:sz w:val="40"/>
              </w:rPr>
            </w:pPr>
          </w:p>
          <w:p w14:paraId="62829A04" w14:textId="371911FF" w:rsidR="00BC3E8E" w:rsidRPr="006F6ABB" w:rsidRDefault="00451511" w:rsidP="00BC3E8E">
            <w:pPr>
              <w:jc w:val="center"/>
              <w:rPr>
                <w:rFonts w:ascii="Arial" w:hAnsi="Arial" w:cs="Arial"/>
                <w:b/>
                <w:bCs/>
                <w:sz w:val="40"/>
              </w:rPr>
            </w:pPr>
            <w:r>
              <w:rPr>
                <w:rFonts w:ascii="Arial" w:hAnsi="Arial" w:cs="Arial"/>
                <w:b/>
                <w:bCs/>
                <w:sz w:val="40"/>
              </w:rPr>
              <w:t xml:space="preserve">Niraparib/abiraterona para el tratamiento de </w:t>
            </w:r>
            <w:r w:rsidRPr="00451511">
              <w:rPr>
                <w:rFonts w:ascii="Arial" w:hAnsi="Arial" w:cs="Arial"/>
                <w:b/>
                <w:bCs/>
                <w:sz w:val="40"/>
              </w:rPr>
              <w:t xml:space="preserve">cáncer de próstata metastásico resistente a la </w:t>
            </w:r>
            <w:r w:rsidR="009972AC" w:rsidRPr="00451511">
              <w:rPr>
                <w:rFonts w:ascii="Arial" w:hAnsi="Arial" w:cs="Arial"/>
                <w:b/>
                <w:bCs/>
                <w:sz w:val="40"/>
              </w:rPr>
              <w:t>castración</w:t>
            </w:r>
            <w:r w:rsidR="009972AC">
              <w:rPr>
                <w:rFonts w:ascii="Arial" w:hAnsi="Arial" w:cs="Arial"/>
                <w:b/>
                <w:bCs/>
                <w:sz w:val="40"/>
              </w:rPr>
              <w:t xml:space="preserve"> </w:t>
            </w:r>
            <w:r w:rsidR="009972AC" w:rsidRPr="00451511">
              <w:rPr>
                <w:rFonts w:ascii="Arial" w:hAnsi="Arial" w:cs="Arial"/>
                <w:b/>
                <w:bCs/>
                <w:sz w:val="40"/>
              </w:rPr>
              <w:t>con</w:t>
            </w:r>
            <w:r w:rsidRPr="00451511">
              <w:rPr>
                <w:rFonts w:ascii="Arial" w:hAnsi="Arial" w:cs="Arial"/>
                <w:b/>
                <w:bCs/>
                <w:sz w:val="40"/>
              </w:rPr>
              <w:t xml:space="preserve"> mutación BRCA 1/BRCA 2 </w:t>
            </w:r>
          </w:p>
          <w:p w14:paraId="475B6B70" w14:textId="4D5BC198" w:rsidR="00451511" w:rsidRDefault="00451511" w:rsidP="00451511">
            <w:pPr>
              <w:ind w:hanging="2"/>
              <w:jc w:val="center"/>
              <w:rPr>
                <w:rFonts w:ascii="Arial" w:eastAsia="Arial" w:hAnsi="Arial" w:cs="Arial"/>
                <w:sz w:val="22"/>
                <w:szCs w:val="22"/>
              </w:rPr>
            </w:pPr>
            <w:r>
              <w:rPr>
                <w:rFonts w:ascii="Arial" w:eastAsia="Arial" w:hAnsi="Arial" w:cs="Arial"/>
                <w:sz w:val="22"/>
                <w:szCs w:val="22"/>
              </w:rPr>
              <w:t>Informe para el grupo GENESIS elaborado según el método y procedimientos de evaluación compartida establecidos por este grupo de trabajo de la SEFH</w:t>
            </w:r>
          </w:p>
          <w:p w14:paraId="39FBF01D" w14:textId="77777777" w:rsidR="00611A4C" w:rsidRDefault="00611A4C" w:rsidP="00451511">
            <w:pPr>
              <w:ind w:hanging="2"/>
              <w:jc w:val="center"/>
              <w:rPr>
                <w:rFonts w:ascii="Arial" w:eastAsia="Arial" w:hAnsi="Arial" w:cs="Arial"/>
                <w:sz w:val="22"/>
                <w:szCs w:val="22"/>
              </w:rPr>
            </w:pPr>
          </w:p>
          <w:p w14:paraId="541EBD9B" w14:textId="5A70C253" w:rsidR="00611A4C" w:rsidRPr="001351E1" w:rsidRDefault="00611A4C" w:rsidP="00451511">
            <w:pPr>
              <w:ind w:hanging="2"/>
              <w:jc w:val="center"/>
              <w:rPr>
                <w:rFonts w:ascii="Arial" w:eastAsia="Arial" w:hAnsi="Arial" w:cs="Arial"/>
                <w:b/>
                <w:sz w:val="32"/>
                <w:szCs w:val="32"/>
              </w:rPr>
            </w:pPr>
            <w:r w:rsidRPr="001351E1">
              <w:rPr>
                <w:rFonts w:ascii="Arial" w:eastAsia="Arial" w:hAnsi="Arial" w:cs="Arial"/>
                <w:b/>
                <w:sz w:val="32"/>
                <w:szCs w:val="32"/>
              </w:rPr>
              <w:t>BORRADOR</w:t>
            </w:r>
          </w:p>
          <w:p w14:paraId="32DBD23B" w14:textId="64012D00" w:rsidR="001351E1" w:rsidRPr="001351E1" w:rsidRDefault="001351E1" w:rsidP="00451511">
            <w:pPr>
              <w:ind w:hanging="2"/>
              <w:jc w:val="center"/>
              <w:rPr>
                <w:rFonts w:ascii="Arial" w:eastAsia="Arial" w:hAnsi="Arial" w:cs="Arial"/>
                <w:b/>
                <w:sz w:val="32"/>
                <w:szCs w:val="32"/>
              </w:rPr>
            </w:pPr>
            <w:r w:rsidRPr="001351E1">
              <w:rPr>
                <w:rFonts w:ascii="Arial" w:eastAsia="Arial" w:hAnsi="Arial" w:cs="Arial"/>
                <w:b/>
                <w:sz w:val="32"/>
                <w:szCs w:val="32"/>
              </w:rPr>
              <w:t>PARA ALEGACIONES</w:t>
            </w:r>
          </w:p>
          <w:p w14:paraId="19357551" w14:textId="77777777" w:rsidR="00451511" w:rsidRDefault="00451511" w:rsidP="00451511">
            <w:pPr>
              <w:ind w:hanging="2"/>
              <w:rPr>
                <w:rFonts w:ascii="Arial" w:eastAsia="Arial" w:hAnsi="Arial" w:cs="Arial"/>
              </w:rPr>
            </w:pPr>
          </w:p>
          <w:p w14:paraId="32E25ECC" w14:textId="77777777" w:rsidR="00451511" w:rsidRDefault="00451511" w:rsidP="00451511">
            <w:pPr>
              <w:ind w:hanging="2"/>
              <w:jc w:val="center"/>
              <w:rPr>
                <w:rFonts w:ascii="Arial" w:eastAsia="Arial" w:hAnsi="Arial" w:cs="Arial"/>
                <w:sz w:val="22"/>
                <w:szCs w:val="22"/>
              </w:rPr>
            </w:pPr>
            <w:r>
              <w:rPr>
                <w:rFonts w:ascii="Arial" w:eastAsia="Arial" w:hAnsi="Arial" w:cs="Arial"/>
                <w:sz w:val="22"/>
                <w:szCs w:val="22"/>
              </w:rPr>
              <w:t>Fecha redacción julio 2023</w:t>
            </w:r>
            <w:bookmarkStart w:id="0" w:name="_GoBack"/>
            <w:bookmarkEnd w:id="0"/>
          </w:p>
          <w:p w14:paraId="315B7EB1" w14:textId="77777777" w:rsidR="00451511" w:rsidRDefault="00451511" w:rsidP="00451511">
            <w:pPr>
              <w:ind w:hanging="2"/>
              <w:jc w:val="center"/>
              <w:rPr>
                <w:rFonts w:ascii="Arial" w:eastAsia="Arial" w:hAnsi="Arial" w:cs="Arial"/>
                <w:sz w:val="22"/>
                <w:szCs w:val="22"/>
              </w:rPr>
            </w:pPr>
            <w:r>
              <w:rPr>
                <w:rFonts w:ascii="Arial" w:eastAsia="Arial" w:hAnsi="Arial" w:cs="Arial"/>
                <w:sz w:val="22"/>
                <w:szCs w:val="22"/>
              </w:rPr>
              <w:t xml:space="preserve">Fecha fin de alegaciones </w:t>
            </w:r>
          </w:p>
          <w:p w14:paraId="1E182A30" w14:textId="77777777" w:rsidR="00BC3E8E" w:rsidRPr="006F6ABB" w:rsidRDefault="00BC3E8E" w:rsidP="00BC3E8E">
            <w:pPr>
              <w:rPr>
                <w:rFonts w:ascii="Arial" w:hAnsi="Arial" w:cs="Arial"/>
                <w:color w:val="0000FF"/>
              </w:rPr>
            </w:pPr>
          </w:p>
        </w:tc>
      </w:tr>
    </w:tbl>
    <w:p w14:paraId="36A9693C" w14:textId="77777777" w:rsidR="00BC3E8E" w:rsidRDefault="00BC3E8E" w:rsidP="00BC3E8E">
      <w:pPr>
        <w:rPr>
          <w:rFonts w:ascii="Arial" w:hAnsi="Arial" w:cs="Arial"/>
          <w:color w:val="0000FF"/>
          <w:u w:val="single"/>
        </w:rPr>
      </w:pPr>
    </w:p>
    <w:p w14:paraId="1C370541" w14:textId="77777777" w:rsidR="00D1499E" w:rsidRPr="00811E88" w:rsidRDefault="00BC3E8E" w:rsidP="00BC3E8E">
      <w:pPr>
        <w:rPr>
          <w:rFonts w:ascii="Arial" w:hAnsi="Arial" w:cs="Arial"/>
          <w:b/>
          <w:bCs/>
          <w:sz w:val="20"/>
          <w:szCs w:val="20"/>
        </w:rPr>
      </w:pPr>
      <w:r w:rsidRPr="00811E88">
        <w:rPr>
          <w:rFonts w:ascii="Arial" w:hAnsi="Arial" w:cs="Arial"/>
          <w:b/>
          <w:bCs/>
          <w:sz w:val="20"/>
          <w:szCs w:val="20"/>
        </w:rPr>
        <w:t>ÍNDICE:</w:t>
      </w:r>
    </w:p>
    <w:p w14:paraId="4BC3D148" w14:textId="1714279D" w:rsidR="00496740" w:rsidRPr="00811E88" w:rsidRDefault="001A0EA8">
      <w:pPr>
        <w:pStyle w:val="TDC1"/>
        <w:tabs>
          <w:tab w:val="right" w:pos="8729"/>
        </w:tabs>
        <w:rPr>
          <w:rFonts w:ascii="Arial" w:hAnsi="Arial" w:cs="Arial"/>
          <w:noProof/>
          <w:kern w:val="2"/>
          <w:sz w:val="20"/>
          <w:szCs w:val="20"/>
        </w:rPr>
      </w:pPr>
      <w:r w:rsidRPr="00811E88">
        <w:rPr>
          <w:rFonts w:ascii="Arial" w:hAnsi="Arial" w:cs="Arial"/>
          <w:sz w:val="20"/>
          <w:szCs w:val="20"/>
        </w:rPr>
        <w:fldChar w:fldCharType="begin"/>
      </w:r>
      <w:r w:rsidR="00D1499E" w:rsidRPr="00811E88">
        <w:rPr>
          <w:rFonts w:ascii="Arial" w:hAnsi="Arial" w:cs="Arial"/>
          <w:sz w:val="20"/>
          <w:szCs w:val="20"/>
        </w:rPr>
        <w:instrText xml:space="preserve"> TOC \o "1-3" \h \z \u </w:instrText>
      </w:r>
      <w:r w:rsidRPr="00811E88">
        <w:rPr>
          <w:rFonts w:ascii="Arial" w:hAnsi="Arial" w:cs="Arial"/>
          <w:sz w:val="20"/>
          <w:szCs w:val="20"/>
        </w:rPr>
        <w:fldChar w:fldCharType="separate"/>
      </w:r>
      <w:hyperlink w:anchor="_Toc153727177" w:history="1">
        <w:r w:rsidR="00496740" w:rsidRPr="00811E88">
          <w:rPr>
            <w:rStyle w:val="Hipervnculo"/>
            <w:rFonts w:ascii="Arial" w:hAnsi="Arial" w:cs="Arial"/>
            <w:noProof/>
            <w:sz w:val="20"/>
            <w:szCs w:val="20"/>
          </w:rPr>
          <w:t>1.- IDENTIFICACIÓN DEL FÁRMACO Y AUTORES DEL INFORME</w:t>
        </w:r>
        <w:r w:rsidR="00496740" w:rsidRPr="00811E88">
          <w:rPr>
            <w:rFonts w:ascii="Arial" w:hAnsi="Arial" w:cs="Arial"/>
            <w:noProof/>
            <w:webHidden/>
            <w:sz w:val="20"/>
            <w:szCs w:val="20"/>
          </w:rPr>
          <w:tab/>
        </w:r>
        <w:r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_Toc153727177 \h </w:instrText>
        </w:r>
        <w:r w:rsidRPr="00811E88">
          <w:rPr>
            <w:rFonts w:ascii="Arial" w:hAnsi="Arial" w:cs="Arial"/>
            <w:noProof/>
            <w:webHidden/>
            <w:sz w:val="20"/>
            <w:szCs w:val="20"/>
          </w:rPr>
        </w:r>
        <w:r w:rsidRPr="00811E88">
          <w:rPr>
            <w:rFonts w:ascii="Arial" w:hAnsi="Arial" w:cs="Arial"/>
            <w:noProof/>
            <w:webHidden/>
            <w:sz w:val="20"/>
            <w:szCs w:val="20"/>
          </w:rPr>
          <w:fldChar w:fldCharType="separate"/>
        </w:r>
        <w:r w:rsidR="000603A2" w:rsidRPr="00811E88">
          <w:rPr>
            <w:rFonts w:ascii="Arial" w:hAnsi="Arial" w:cs="Arial"/>
            <w:noProof/>
            <w:webHidden/>
            <w:sz w:val="20"/>
            <w:szCs w:val="20"/>
          </w:rPr>
          <w:t>3</w:t>
        </w:r>
        <w:r w:rsidRPr="00811E88">
          <w:rPr>
            <w:rFonts w:ascii="Arial" w:hAnsi="Arial" w:cs="Arial"/>
            <w:noProof/>
            <w:webHidden/>
            <w:sz w:val="20"/>
            <w:szCs w:val="20"/>
          </w:rPr>
          <w:fldChar w:fldCharType="end"/>
        </w:r>
      </w:hyperlink>
    </w:p>
    <w:p w14:paraId="32408A1A" w14:textId="383C4C2F" w:rsidR="00496740" w:rsidRPr="00811E88" w:rsidRDefault="003C19DC">
      <w:pPr>
        <w:pStyle w:val="TDC1"/>
        <w:tabs>
          <w:tab w:val="right" w:pos="8729"/>
        </w:tabs>
        <w:rPr>
          <w:rFonts w:ascii="Arial" w:hAnsi="Arial" w:cs="Arial"/>
          <w:noProof/>
          <w:kern w:val="2"/>
          <w:sz w:val="20"/>
          <w:szCs w:val="20"/>
        </w:rPr>
      </w:pPr>
      <w:hyperlink w:anchor="_Toc153727178" w:history="1">
        <w:r w:rsidR="00496740" w:rsidRPr="00811E88">
          <w:rPr>
            <w:rStyle w:val="Hipervnculo"/>
            <w:rFonts w:ascii="Arial" w:hAnsi="Arial" w:cs="Arial"/>
            <w:noProof/>
            <w:sz w:val="20"/>
            <w:szCs w:val="20"/>
          </w:rPr>
          <w:t>2.- SOLICITUD Y DATOS DEL PROCESO DE EVALUACIÓN</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_Toc153727178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w:t>
        </w:r>
        <w:r w:rsidR="001A0EA8" w:rsidRPr="00811E88">
          <w:rPr>
            <w:rFonts w:ascii="Arial" w:hAnsi="Arial" w:cs="Arial"/>
            <w:noProof/>
            <w:webHidden/>
            <w:sz w:val="20"/>
            <w:szCs w:val="20"/>
          </w:rPr>
          <w:fldChar w:fldCharType="end"/>
        </w:r>
      </w:hyperlink>
    </w:p>
    <w:p w14:paraId="70FEE434" w14:textId="419366C3" w:rsidR="00496740" w:rsidRPr="00811E88" w:rsidRDefault="003C19DC">
      <w:pPr>
        <w:pStyle w:val="TDC1"/>
        <w:tabs>
          <w:tab w:val="right" w:pos="8729"/>
        </w:tabs>
        <w:rPr>
          <w:rFonts w:ascii="Arial" w:hAnsi="Arial" w:cs="Arial"/>
          <w:noProof/>
          <w:kern w:val="2"/>
          <w:sz w:val="20"/>
          <w:szCs w:val="20"/>
        </w:rPr>
      </w:pPr>
      <w:hyperlink w:anchor="_Toc153727179" w:history="1">
        <w:r w:rsidR="00496740" w:rsidRPr="00811E88">
          <w:rPr>
            <w:rStyle w:val="Hipervnculo"/>
            <w:rFonts w:ascii="Arial" w:hAnsi="Arial" w:cs="Arial"/>
            <w:noProof/>
            <w:sz w:val="20"/>
            <w:szCs w:val="20"/>
          </w:rPr>
          <w:t>3.- AREA DESCRIPTIVA DEL MEDICAMENTO Y DEL PROBLEMA DE SALUD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_Toc153727179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w:t>
        </w:r>
        <w:r w:rsidR="001A0EA8" w:rsidRPr="00811E88">
          <w:rPr>
            <w:rFonts w:ascii="Arial" w:hAnsi="Arial" w:cs="Arial"/>
            <w:noProof/>
            <w:webHidden/>
            <w:sz w:val="20"/>
            <w:szCs w:val="20"/>
          </w:rPr>
          <w:fldChar w:fldCharType="end"/>
        </w:r>
      </w:hyperlink>
    </w:p>
    <w:p w14:paraId="7D859A25" w14:textId="20EB0779" w:rsidR="00496740" w:rsidRPr="00811E88" w:rsidRDefault="003C19DC">
      <w:pPr>
        <w:pStyle w:val="TDC2"/>
        <w:tabs>
          <w:tab w:val="right" w:pos="8729"/>
        </w:tabs>
        <w:rPr>
          <w:rFonts w:ascii="Arial" w:hAnsi="Arial" w:cs="Arial"/>
          <w:noProof/>
          <w:kern w:val="2"/>
          <w:sz w:val="20"/>
          <w:szCs w:val="20"/>
        </w:rPr>
      </w:pPr>
      <w:hyperlink w:anchor="_Toc153727180" w:history="1">
        <w:r w:rsidR="00496740" w:rsidRPr="00811E88">
          <w:rPr>
            <w:rStyle w:val="Hipervnculo"/>
            <w:rFonts w:ascii="Arial" w:hAnsi="Arial" w:cs="Arial"/>
            <w:noProof/>
            <w:sz w:val="20"/>
            <w:szCs w:val="20"/>
          </w:rPr>
          <w:t>3.1 Área descriptiva del medicamento</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w:t>
        </w:r>
        <w:r w:rsidR="001A0EA8" w:rsidRPr="00811E88">
          <w:rPr>
            <w:rFonts w:ascii="Arial" w:hAnsi="Arial" w:cs="Arial"/>
            <w:noProof/>
            <w:webHidden/>
            <w:sz w:val="20"/>
            <w:szCs w:val="20"/>
          </w:rPr>
          <w:fldChar w:fldCharType="end"/>
        </w:r>
      </w:hyperlink>
    </w:p>
    <w:p w14:paraId="09777601" w14:textId="1F6B8AF2" w:rsidR="00496740" w:rsidRPr="00811E88" w:rsidRDefault="003C19DC">
      <w:pPr>
        <w:pStyle w:val="TDC2"/>
        <w:tabs>
          <w:tab w:val="right" w:pos="8729"/>
        </w:tabs>
        <w:rPr>
          <w:rFonts w:ascii="Arial" w:hAnsi="Arial" w:cs="Arial"/>
          <w:noProof/>
          <w:kern w:val="2"/>
          <w:sz w:val="20"/>
          <w:szCs w:val="20"/>
        </w:rPr>
      </w:pPr>
      <w:hyperlink w:anchor="_Toc153727181" w:history="1">
        <w:r w:rsidR="00496740" w:rsidRPr="00811E88">
          <w:rPr>
            <w:rStyle w:val="Hipervnculo"/>
            <w:rFonts w:ascii="Arial" w:hAnsi="Arial" w:cs="Arial"/>
            <w:noProof/>
            <w:sz w:val="20"/>
            <w:szCs w:val="20"/>
          </w:rPr>
          <w:t>3.2 Área descriptiva del problema de salud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w:t>
        </w:r>
        <w:r w:rsidR="001A0EA8" w:rsidRPr="00811E88">
          <w:rPr>
            <w:rFonts w:ascii="Arial" w:hAnsi="Arial" w:cs="Arial"/>
            <w:noProof/>
            <w:webHidden/>
            <w:sz w:val="20"/>
            <w:szCs w:val="20"/>
          </w:rPr>
          <w:fldChar w:fldCharType="end"/>
        </w:r>
      </w:hyperlink>
    </w:p>
    <w:p w14:paraId="46F6C1E1" w14:textId="4992C3F6" w:rsidR="00496740" w:rsidRPr="00811E88" w:rsidRDefault="003C19DC">
      <w:pPr>
        <w:pStyle w:val="TDC2"/>
        <w:tabs>
          <w:tab w:val="right" w:pos="8729"/>
        </w:tabs>
        <w:rPr>
          <w:rFonts w:ascii="Arial" w:hAnsi="Arial" w:cs="Arial"/>
          <w:noProof/>
          <w:kern w:val="2"/>
          <w:sz w:val="20"/>
          <w:szCs w:val="20"/>
        </w:rPr>
      </w:pPr>
      <w:hyperlink w:anchor="_Toc153727182" w:history="1">
        <w:r w:rsidR="00496740" w:rsidRPr="00811E88">
          <w:rPr>
            <w:rStyle w:val="Hipervnculo"/>
            <w:rFonts w:ascii="Arial" w:hAnsi="Arial" w:cs="Arial"/>
            <w:noProof/>
            <w:sz w:val="20"/>
            <w:szCs w:val="20"/>
          </w:rPr>
          <w:t>3.2.a Descripción estructurada del problema de salud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w:t>
        </w:r>
        <w:r w:rsidR="001A0EA8" w:rsidRPr="00811E88">
          <w:rPr>
            <w:rFonts w:ascii="Arial" w:hAnsi="Arial" w:cs="Arial"/>
            <w:noProof/>
            <w:webHidden/>
            <w:sz w:val="20"/>
            <w:szCs w:val="20"/>
          </w:rPr>
          <w:fldChar w:fldCharType="end"/>
        </w:r>
      </w:hyperlink>
    </w:p>
    <w:p w14:paraId="0378B374" w14:textId="79B6CAF5" w:rsidR="00496740" w:rsidRPr="00811E88" w:rsidRDefault="003C19DC">
      <w:pPr>
        <w:pStyle w:val="TDC2"/>
        <w:tabs>
          <w:tab w:val="right" w:pos="8729"/>
        </w:tabs>
        <w:rPr>
          <w:rFonts w:ascii="Arial" w:hAnsi="Arial" w:cs="Arial"/>
          <w:noProof/>
          <w:kern w:val="2"/>
          <w:sz w:val="20"/>
          <w:szCs w:val="20"/>
        </w:rPr>
      </w:pPr>
      <w:hyperlink w:anchor="_Toc153727183" w:history="1">
        <w:r w:rsidR="00496740" w:rsidRPr="00811E88">
          <w:rPr>
            <w:rStyle w:val="Hipervnculo"/>
            <w:rFonts w:ascii="Arial" w:hAnsi="Arial" w:cs="Arial"/>
            <w:noProof/>
            <w:sz w:val="20"/>
            <w:szCs w:val="20"/>
          </w:rPr>
          <w:t xml:space="preserve">3.2.b Tratamiento actual de la enfermedad: evidencias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7</w:t>
        </w:r>
        <w:r w:rsidR="001A0EA8" w:rsidRPr="00811E88">
          <w:rPr>
            <w:rFonts w:ascii="Arial" w:hAnsi="Arial" w:cs="Arial"/>
            <w:noProof/>
            <w:webHidden/>
            <w:sz w:val="20"/>
            <w:szCs w:val="20"/>
          </w:rPr>
          <w:fldChar w:fldCharType="end"/>
        </w:r>
      </w:hyperlink>
    </w:p>
    <w:p w14:paraId="48890D08" w14:textId="136E409D" w:rsidR="00496740" w:rsidRPr="00811E88" w:rsidRDefault="003C19DC">
      <w:pPr>
        <w:pStyle w:val="TDC2"/>
        <w:tabs>
          <w:tab w:val="right" w:pos="8729"/>
        </w:tabs>
        <w:rPr>
          <w:rFonts w:ascii="Arial" w:hAnsi="Arial" w:cs="Arial"/>
          <w:noProof/>
          <w:kern w:val="2"/>
          <w:sz w:val="20"/>
          <w:szCs w:val="20"/>
        </w:rPr>
      </w:pPr>
      <w:hyperlink w:anchor="_Toc153727184" w:history="1">
        <w:r w:rsidR="00496740" w:rsidRPr="00811E88">
          <w:rPr>
            <w:rStyle w:val="Hipervnculo"/>
            <w:rFonts w:ascii="Arial" w:hAnsi="Arial" w:cs="Arial"/>
            <w:noProof/>
            <w:sz w:val="20"/>
            <w:szCs w:val="20"/>
          </w:rPr>
          <w:t>3.3 Características comparadas con otras alternativas similares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_Toc153727184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7</w:t>
        </w:r>
        <w:r w:rsidR="001A0EA8" w:rsidRPr="00811E88">
          <w:rPr>
            <w:rFonts w:ascii="Arial" w:hAnsi="Arial" w:cs="Arial"/>
            <w:noProof/>
            <w:webHidden/>
            <w:sz w:val="20"/>
            <w:szCs w:val="20"/>
          </w:rPr>
          <w:fldChar w:fldCharType="end"/>
        </w:r>
      </w:hyperlink>
    </w:p>
    <w:p w14:paraId="4CC5C5F8" w14:textId="3E260BBA" w:rsidR="00496740" w:rsidRPr="00811E88" w:rsidRDefault="003C19DC">
      <w:pPr>
        <w:pStyle w:val="TDC1"/>
        <w:tabs>
          <w:tab w:val="right" w:pos="8729"/>
        </w:tabs>
        <w:rPr>
          <w:rFonts w:ascii="Arial" w:hAnsi="Arial" w:cs="Arial"/>
          <w:noProof/>
          <w:kern w:val="2"/>
          <w:sz w:val="20"/>
          <w:szCs w:val="20"/>
        </w:rPr>
      </w:pPr>
      <w:hyperlink w:anchor="_Toc153727185" w:history="1">
        <w:r w:rsidR="00496740" w:rsidRPr="00811E88">
          <w:rPr>
            <w:rStyle w:val="Hipervnculo"/>
            <w:rFonts w:ascii="Arial" w:hAnsi="Arial" w:cs="Arial"/>
            <w:noProof/>
            <w:sz w:val="20"/>
            <w:szCs w:val="20"/>
          </w:rPr>
          <w:t xml:space="preserve">4.- AREA DE ACCIÓN FARMACOLÓGICA.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_Toc153727185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9</w:t>
        </w:r>
        <w:r w:rsidR="001A0EA8" w:rsidRPr="00811E88">
          <w:rPr>
            <w:rFonts w:ascii="Arial" w:hAnsi="Arial" w:cs="Arial"/>
            <w:noProof/>
            <w:webHidden/>
            <w:sz w:val="20"/>
            <w:szCs w:val="20"/>
          </w:rPr>
          <w:fldChar w:fldCharType="end"/>
        </w:r>
      </w:hyperlink>
    </w:p>
    <w:p w14:paraId="5A48A1AB" w14:textId="1D6C4E06" w:rsidR="00496740" w:rsidRPr="00811E88" w:rsidRDefault="003C19DC">
      <w:pPr>
        <w:pStyle w:val="TDC2"/>
        <w:tabs>
          <w:tab w:val="right" w:pos="8729"/>
        </w:tabs>
        <w:rPr>
          <w:rFonts w:ascii="Arial" w:hAnsi="Arial" w:cs="Arial"/>
          <w:noProof/>
          <w:kern w:val="2"/>
          <w:sz w:val="20"/>
          <w:szCs w:val="20"/>
        </w:rPr>
      </w:pPr>
      <w:hyperlink w:anchor="_Toc153727186" w:history="1">
        <w:r w:rsidR="00496740" w:rsidRPr="00811E88">
          <w:rPr>
            <w:rStyle w:val="Hipervnculo"/>
            <w:rFonts w:ascii="Arial" w:hAnsi="Arial" w:cs="Arial"/>
            <w:noProof/>
            <w:sz w:val="20"/>
            <w:szCs w:val="20"/>
          </w:rPr>
          <w:t>4.1 Mecanismo de acción.</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_Toc153727186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9</w:t>
        </w:r>
        <w:r w:rsidR="001A0EA8" w:rsidRPr="00811E88">
          <w:rPr>
            <w:rFonts w:ascii="Arial" w:hAnsi="Arial" w:cs="Arial"/>
            <w:noProof/>
            <w:webHidden/>
            <w:sz w:val="20"/>
            <w:szCs w:val="20"/>
          </w:rPr>
          <w:fldChar w:fldCharType="end"/>
        </w:r>
      </w:hyperlink>
    </w:p>
    <w:p w14:paraId="2F6F1083" w14:textId="36B382F6" w:rsidR="00496740" w:rsidRPr="00811E88" w:rsidRDefault="003C19DC">
      <w:pPr>
        <w:pStyle w:val="TDC2"/>
        <w:tabs>
          <w:tab w:val="right" w:pos="8729"/>
        </w:tabs>
        <w:rPr>
          <w:rFonts w:ascii="Arial" w:hAnsi="Arial" w:cs="Arial"/>
          <w:noProof/>
          <w:kern w:val="2"/>
          <w:sz w:val="20"/>
          <w:szCs w:val="20"/>
        </w:rPr>
      </w:pPr>
      <w:hyperlink w:anchor="_Toc153727187" w:history="1">
        <w:r w:rsidR="00496740" w:rsidRPr="00811E88">
          <w:rPr>
            <w:rStyle w:val="Hipervnculo"/>
            <w:rFonts w:ascii="Arial" w:hAnsi="Arial" w:cs="Arial"/>
            <w:noProof/>
            <w:sz w:val="20"/>
            <w:szCs w:val="20"/>
          </w:rPr>
          <w:t>4.2 Indicaciones clínicas formalmente aprobadas y fecha de aprobación.</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_Toc153727187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9</w:t>
        </w:r>
        <w:r w:rsidR="001A0EA8" w:rsidRPr="00811E88">
          <w:rPr>
            <w:rFonts w:ascii="Arial" w:hAnsi="Arial" w:cs="Arial"/>
            <w:noProof/>
            <w:webHidden/>
            <w:sz w:val="20"/>
            <w:szCs w:val="20"/>
          </w:rPr>
          <w:fldChar w:fldCharType="end"/>
        </w:r>
      </w:hyperlink>
    </w:p>
    <w:p w14:paraId="52D940F0" w14:textId="53BDE0FF" w:rsidR="00496740" w:rsidRPr="00811E88" w:rsidRDefault="003C19DC">
      <w:pPr>
        <w:pStyle w:val="TDC2"/>
        <w:tabs>
          <w:tab w:val="right" w:pos="8729"/>
        </w:tabs>
        <w:rPr>
          <w:rFonts w:ascii="Arial" w:hAnsi="Arial" w:cs="Arial"/>
          <w:noProof/>
          <w:kern w:val="2"/>
          <w:sz w:val="20"/>
          <w:szCs w:val="20"/>
        </w:rPr>
      </w:pPr>
      <w:hyperlink w:anchor="_Toc153727188" w:history="1">
        <w:r w:rsidR="00496740" w:rsidRPr="00811E88">
          <w:rPr>
            <w:rStyle w:val="Hipervnculo"/>
            <w:rFonts w:ascii="Arial" w:hAnsi="Arial" w:cs="Arial"/>
            <w:noProof/>
            <w:sz w:val="20"/>
            <w:szCs w:val="20"/>
          </w:rPr>
          <w:t xml:space="preserve">4.3 Posología, forma de preparación y administración.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9</w:t>
        </w:r>
        <w:r w:rsidR="001A0EA8" w:rsidRPr="00811E88">
          <w:rPr>
            <w:rFonts w:ascii="Arial" w:hAnsi="Arial" w:cs="Arial"/>
            <w:noProof/>
            <w:webHidden/>
            <w:sz w:val="20"/>
            <w:szCs w:val="20"/>
          </w:rPr>
          <w:fldChar w:fldCharType="end"/>
        </w:r>
      </w:hyperlink>
    </w:p>
    <w:p w14:paraId="739D1EBC" w14:textId="2077FEDF" w:rsidR="00496740" w:rsidRPr="00811E88" w:rsidRDefault="003C19DC">
      <w:pPr>
        <w:pStyle w:val="TDC2"/>
        <w:tabs>
          <w:tab w:val="right" w:pos="8729"/>
        </w:tabs>
        <w:rPr>
          <w:rFonts w:ascii="Arial" w:hAnsi="Arial" w:cs="Arial"/>
          <w:noProof/>
          <w:kern w:val="2"/>
          <w:sz w:val="20"/>
          <w:szCs w:val="20"/>
        </w:rPr>
      </w:pPr>
      <w:hyperlink w:anchor="_Toc153727189" w:history="1">
        <w:r w:rsidR="00496740" w:rsidRPr="00811E88">
          <w:rPr>
            <w:rStyle w:val="Hipervnculo"/>
            <w:rFonts w:ascii="Arial" w:hAnsi="Arial" w:cs="Arial"/>
            <w:noProof/>
            <w:sz w:val="20"/>
            <w:szCs w:val="20"/>
          </w:rPr>
          <w:t xml:space="preserve">4.4 Utilización en poblaciones especiales.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_Toc153727189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10</w:t>
        </w:r>
        <w:r w:rsidR="001A0EA8" w:rsidRPr="00811E88">
          <w:rPr>
            <w:rFonts w:ascii="Arial" w:hAnsi="Arial" w:cs="Arial"/>
            <w:noProof/>
            <w:webHidden/>
            <w:sz w:val="20"/>
            <w:szCs w:val="20"/>
          </w:rPr>
          <w:fldChar w:fldCharType="end"/>
        </w:r>
      </w:hyperlink>
    </w:p>
    <w:p w14:paraId="6DB1138C" w14:textId="6E60AF6B" w:rsidR="00496740" w:rsidRPr="00811E88" w:rsidRDefault="003C19DC">
      <w:pPr>
        <w:pStyle w:val="TDC2"/>
        <w:tabs>
          <w:tab w:val="right" w:pos="8729"/>
        </w:tabs>
        <w:rPr>
          <w:rFonts w:ascii="Arial" w:hAnsi="Arial" w:cs="Arial"/>
          <w:noProof/>
          <w:kern w:val="2"/>
          <w:sz w:val="20"/>
          <w:szCs w:val="20"/>
        </w:rPr>
      </w:pPr>
      <w:hyperlink w:anchor="_Toc153727190" w:history="1">
        <w:r w:rsidR="00496740" w:rsidRPr="00811E88">
          <w:rPr>
            <w:rStyle w:val="Hipervnculo"/>
            <w:rFonts w:ascii="Arial" w:hAnsi="Arial" w:cs="Arial"/>
            <w:noProof/>
            <w:sz w:val="20"/>
            <w:szCs w:val="20"/>
          </w:rPr>
          <w:t xml:space="preserve">4.5 Farmacocinética.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10</w:t>
        </w:r>
        <w:r w:rsidR="001A0EA8" w:rsidRPr="00811E88">
          <w:rPr>
            <w:rFonts w:ascii="Arial" w:hAnsi="Arial" w:cs="Arial"/>
            <w:noProof/>
            <w:webHidden/>
            <w:sz w:val="20"/>
            <w:szCs w:val="20"/>
          </w:rPr>
          <w:fldChar w:fldCharType="end"/>
        </w:r>
      </w:hyperlink>
    </w:p>
    <w:p w14:paraId="3D47C870" w14:textId="5E8D27FA" w:rsidR="00496740" w:rsidRPr="00811E88" w:rsidRDefault="003C19DC">
      <w:pPr>
        <w:pStyle w:val="TDC1"/>
        <w:tabs>
          <w:tab w:val="right" w:pos="8729"/>
        </w:tabs>
        <w:rPr>
          <w:rFonts w:ascii="Arial" w:hAnsi="Arial" w:cs="Arial"/>
          <w:noProof/>
          <w:kern w:val="2"/>
          <w:sz w:val="20"/>
          <w:szCs w:val="20"/>
        </w:rPr>
      </w:pPr>
      <w:hyperlink w:anchor="_Toc153727191" w:history="1">
        <w:r w:rsidR="00496740" w:rsidRPr="00811E88">
          <w:rPr>
            <w:rStyle w:val="Hipervnculo"/>
            <w:rFonts w:ascii="Arial" w:hAnsi="Arial" w:cs="Arial"/>
            <w:noProof/>
            <w:sz w:val="20"/>
            <w:szCs w:val="20"/>
          </w:rPr>
          <w:t>5.- EVALUACIÓN DE LA EFICACIA.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12</w:t>
        </w:r>
        <w:r w:rsidR="001A0EA8" w:rsidRPr="00811E88">
          <w:rPr>
            <w:rFonts w:ascii="Arial" w:hAnsi="Arial" w:cs="Arial"/>
            <w:noProof/>
            <w:webHidden/>
            <w:sz w:val="20"/>
            <w:szCs w:val="20"/>
          </w:rPr>
          <w:fldChar w:fldCharType="end"/>
        </w:r>
      </w:hyperlink>
    </w:p>
    <w:p w14:paraId="05E13DCB" w14:textId="032A8EB2" w:rsidR="00496740" w:rsidRPr="00811E88" w:rsidRDefault="003C19DC">
      <w:pPr>
        <w:pStyle w:val="TDC2"/>
        <w:tabs>
          <w:tab w:val="right" w:pos="8729"/>
        </w:tabs>
        <w:rPr>
          <w:rFonts w:ascii="Arial" w:hAnsi="Arial" w:cs="Arial"/>
          <w:noProof/>
          <w:kern w:val="2"/>
          <w:sz w:val="20"/>
          <w:szCs w:val="20"/>
        </w:rPr>
      </w:pPr>
      <w:hyperlink w:anchor="_Toc153727192" w:history="1">
        <w:r w:rsidR="00496740" w:rsidRPr="00811E88">
          <w:rPr>
            <w:rStyle w:val="Hipervnculo"/>
            <w:rFonts w:ascii="Arial" w:hAnsi="Arial" w:cs="Arial"/>
            <w:noProof/>
            <w:sz w:val="20"/>
            <w:szCs w:val="20"/>
          </w:rPr>
          <w:t>5.1.a Ensayos clínicos disponibles para la indicación clínica evaluada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12</w:t>
        </w:r>
        <w:r w:rsidR="001A0EA8" w:rsidRPr="00811E88">
          <w:rPr>
            <w:rFonts w:ascii="Arial" w:hAnsi="Arial" w:cs="Arial"/>
            <w:noProof/>
            <w:webHidden/>
            <w:sz w:val="20"/>
            <w:szCs w:val="20"/>
          </w:rPr>
          <w:fldChar w:fldCharType="end"/>
        </w:r>
      </w:hyperlink>
    </w:p>
    <w:p w14:paraId="2D0C44B4" w14:textId="298C3881" w:rsidR="00496740" w:rsidRPr="00811E88" w:rsidRDefault="003C19DC">
      <w:pPr>
        <w:pStyle w:val="TDC2"/>
        <w:tabs>
          <w:tab w:val="right" w:pos="8729"/>
        </w:tabs>
        <w:rPr>
          <w:rFonts w:ascii="Arial" w:hAnsi="Arial" w:cs="Arial"/>
          <w:noProof/>
          <w:kern w:val="2"/>
          <w:sz w:val="20"/>
          <w:szCs w:val="20"/>
        </w:rPr>
      </w:pPr>
      <w:hyperlink w:anchor="_Toc153727193" w:history="1">
        <w:r w:rsidR="00496740" w:rsidRPr="00811E88">
          <w:rPr>
            <w:rStyle w:val="Hipervnculo"/>
            <w:rFonts w:ascii="Arial" w:hAnsi="Arial" w:cs="Arial"/>
            <w:noProof/>
            <w:sz w:val="20"/>
            <w:szCs w:val="20"/>
          </w:rPr>
          <w:t>5.1.b Variables utilizadas en los ensayos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12</w:t>
        </w:r>
        <w:r w:rsidR="001A0EA8" w:rsidRPr="00811E88">
          <w:rPr>
            <w:rFonts w:ascii="Arial" w:hAnsi="Arial" w:cs="Arial"/>
            <w:noProof/>
            <w:webHidden/>
            <w:sz w:val="20"/>
            <w:szCs w:val="20"/>
          </w:rPr>
          <w:fldChar w:fldCharType="end"/>
        </w:r>
      </w:hyperlink>
    </w:p>
    <w:p w14:paraId="4AB46A75" w14:textId="27678CB9" w:rsidR="00496740" w:rsidRPr="00811E88" w:rsidRDefault="003C19DC">
      <w:pPr>
        <w:pStyle w:val="TDC2"/>
        <w:tabs>
          <w:tab w:val="right" w:pos="8729"/>
        </w:tabs>
        <w:rPr>
          <w:rFonts w:ascii="Arial" w:hAnsi="Arial" w:cs="Arial"/>
          <w:noProof/>
          <w:kern w:val="2"/>
          <w:sz w:val="20"/>
          <w:szCs w:val="20"/>
        </w:rPr>
      </w:pPr>
      <w:hyperlink w:anchor="_Toc153727194" w:history="1">
        <w:r w:rsidR="00496740" w:rsidRPr="00811E88">
          <w:rPr>
            <w:rStyle w:val="Hipervnculo"/>
            <w:rFonts w:ascii="Arial" w:hAnsi="Arial" w:cs="Arial"/>
            <w:noProof/>
            <w:sz w:val="20"/>
            <w:szCs w:val="20"/>
          </w:rPr>
          <w:t>5.2.a Resultados de los ensayos clínicos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_Toc153727194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14</w:t>
        </w:r>
        <w:r w:rsidR="001A0EA8" w:rsidRPr="00811E88">
          <w:rPr>
            <w:rFonts w:ascii="Arial" w:hAnsi="Arial" w:cs="Arial"/>
            <w:noProof/>
            <w:webHidden/>
            <w:sz w:val="20"/>
            <w:szCs w:val="20"/>
          </w:rPr>
          <w:fldChar w:fldCharType="end"/>
        </w:r>
      </w:hyperlink>
    </w:p>
    <w:p w14:paraId="0664E5C5" w14:textId="5158DE4B" w:rsidR="00496740" w:rsidRPr="00811E88" w:rsidRDefault="003C19DC">
      <w:pPr>
        <w:pStyle w:val="TDC2"/>
        <w:tabs>
          <w:tab w:val="right" w:pos="8729"/>
        </w:tabs>
        <w:rPr>
          <w:rFonts w:ascii="Arial" w:hAnsi="Arial" w:cs="Arial"/>
          <w:noProof/>
          <w:kern w:val="2"/>
          <w:sz w:val="20"/>
          <w:szCs w:val="20"/>
        </w:rPr>
      </w:pPr>
      <w:hyperlink w:anchor="_Toc153727195" w:history="1">
        <w:r w:rsidR="00496740" w:rsidRPr="00811E88">
          <w:rPr>
            <w:rStyle w:val="Hipervnculo"/>
            <w:rFonts w:ascii="Arial" w:hAnsi="Arial" w:cs="Arial"/>
            <w:noProof/>
            <w:sz w:val="20"/>
            <w:szCs w:val="20"/>
          </w:rPr>
          <w:t>5.2.b Evaluación de la validez y de la utilidad práctica de los resultados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_Toc153727195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26</w:t>
        </w:r>
        <w:r w:rsidR="001A0EA8" w:rsidRPr="00811E88">
          <w:rPr>
            <w:rFonts w:ascii="Arial" w:hAnsi="Arial" w:cs="Arial"/>
            <w:noProof/>
            <w:webHidden/>
            <w:sz w:val="20"/>
            <w:szCs w:val="20"/>
          </w:rPr>
          <w:fldChar w:fldCharType="end"/>
        </w:r>
      </w:hyperlink>
    </w:p>
    <w:p w14:paraId="67CF732E" w14:textId="26451FDE" w:rsidR="00496740" w:rsidRPr="00811E88" w:rsidRDefault="003C19DC">
      <w:pPr>
        <w:pStyle w:val="TDC3"/>
        <w:tabs>
          <w:tab w:val="right" w:pos="8729"/>
        </w:tabs>
        <w:rPr>
          <w:rFonts w:ascii="Arial" w:hAnsi="Arial" w:cs="Arial"/>
          <w:noProof/>
          <w:kern w:val="2"/>
          <w:sz w:val="20"/>
          <w:szCs w:val="20"/>
        </w:rPr>
      </w:pPr>
      <w:hyperlink w:anchor="_Toc153727196" w:history="1">
        <w:r w:rsidR="00496740" w:rsidRPr="00811E88">
          <w:rPr>
            <w:rStyle w:val="Hipervnculo"/>
            <w:rFonts w:ascii="Arial" w:hAnsi="Arial" w:cs="Arial"/>
            <w:bCs/>
            <w:noProof/>
            <w:sz w:val="20"/>
            <w:szCs w:val="20"/>
          </w:rPr>
          <w:t>A. Validez interna. Limitaciones de diseño y/o comentarios: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_Toc153727196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26</w:t>
        </w:r>
        <w:r w:rsidR="001A0EA8" w:rsidRPr="00811E88">
          <w:rPr>
            <w:rFonts w:ascii="Arial" w:hAnsi="Arial" w:cs="Arial"/>
            <w:noProof/>
            <w:webHidden/>
            <w:sz w:val="20"/>
            <w:szCs w:val="20"/>
          </w:rPr>
          <w:fldChar w:fldCharType="end"/>
        </w:r>
      </w:hyperlink>
    </w:p>
    <w:p w14:paraId="1C82A9E5" w14:textId="071E19DD" w:rsidR="00496740" w:rsidRPr="00811E88" w:rsidRDefault="003C19DC">
      <w:pPr>
        <w:pStyle w:val="TDC3"/>
        <w:tabs>
          <w:tab w:val="right" w:pos="8729"/>
        </w:tabs>
        <w:rPr>
          <w:rFonts w:ascii="Arial" w:hAnsi="Arial" w:cs="Arial"/>
          <w:noProof/>
          <w:kern w:val="2"/>
          <w:sz w:val="20"/>
          <w:szCs w:val="20"/>
        </w:rPr>
      </w:pPr>
      <w:hyperlink w:anchor="_Toc153727197" w:history="1">
        <w:r w:rsidR="00496740" w:rsidRPr="00811E88">
          <w:rPr>
            <w:rStyle w:val="Hipervnculo"/>
            <w:rFonts w:ascii="Arial" w:hAnsi="Arial" w:cs="Arial"/>
            <w:bCs/>
            <w:noProof/>
            <w:sz w:val="20"/>
            <w:szCs w:val="20"/>
          </w:rPr>
          <w:t>B. Aplicabilidad del ensayo a la práctica del hospital</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_Toc153727197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30</w:t>
        </w:r>
        <w:r w:rsidR="001A0EA8" w:rsidRPr="00811E88">
          <w:rPr>
            <w:rFonts w:ascii="Arial" w:hAnsi="Arial" w:cs="Arial"/>
            <w:noProof/>
            <w:webHidden/>
            <w:sz w:val="20"/>
            <w:szCs w:val="20"/>
          </w:rPr>
          <w:fldChar w:fldCharType="end"/>
        </w:r>
      </w:hyperlink>
    </w:p>
    <w:p w14:paraId="5BBC652C" w14:textId="3E75924E" w:rsidR="00496740" w:rsidRPr="00811E88" w:rsidRDefault="003C19DC">
      <w:pPr>
        <w:pStyle w:val="TDC3"/>
        <w:tabs>
          <w:tab w:val="right" w:pos="8729"/>
        </w:tabs>
        <w:rPr>
          <w:rFonts w:ascii="Arial" w:hAnsi="Arial" w:cs="Arial"/>
          <w:noProof/>
          <w:kern w:val="2"/>
          <w:sz w:val="20"/>
          <w:szCs w:val="20"/>
        </w:rPr>
      </w:pPr>
      <w:hyperlink w:anchor="_Toc153727198" w:history="1">
        <w:r w:rsidR="00496740" w:rsidRPr="00811E88">
          <w:rPr>
            <w:rStyle w:val="Hipervnculo"/>
            <w:rFonts w:ascii="Arial" w:hAnsi="Arial" w:cs="Arial"/>
            <w:bCs/>
            <w:noProof/>
            <w:sz w:val="20"/>
            <w:szCs w:val="20"/>
          </w:rPr>
          <w:t>C. Relevancia clínica de los resultados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30</w:t>
        </w:r>
        <w:r w:rsidR="001A0EA8" w:rsidRPr="00811E88">
          <w:rPr>
            <w:rFonts w:ascii="Arial" w:hAnsi="Arial" w:cs="Arial"/>
            <w:noProof/>
            <w:webHidden/>
            <w:sz w:val="20"/>
            <w:szCs w:val="20"/>
          </w:rPr>
          <w:fldChar w:fldCharType="end"/>
        </w:r>
      </w:hyperlink>
    </w:p>
    <w:p w14:paraId="65821E8D" w14:textId="5B9C1F24" w:rsidR="00496740" w:rsidRPr="00811E88" w:rsidRDefault="003C19DC">
      <w:pPr>
        <w:pStyle w:val="TDC3"/>
        <w:tabs>
          <w:tab w:val="right" w:pos="8729"/>
        </w:tabs>
        <w:rPr>
          <w:rFonts w:ascii="Arial" w:hAnsi="Arial" w:cs="Arial"/>
          <w:noProof/>
          <w:kern w:val="2"/>
          <w:sz w:val="20"/>
          <w:szCs w:val="20"/>
        </w:rPr>
      </w:pPr>
      <w:hyperlink w:anchor="_Toc153727199" w:history="1">
        <w:r w:rsidR="00496740" w:rsidRPr="00811E88">
          <w:rPr>
            <w:rStyle w:val="Hipervnculo"/>
            <w:rFonts w:ascii="Arial" w:hAnsi="Arial" w:cs="Arial"/>
            <w:noProof/>
            <w:sz w:val="20"/>
            <w:szCs w:val="20"/>
          </w:rPr>
          <w:t>C.1 Valorar si la magnitud del efecto del tratamiento es de relevancia clínica.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_Toc153727199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31</w:t>
        </w:r>
        <w:r w:rsidR="001A0EA8" w:rsidRPr="00811E88">
          <w:rPr>
            <w:rFonts w:ascii="Arial" w:hAnsi="Arial" w:cs="Arial"/>
            <w:noProof/>
            <w:webHidden/>
            <w:sz w:val="20"/>
            <w:szCs w:val="20"/>
          </w:rPr>
          <w:fldChar w:fldCharType="end"/>
        </w:r>
      </w:hyperlink>
    </w:p>
    <w:p w14:paraId="4BDAF1B2" w14:textId="78C9570A" w:rsidR="00496740" w:rsidRPr="00811E88" w:rsidRDefault="003C19DC">
      <w:pPr>
        <w:pStyle w:val="TDC3"/>
        <w:tabs>
          <w:tab w:val="right" w:pos="8729"/>
        </w:tabs>
        <w:rPr>
          <w:rFonts w:ascii="Arial" w:hAnsi="Arial" w:cs="Arial"/>
          <w:noProof/>
          <w:kern w:val="2"/>
          <w:sz w:val="20"/>
          <w:szCs w:val="20"/>
        </w:rPr>
      </w:pPr>
      <w:hyperlink w:anchor="_Toc153727200" w:history="1">
        <w:r w:rsidR="00496740" w:rsidRPr="00811E88">
          <w:rPr>
            <w:rStyle w:val="Hipervnculo"/>
            <w:rFonts w:ascii="Arial" w:hAnsi="Arial" w:cs="Arial"/>
            <w:bCs/>
            <w:noProof/>
            <w:sz w:val="20"/>
            <w:szCs w:val="20"/>
          </w:rPr>
          <w:t>C.2 La evidencia de equivalencia terapéutica.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31</w:t>
        </w:r>
        <w:r w:rsidR="001A0EA8" w:rsidRPr="00811E88">
          <w:rPr>
            <w:rFonts w:ascii="Arial" w:hAnsi="Arial" w:cs="Arial"/>
            <w:noProof/>
            <w:webHidden/>
            <w:sz w:val="20"/>
            <w:szCs w:val="20"/>
          </w:rPr>
          <w:fldChar w:fldCharType="end"/>
        </w:r>
      </w:hyperlink>
    </w:p>
    <w:p w14:paraId="297717C7" w14:textId="77E3B4C8" w:rsidR="00496740" w:rsidRPr="00811E88" w:rsidRDefault="003C19DC">
      <w:pPr>
        <w:pStyle w:val="TDC3"/>
        <w:tabs>
          <w:tab w:val="right" w:pos="8729"/>
        </w:tabs>
        <w:rPr>
          <w:rFonts w:ascii="Arial" w:hAnsi="Arial" w:cs="Arial"/>
          <w:noProof/>
          <w:kern w:val="2"/>
          <w:sz w:val="20"/>
          <w:szCs w:val="20"/>
        </w:rPr>
      </w:pPr>
      <w:hyperlink w:anchor="_Toc153727201" w:history="1">
        <w:r w:rsidR="00496740" w:rsidRPr="00811E88">
          <w:rPr>
            <w:rStyle w:val="Hipervnculo"/>
            <w:rFonts w:ascii="Arial" w:hAnsi="Arial" w:cs="Arial"/>
            <w:bCs/>
            <w:noProof/>
            <w:sz w:val="20"/>
            <w:szCs w:val="20"/>
          </w:rPr>
          <w:t>C.3 Alternativas terapéuticas equivalentes (ATE)</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31</w:t>
        </w:r>
        <w:r w:rsidR="001A0EA8" w:rsidRPr="00811E88">
          <w:rPr>
            <w:rFonts w:ascii="Arial" w:hAnsi="Arial" w:cs="Arial"/>
            <w:noProof/>
            <w:webHidden/>
            <w:sz w:val="20"/>
            <w:szCs w:val="20"/>
          </w:rPr>
          <w:fldChar w:fldCharType="end"/>
        </w:r>
      </w:hyperlink>
    </w:p>
    <w:p w14:paraId="58D7E62A" w14:textId="653A8A99" w:rsidR="00496740" w:rsidRPr="00811E88" w:rsidRDefault="003C19DC">
      <w:pPr>
        <w:pStyle w:val="TDC2"/>
        <w:tabs>
          <w:tab w:val="right" w:pos="8729"/>
        </w:tabs>
        <w:rPr>
          <w:rFonts w:ascii="Arial" w:hAnsi="Arial" w:cs="Arial"/>
          <w:noProof/>
          <w:kern w:val="2"/>
          <w:sz w:val="20"/>
          <w:szCs w:val="20"/>
        </w:rPr>
      </w:pPr>
      <w:hyperlink w:anchor="_Toc153727202" w:history="1">
        <w:r w:rsidR="00496740" w:rsidRPr="00811E88">
          <w:rPr>
            <w:rStyle w:val="Hipervnculo"/>
            <w:rFonts w:ascii="Arial" w:hAnsi="Arial" w:cs="Arial"/>
            <w:noProof/>
            <w:sz w:val="20"/>
            <w:szCs w:val="20"/>
          </w:rPr>
          <w:t xml:space="preserve">5.2.c Evaluación de las pruebas de cribado utilizadas </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31</w:t>
        </w:r>
        <w:r w:rsidR="001A0EA8" w:rsidRPr="00811E88">
          <w:rPr>
            <w:rFonts w:ascii="Arial" w:hAnsi="Arial" w:cs="Arial"/>
            <w:noProof/>
            <w:webHidden/>
            <w:sz w:val="20"/>
            <w:szCs w:val="20"/>
          </w:rPr>
          <w:fldChar w:fldCharType="end"/>
        </w:r>
      </w:hyperlink>
    </w:p>
    <w:p w14:paraId="6DA5ADED" w14:textId="746F6D00" w:rsidR="00496740" w:rsidRPr="00811E88" w:rsidRDefault="003C19DC">
      <w:pPr>
        <w:pStyle w:val="TDC2"/>
        <w:tabs>
          <w:tab w:val="right" w:pos="8729"/>
        </w:tabs>
        <w:rPr>
          <w:rFonts w:ascii="Arial" w:hAnsi="Arial" w:cs="Arial"/>
          <w:noProof/>
          <w:kern w:val="2"/>
          <w:sz w:val="20"/>
          <w:szCs w:val="20"/>
        </w:rPr>
      </w:pPr>
      <w:hyperlink w:anchor="_Toc153727203" w:history="1">
        <w:r w:rsidR="00496740" w:rsidRPr="00811E88">
          <w:rPr>
            <w:rStyle w:val="Hipervnculo"/>
            <w:rFonts w:ascii="Arial" w:hAnsi="Arial" w:cs="Arial"/>
            <w:noProof/>
            <w:sz w:val="20"/>
            <w:szCs w:val="20"/>
          </w:rPr>
          <w:t>5.3 Revisiones sistemáticas publicadas, comparaciones indirectas y sus conclusiones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32</w:t>
        </w:r>
        <w:r w:rsidR="001A0EA8" w:rsidRPr="00811E88">
          <w:rPr>
            <w:rFonts w:ascii="Arial" w:hAnsi="Arial" w:cs="Arial"/>
            <w:noProof/>
            <w:webHidden/>
            <w:sz w:val="20"/>
            <w:szCs w:val="20"/>
          </w:rPr>
          <w:fldChar w:fldCharType="end"/>
        </w:r>
      </w:hyperlink>
    </w:p>
    <w:p w14:paraId="080E40AE" w14:textId="5D2B0400" w:rsidR="00496740" w:rsidRPr="00811E88" w:rsidRDefault="003C19DC">
      <w:pPr>
        <w:pStyle w:val="TDC2"/>
        <w:tabs>
          <w:tab w:val="right" w:pos="8729"/>
        </w:tabs>
        <w:rPr>
          <w:rFonts w:ascii="Arial" w:hAnsi="Arial" w:cs="Arial"/>
          <w:noProof/>
          <w:kern w:val="2"/>
          <w:sz w:val="20"/>
          <w:szCs w:val="20"/>
        </w:rPr>
      </w:pPr>
      <w:hyperlink w:anchor="_Toc153727204" w:history="1">
        <w:r w:rsidR="00496740" w:rsidRPr="00811E88">
          <w:rPr>
            <w:rStyle w:val="Hipervnculo"/>
            <w:rFonts w:ascii="Arial" w:hAnsi="Arial" w:cs="Arial"/>
            <w:noProof/>
            <w:sz w:val="20"/>
            <w:szCs w:val="20"/>
          </w:rPr>
          <w:t>5.3.a Revisiones sistemáticas publicadas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_Toc153727204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33</w:t>
        </w:r>
        <w:r w:rsidR="001A0EA8" w:rsidRPr="00811E88">
          <w:rPr>
            <w:rFonts w:ascii="Arial" w:hAnsi="Arial" w:cs="Arial"/>
            <w:noProof/>
            <w:webHidden/>
            <w:sz w:val="20"/>
            <w:szCs w:val="20"/>
          </w:rPr>
          <w:fldChar w:fldCharType="end"/>
        </w:r>
      </w:hyperlink>
    </w:p>
    <w:p w14:paraId="25D41620" w14:textId="3E3AA696" w:rsidR="00496740" w:rsidRPr="00811E88" w:rsidRDefault="003C19DC">
      <w:pPr>
        <w:pStyle w:val="TDC2"/>
        <w:tabs>
          <w:tab w:val="right" w:pos="8729"/>
        </w:tabs>
        <w:rPr>
          <w:rFonts w:ascii="Arial" w:hAnsi="Arial" w:cs="Arial"/>
          <w:noProof/>
          <w:kern w:val="2"/>
          <w:sz w:val="20"/>
          <w:szCs w:val="20"/>
        </w:rPr>
      </w:pPr>
      <w:hyperlink w:anchor="_Toc153727205" w:history="1">
        <w:r w:rsidR="00496740" w:rsidRPr="00811E88">
          <w:rPr>
            <w:rStyle w:val="Hipervnculo"/>
            <w:rFonts w:ascii="Arial" w:hAnsi="Arial" w:cs="Arial"/>
            <w:noProof/>
            <w:sz w:val="20"/>
            <w:szCs w:val="20"/>
          </w:rPr>
          <w:t>5.3.b Comparaciones indirectas (CCII)</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_Toc153727205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35</w:t>
        </w:r>
        <w:r w:rsidR="001A0EA8" w:rsidRPr="00811E88">
          <w:rPr>
            <w:rFonts w:ascii="Arial" w:hAnsi="Arial" w:cs="Arial"/>
            <w:noProof/>
            <w:webHidden/>
            <w:sz w:val="20"/>
            <w:szCs w:val="20"/>
          </w:rPr>
          <w:fldChar w:fldCharType="end"/>
        </w:r>
      </w:hyperlink>
    </w:p>
    <w:p w14:paraId="546184F8" w14:textId="35890501" w:rsidR="00496740" w:rsidRPr="00811E88" w:rsidRDefault="003C19DC">
      <w:pPr>
        <w:pStyle w:val="TDC2"/>
        <w:tabs>
          <w:tab w:val="right" w:pos="8729"/>
        </w:tabs>
        <w:rPr>
          <w:rFonts w:ascii="Arial" w:hAnsi="Arial" w:cs="Arial"/>
          <w:noProof/>
          <w:kern w:val="2"/>
          <w:sz w:val="20"/>
          <w:szCs w:val="20"/>
        </w:rPr>
      </w:pPr>
      <w:hyperlink w:anchor="_Toc153727206" w:history="1">
        <w:r w:rsidR="00496740" w:rsidRPr="00811E88">
          <w:rPr>
            <w:rStyle w:val="Hipervnculo"/>
            <w:rFonts w:ascii="Arial" w:hAnsi="Arial" w:cs="Arial"/>
            <w:noProof/>
            <w:sz w:val="20"/>
            <w:szCs w:val="20"/>
          </w:rPr>
          <w:t>5.3.b.1 Comparaciones Indirectas publicadas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_Toc153727206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35</w:t>
        </w:r>
        <w:r w:rsidR="001A0EA8" w:rsidRPr="00811E88">
          <w:rPr>
            <w:rFonts w:ascii="Arial" w:hAnsi="Arial" w:cs="Arial"/>
            <w:noProof/>
            <w:webHidden/>
            <w:sz w:val="20"/>
            <w:szCs w:val="20"/>
          </w:rPr>
          <w:fldChar w:fldCharType="end"/>
        </w:r>
      </w:hyperlink>
    </w:p>
    <w:p w14:paraId="3C36F28A" w14:textId="46EBA265" w:rsidR="00496740" w:rsidRPr="00811E88" w:rsidRDefault="003C19DC">
      <w:pPr>
        <w:pStyle w:val="TDC2"/>
        <w:tabs>
          <w:tab w:val="right" w:pos="8729"/>
        </w:tabs>
        <w:rPr>
          <w:rFonts w:ascii="Arial" w:hAnsi="Arial" w:cs="Arial"/>
          <w:noProof/>
          <w:kern w:val="2"/>
          <w:sz w:val="20"/>
          <w:szCs w:val="20"/>
        </w:rPr>
      </w:pPr>
      <w:hyperlink w:anchor="_Toc153727207" w:history="1">
        <w:r w:rsidR="00496740" w:rsidRPr="00811E88">
          <w:rPr>
            <w:rStyle w:val="Hipervnculo"/>
            <w:rFonts w:ascii="Arial" w:hAnsi="Arial" w:cs="Arial"/>
            <w:noProof/>
            <w:sz w:val="20"/>
            <w:szCs w:val="20"/>
          </w:rPr>
          <w:t>5.3.b.2 Comparaciones indirectas de elaboración propia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_Toc153727207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35</w:t>
        </w:r>
        <w:r w:rsidR="001A0EA8" w:rsidRPr="00811E88">
          <w:rPr>
            <w:rFonts w:ascii="Arial" w:hAnsi="Arial" w:cs="Arial"/>
            <w:noProof/>
            <w:webHidden/>
            <w:sz w:val="20"/>
            <w:szCs w:val="20"/>
          </w:rPr>
          <w:fldChar w:fldCharType="end"/>
        </w:r>
      </w:hyperlink>
    </w:p>
    <w:p w14:paraId="230366CF" w14:textId="1D16CAB0" w:rsidR="00496740" w:rsidRPr="00811E88" w:rsidRDefault="003C19DC">
      <w:pPr>
        <w:pStyle w:val="TDC2"/>
        <w:tabs>
          <w:tab w:val="right" w:pos="8729"/>
        </w:tabs>
        <w:rPr>
          <w:rFonts w:ascii="Arial" w:hAnsi="Arial" w:cs="Arial"/>
          <w:noProof/>
          <w:kern w:val="2"/>
          <w:sz w:val="20"/>
          <w:szCs w:val="20"/>
        </w:rPr>
      </w:pPr>
      <w:hyperlink w:anchor="_Toc153727208" w:history="1">
        <w:r w:rsidR="00496740" w:rsidRPr="00811E88">
          <w:rPr>
            <w:rStyle w:val="Hipervnculo"/>
            <w:rFonts w:ascii="Arial" w:hAnsi="Arial" w:cs="Arial"/>
            <w:noProof/>
            <w:sz w:val="20"/>
            <w:szCs w:val="20"/>
          </w:rPr>
          <w:t>5.4 Evaluación de fuentes secundarias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36</w:t>
        </w:r>
        <w:r w:rsidR="001A0EA8" w:rsidRPr="00811E88">
          <w:rPr>
            <w:rFonts w:ascii="Arial" w:hAnsi="Arial" w:cs="Arial"/>
            <w:noProof/>
            <w:webHidden/>
            <w:sz w:val="20"/>
            <w:szCs w:val="20"/>
          </w:rPr>
          <w:fldChar w:fldCharType="end"/>
        </w:r>
      </w:hyperlink>
    </w:p>
    <w:p w14:paraId="548BE266" w14:textId="26A2A41C" w:rsidR="00496740" w:rsidRPr="00811E88" w:rsidRDefault="003C19DC">
      <w:pPr>
        <w:pStyle w:val="TDC2"/>
        <w:tabs>
          <w:tab w:val="right" w:pos="8729"/>
        </w:tabs>
        <w:rPr>
          <w:rFonts w:ascii="Arial" w:hAnsi="Arial" w:cs="Arial"/>
          <w:noProof/>
          <w:kern w:val="2"/>
          <w:sz w:val="20"/>
          <w:szCs w:val="20"/>
        </w:rPr>
      </w:pPr>
      <w:hyperlink w:anchor="_Toc153727209" w:history="1">
        <w:r w:rsidR="00496740" w:rsidRPr="00811E88">
          <w:rPr>
            <w:rStyle w:val="Hipervnculo"/>
            <w:rFonts w:ascii="Arial" w:hAnsi="Arial" w:cs="Arial"/>
            <w:noProof/>
            <w:sz w:val="20"/>
            <w:szCs w:val="20"/>
          </w:rPr>
          <w:t>5.4.1 Guías de Práctica clínica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_Toc153727209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37</w:t>
        </w:r>
        <w:r w:rsidR="001A0EA8" w:rsidRPr="00811E88">
          <w:rPr>
            <w:rFonts w:ascii="Arial" w:hAnsi="Arial" w:cs="Arial"/>
            <w:noProof/>
            <w:webHidden/>
            <w:sz w:val="20"/>
            <w:szCs w:val="20"/>
          </w:rPr>
          <w:fldChar w:fldCharType="end"/>
        </w:r>
      </w:hyperlink>
    </w:p>
    <w:p w14:paraId="15793CAC" w14:textId="3BB3B170" w:rsidR="00496740" w:rsidRPr="00811E88" w:rsidRDefault="003C19DC">
      <w:pPr>
        <w:pStyle w:val="TDC2"/>
        <w:tabs>
          <w:tab w:val="right" w:pos="8729"/>
        </w:tabs>
        <w:rPr>
          <w:rFonts w:ascii="Arial" w:hAnsi="Arial" w:cs="Arial"/>
          <w:noProof/>
          <w:kern w:val="2"/>
          <w:sz w:val="20"/>
          <w:szCs w:val="20"/>
        </w:rPr>
      </w:pPr>
      <w:hyperlink w:anchor="_Toc153727210" w:history="1">
        <w:r w:rsidR="00496740" w:rsidRPr="00811E88">
          <w:rPr>
            <w:rStyle w:val="Hipervnculo"/>
            <w:rFonts w:ascii="Arial" w:hAnsi="Arial" w:cs="Arial"/>
            <w:noProof/>
            <w:sz w:val="20"/>
            <w:szCs w:val="20"/>
          </w:rPr>
          <w:t>5.4.2 Evaluaciones previas por organismos independientes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37</w:t>
        </w:r>
        <w:r w:rsidR="001A0EA8" w:rsidRPr="00811E88">
          <w:rPr>
            <w:rFonts w:ascii="Arial" w:hAnsi="Arial" w:cs="Arial"/>
            <w:noProof/>
            <w:webHidden/>
            <w:sz w:val="20"/>
            <w:szCs w:val="20"/>
          </w:rPr>
          <w:fldChar w:fldCharType="end"/>
        </w:r>
      </w:hyperlink>
    </w:p>
    <w:p w14:paraId="67194F40" w14:textId="70EAFFC9" w:rsidR="00496740" w:rsidRPr="00811E88" w:rsidRDefault="003C19DC">
      <w:pPr>
        <w:pStyle w:val="TDC2"/>
        <w:tabs>
          <w:tab w:val="right" w:pos="8729"/>
        </w:tabs>
        <w:rPr>
          <w:rFonts w:ascii="Arial" w:hAnsi="Arial" w:cs="Arial"/>
          <w:noProof/>
          <w:kern w:val="2"/>
          <w:sz w:val="20"/>
          <w:szCs w:val="20"/>
        </w:rPr>
      </w:pPr>
      <w:hyperlink w:anchor="_Toc153727211" w:history="1">
        <w:r w:rsidR="00496740" w:rsidRPr="00811E88">
          <w:rPr>
            <w:rStyle w:val="Hipervnculo"/>
            <w:rFonts w:ascii="Arial" w:hAnsi="Arial" w:cs="Arial"/>
            <w:noProof/>
            <w:sz w:val="20"/>
            <w:szCs w:val="20"/>
          </w:rPr>
          <w:t>5.4.3 Opiniones de expertos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38</w:t>
        </w:r>
        <w:r w:rsidR="001A0EA8" w:rsidRPr="00811E88">
          <w:rPr>
            <w:rFonts w:ascii="Arial" w:hAnsi="Arial" w:cs="Arial"/>
            <w:noProof/>
            <w:webHidden/>
            <w:sz w:val="20"/>
            <w:szCs w:val="20"/>
          </w:rPr>
          <w:fldChar w:fldCharType="end"/>
        </w:r>
      </w:hyperlink>
    </w:p>
    <w:p w14:paraId="51023000" w14:textId="46026EC4" w:rsidR="00496740" w:rsidRPr="00811E88" w:rsidRDefault="003C19DC">
      <w:pPr>
        <w:pStyle w:val="TDC2"/>
        <w:tabs>
          <w:tab w:val="right" w:pos="8729"/>
        </w:tabs>
        <w:rPr>
          <w:rFonts w:ascii="Arial" w:hAnsi="Arial" w:cs="Arial"/>
          <w:noProof/>
          <w:kern w:val="2"/>
          <w:sz w:val="20"/>
          <w:szCs w:val="20"/>
        </w:rPr>
      </w:pPr>
      <w:hyperlink w:anchor="_Toc153727212" w:history="1">
        <w:r w:rsidR="00496740" w:rsidRPr="00811E88">
          <w:rPr>
            <w:rStyle w:val="Hipervnculo"/>
            <w:rFonts w:ascii="Arial" w:hAnsi="Arial" w:cs="Arial"/>
            <w:noProof/>
            <w:sz w:val="20"/>
            <w:szCs w:val="20"/>
          </w:rPr>
          <w:t>5.4.4 Otras fuentes.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38</w:t>
        </w:r>
        <w:r w:rsidR="001A0EA8" w:rsidRPr="00811E88">
          <w:rPr>
            <w:rFonts w:ascii="Arial" w:hAnsi="Arial" w:cs="Arial"/>
            <w:noProof/>
            <w:webHidden/>
            <w:sz w:val="20"/>
            <w:szCs w:val="20"/>
          </w:rPr>
          <w:fldChar w:fldCharType="end"/>
        </w:r>
      </w:hyperlink>
    </w:p>
    <w:p w14:paraId="5BF86377" w14:textId="1513297D" w:rsidR="00496740" w:rsidRPr="00811E88" w:rsidRDefault="003C19DC">
      <w:pPr>
        <w:pStyle w:val="TDC1"/>
        <w:tabs>
          <w:tab w:val="right" w:pos="8729"/>
        </w:tabs>
        <w:rPr>
          <w:rFonts w:ascii="Arial" w:hAnsi="Arial" w:cs="Arial"/>
          <w:noProof/>
          <w:kern w:val="2"/>
          <w:sz w:val="20"/>
          <w:szCs w:val="20"/>
        </w:rPr>
      </w:pPr>
      <w:hyperlink w:anchor="_Toc153727213" w:history="1">
        <w:r w:rsidR="00496740" w:rsidRPr="00811E88">
          <w:rPr>
            <w:rStyle w:val="Hipervnculo"/>
            <w:rFonts w:ascii="Arial" w:hAnsi="Arial" w:cs="Arial"/>
            <w:noProof/>
            <w:sz w:val="20"/>
            <w:szCs w:val="20"/>
          </w:rPr>
          <w:t>6. EVALUACIÓN DE LA SEGURIDAD.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38</w:t>
        </w:r>
        <w:r w:rsidR="001A0EA8" w:rsidRPr="00811E88">
          <w:rPr>
            <w:rFonts w:ascii="Arial" w:hAnsi="Arial" w:cs="Arial"/>
            <w:noProof/>
            <w:webHidden/>
            <w:sz w:val="20"/>
            <w:szCs w:val="20"/>
          </w:rPr>
          <w:fldChar w:fldCharType="end"/>
        </w:r>
      </w:hyperlink>
    </w:p>
    <w:p w14:paraId="630CA28C" w14:textId="6C0F512A" w:rsidR="00496740" w:rsidRPr="00811E88" w:rsidRDefault="003C19DC">
      <w:pPr>
        <w:pStyle w:val="TDC2"/>
        <w:tabs>
          <w:tab w:val="right" w:pos="8729"/>
        </w:tabs>
        <w:rPr>
          <w:rFonts w:ascii="Arial" w:hAnsi="Arial" w:cs="Arial"/>
          <w:noProof/>
          <w:kern w:val="2"/>
          <w:sz w:val="20"/>
          <w:szCs w:val="20"/>
        </w:rPr>
      </w:pPr>
      <w:hyperlink w:anchor="_Toc153727214" w:history="1">
        <w:r w:rsidR="00496740" w:rsidRPr="00811E88">
          <w:rPr>
            <w:rStyle w:val="Hipervnculo"/>
            <w:rFonts w:ascii="Arial" w:hAnsi="Arial" w:cs="Arial"/>
            <w:noProof/>
            <w:sz w:val="20"/>
            <w:szCs w:val="20"/>
          </w:rPr>
          <w:t>6.1.a Descripción de la búsqueda bibliográfica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_Toc153727214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38</w:t>
        </w:r>
        <w:r w:rsidR="001A0EA8" w:rsidRPr="00811E88">
          <w:rPr>
            <w:rFonts w:ascii="Arial" w:hAnsi="Arial" w:cs="Arial"/>
            <w:noProof/>
            <w:webHidden/>
            <w:sz w:val="20"/>
            <w:szCs w:val="20"/>
          </w:rPr>
          <w:fldChar w:fldCharType="end"/>
        </w:r>
      </w:hyperlink>
    </w:p>
    <w:p w14:paraId="76C4B849" w14:textId="6102BC0C" w:rsidR="00496740" w:rsidRPr="00811E88" w:rsidRDefault="003C19DC">
      <w:pPr>
        <w:pStyle w:val="TDC2"/>
        <w:tabs>
          <w:tab w:val="right" w:pos="8729"/>
        </w:tabs>
        <w:rPr>
          <w:rFonts w:ascii="Arial" w:hAnsi="Arial" w:cs="Arial"/>
          <w:noProof/>
          <w:kern w:val="2"/>
          <w:sz w:val="20"/>
          <w:szCs w:val="20"/>
        </w:rPr>
      </w:pPr>
      <w:hyperlink w:anchor="_Toc153727215" w:history="1">
        <w:r w:rsidR="00496740" w:rsidRPr="00811E88">
          <w:rPr>
            <w:rStyle w:val="Hipervnculo"/>
            <w:rFonts w:ascii="Arial" w:hAnsi="Arial" w:cs="Arial"/>
            <w:noProof/>
            <w:sz w:val="20"/>
            <w:szCs w:val="20"/>
          </w:rPr>
          <w:t>6.1.b Descripción de los efectos adversos más significativos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_Toc153727215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38</w:t>
        </w:r>
        <w:r w:rsidR="001A0EA8" w:rsidRPr="00811E88">
          <w:rPr>
            <w:rFonts w:ascii="Arial" w:hAnsi="Arial" w:cs="Arial"/>
            <w:noProof/>
            <w:webHidden/>
            <w:sz w:val="20"/>
            <w:szCs w:val="20"/>
          </w:rPr>
          <w:fldChar w:fldCharType="end"/>
        </w:r>
      </w:hyperlink>
    </w:p>
    <w:p w14:paraId="73DECA25" w14:textId="1374983E" w:rsidR="00496740" w:rsidRPr="00811E88" w:rsidRDefault="003C19DC">
      <w:pPr>
        <w:pStyle w:val="TDC2"/>
        <w:tabs>
          <w:tab w:val="right" w:pos="8729"/>
        </w:tabs>
        <w:rPr>
          <w:rFonts w:ascii="Arial" w:hAnsi="Arial" w:cs="Arial"/>
          <w:noProof/>
          <w:kern w:val="2"/>
          <w:sz w:val="20"/>
          <w:szCs w:val="20"/>
        </w:rPr>
      </w:pPr>
      <w:hyperlink w:anchor="_Toc153727216" w:history="1">
        <w:r w:rsidR="00496740" w:rsidRPr="00811E88">
          <w:rPr>
            <w:rStyle w:val="Hipervnculo"/>
            <w:rFonts w:ascii="Arial" w:hAnsi="Arial" w:cs="Arial"/>
            <w:noProof/>
            <w:sz w:val="20"/>
            <w:szCs w:val="20"/>
          </w:rPr>
          <w:t>6.2 Ensayos Clínicos comparativos.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_Toc153727216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42</w:t>
        </w:r>
        <w:r w:rsidR="001A0EA8" w:rsidRPr="00811E88">
          <w:rPr>
            <w:rFonts w:ascii="Arial" w:hAnsi="Arial" w:cs="Arial"/>
            <w:noProof/>
            <w:webHidden/>
            <w:sz w:val="20"/>
            <w:szCs w:val="20"/>
          </w:rPr>
          <w:fldChar w:fldCharType="end"/>
        </w:r>
      </w:hyperlink>
    </w:p>
    <w:p w14:paraId="44FDD092" w14:textId="77539D3F" w:rsidR="00496740" w:rsidRPr="00811E88" w:rsidRDefault="003C19DC">
      <w:pPr>
        <w:pStyle w:val="TDC2"/>
        <w:tabs>
          <w:tab w:val="right" w:pos="8729"/>
        </w:tabs>
        <w:rPr>
          <w:rFonts w:ascii="Arial" w:hAnsi="Arial" w:cs="Arial"/>
          <w:noProof/>
          <w:kern w:val="2"/>
          <w:sz w:val="20"/>
          <w:szCs w:val="20"/>
        </w:rPr>
      </w:pPr>
      <w:hyperlink w:anchor="_Toc153727217" w:history="1">
        <w:r w:rsidR="00496740" w:rsidRPr="00811E88">
          <w:rPr>
            <w:rStyle w:val="Hipervnculo"/>
            <w:rFonts w:ascii="Arial" w:hAnsi="Arial" w:cs="Arial"/>
            <w:noProof/>
            <w:sz w:val="20"/>
            <w:szCs w:val="20"/>
          </w:rPr>
          <w:t>6.3 Fuentes secundarias sobre seguridad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_Toc153727217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42</w:t>
        </w:r>
        <w:r w:rsidR="001A0EA8" w:rsidRPr="00811E88">
          <w:rPr>
            <w:rFonts w:ascii="Arial" w:hAnsi="Arial" w:cs="Arial"/>
            <w:noProof/>
            <w:webHidden/>
            <w:sz w:val="20"/>
            <w:szCs w:val="20"/>
          </w:rPr>
          <w:fldChar w:fldCharType="end"/>
        </w:r>
      </w:hyperlink>
    </w:p>
    <w:p w14:paraId="583756DE" w14:textId="57194441" w:rsidR="00496740" w:rsidRPr="00811E88" w:rsidRDefault="003C19DC">
      <w:pPr>
        <w:pStyle w:val="TDC2"/>
        <w:tabs>
          <w:tab w:val="right" w:pos="8729"/>
        </w:tabs>
        <w:rPr>
          <w:rFonts w:ascii="Arial" w:hAnsi="Arial" w:cs="Arial"/>
          <w:noProof/>
          <w:kern w:val="2"/>
          <w:sz w:val="20"/>
          <w:szCs w:val="20"/>
        </w:rPr>
      </w:pPr>
      <w:hyperlink w:anchor="_Toc153727218" w:history="1">
        <w:r w:rsidR="00496740" w:rsidRPr="00811E88">
          <w:rPr>
            <w:rStyle w:val="Hipervnculo"/>
            <w:rFonts w:ascii="Arial" w:hAnsi="Arial" w:cs="Arial"/>
            <w:noProof/>
            <w:sz w:val="20"/>
            <w:szCs w:val="20"/>
          </w:rPr>
          <w:t>6.4 Precauciones de empleo en casos especiales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43</w:t>
        </w:r>
        <w:r w:rsidR="001A0EA8" w:rsidRPr="00811E88">
          <w:rPr>
            <w:rFonts w:ascii="Arial" w:hAnsi="Arial" w:cs="Arial"/>
            <w:noProof/>
            <w:webHidden/>
            <w:sz w:val="20"/>
            <w:szCs w:val="20"/>
          </w:rPr>
          <w:fldChar w:fldCharType="end"/>
        </w:r>
      </w:hyperlink>
    </w:p>
    <w:p w14:paraId="5E0C56B7" w14:textId="14C43BED" w:rsidR="00496740" w:rsidRPr="00811E88" w:rsidRDefault="003C19DC">
      <w:pPr>
        <w:pStyle w:val="TDC1"/>
        <w:tabs>
          <w:tab w:val="right" w:pos="8729"/>
        </w:tabs>
        <w:rPr>
          <w:rFonts w:ascii="Arial" w:hAnsi="Arial" w:cs="Arial"/>
          <w:noProof/>
          <w:kern w:val="2"/>
          <w:sz w:val="20"/>
          <w:szCs w:val="20"/>
        </w:rPr>
      </w:pPr>
      <w:hyperlink w:anchor="_Toc153727219" w:history="1">
        <w:r w:rsidR="00496740" w:rsidRPr="00811E88">
          <w:rPr>
            <w:rStyle w:val="Hipervnculo"/>
            <w:rFonts w:ascii="Arial" w:hAnsi="Arial" w:cs="Arial"/>
            <w:noProof/>
            <w:sz w:val="20"/>
            <w:szCs w:val="20"/>
          </w:rPr>
          <w:t>7. AREA ECONÓMICA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_Toc153727219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46</w:t>
        </w:r>
        <w:r w:rsidR="001A0EA8" w:rsidRPr="00811E88">
          <w:rPr>
            <w:rFonts w:ascii="Arial" w:hAnsi="Arial" w:cs="Arial"/>
            <w:noProof/>
            <w:webHidden/>
            <w:sz w:val="20"/>
            <w:szCs w:val="20"/>
          </w:rPr>
          <w:fldChar w:fldCharType="end"/>
        </w:r>
      </w:hyperlink>
    </w:p>
    <w:p w14:paraId="1A67A30B" w14:textId="564FA8A0" w:rsidR="00496740" w:rsidRPr="00811E88" w:rsidRDefault="003C19DC">
      <w:pPr>
        <w:pStyle w:val="TDC2"/>
        <w:tabs>
          <w:tab w:val="right" w:pos="8729"/>
        </w:tabs>
        <w:rPr>
          <w:rFonts w:ascii="Arial" w:hAnsi="Arial" w:cs="Arial"/>
          <w:noProof/>
          <w:kern w:val="2"/>
          <w:sz w:val="20"/>
          <w:szCs w:val="20"/>
        </w:rPr>
      </w:pPr>
      <w:hyperlink w:anchor="_Toc153727220" w:history="1">
        <w:r w:rsidR="00496740" w:rsidRPr="00811E88">
          <w:rPr>
            <w:rStyle w:val="Hipervnculo"/>
            <w:rFonts w:ascii="Arial" w:hAnsi="Arial" w:cs="Arial"/>
            <w:noProof/>
            <w:sz w:val="20"/>
            <w:szCs w:val="20"/>
          </w:rPr>
          <w:t>7.1 Costes. Coste incremental</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46</w:t>
        </w:r>
        <w:r w:rsidR="001A0EA8" w:rsidRPr="00811E88">
          <w:rPr>
            <w:rFonts w:ascii="Arial" w:hAnsi="Arial" w:cs="Arial"/>
            <w:noProof/>
            <w:webHidden/>
            <w:sz w:val="20"/>
            <w:szCs w:val="20"/>
          </w:rPr>
          <w:fldChar w:fldCharType="end"/>
        </w:r>
      </w:hyperlink>
    </w:p>
    <w:p w14:paraId="14E69A71" w14:textId="5C0F9209" w:rsidR="00496740" w:rsidRPr="00811E88" w:rsidRDefault="003C19DC">
      <w:pPr>
        <w:pStyle w:val="TDC2"/>
        <w:tabs>
          <w:tab w:val="right" w:pos="8729"/>
        </w:tabs>
        <w:rPr>
          <w:rFonts w:ascii="Arial" w:hAnsi="Arial" w:cs="Arial"/>
          <w:noProof/>
          <w:kern w:val="2"/>
          <w:sz w:val="20"/>
          <w:szCs w:val="20"/>
        </w:rPr>
      </w:pPr>
      <w:hyperlink w:anchor="_Toc153727221" w:history="1">
        <w:r w:rsidR="00496740" w:rsidRPr="00811E88">
          <w:rPr>
            <w:rStyle w:val="Hipervnculo"/>
            <w:rFonts w:ascii="Arial" w:hAnsi="Arial" w:cs="Arial"/>
            <w:noProof/>
            <w:sz w:val="20"/>
            <w:szCs w:val="20"/>
          </w:rPr>
          <w:t>7.2 Evaluaciones económicas publicadas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46</w:t>
        </w:r>
        <w:r w:rsidR="001A0EA8" w:rsidRPr="00811E88">
          <w:rPr>
            <w:rFonts w:ascii="Arial" w:hAnsi="Arial" w:cs="Arial"/>
            <w:noProof/>
            <w:webHidden/>
            <w:sz w:val="20"/>
            <w:szCs w:val="20"/>
          </w:rPr>
          <w:fldChar w:fldCharType="end"/>
        </w:r>
      </w:hyperlink>
    </w:p>
    <w:p w14:paraId="6DBF926D" w14:textId="4407FC38" w:rsidR="00496740" w:rsidRPr="00811E88" w:rsidRDefault="003C19DC">
      <w:pPr>
        <w:pStyle w:val="TDC2"/>
        <w:tabs>
          <w:tab w:val="right" w:pos="8729"/>
        </w:tabs>
        <w:rPr>
          <w:rFonts w:ascii="Arial" w:hAnsi="Arial" w:cs="Arial"/>
          <w:noProof/>
          <w:kern w:val="2"/>
          <w:sz w:val="20"/>
          <w:szCs w:val="20"/>
        </w:rPr>
      </w:pPr>
      <w:hyperlink w:anchor="_Toc153727222" w:history="1">
        <w:r w:rsidR="00496740" w:rsidRPr="00811E88">
          <w:rPr>
            <w:rStyle w:val="Hipervnculo"/>
            <w:rFonts w:ascii="Arial" w:hAnsi="Arial" w:cs="Arial"/>
            <w:noProof/>
            <w:sz w:val="20"/>
            <w:szCs w:val="20"/>
          </w:rPr>
          <w:t>7.3 Evaluación económica de elaboración propia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47</w:t>
        </w:r>
        <w:r w:rsidR="001A0EA8" w:rsidRPr="00811E88">
          <w:rPr>
            <w:rFonts w:ascii="Arial" w:hAnsi="Arial" w:cs="Arial"/>
            <w:noProof/>
            <w:webHidden/>
            <w:sz w:val="20"/>
            <w:szCs w:val="20"/>
          </w:rPr>
          <w:fldChar w:fldCharType="end"/>
        </w:r>
      </w:hyperlink>
    </w:p>
    <w:p w14:paraId="69615455" w14:textId="6A001963" w:rsidR="00496740" w:rsidRPr="00811E88" w:rsidRDefault="003C19DC">
      <w:pPr>
        <w:pStyle w:val="TDC2"/>
        <w:tabs>
          <w:tab w:val="right" w:pos="8729"/>
        </w:tabs>
        <w:rPr>
          <w:rFonts w:ascii="Arial" w:hAnsi="Arial" w:cs="Arial"/>
          <w:noProof/>
          <w:kern w:val="2"/>
          <w:sz w:val="20"/>
          <w:szCs w:val="20"/>
        </w:rPr>
      </w:pPr>
      <w:hyperlink w:anchor="_Toc153727223" w:history="1">
        <w:r w:rsidR="00496740" w:rsidRPr="00811E88">
          <w:rPr>
            <w:rStyle w:val="Hipervnculo"/>
            <w:rFonts w:ascii="Arial" w:hAnsi="Arial" w:cs="Arial"/>
            <w:noProof/>
            <w:sz w:val="20"/>
            <w:szCs w:val="20"/>
          </w:rPr>
          <w:t>7.3.3 Coste-utilidad. Estudios propios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47</w:t>
        </w:r>
        <w:r w:rsidR="001A0EA8" w:rsidRPr="00811E88">
          <w:rPr>
            <w:rFonts w:ascii="Arial" w:hAnsi="Arial" w:cs="Arial"/>
            <w:noProof/>
            <w:webHidden/>
            <w:sz w:val="20"/>
            <w:szCs w:val="20"/>
          </w:rPr>
          <w:fldChar w:fldCharType="end"/>
        </w:r>
      </w:hyperlink>
    </w:p>
    <w:p w14:paraId="55ED4115" w14:textId="04696837" w:rsidR="00496740" w:rsidRPr="00811E88" w:rsidRDefault="003C19DC">
      <w:pPr>
        <w:pStyle w:val="TDC2"/>
        <w:tabs>
          <w:tab w:val="right" w:pos="8729"/>
        </w:tabs>
        <w:rPr>
          <w:rFonts w:ascii="Arial" w:hAnsi="Arial" w:cs="Arial"/>
          <w:noProof/>
          <w:kern w:val="2"/>
          <w:sz w:val="20"/>
          <w:szCs w:val="20"/>
        </w:rPr>
      </w:pPr>
      <w:hyperlink w:anchor="_Toc153727224" w:history="1">
        <w:r w:rsidR="00496740" w:rsidRPr="00811E88">
          <w:rPr>
            <w:rStyle w:val="Hipervnculo"/>
            <w:rFonts w:ascii="Arial" w:hAnsi="Arial" w:cs="Arial"/>
            <w:noProof/>
            <w:sz w:val="20"/>
            <w:szCs w:val="20"/>
          </w:rPr>
          <w:t>7.3.4. Análisis de sensibilidad</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_Toc153727224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47</w:t>
        </w:r>
        <w:r w:rsidR="001A0EA8" w:rsidRPr="00811E88">
          <w:rPr>
            <w:rFonts w:ascii="Arial" w:hAnsi="Arial" w:cs="Arial"/>
            <w:noProof/>
            <w:webHidden/>
            <w:sz w:val="20"/>
            <w:szCs w:val="20"/>
          </w:rPr>
          <w:fldChar w:fldCharType="end"/>
        </w:r>
      </w:hyperlink>
    </w:p>
    <w:p w14:paraId="09E6944E" w14:textId="6FF6190F" w:rsidR="00496740" w:rsidRPr="00811E88" w:rsidRDefault="003C19DC">
      <w:pPr>
        <w:pStyle w:val="TDC1"/>
        <w:tabs>
          <w:tab w:val="right" w:pos="8729"/>
        </w:tabs>
        <w:rPr>
          <w:rFonts w:ascii="Arial" w:hAnsi="Arial" w:cs="Arial"/>
          <w:noProof/>
          <w:kern w:val="2"/>
          <w:sz w:val="20"/>
          <w:szCs w:val="20"/>
        </w:rPr>
      </w:pPr>
      <w:hyperlink w:anchor="_Toc153727225" w:history="1">
        <w:r w:rsidR="00496740" w:rsidRPr="00811E88">
          <w:rPr>
            <w:rStyle w:val="Hipervnculo"/>
            <w:rFonts w:ascii="Arial" w:hAnsi="Arial" w:cs="Arial"/>
            <w:noProof/>
            <w:sz w:val="20"/>
            <w:szCs w:val="20"/>
          </w:rPr>
          <w:t>8. EVALUACIÓN DE LA CONVENIENCIA.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_Toc153727225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50</w:t>
        </w:r>
        <w:r w:rsidR="001A0EA8" w:rsidRPr="00811E88">
          <w:rPr>
            <w:rFonts w:ascii="Arial" w:hAnsi="Arial" w:cs="Arial"/>
            <w:noProof/>
            <w:webHidden/>
            <w:sz w:val="20"/>
            <w:szCs w:val="20"/>
          </w:rPr>
          <w:fldChar w:fldCharType="end"/>
        </w:r>
      </w:hyperlink>
    </w:p>
    <w:p w14:paraId="6DD4275C" w14:textId="7087D58E" w:rsidR="00496740" w:rsidRPr="00811E88" w:rsidRDefault="003C19DC">
      <w:pPr>
        <w:pStyle w:val="TDC2"/>
        <w:tabs>
          <w:tab w:val="right" w:pos="8729"/>
        </w:tabs>
        <w:rPr>
          <w:rFonts w:ascii="Arial" w:hAnsi="Arial" w:cs="Arial"/>
          <w:noProof/>
          <w:kern w:val="2"/>
          <w:sz w:val="20"/>
          <w:szCs w:val="20"/>
        </w:rPr>
      </w:pPr>
      <w:hyperlink w:anchor="_Toc153727226" w:history="1">
        <w:r w:rsidR="00496740" w:rsidRPr="00811E88">
          <w:rPr>
            <w:rStyle w:val="Hipervnculo"/>
            <w:rFonts w:ascii="Arial" w:hAnsi="Arial" w:cs="Arial"/>
            <w:noProof/>
            <w:sz w:val="20"/>
            <w:szCs w:val="20"/>
          </w:rPr>
          <w:t>8.1 Descripción de la conveniencia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_Toc153727226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50</w:t>
        </w:r>
        <w:r w:rsidR="001A0EA8" w:rsidRPr="00811E88">
          <w:rPr>
            <w:rFonts w:ascii="Arial" w:hAnsi="Arial" w:cs="Arial"/>
            <w:noProof/>
            <w:webHidden/>
            <w:sz w:val="20"/>
            <w:szCs w:val="20"/>
          </w:rPr>
          <w:fldChar w:fldCharType="end"/>
        </w:r>
      </w:hyperlink>
    </w:p>
    <w:p w14:paraId="7EF6E902" w14:textId="1AB1437A" w:rsidR="00496740" w:rsidRPr="00811E88" w:rsidRDefault="003C19DC">
      <w:pPr>
        <w:pStyle w:val="TDC2"/>
        <w:tabs>
          <w:tab w:val="right" w:pos="8729"/>
        </w:tabs>
        <w:rPr>
          <w:rFonts w:ascii="Arial" w:hAnsi="Arial" w:cs="Arial"/>
          <w:noProof/>
          <w:kern w:val="2"/>
          <w:sz w:val="20"/>
          <w:szCs w:val="20"/>
        </w:rPr>
      </w:pPr>
      <w:hyperlink w:anchor="_Toc153727227" w:history="1">
        <w:r w:rsidR="00496740" w:rsidRPr="00811E88">
          <w:rPr>
            <w:rStyle w:val="Hipervnculo"/>
            <w:rFonts w:ascii="Arial" w:hAnsi="Arial" w:cs="Arial"/>
            <w:noProof/>
            <w:sz w:val="20"/>
            <w:szCs w:val="20"/>
          </w:rPr>
          <w:t>8.2 Influencia de la conveniencia en la efectividad del tratamiento</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_Toc153727227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50</w:t>
        </w:r>
        <w:r w:rsidR="001A0EA8" w:rsidRPr="00811E88">
          <w:rPr>
            <w:rFonts w:ascii="Arial" w:hAnsi="Arial" w:cs="Arial"/>
            <w:noProof/>
            <w:webHidden/>
            <w:sz w:val="20"/>
            <w:szCs w:val="20"/>
          </w:rPr>
          <w:fldChar w:fldCharType="end"/>
        </w:r>
      </w:hyperlink>
    </w:p>
    <w:p w14:paraId="6155E3D7" w14:textId="5EBAD4A2" w:rsidR="00496740" w:rsidRPr="00811E88" w:rsidRDefault="003C19DC">
      <w:pPr>
        <w:pStyle w:val="TDC1"/>
        <w:tabs>
          <w:tab w:val="right" w:pos="8729"/>
        </w:tabs>
        <w:rPr>
          <w:rFonts w:ascii="Arial" w:hAnsi="Arial" w:cs="Arial"/>
          <w:noProof/>
          <w:kern w:val="2"/>
          <w:sz w:val="20"/>
          <w:szCs w:val="20"/>
        </w:rPr>
      </w:pPr>
      <w:hyperlink w:anchor="_Toc153727228" w:history="1">
        <w:r w:rsidR="00496740" w:rsidRPr="00811E88">
          <w:rPr>
            <w:rStyle w:val="Hipervnculo"/>
            <w:rFonts w:ascii="Arial" w:hAnsi="Arial" w:cs="Arial"/>
            <w:noProof/>
            <w:sz w:val="20"/>
            <w:szCs w:val="20"/>
          </w:rPr>
          <w:t>9. AREA DE CONCLUSIONES.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_Toc153727228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50</w:t>
        </w:r>
        <w:r w:rsidR="001A0EA8" w:rsidRPr="00811E88">
          <w:rPr>
            <w:rFonts w:ascii="Arial" w:hAnsi="Arial" w:cs="Arial"/>
            <w:noProof/>
            <w:webHidden/>
            <w:sz w:val="20"/>
            <w:szCs w:val="20"/>
          </w:rPr>
          <w:fldChar w:fldCharType="end"/>
        </w:r>
      </w:hyperlink>
    </w:p>
    <w:p w14:paraId="3712A186" w14:textId="79839ED6" w:rsidR="00496740" w:rsidRPr="00811E88" w:rsidRDefault="003C19DC">
      <w:pPr>
        <w:pStyle w:val="TDC2"/>
        <w:tabs>
          <w:tab w:val="right" w:pos="8729"/>
        </w:tabs>
        <w:rPr>
          <w:rFonts w:ascii="Arial" w:hAnsi="Arial" w:cs="Arial"/>
          <w:noProof/>
          <w:kern w:val="2"/>
          <w:sz w:val="20"/>
          <w:szCs w:val="20"/>
        </w:rPr>
      </w:pPr>
      <w:hyperlink w:anchor="_Toc153727229" w:history="1">
        <w:r w:rsidR="00496740" w:rsidRPr="00811E88">
          <w:rPr>
            <w:rStyle w:val="Hipervnculo"/>
            <w:rFonts w:ascii="Arial" w:hAnsi="Arial" w:cs="Arial"/>
            <w:noProof/>
            <w:sz w:val="20"/>
            <w:szCs w:val="20"/>
          </w:rPr>
          <w:t>9.1 Resumen de los aspectos más significativos respecto a la alternativa y propuestas</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_Toc153727229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50</w:t>
        </w:r>
        <w:r w:rsidR="001A0EA8" w:rsidRPr="00811E88">
          <w:rPr>
            <w:rFonts w:ascii="Arial" w:hAnsi="Arial" w:cs="Arial"/>
            <w:noProof/>
            <w:webHidden/>
            <w:sz w:val="20"/>
            <w:szCs w:val="20"/>
          </w:rPr>
          <w:fldChar w:fldCharType="end"/>
        </w:r>
      </w:hyperlink>
    </w:p>
    <w:p w14:paraId="60CB532A" w14:textId="1E3091FA" w:rsidR="00496740" w:rsidRPr="00811E88" w:rsidRDefault="003C19DC">
      <w:pPr>
        <w:pStyle w:val="TDC2"/>
        <w:tabs>
          <w:tab w:val="right" w:pos="8729"/>
        </w:tabs>
        <w:rPr>
          <w:rFonts w:ascii="Arial" w:hAnsi="Arial" w:cs="Arial"/>
          <w:noProof/>
          <w:kern w:val="2"/>
          <w:sz w:val="20"/>
          <w:szCs w:val="20"/>
        </w:rPr>
      </w:pPr>
      <w:hyperlink w:anchor="_Toc153727230" w:history="1">
        <w:r w:rsidR="00496740" w:rsidRPr="00811E88">
          <w:rPr>
            <w:rStyle w:val="Hipervnculo"/>
            <w:rFonts w:ascii="Arial" w:hAnsi="Arial" w:cs="Arial"/>
            <w:noProof/>
            <w:sz w:val="20"/>
            <w:szCs w:val="20"/>
          </w:rPr>
          <w:t>9.2 Decisión</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_Toc153727230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52</w:t>
        </w:r>
        <w:r w:rsidR="001A0EA8" w:rsidRPr="00811E88">
          <w:rPr>
            <w:rFonts w:ascii="Arial" w:hAnsi="Arial" w:cs="Arial"/>
            <w:noProof/>
            <w:webHidden/>
            <w:sz w:val="20"/>
            <w:szCs w:val="20"/>
          </w:rPr>
          <w:fldChar w:fldCharType="end"/>
        </w:r>
      </w:hyperlink>
    </w:p>
    <w:p w14:paraId="73426904" w14:textId="2C7FF300" w:rsidR="00496740" w:rsidRPr="00811E88" w:rsidRDefault="003C19DC">
      <w:pPr>
        <w:pStyle w:val="TDC2"/>
        <w:tabs>
          <w:tab w:val="right" w:pos="8729"/>
        </w:tabs>
        <w:rPr>
          <w:rFonts w:ascii="Arial" w:hAnsi="Arial" w:cs="Arial"/>
          <w:noProof/>
          <w:kern w:val="2"/>
          <w:sz w:val="20"/>
          <w:szCs w:val="20"/>
        </w:rPr>
      </w:pPr>
      <w:hyperlink w:anchor="_Toc153727231" w:history="1">
        <w:r w:rsidR="00496740" w:rsidRPr="00811E88">
          <w:rPr>
            <w:rStyle w:val="Hipervnculo"/>
            <w:rFonts w:ascii="Arial" w:hAnsi="Arial" w:cs="Arial"/>
            <w:noProof/>
            <w:sz w:val="20"/>
            <w:szCs w:val="20"/>
          </w:rPr>
          <w:t>9.3 Plan de seguimiento</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_Toc153727231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52</w:t>
        </w:r>
        <w:r w:rsidR="001A0EA8" w:rsidRPr="00811E88">
          <w:rPr>
            <w:rFonts w:ascii="Arial" w:hAnsi="Arial" w:cs="Arial"/>
            <w:noProof/>
            <w:webHidden/>
            <w:sz w:val="20"/>
            <w:szCs w:val="20"/>
          </w:rPr>
          <w:fldChar w:fldCharType="end"/>
        </w:r>
      </w:hyperlink>
    </w:p>
    <w:p w14:paraId="55C3BAD5" w14:textId="06923BD5" w:rsidR="00496740" w:rsidRPr="00811E88" w:rsidRDefault="003C19DC">
      <w:pPr>
        <w:pStyle w:val="TDC2"/>
        <w:tabs>
          <w:tab w:val="right" w:pos="8729"/>
        </w:tabs>
        <w:rPr>
          <w:rFonts w:ascii="Arial" w:hAnsi="Arial" w:cs="Arial"/>
          <w:noProof/>
          <w:kern w:val="2"/>
          <w:sz w:val="20"/>
          <w:szCs w:val="20"/>
        </w:rPr>
      </w:pPr>
      <w:hyperlink w:anchor="_Toc153727232" w:history="1">
        <w:r w:rsidR="00496740" w:rsidRPr="00811E88">
          <w:rPr>
            <w:rStyle w:val="Hipervnculo"/>
            <w:rFonts w:ascii="Arial" w:hAnsi="Arial" w:cs="Arial"/>
            <w:noProof/>
            <w:sz w:val="20"/>
            <w:szCs w:val="20"/>
          </w:rPr>
          <w:t xml:space="preserve">9.4 </w:t>
        </w:r>
        <w:r w:rsidR="00496740" w:rsidRPr="00811E88">
          <w:rPr>
            <w:rStyle w:val="Hipervnculo"/>
            <w:rFonts w:ascii="Arial" w:hAnsi="Arial" w:cs="Arial"/>
            <w:noProof/>
            <w:sz w:val="20"/>
            <w:szCs w:val="20"/>
            <w:lang w:eastAsia="en-US"/>
          </w:rPr>
          <w:t>Necesidades de investigación</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_Toc153727232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52</w:t>
        </w:r>
        <w:r w:rsidR="001A0EA8" w:rsidRPr="00811E88">
          <w:rPr>
            <w:rFonts w:ascii="Arial" w:hAnsi="Arial" w:cs="Arial"/>
            <w:noProof/>
            <w:webHidden/>
            <w:sz w:val="20"/>
            <w:szCs w:val="20"/>
          </w:rPr>
          <w:fldChar w:fldCharType="end"/>
        </w:r>
      </w:hyperlink>
    </w:p>
    <w:p w14:paraId="50E36B4C" w14:textId="3AAF9954" w:rsidR="00496740" w:rsidRPr="00811E88" w:rsidRDefault="003C19DC">
      <w:pPr>
        <w:pStyle w:val="TDC1"/>
        <w:tabs>
          <w:tab w:val="right" w:pos="8729"/>
        </w:tabs>
        <w:rPr>
          <w:rFonts w:ascii="Arial" w:hAnsi="Arial" w:cs="Arial"/>
          <w:noProof/>
          <w:kern w:val="2"/>
          <w:sz w:val="20"/>
          <w:szCs w:val="20"/>
        </w:rPr>
      </w:pPr>
      <w:hyperlink w:anchor="_Toc153727233" w:history="1">
        <w:r w:rsidR="00496740" w:rsidRPr="00811E88">
          <w:rPr>
            <w:rStyle w:val="Hipervnculo"/>
            <w:rFonts w:ascii="Arial" w:hAnsi="Arial" w:cs="Arial"/>
            <w:noProof/>
            <w:sz w:val="20"/>
            <w:szCs w:val="20"/>
          </w:rPr>
          <w:t>10. BIBLIOGRAFÍA</w:t>
        </w:r>
        <w:r w:rsidR="00496740" w:rsidRPr="00811E88">
          <w:rPr>
            <w:rFonts w:ascii="Arial" w:hAnsi="Arial" w:cs="Arial"/>
            <w:noProof/>
            <w:webHidden/>
            <w:sz w:val="20"/>
            <w:szCs w:val="20"/>
          </w:rPr>
          <w:tab/>
        </w:r>
        <w:r w:rsidR="001A0EA8" w:rsidRPr="00811E88">
          <w:rPr>
            <w:rFonts w:ascii="Arial" w:hAnsi="Arial" w:cs="Arial"/>
            <w:noProof/>
            <w:webHidden/>
            <w:sz w:val="20"/>
            <w:szCs w:val="20"/>
          </w:rPr>
          <w:fldChar w:fldCharType="begin"/>
        </w:r>
        <w:r w:rsidR="00496740" w:rsidRPr="00811E88">
          <w:rPr>
            <w:rFonts w:ascii="Arial" w:hAnsi="Arial" w:cs="Arial"/>
            <w:noProof/>
            <w:webHidden/>
            <w:sz w:val="20"/>
            <w:szCs w:val="20"/>
          </w:rPr>
          <w:instrText xml:space="preserve"> PAGEREF _Toc153727233 \h </w:instrText>
        </w:r>
        <w:r w:rsidR="001A0EA8" w:rsidRPr="00811E88">
          <w:rPr>
            <w:rFonts w:ascii="Arial" w:hAnsi="Arial" w:cs="Arial"/>
            <w:noProof/>
            <w:webHidden/>
            <w:sz w:val="20"/>
            <w:szCs w:val="20"/>
          </w:rPr>
        </w:r>
        <w:r w:rsidR="001A0EA8" w:rsidRPr="00811E88">
          <w:rPr>
            <w:rFonts w:ascii="Arial" w:hAnsi="Arial" w:cs="Arial"/>
            <w:noProof/>
            <w:webHidden/>
            <w:sz w:val="20"/>
            <w:szCs w:val="20"/>
          </w:rPr>
          <w:fldChar w:fldCharType="separate"/>
        </w:r>
        <w:r w:rsidR="000603A2" w:rsidRPr="00811E88">
          <w:rPr>
            <w:rFonts w:ascii="Arial" w:hAnsi="Arial" w:cs="Arial"/>
            <w:noProof/>
            <w:webHidden/>
            <w:sz w:val="20"/>
            <w:szCs w:val="20"/>
          </w:rPr>
          <w:t>52</w:t>
        </w:r>
        <w:r w:rsidR="001A0EA8" w:rsidRPr="00811E88">
          <w:rPr>
            <w:rFonts w:ascii="Arial" w:hAnsi="Arial" w:cs="Arial"/>
            <w:noProof/>
            <w:webHidden/>
            <w:sz w:val="20"/>
            <w:szCs w:val="20"/>
          </w:rPr>
          <w:fldChar w:fldCharType="end"/>
        </w:r>
      </w:hyperlink>
    </w:p>
    <w:p w14:paraId="3F982E5B" w14:textId="77777777" w:rsidR="00D1499E" w:rsidRDefault="001A0EA8">
      <w:r w:rsidRPr="00811E88">
        <w:rPr>
          <w:rFonts w:ascii="Arial" w:hAnsi="Arial" w:cs="Arial"/>
          <w:b/>
          <w:bCs/>
          <w:sz w:val="20"/>
          <w:szCs w:val="20"/>
        </w:rPr>
        <w:fldChar w:fldCharType="end"/>
      </w:r>
    </w:p>
    <w:p w14:paraId="7B9BA4ED" w14:textId="6A3D142C" w:rsidR="004B297D" w:rsidRPr="006F6ABB" w:rsidRDefault="004B297D" w:rsidP="00BC3E8E">
      <w:pPr>
        <w:rPr>
          <w:rFonts w:ascii="Arial" w:hAnsi="Arial" w:cs="Arial"/>
          <w:color w:val="0000FF"/>
          <w:u w:val="single"/>
        </w:rPr>
      </w:pPr>
    </w:p>
    <w:p w14:paraId="1D131501" w14:textId="77777777" w:rsidR="00BC3E8E" w:rsidRPr="00811E88" w:rsidRDefault="00BC3E8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811E88">
        <w:rPr>
          <w:rFonts w:ascii="Arial" w:hAnsi="Arial" w:cs="Arial"/>
          <w:b/>
          <w:sz w:val="20"/>
          <w:szCs w:val="20"/>
        </w:rPr>
        <w:t xml:space="preserve">Glosario: </w:t>
      </w:r>
    </w:p>
    <w:p w14:paraId="0019996A"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AA: Acetato de abiraterona</w:t>
      </w:r>
    </w:p>
    <w:p w14:paraId="711F2702" w14:textId="77777777" w:rsidR="00794A3C" w:rsidRPr="00811E88" w:rsidRDefault="00794A3C"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AAP: Acetato de abiraterona más prednisona</w:t>
      </w:r>
    </w:p>
    <w:p w14:paraId="53287E13"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ADT: terapia de privación de andrógenos</w:t>
      </w:r>
    </w:p>
    <w:p w14:paraId="53797A3D" w14:textId="77777777" w:rsidR="00A56B46" w:rsidRPr="00811E88" w:rsidRDefault="00A56B46"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AVLP: Años de vida libre de progresión</w:t>
      </w:r>
    </w:p>
    <w:p w14:paraId="7653601B" w14:textId="77777777" w:rsidR="006E7B71" w:rsidRPr="00811E88" w:rsidRDefault="006E7B71"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 xml:space="preserve">BRCA: </w:t>
      </w:r>
      <w:r w:rsidR="00A56B46" w:rsidRPr="00811E88">
        <w:rPr>
          <w:rFonts w:ascii="Arial" w:hAnsi="Arial" w:cs="Arial"/>
          <w:bCs/>
          <w:sz w:val="20"/>
          <w:szCs w:val="20"/>
        </w:rPr>
        <w:t>Gen supresor de tumores (Breast cancer)</w:t>
      </w:r>
    </w:p>
    <w:p w14:paraId="779AE5DD" w14:textId="77777777" w:rsidR="00E22B91" w:rsidRPr="00811E88" w:rsidRDefault="00E22B91"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BPI-SF: cuestionario breve para evaluación del dolor</w:t>
      </w:r>
    </w:p>
    <w:p w14:paraId="0C714B72" w14:textId="77777777" w:rsidR="00045000" w:rsidRPr="00811E88" w:rsidRDefault="00045000"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CPRCm</w:t>
      </w:r>
      <w:r w:rsidR="00F05D48" w:rsidRPr="00811E88">
        <w:rPr>
          <w:rFonts w:ascii="Arial" w:hAnsi="Arial" w:cs="Arial"/>
          <w:bCs/>
          <w:sz w:val="20"/>
          <w:szCs w:val="20"/>
        </w:rPr>
        <w:t>:</w:t>
      </w:r>
      <w:r w:rsidR="00966C6E" w:rsidRPr="00811E88">
        <w:rPr>
          <w:rFonts w:ascii="Arial" w:hAnsi="Arial" w:cs="Arial"/>
          <w:bCs/>
          <w:sz w:val="20"/>
          <w:szCs w:val="20"/>
        </w:rPr>
        <w:t xml:space="preserve"> Cá</w:t>
      </w:r>
      <w:r w:rsidR="006E7B71" w:rsidRPr="00811E88">
        <w:rPr>
          <w:rFonts w:ascii="Arial" w:hAnsi="Arial" w:cs="Arial"/>
          <w:bCs/>
          <w:sz w:val="20"/>
          <w:szCs w:val="20"/>
        </w:rPr>
        <w:t>ncer de próstata resistente a la castración metastásico</w:t>
      </w:r>
    </w:p>
    <w:p w14:paraId="71680723" w14:textId="77777777" w:rsidR="00045000" w:rsidRPr="00811E88" w:rsidRDefault="00F05D48"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DDR:</w:t>
      </w:r>
      <w:r w:rsidR="007264A8" w:rsidRPr="00811E88">
        <w:rPr>
          <w:rFonts w:ascii="Arial" w:hAnsi="Arial" w:cs="Arial"/>
          <w:bCs/>
          <w:sz w:val="20"/>
          <w:szCs w:val="20"/>
        </w:rPr>
        <w:t xml:space="preserve"> Defectos en el gen reparador de ADN</w:t>
      </w:r>
      <w:r w:rsidR="00B20AF2" w:rsidRPr="00811E88">
        <w:rPr>
          <w:rFonts w:ascii="Arial" w:hAnsi="Arial" w:cs="Arial"/>
          <w:bCs/>
          <w:sz w:val="20"/>
          <w:szCs w:val="20"/>
        </w:rPr>
        <w:t>/respuesta al daño del ADN</w:t>
      </w:r>
    </w:p>
    <w:p w14:paraId="3EE6C8CB" w14:textId="77777777" w:rsidR="00A56B46" w:rsidRPr="00811E88" w:rsidRDefault="00A56B46"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EA: eventos adversos</w:t>
      </w:r>
    </w:p>
    <w:p w14:paraId="36B1EFFC" w14:textId="77777777" w:rsidR="00C157EB" w:rsidRPr="00811E88" w:rsidRDefault="00C157EB"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 xml:space="preserve">GnRH: hormona liberadora de gonadotropinas </w:t>
      </w:r>
    </w:p>
    <w:p w14:paraId="63506106" w14:textId="77777777" w:rsidR="00BE001B" w:rsidRPr="00811E88" w:rsidRDefault="00BE001B"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HR: Hazard Ratio</w:t>
      </w:r>
    </w:p>
    <w:p w14:paraId="1DA71227" w14:textId="77777777" w:rsidR="00F05D48" w:rsidRPr="00811E88" w:rsidRDefault="00F05D48"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HRR:</w:t>
      </w:r>
      <w:r w:rsidR="00B20AF2" w:rsidRPr="00811E88">
        <w:rPr>
          <w:rFonts w:ascii="Arial" w:hAnsi="Arial" w:cs="Arial"/>
          <w:bCs/>
          <w:sz w:val="20"/>
          <w:szCs w:val="20"/>
        </w:rPr>
        <w:t xml:space="preserve"> reparación por recombinación homóloga</w:t>
      </w:r>
    </w:p>
    <w:p w14:paraId="2D701605" w14:textId="77777777" w:rsidR="007264A8" w:rsidRPr="00811E88" w:rsidRDefault="007264A8"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ITT: Intención de tratar</w:t>
      </w:r>
    </w:p>
    <w:p w14:paraId="40098BF8" w14:textId="77777777" w:rsidR="003C4FAD" w:rsidRPr="00811E88" w:rsidRDefault="003C4FAD"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IWRS: sistema central interactivo de respuesta web, por sus siglas en inglés</w:t>
      </w:r>
    </w:p>
    <w:p w14:paraId="494B6DE1" w14:textId="77777777" w:rsidR="002F7564" w:rsidRPr="00811E88" w:rsidRDefault="002F756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iPARP: inhibidor de la poli (ADP-ribosa) polimerasa (PARP)</w:t>
      </w:r>
    </w:p>
    <w:p w14:paraId="6DC320D6" w14:textId="77777777" w:rsidR="00C12D4E" w:rsidRPr="00811E88" w:rsidRDefault="00C12D4E"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iRA: Inhibidores de receptor androgénico</w:t>
      </w:r>
    </w:p>
    <w:p w14:paraId="71CF923F" w14:textId="77777777" w:rsidR="00936365" w:rsidRPr="00811E88" w:rsidRDefault="00936365" w:rsidP="00936365">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NCCN: National Comprehensive Cancer Network</w:t>
      </w:r>
    </w:p>
    <w:p w14:paraId="432A794A" w14:textId="77777777" w:rsidR="00936365" w:rsidRPr="00811E88" w:rsidRDefault="00936365" w:rsidP="00936365">
      <w:pPr>
        <w:pBdr>
          <w:top w:val="single" w:sz="4" w:space="1" w:color="auto"/>
          <w:left w:val="single" w:sz="4" w:space="4" w:color="auto"/>
          <w:bottom w:val="single" w:sz="4" w:space="1" w:color="auto"/>
          <w:right w:val="single" w:sz="4" w:space="4" w:color="auto"/>
        </w:pBdr>
        <w:jc w:val="both"/>
        <w:rPr>
          <w:rFonts w:ascii="Arial" w:hAnsi="Arial" w:cs="Arial"/>
          <w:bCs/>
          <w:sz w:val="20"/>
          <w:szCs w:val="20"/>
          <w:lang w:val="en-GB"/>
        </w:rPr>
      </w:pPr>
      <w:r w:rsidRPr="00811E88">
        <w:rPr>
          <w:rFonts w:ascii="Arial" w:hAnsi="Arial" w:cs="Arial"/>
          <w:bCs/>
          <w:sz w:val="20"/>
          <w:szCs w:val="20"/>
          <w:lang w:val="en-GB"/>
        </w:rPr>
        <w:t>NICE: The National Institute for Health and Care Excellence</w:t>
      </w:r>
    </w:p>
    <w:p w14:paraId="4F7BF635" w14:textId="77777777" w:rsidR="003C2A62" w:rsidRPr="00811E88" w:rsidRDefault="001A0EA8" w:rsidP="004B297D">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811E88">
        <w:rPr>
          <w:rFonts w:ascii="Arial" w:hAnsi="Arial" w:cs="Arial"/>
          <w:sz w:val="20"/>
          <w:szCs w:val="20"/>
          <w:lang w:val="it-IT"/>
        </w:rPr>
        <w:t>PARP: poli (ADP-ribosa) polimerasa (PARP)</w:t>
      </w:r>
    </w:p>
    <w:p w14:paraId="61A11F6D"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RA: Receptor de andrógenos</w:t>
      </w:r>
    </w:p>
    <w:p w14:paraId="7D3F8012" w14:textId="77777777" w:rsidR="00A524FC" w:rsidRPr="00811E88" w:rsidRDefault="00A524FC"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RC: Respuesta completa</w:t>
      </w:r>
    </w:p>
    <w:p w14:paraId="08212CD3"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eastAsia="Arial" w:hAnsi="Arial" w:cs="Arial"/>
          <w:bCs/>
          <w:sz w:val="20"/>
          <w:szCs w:val="20"/>
        </w:rPr>
      </w:pPr>
      <w:r w:rsidRPr="00811E88">
        <w:rPr>
          <w:rFonts w:ascii="Arial" w:hAnsi="Arial" w:cs="Arial"/>
          <w:bCs/>
          <w:sz w:val="20"/>
          <w:szCs w:val="20"/>
        </w:rPr>
        <w:t xml:space="preserve">RECIST: </w:t>
      </w:r>
      <w:r w:rsidRPr="00811E88">
        <w:rPr>
          <w:rFonts w:ascii="Arial" w:eastAsia="Arial" w:hAnsi="Arial" w:cs="Arial"/>
          <w:bCs/>
          <w:sz w:val="20"/>
          <w:szCs w:val="20"/>
        </w:rPr>
        <w:t>los criterios de evaluación de la respuesta en tumores sólidos</w:t>
      </w:r>
    </w:p>
    <w:p w14:paraId="7BC15EE9" w14:textId="77777777" w:rsidR="00A524FC" w:rsidRPr="00811E88" w:rsidRDefault="00A524FC"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eastAsia="Arial" w:hAnsi="Arial" w:cs="Arial"/>
          <w:bCs/>
          <w:sz w:val="20"/>
          <w:szCs w:val="20"/>
        </w:rPr>
        <w:t>RP: Respuesta parcial</w:t>
      </w:r>
    </w:p>
    <w:p w14:paraId="4462FCB1"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RM: Resonancia Magnética</w:t>
      </w:r>
    </w:p>
    <w:p w14:paraId="2484E972" w14:textId="77777777" w:rsidR="00260A3F" w:rsidRPr="00811E88" w:rsidRDefault="00260A3F"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SG: Supervivencia global</w:t>
      </w:r>
    </w:p>
    <w:p w14:paraId="19FC7769" w14:textId="77777777" w:rsidR="00BE001B" w:rsidRPr="00811E88" w:rsidRDefault="00BE001B"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SLPr: Supervivencia libre de progresión radiológica</w:t>
      </w:r>
    </w:p>
    <w:p w14:paraId="057DA514" w14:textId="77777777" w:rsidR="006D5434" w:rsidRPr="00811E88" w:rsidRDefault="006D5434"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TC: Tomografía computerizada</w:t>
      </w:r>
    </w:p>
    <w:p w14:paraId="4032B101" w14:textId="77777777" w:rsidR="00767FF3" w:rsidRPr="00811E88" w:rsidRDefault="00767FF3"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i/>
          <w:sz w:val="20"/>
          <w:szCs w:val="20"/>
        </w:rPr>
        <w:t>TIQ: Tiempo hasta inicio de tratamiento citotóxico quimioterápico (TIQ)</w:t>
      </w:r>
    </w:p>
    <w:p w14:paraId="73BD4ACD" w14:textId="77777777" w:rsidR="00BC3E8E" w:rsidRPr="00811E88" w:rsidRDefault="0065445F"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TPA</w:t>
      </w:r>
      <w:r w:rsidR="00C036CA" w:rsidRPr="00811E88">
        <w:rPr>
          <w:rFonts w:ascii="Arial" w:hAnsi="Arial" w:cs="Arial"/>
          <w:bCs/>
          <w:sz w:val="20"/>
          <w:szCs w:val="20"/>
        </w:rPr>
        <w:t>:</w:t>
      </w:r>
      <w:r w:rsidRPr="00811E88">
        <w:rPr>
          <w:rFonts w:ascii="Arial" w:hAnsi="Arial" w:cs="Arial"/>
          <w:bCs/>
          <w:sz w:val="20"/>
          <w:szCs w:val="20"/>
        </w:rPr>
        <w:t xml:space="preserve"> Terapia de privación de andrógenos</w:t>
      </w:r>
    </w:p>
    <w:p w14:paraId="3FEB99B4" w14:textId="77777777" w:rsidR="00767FF3" w:rsidRPr="00811E88" w:rsidRDefault="00767FF3"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TPS: tiempo hasta progresión sintomática</w:t>
      </w:r>
    </w:p>
    <w:p w14:paraId="4C74525A" w14:textId="77777777" w:rsidR="00BC3E8E" w:rsidRPr="00811E88" w:rsidRDefault="00A524FC" w:rsidP="004B297D">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811E88">
        <w:rPr>
          <w:rFonts w:ascii="Arial" w:hAnsi="Arial" w:cs="Arial"/>
          <w:bCs/>
          <w:sz w:val="20"/>
          <w:szCs w:val="20"/>
        </w:rPr>
        <w:t>TPSA: Tiempo hasta progresión del PSA</w:t>
      </w:r>
    </w:p>
    <w:p w14:paraId="258816DF" w14:textId="77777777" w:rsidR="00BC3E8E" w:rsidRDefault="00BC3E8E" w:rsidP="00BC3E8E">
      <w:pPr>
        <w:rPr>
          <w:rFonts w:ascii="Arial" w:hAnsi="Arial" w:cs="Arial"/>
          <w:b/>
          <w:sz w:val="20"/>
          <w:szCs w:val="20"/>
        </w:rPr>
      </w:pPr>
    </w:p>
    <w:p w14:paraId="70E22A1F" w14:textId="77777777" w:rsidR="00954F9B" w:rsidRDefault="00954F9B" w:rsidP="00BC3E8E">
      <w:pPr>
        <w:rPr>
          <w:rFonts w:ascii="Arial" w:hAnsi="Arial" w:cs="Arial"/>
          <w:b/>
          <w:sz w:val="20"/>
          <w:szCs w:val="20"/>
        </w:rPr>
      </w:pPr>
    </w:p>
    <w:p w14:paraId="2F76E18C" w14:textId="77777777" w:rsidR="00BC3E8E" w:rsidRDefault="00BC3E8E" w:rsidP="00BC3E8E">
      <w:pPr>
        <w:rPr>
          <w:rFonts w:ascii="Arial" w:hAnsi="Arial" w:cs="Arial"/>
          <w:b/>
          <w:sz w:val="20"/>
          <w:szCs w:val="20"/>
        </w:rPr>
      </w:pPr>
      <w:r>
        <w:rPr>
          <w:rFonts w:ascii="Arial" w:hAnsi="Arial" w:cs="Arial"/>
          <w:b/>
          <w:sz w:val="20"/>
          <w:szCs w:val="20"/>
        </w:rPr>
        <w:t>Citar este informe como:</w:t>
      </w:r>
    </w:p>
    <w:p w14:paraId="7EB77C1E" w14:textId="5E9563F0" w:rsidR="00BC3E8E" w:rsidRDefault="00BC3E8E" w:rsidP="00BC3E8E">
      <w:pPr>
        <w:rPr>
          <w:rFonts w:ascii="Arial" w:hAnsi="Arial" w:cs="Arial"/>
          <w:b/>
          <w:sz w:val="20"/>
          <w:szCs w:val="20"/>
        </w:rPr>
      </w:pPr>
    </w:p>
    <w:p w14:paraId="2427DFB5" w14:textId="363A43A2" w:rsidR="00811E88" w:rsidRDefault="00811E88" w:rsidP="00BC3E8E">
      <w:pPr>
        <w:rPr>
          <w:rFonts w:ascii="Arial" w:hAnsi="Arial" w:cs="Arial"/>
          <w:b/>
          <w:sz w:val="20"/>
          <w:szCs w:val="20"/>
        </w:rPr>
      </w:pPr>
    </w:p>
    <w:p w14:paraId="744174FE" w14:textId="77777777" w:rsidR="00811E88" w:rsidRDefault="00811E88" w:rsidP="00BC3E8E">
      <w:pPr>
        <w:rPr>
          <w:rFonts w:ascii="Arial" w:hAnsi="Arial" w:cs="Arial"/>
          <w:b/>
          <w:sz w:val="20"/>
          <w:szCs w:val="20"/>
        </w:rPr>
      </w:pPr>
    </w:p>
    <w:p w14:paraId="602176F2" w14:textId="77777777" w:rsidR="00BC3E8E" w:rsidRPr="006F6ABB" w:rsidRDefault="00BC3E8E" w:rsidP="00BC3E8E">
      <w:pPr>
        <w:jc w:val="right"/>
        <w:rPr>
          <w:rFonts w:ascii="Arial" w:hAnsi="Arial" w:cs="Arial"/>
          <w:color w:val="0000FF"/>
          <w:sz w:val="20"/>
          <w:szCs w:val="20"/>
          <w:u w:val="single"/>
        </w:rPr>
      </w:pPr>
    </w:p>
    <w:p w14:paraId="7EDCF90D" w14:textId="77777777" w:rsidR="00BC3E8E" w:rsidRPr="006F6ABB" w:rsidRDefault="00BC3E8E" w:rsidP="00BC3E8E">
      <w:pPr>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2F4BD07F" w14:textId="77777777" w:rsidTr="00BC3E8E">
        <w:trPr>
          <w:trHeight w:val="131"/>
        </w:trPr>
        <w:tc>
          <w:tcPr>
            <w:tcW w:w="8890" w:type="dxa"/>
            <w:tcBorders>
              <w:top w:val="single" w:sz="4" w:space="0" w:color="auto"/>
              <w:left w:val="single" w:sz="4" w:space="0" w:color="auto"/>
              <w:bottom w:val="single" w:sz="4" w:space="0" w:color="auto"/>
              <w:right w:val="single" w:sz="4" w:space="0" w:color="auto"/>
            </w:tcBorders>
            <w:shd w:val="clear" w:color="auto" w:fill="BFBFBF"/>
          </w:tcPr>
          <w:p w14:paraId="7E4B7170" w14:textId="77777777" w:rsidR="00BC3E8E" w:rsidRPr="00A379A0" w:rsidRDefault="00BC3E8E" w:rsidP="00BC3E8E">
            <w:pPr>
              <w:pStyle w:val="Ttulo1"/>
              <w:shd w:val="clear" w:color="auto" w:fill="A6A6A6"/>
              <w:rPr>
                <w:rFonts w:ascii="Arial" w:hAnsi="Arial" w:cs="Arial"/>
                <w:bCs w:val="0"/>
                <w:kern w:val="0"/>
                <w:sz w:val="20"/>
                <w:szCs w:val="20"/>
              </w:rPr>
            </w:pPr>
            <w:bookmarkStart w:id="1" w:name="_Toc344399618"/>
            <w:bookmarkStart w:id="2" w:name="_Toc348931345"/>
            <w:bookmarkStart w:id="3" w:name="_Toc153727177"/>
            <w:r w:rsidRPr="00A379A0">
              <w:rPr>
                <w:rFonts w:ascii="Arial" w:hAnsi="Arial" w:cs="Arial"/>
                <w:bCs w:val="0"/>
                <w:kern w:val="0"/>
                <w:sz w:val="20"/>
                <w:szCs w:val="20"/>
              </w:rPr>
              <w:t>1.- IDENTIFICACIÓN DEL FÁRMACO Y AUTORES DEL INFORME</w:t>
            </w:r>
            <w:bookmarkEnd w:id="1"/>
            <w:bookmarkEnd w:id="2"/>
            <w:bookmarkEnd w:id="3"/>
          </w:p>
        </w:tc>
      </w:tr>
    </w:tbl>
    <w:p w14:paraId="0A8A66E4" w14:textId="77777777" w:rsidR="00BC3E8E" w:rsidRPr="006F6ABB" w:rsidRDefault="00BC3E8E" w:rsidP="00BC3E8E">
      <w:pPr>
        <w:jc w:val="both"/>
        <w:rPr>
          <w:rFonts w:ascii="Arial" w:hAnsi="Arial" w:cs="Arial"/>
          <w:sz w:val="20"/>
          <w:szCs w:val="20"/>
        </w:rPr>
      </w:pPr>
    </w:p>
    <w:p w14:paraId="7A99E8A1" w14:textId="77777777" w:rsidR="00BC3E8E" w:rsidRPr="006F6ABB" w:rsidRDefault="00BC3E8E" w:rsidP="00BC3E8E">
      <w:pPr>
        <w:jc w:val="both"/>
        <w:rPr>
          <w:rFonts w:ascii="Arial" w:hAnsi="Arial" w:cs="Arial"/>
          <w:sz w:val="20"/>
          <w:szCs w:val="20"/>
        </w:rPr>
      </w:pPr>
      <w:r w:rsidRPr="006F6ABB">
        <w:rPr>
          <w:rFonts w:ascii="Arial" w:hAnsi="Arial" w:cs="Arial"/>
          <w:b/>
          <w:bCs/>
          <w:sz w:val="20"/>
          <w:szCs w:val="20"/>
        </w:rPr>
        <w:t>Fármaco</w:t>
      </w:r>
      <w:r w:rsidRPr="006F6ABB">
        <w:rPr>
          <w:rFonts w:ascii="Arial" w:hAnsi="Arial" w:cs="Arial"/>
          <w:sz w:val="20"/>
          <w:szCs w:val="20"/>
        </w:rPr>
        <w:t xml:space="preserve">: </w:t>
      </w:r>
      <w:r w:rsidR="00451511">
        <w:rPr>
          <w:rFonts w:ascii="Arial" w:hAnsi="Arial" w:cs="Arial"/>
          <w:sz w:val="20"/>
          <w:szCs w:val="20"/>
        </w:rPr>
        <w:t>Niraparib/abiraterona</w:t>
      </w:r>
    </w:p>
    <w:p w14:paraId="7D7E6457" w14:textId="77777777" w:rsidR="00BC3E8E" w:rsidRDefault="00BC3E8E" w:rsidP="00BC3E8E">
      <w:pPr>
        <w:jc w:val="both"/>
        <w:rPr>
          <w:rFonts w:ascii="Arial" w:hAnsi="Arial" w:cs="Arial"/>
          <w:sz w:val="20"/>
          <w:szCs w:val="20"/>
        </w:rPr>
      </w:pPr>
      <w:r w:rsidRPr="006F6ABB">
        <w:rPr>
          <w:rFonts w:ascii="Arial" w:hAnsi="Arial" w:cs="Arial"/>
          <w:b/>
          <w:bCs/>
          <w:sz w:val="20"/>
          <w:szCs w:val="20"/>
        </w:rPr>
        <w:t>Indicación clínica solicitada:</w:t>
      </w:r>
      <w:r w:rsidRPr="006F6ABB">
        <w:rPr>
          <w:rFonts w:ascii="Arial" w:hAnsi="Arial" w:cs="Arial"/>
          <w:sz w:val="20"/>
          <w:szCs w:val="20"/>
        </w:rPr>
        <w:t xml:space="preserve"> </w:t>
      </w:r>
      <w:r w:rsidR="00451511" w:rsidRPr="00451511">
        <w:rPr>
          <w:rFonts w:ascii="Arial" w:hAnsi="Arial" w:cs="Arial"/>
          <w:sz w:val="20"/>
          <w:szCs w:val="20"/>
        </w:rPr>
        <w:t>tratamiento de cáncer de próstata metastásico resistente a la castración con mutación BRCA 1/BRCA 2</w:t>
      </w:r>
      <w:r w:rsidR="00451511" w:rsidRPr="00451511">
        <w:rPr>
          <w:rFonts w:ascii="Arial" w:hAnsi="Arial" w:cs="Arial"/>
          <w:b/>
          <w:bCs/>
          <w:sz w:val="40"/>
        </w:rPr>
        <w:t> </w:t>
      </w:r>
    </w:p>
    <w:p w14:paraId="74DC678C" w14:textId="77777777" w:rsidR="00BC3E8E" w:rsidRPr="006F6ABB" w:rsidRDefault="00BC3E8E" w:rsidP="00BC3E8E">
      <w:pPr>
        <w:jc w:val="both"/>
        <w:rPr>
          <w:rFonts w:ascii="Arial" w:hAnsi="Arial" w:cs="Arial"/>
          <w:b/>
          <w:bCs/>
          <w:sz w:val="20"/>
          <w:szCs w:val="20"/>
        </w:rPr>
      </w:pPr>
      <w:r w:rsidRPr="006F6ABB">
        <w:rPr>
          <w:rFonts w:ascii="Arial" w:hAnsi="Arial" w:cs="Arial"/>
          <w:b/>
          <w:bCs/>
          <w:sz w:val="20"/>
          <w:szCs w:val="20"/>
        </w:rPr>
        <w:t xml:space="preserve">Autores / Revisores: </w:t>
      </w:r>
    </w:p>
    <w:p w14:paraId="467D4F22" w14:textId="77777777" w:rsidR="00BC3E8E" w:rsidRPr="006F6ABB" w:rsidRDefault="00BC3E8E" w:rsidP="00BC3E8E">
      <w:pPr>
        <w:jc w:val="both"/>
        <w:rPr>
          <w:rFonts w:ascii="Arial" w:hAnsi="Arial" w:cs="Arial"/>
          <w:color w:val="C00000"/>
          <w:sz w:val="20"/>
          <w:szCs w:val="20"/>
        </w:rPr>
      </w:pPr>
      <w:r w:rsidRPr="006F6ABB">
        <w:rPr>
          <w:rFonts w:ascii="Arial" w:hAnsi="Arial" w:cs="Arial"/>
          <w:b/>
          <w:bCs/>
          <w:sz w:val="20"/>
          <w:szCs w:val="20"/>
        </w:rPr>
        <w:t>Tipo de informe</w:t>
      </w:r>
      <w:r>
        <w:rPr>
          <w:rFonts w:ascii="Arial" w:hAnsi="Arial" w:cs="Arial"/>
          <w:b/>
          <w:bCs/>
          <w:sz w:val="20"/>
          <w:szCs w:val="20"/>
        </w:rPr>
        <w:t>:</w:t>
      </w:r>
      <w:r w:rsidR="00451511">
        <w:rPr>
          <w:rFonts w:ascii="Arial" w:hAnsi="Arial" w:cs="Arial"/>
          <w:b/>
          <w:bCs/>
          <w:sz w:val="20"/>
          <w:szCs w:val="20"/>
        </w:rPr>
        <w:t xml:space="preserve"> </w:t>
      </w:r>
      <w:r w:rsidR="00451511">
        <w:rPr>
          <w:rFonts w:ascii="Arial" w:eastAsia="Arial" w:hAnsi="Arial" w:cs="Arial"/>
          <w:sz w:val="20"/>
          <w:szCs w:val="20"/>
        </w:rPr>
        <w:t>Original</w:t>
      </w:r>
    </w:p>
    <w:p w14:paraId="5051AD22" w14:textId="77777777" w:rsidR="00BC3E8E" w:rsidRDefault="00BC3E8E" w:rsidP="00BC3E8E">
      <w:pPr>
        <w:jc w:val="both"/>
        <w:rPr>
          <w:rFonts w:ascii="Arial" w:hAnsi="Arial" w:cs="Arial"/>
          <w:sz w:val="20"/>
          <w:szCs w:val="20"/>
        </w:rPr>
      </w:pPr>
      <w:r w:rsidRPr="006F6ABB">
        <w:rPr>
          <w:rFonts w:ascii="Arial" w:hAnsi="Arial" w:cs="Arial"/>
          <w:b/>
          <w:sz w:val="20"/>
          <w:szCs w:val="20"/>
        </w:rPr>
        <w:t>Declaración de conflicto de Intereses de los autores</w:t>
      </w:r>
      <w:r>
        <w:rPr>
          <w:rFonts w:ascii="Arial" w:hAnsi="Arial" w:cs="Arial"/>
          <w:b/>
          <w:bCs/>
          <w:sz w:val="20"/>
          <w:szCs w:val="20"/>
        </w:rPr>
        <w:t xml:space="preserve">: </w:t>
      </w:r>
      <w:r w:rsidRPr="006F6ABB">
        <w:rPr>
          <w:rFonts w:ascii="Arial" w:hAnsi="Arial" w:cs="Arial"/>
          <w:sz w:val="20"/>
          <w:szCs w:val="20"/>
        </w:rPr>
        <w:t>Ver declaración en anexo al final del informe</w:t>
      </w:r>
      <w:r>
        <w:rPr>
          <w:rFonts w:ascii="Arial" w:hAnsi="Arial" w:cs="Arial"/>
          <w:sz w:val="20"/>
          <w:szCs w:val="20"/>
        </w:rPr>
        <w:t>.</w:t>
      </w:r>
    </w:p>
    <w:p w14:paraId="686BCCC3" w14:textId="77777777" w:rsidR="00A93E29" w:rsidRDefault="00A93E29" w:rsidP="00A93E29">
      <w:pPr>
        <w:tabs>
          <w:tab w:val="left" w:pos="3343"/>
        </w:tabs>
        <w:jc w:val="both"/>
        <w:rPr>
          <w:rFonts w:ascii="Arial" w:hAnsi="Arial" w:cs="Arial"/>
          <w:sz w:val="20"/>
          <w:szCs w:val="20"/>
        </w:rPr>
      </w:pPr>
    </w:p>
    <w:p w14:paraId="60E79374" w14:textId="667B9BD3" w:rsidR="00A47100" w:rsidRDefault="00A93E29" w:rsidP="00A93E29">
      <w:pPr>
        <w:tabs>
          <w:tab w:val="left" w:pos="3343"/>
        </w:tabs>
        <w:jc w:val="both"/>
        <w:rPr>
          <w:rFonts w:ascii="Arial" w:hAnsi="Arial" w:cs="Arial"/>
          <w:sz w:val="20"/>
          <w:szCs w:val="20"/>
        </w:rPr>
        <w:sectPr w:rsidR="00A47100" w:rsidSect="00CB77E7">
          <w:headerReference w:type="default" r:id="rId9"/>
          <w:footerReference w:type="default" r:id="rId10"/>
          <w:footnotePr>
            <w:numFmt w:val="lowerLetter"/>
          </w:footnotePr>
          <w:type w:val="continuous"/>
          <w:pgSz w:w="11906" w:h="16838"/>
          <w:pgMar w:top="1417" w:right="1466" w:bottom="1417" w:left="1701" w:header="708" w:footer="708" w:gutter="0"/>
          <w:cols w:space="708"/>
          <w:rtlGutter/>
          <w:docGrid w:linePitch="360"/>
        </w:sectPr>
      </w:pPr>
      <w:r>
        <w:rPr>
          <w:rFonts w:ascii="Arial" w:hAnsi="Arial" w:cs="Arial"/>
          <w:sz w:val="20"/>
          <w:szCs w:val="20"/>
        </w:rPr>
        <w:t>Para la elaboración del informe se ha utilizado el Programa MADRE versión 4.0</w:t>
      </w:r>
      <w:r>
        <w:rPr>
          <w:rStyle w:val="Refdenotaalpie"/>
          <w:rFonts w:ascii="Arial" w:hAnsi="Arial" w:cs="Arial"/>
          <w:sz w:val="20"/>
          <w:szCs w:val="20"/>
        </w:rPr>
        <w:footnoteReference w:id="1"/>
      </w:r>
      <w:r w:rsidR="00DB18D6">
        <w:rPr>
          <w:rFonts w:ascii="Arial" w:hAnsi="Arial" w:cs="Arial"/>
          <w:sz w:val="20"/>
          <w:szCs w:val="20"/>
        </w:rPr>
        <w:t xml:space="preserve"> y Guía EE e </w:t>
      </w:r>
      <w:r w:rsidR="00092001">
        <w:rPr>
          <w:rStyle w:val="Refdenotaalpie"/>
          <w:rFonts w:ascii="Arial" w:hAnsi="Arial" w:cs="Arial"/>
          <w:sz w:val="20"/>
          <w:szCs w:val="20"/>
        </w:rPr>
        <w:footnoteReference w:id="2"/>
      </w:r>
    </w:p>
    <w:p w14:paraId="2F10A168" w14:textId="77777777" w:rsidR="00A93E29" w:rsidRDefault="00A93E29" w:rsidP="00A93E29">
      <w:pPr>
        <w:tabs>
          <w:tab w:val="left" w:pos="3343"/>
        </w:tabs>
        <w:jc w:val="both"/>
        <w:rPr>
          <w:rFonts w:ascii="Arial" w:hAnsi="Arial" w:cs="Arial"/>
          <w:sz w:val="20"/>
          <w:szCs w:val="20"/>
        </w:rPr>
      </w:pPr>
    </w:p>
    <w:p w14:paraId="2C0CEB93" w14:textId="77777777" w:rsidR="003C2CDB" w:rsidRPr="006F6ABB" w:rsidRDefault="003C2CDB" w:rsidP="00BC3E8E">
      <w:pPr>
        <w:jc w:val="both"/>
        <w:rPr>
          <w:rFonts w:ascii="Arial" w:hAnsi="Arial" w:cs="Arial"/>
          <w:color w:val="0000FF"/>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1472EE3F"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06B6233F" w14:textId="77777777" w:rsidR="00BC3E8E" w:rsidRPr="00A379A0" w:rsidRDefault="00BC3E8E" w:rsidP="00BC3E8E">
            <w:pPr>
              <w:pStyle w:val="Ttulo1"/>
              <w:shd w:val="clear" w:color="auto" w:fill="A6A6A6"/>
              <w:rPr>
                <w:rFonts w:ascii="Arial" w:hAnsi="Arial" w:cs="Arial"/>
                <w:bCs w:val="0"/>
                <w:kern w:val="0"/>
                <w:sz w:val="20"/>
                <w:szCs w:val="20"/>
              </w:rPr>
            </w:pPr>
            <w:bookmarkStart w:id="4" w:name="_Toc344399619"/>
            <w:bookmarkStart w:id="5" w:name="_Toc348931346"/>
            <w:bookmarkStart w:id="6" w:name="_Toc153727178"/>
            <w:r w:rsidRPr="00A379A0">
              <w:rPr>
                <w:rFonts w:ascii="Arial" w:hAnsi="Arial" w:cs="Arial"/>
                <w:bCs w:val="0"/>
                <w:kern w:val="0"/>
                <w:sz w:val="20"/>
                <w:szCs w:val="20"/>
              </w:rPr>
              <w:t>2.- SOLICITUD Y DATOS DEL PROCESO DE EVALUACIÓN</w:t>
            </w:r>
            <w:bookmarkEnd w:id="4"/>
            <w:bookmarkEnd w:id="5"/>
            <w:bookmarkEnd w:id="6"/>
          </w:p>
        </w:tc>
      </w:tr>
    </w:tbl>
    <w:p w14:paraId="182AAFDF" w14:textId="77777777" w:rsidR="00BC3E8E" w:rsidRPr="006F6ABB" w:rsidRDefault="00BC3E8E" w:rsidP="00BC3E8E">
      <w:pPr>
        <w:jc w:val="both"/>
        <w:rPr>
          <w:rFonts w:ascii="Arial" w:hAnsi="Arial" w:cs="Arial"/>
          <w:b/>
          <w:sz w:val="20"/>
          <w:szCs w:val="20"/>
        </w:rPr>
      </w:pPr>
    </w:p>
    <w:p w14:paraId="38A9AE57" w14:textId="77777777" w:rsidR="00451511" w:rsidRDefault="00451511" w:rsidP="00451511">
      <w:pPr>
        <w:ind w:hanging="2"/>
        <w:jc w:val="both"/>
        <w:rPr>
          <w:rFonts w:ascii="Arial" w:eastAsia="Arial" w:hAnsi="Arial" w:cs="Arial"/>
          <w:sz w:val="20"/>
          <w:szCs w:val="20"/>
        </w:rPr>
      </w:pPr>
      <w:r>
        <w:rPr>
          <w:rFonts w:ascii="Arial" w:eastAsia="Arial" w:hAnsi="Arial" w:cs="Arial"/>
          <w:b/>
          <w:sz w:val="20"/>
          <w:szCs w:val="20"/>
        </w:rPr>
        <w:t>Petición a título</w:t>
      </w:r>
      <w:r>
        <w:rPr>
          <w:rFonts w:ascii="Arial" w:eastAsia="Arial" w:hAnsi="Arial" w:cs="Arial"/>
          <w:sz w:val="20"/>
          <w:szCs w:val="20"/>
        </w:rPr>
        <w:t>: La realización de este informe técnico se realiza a demanda del grupo GENESIS, por tratarse de fármaco</w:t>
      </w:r>
      <w:r w:rsidR="00A47100">
        <w:rPr>
          <w:rFonts w:ascii="Arial" w:eastAsia="Arial" w:hAnsi="Arial" w:cs="Arial"/>
          <w:sz w:val="20"/>
          <w:szCs w:val="20"/>
        </w:rPr>
        <w:t>s</w:t>
      </w:r>
      <w:r>
        <w:rPr>
          <w:rFonts w:ascii="Arial" w:eastAsia="Arial" w:hAnsi="Arial" w:cs="Arial"/>
          <w:sz w:val="20"/>
          <w:szCs w:val="20"/>
        </w:rPr>
        <w:t xml:space="preserve"> novedoso</w:t>
      </w:r>
      <w:r w:rsidR="00A47100">
        <w:rPr>
          <w:rFonts w:ascii="Arial" w:eastAsia="Arial" w:hAnsi="Arial" w:cs="Arial"/>
          <w:sz w:val="20"/>
          <w:szCs w:val="20"/>
        </w:rPr>
        <w:t>s</w:t>
      </w:r>
      <w:r>
        <w:rPr>
          <w:rFonts w:ascii="Arial" w:eastAsia="Arial" w:hAnsi="Arial" w:cs="Arial"/>
          <w:sz w:val="20"/>
          <w:szCs w:val="20"/>
        </w:rPr>
        <w:t>, cuyo lugar en terapéutica precisa evaluación.</w:t>
      </w:r>
    </w:p>
    <w:p w14:paraId="60921F83" w14:textId="77777777" w:rsidR="004B297D" w:rsidRDefault="004B297D" w:rsidP="00BC3E8E">
      <w:pPr>
        <w:jc w:val="both"/>
        <w:rPr>
          <w:rFonts w:ascii="Arial" w:hAnsi="Arial"/>
          <w:sz w:val="20"/>
          <w:szCs w:val="20"/>
        </w:rPr>
      </w:pPr>
    </w:p>
    <w:p w14:paraId="60CFD19C" w14:textId="77777777" w:rsidR="004B297D" w:rsidRDefault="004B297D" w:rsidP="00BC3E8E">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9"/>
      </w:tblGrid>
      <w:tr w:rsidR="00BC3E8E" w:rsidRPr="00DA38F3" w14:paraId="39042B40" w14:textId="77777777" w:rsidTr="00BC3E8E">
        <w:tc>
          <w:tcPr>
            <w:tcW w:w="8859" w:type="dxa"/>
            <w:tcBorders>
              <w:top w:val="single" w:sz="4" w:space="0" w:color="auto"/>
              <w:left w:val="single" w:sz="4" w:space="0" w:color="auto"/>
              <w:bottom w:val="single" w:sz="4" w:space="0" w:color="auto"/>
              <w:right w:val="single" w:sz="4" w:space="0" w:color="auto"/>
            </w:tcBorders>
            <w:shd w:val="clear" w:color="auto" w:fill="B3B3B3"/>
          </w:tcPr>
          <w:p w14:paraId="1FA93287" w14:textId="77777777" w:rsidR="00BC3E8E" w:rsidRPr="00A379A0" w:rsidRDefault="00BC3E8E" w:rsidP="00BC3E8E">
            <w:pPr>
              <w:pStyle w:val="Ttulo1"/>
              <w:shd w:val="clear" w:color="auto" w:fill="A6A6A6"/>
              <w:rPr>
                <w:rFonts w:ascii="Arial" w:hAnsi="Arial" w:cs="Arial"/>
                <w:bCs w:val="0"/>
                <w:kern w:val="0"/>
                <w:sz w:val="20"/>
                <w:szCs w:val="20"/>
              </w:rPr>
            </w:pPr>
            <w:bookmarkStart w:id="7" w:name="_Toc344399620"/>
            <w:bookmarkStart w:id="8" w:name="_Toc348931347"/>
            <w:bookmarkStart w:id="9" w:name="_Toc153727179"/>
            <w:r w:rsidRPr="00A379A0">
              <w:rPr>
                <w:rFonts w:ascii="Arial" w:hAnsi="Arial" w:cs="Arial"/>
                <w:bCs w:val="0"/>
                <w:kern w:val="0"/>
                <w:sz w:val="20"/>
                <w:szCs w:val="20"/>
              </w:rPr>
              <w:t>3.- AREA DESCRIPTIVA DEL MEDICAMENTO Y DEL PROBLEMA DE SALUD</w:t>
            </w:r>
            <w:bookmarkEnd w:id="7"/>
            <w:bookmarkEnd w:id="8"/>
            <w:bookmarkEnd w:id="9"/>
          </w:p>
        </w:tc>
      </w:tr>
    </w:tbl>
    <w:p w14:paraId="6FFC17A7" w14:textId="77777777" w:rsidR="00BC3E8E" w:rsidRPr="006F6ABB" w:rsidRDefault="00BC3E8E" w:rsidP="00BC3E8E">
      <w:pPr>
        <w:rPr>
          <w:rFonts w:ascii="Arial" w:hAnsi="Arial" w:cs="Arial"/>
          <w:b/>
          <w:sz w:val="20"/>
          <w:szCs w:val="20"/>
        </w:rPr>
      </w:pPr>
    </w:p>
    <w:p w14:paraId="352466F7" w14:textId="77777777" w:rsidR="00BC3E8E" w:rsidRPr="00E3472F" w:rsidRDefault="00BC3E8E" w:rsidP="00BC3E8E">
      <w:pPr>
        <w:pStyle w:val="Ttulo2"/>
        <w:pBdr>
          <w:top w:val="single" w:sz="4" w:space="1" w:color="auto"/>
          <w:left w:val="single" w:sz="4" w:space="4" w:color="auto"/>
          <w:bottom w:val="single" w:sz="4" w:space="1" w:color="auto"/>
          <w:right w:val="single" w:sz="4" w:space="2" w:color="auto"/>
        </w:pBdr>
        <w:shd w:val="clear" w:color="auto" w:fill="D9D9D9"/>
        <w:rPr>
          <w:rFonts w:cs="Arial"/>
          <w:sz w:val="20"/>
        </w:rPr>
      </w:pPr>
      <w:bookmarkStart w:id="10" w:name="_Toc344399621"/>
      <w:bookmarkStart w:id="11" w:name="_Toc348931348"/>
      <w:bookmarkStart w:id="12" w:name="_Toc153727180"/>
      <w:r w:rsidRPr="00E3472F">
        <w:rPr>
          <w:rFonts w:cs="Arial"/>
          <w:sz w:val="20"/>
        </w:rPr>
        <w:t>3.1 Área descriptiva del medicamento</w:t>
      </w:r>
      <w:bookmarkEnd w:id="10"/>
      <w:bookmarkEnd w:id="11"/>
      <w:bookmarkEnd w:id="12"/>
    </w:p>
    <w:p w14:paraId="508EF0F7" w14:textId="77777777" w:rsidR="00BC3E8E" w:rsidRPr="006F6ABB" w:rsidRDefault="00BC3E8E" w:rsidP="00BC3E8E">
      <w:pPr>
        <w:rPr>
          <w:rFonts w:ascii="Arial" w:hAnsi="Arial" w:cs="Arial"/>
          <w:b/>
          <w:sz w:val="20"/>
          <w:szCs w:val="20"/>
        </w:rPr>
      </w:pPr>
    </w:p>
    <w:p w14:paraId="16BF0867" w14:textId="77777777" w:rsidR="00BC3E8E" w:rsidRPr="006F6ABB" w:rsidRDefault="00BC3E8E" w:rsidP="00BC3E8E">
      <w:pPr>
        <w:rPr>
          <w:rFonts w:ascii="Arial" w:hAnsi="Arial" w:cs="Arial"/>
          <w:sz w:val="20"/>
          <w:szCs w:val="20"/>
        </w:rPr>
      </w:pPr>
      <w:r w:rsidRPr="006F6ABB">
        <w:rPr>
          <w:rFonts w:ascii="Arial" w:hAnsi="Arial" w:cs="Arial"/>
          <w:b/>
          <w:bCs/>
          <w:sz w:val="20"/>
          <w:szCs w:val="20"/>
        </w:rPr>
        <w:t>Nombre genérico</w:t>
      </w:r>
      <w:r w:rsidRPr="006F6ABB">
        <w:rPr>
          <w:rFonts w:ascii="Arial" w:hAnsi="Arial" w:cs="Arial"/>
          <w:sz w:val="20"/>
          <w:szCs w:val="20"/>
        </w:rPr>
        <w:t>:</w:t>
      </w:r>
      <w:r w:rsidR="00451511">
        <w:rPr>
          <w:rFonts w:ascii="Arial" w:hAnsi="Arial" w:cs="Arial"/>
          <w:sz w:val="20"/>
          <w:szCs w:val="20"/>
        </w:rPr>
        <w:t xml:space="preserve"> Niraparib/abiraterona</w:t>
      </w:r>
    </w:p>
    <w:p w14:paraId="39B214A3" w14:textId="77777777" w:rsidR="00BC3E8E" w:rsidRPr="006F6ABB" w:rsidRDefault="00BC3E8E" w:rsidP="00BC3E8E">
      <w:pPr>
        <w:rPr>
          <w:rFonts w:ascii="Arial" w:hAnsi="Arial" w:cs="Arial"/>
          <w:sz w:val="20"/>
          <w:szCs w:val="20"/>
        </w:rPr>
      </w:pPr>
      <w:r w:rsidRPr="006F6ABB">
        <w:rPr>
          <w:rFonts w:ascii="Arial" w:hAnsi="Arial" w:cs="Arial"/>
          <w:b/>
          <w:bCs/>
          <w:sz w:val="20"/>
          <w:szCs w:val="20"/>
        </w:rPr>
        <w:t>Nombre comercial</w:t>
      </w:r>
      <w:r w:rsidRPr="006F6ABB">
        <w:rPr>
          <w:rFonts w:ascii="Arial" w:hAnsi="Arial" w:cs="Arial"/>
          <w:sz w:val="20"/>
          <w:szCs w:val="20"/>
        </w:rPr>
        <w:t xml:space="preserve">: </w:t>
      </w:r>
      <w:r w:rsidR="00451511">
        <w:rPr>
          <w:rFonts w:ascii="Arial" w:hAnsi="Arial" w:cs="Arial"/>
          <w:sz w:val="20"/>
          <w:szCs w:val="20"/>
        </w:rPr>
        <w:t>Akeega®</w:t>
      </w:r>
    </w:p>
    <w:p w14:paraId="7FCE740C" w14:textId="77777777" w:rsidR="00BC3E8E" w:rsidRPr="006F6ABB" w:rsidRDefault="00BC3E8E" w:rsidP="00BC3E8E">
      <w:pPr>
        <w:rPr>
          <w:rFonts w:ascii="Arial" w:hAnsi="Arial" w:cs="Arial"/>
          <w:sz w:val="20"/>
          <w:szCs w:val="20"/>
        </w:rPr>
      </w:pPr>
      <w:r w:rsidRPr="006F6ABB">
        <w:rPr>
          <w:rFonts w:ascii="Arial" w:hAnsi="Arial" w:cs="Arial"/>
          <w:b/>
          <w:bCs/>
          <w:sz w:val="20"/>
          <w:szCs w:val="20"/>
        </w:rPr>
        <w:t>Laboratorio</w:t>
      </w:r>
      <w:r w:rsidRPr="006F6ABB">
        <w:rPr>
          <w:rFonts w:ascii="Arial" w:hAnsi="Arial" w:cs="Arial"/>
          <w:sz w:val="20"/>
          <w:szCs w:val="20"/>
        </w:rPr>
        <w:t>:</w:t>
      </w:r>
      <w:r w:rsidR="00451511">
        <w:rPr>
          <w:rFonts w:ascii="Arial" w:hAnsi="Arial" w:cs="Arial"/>
          <w:sz w:val="20"/>
          <w:szCs w:val="20"/>
        </w:rPr>
        <w:t xml:space="preserve"> </w:t>
      </w:r>
      <w:r w:rsidR="00451511" w:rsidRPr="00451511">
        <w:rPr>
          <w:rFonts w:ascii="Arial" w:hAnsi="Arial" w:cs="Arial"/>
          <w:sz w:val="20"/>
          <w:szCs w:val="20"/>
        </w:rPr>
        <w:t>Janssen-Cilag International N.V</w:t>
      </w:r>
    </w:p>
    <w:p w14:paraId="2E46F176" w14:textId="77777777" w:rsidR="00BC3E8E" w:rsidRPr="006F6ABB" w:rsidRDefault="00BC3E8E" w:rsidP="00BC3E8E">
      <w:pPr>
        <w:rPr>
          <w:rFonts w:ascii="Arial" w:hAnsi="Arial" w:cs="Arial"/>
          <w:sz w:val="20"/>
          <w:szCs w:val="20"/>
        </w:rPr>
      </w:pPr>
      <w:r w:rsidRPr="006F6ABB">
        <w:rPr>
          <w:rFonts w:ascii="Arial" w:hAnsi="Arial" w:cs="Arial"/>
          <w:b/>
          <w:bCs/>
          <w:sz w:val="20"/>
          <w:szCs w:val="20"/>
        </w:rPr>
        <w:t>Grupo terapéutico</w:t>
      </w:r>
      <w:r w:rsidR="00EB5CF9">
        <w:rPr>
          <w:rFonts w:ascii="Arial" w:hAnsi="Arial" w:cs="Arial"/>
          <w:sz w:val="20"/>
          <w:szCs w:val="20"/>
        </w:rPr>
        <w:t>. Denominación: Otros agentes antineoplásicos inhibidores de la poli (ADP ribosa) polimerasa (PARP)</w:t>
      </w:r>
      <w:r w:rsidR="00966C6E">
        <w:rPr>
          <w:rFonts w:ascii="Arial" w:hAnsi="Arial" w:cs="Arial"/>
          <w:sz w:val="20"/>
          <w:szCs w:val="20"/>
        </w:rPr>
        <w:t>.</w:t>
      </w:r>
      <w:r w:rsidRPr="006F6ABB">
        <w:rPr>
          <w:rFonts w:ascii="Arial" w:hAnsi="Arial" w:cs="Arial"/>
          <w:sz w:val="20"/>
          <w:szCs w:val="20"/>
        </w:rPr>
        <w:t xml:space="preserve">                    Código ATC:</w:t>
      </w:r>
      <w:r w:rsidR="00EB5CF9">
        <w:rPr>
          <w:rFonts w:ascii="Arial" w:hAnsi="Arial" w:cs="Arial"/>
          <w:sz w:val="20"/>
          <w:szCs w:val="20"/>
        </w:rPr>
        <w:t xml:space="preserve"> </w:t>
      </w:r>
      <w:r w:rsidR="00EB5CF9" w:rsidRPr="00EB5CF9">
        <w:rPr>
          <w:rFonts w:ascii="Arial" w:hAnsi="Arial" w:cs="Arial"/>
          <w:sz w:val="20"/>
          <w:szCs w:val="20"/>
        </w:rPr>
        <w:t>L01XK</w:t>
      </w:r>
    </w:p>
    <w:p w14:paraId="72AA1481" w14:textId="77777777" w:rsidR="00BC3E8E" w:rsidRPr="006F6ABB" w:rsidRDefault="00BC3E8E" w:rsidP="00BC3E8E">
      <w:pPr>
        <w:rPr>
          <w:rFonts w:ascii="Arial" w:hAnsi="Arial" w:cs="Arial"/>
          <w:sz w:val="20"/>
          <w:szCs w:val="20"/>
        </w:rPr>
      </w:pPr>
      <w:r w:rsidRPr="006F6ABB">
        <w:rPr>
          <w:rFonts w:ascii="Arial" w:hAnsi="Arial" w:cs="Arial"/>
          <w:b/>
          <w:bCs/>
          <w:sz w:val="20"/>
          <w:szCs w:val="20"/>
        </w:rPr>
        <w:t>Vía de administración</w:t>
      </w:r>
      <w:r w:rsidRPr="006F6ABB">
        <w:rPr>
          <w:rFonts w:ascii="Arial" w:hAnsi="Arial" w:cs="Arial"/>
          <w:sz w:val="20"/>
          <w:szCs w:val="20"/>
        </w:rPr>
        <w:t xml:space="preserve">: </w:t>
      </w:r>
      <w:r w:rsidR="00EB5CF9">
        <w:rPr>
          <w:rFonts w:ascii="Arial" w:hAnsi="Arial" w:cs="Arial"/>
          <w:sz w:val="20"/>
          <w:szCs w:val="20"/>
        </w:rPr>
        <w:t>Oral</w:t>
      </w:r>
    </w:p>
    <w:p w14:paraId="01E19480" w14:textId="77777777" w:rsidR="00BC3E8E" w:rsidRPr="006F6ABB" w:rsidRDefault="00BC3E8E" w:rsidP="00BC3E8E">
      <w:pPr>
        <w:jc w:val="both"/>
        <w:rPr>
          <w:rFonts w:ascii="Arial" w:hAnsi="Arial" w:cs="Arial"/>
          <w:bCs/>
          <w:sz w:val="20"/>
          <w:szCs w:val="20"/>
        </w:rPr>
      </w:pPr>
      <w:r w:rsidRPr="006F6ABB">
        <w:rPr>
          <w:rFonts w:ascii="Arial" w:hAnsi="Arial" w:cs="Arial"/>
          <w:b/>
          <w:sz w:val="20"/>
          <w:szCs w:val="20"/>
        </w:rPr>
        <w:t>Tipo de dispensación</w:t>
      </w:r>
      <w:r w:rsidRPr="006F6ABB">
        <w:rPr>
          <w:rFonts w:ascii="Arial" w:hAnsi="Arial" w:cs="Arial"/>
          <w:bCs/>
          <w:sz w:val="20"/>
          <w:szCs w:val="20"/>
        </w:rPr>
        <w:t xml:space="preserve">: </w:t>
      </w:r>
      <w:r w:rsidR="00EB5CF9">
        <w:rPr>
          <w:rFonts w:ascii="Arial" w:hAnsi="Arial" w:cs="Arial"/>
          <w:bCs/>
          <w:sz w:val="20"/>
          <w:szCs w:val="20"/>
        </w:rPr>
        <w:t>Hospitalaria</w:t>
      </w:r>
    </w:p>
    <w:p w14:paraId="460A9AE3" w14:textId="77777777" w:rsidR="00BC3E8E" w:rsidRPr="00EB5CF9" w:rsidRDefault="00BC3E8E" w:rsidP="00BC3E8E">
      <w:pPr>
        <w:pStyle w:val="Encabezado"/>
        <w:tabs>
          <w:tab w:val="clear" w:pos="4252"/>
          <w:tab w:val="clear" w:pos="8504"/>
        </w:tabs>
        <w:jc w:val="both"/>
        <w:rPr>
          <w:rFonts w:ascii="Arial" w:hAnsi="Arial" w:cs="Arial"/>
        </w:rPr>
      </w:pPr>
      <w:r w:rsidRPr="00AB6676">
        <w:rPr>
          <w:rFonts w:ascii="Arial" w:hAnsi="Arial" w:cs="Arial"/>
          <w:b/>
          <w:bCs/>
          <w:sz w:val="20"/>
          <w:szCs w:val="20"/>
        </w:rPr>
        <w:t>Información de registro:</w:t>
      </w:r>
      <w:r w:rsidRPr="006F6ABB">
        <w:rPr>
          <w:rFonts w:ascii="Arial" w:hAnsi="Arial" w:cs="Arial"/>
        </w:rPr>
        <w:t xml:space="preserve"> </w:t>
      </w:r>
      <w:r w:rsidR="00EB5CF9" w:rsidRPr="00AB6676">
        <w:rPr>
          <w:rFonts w:ascii="Arial" w:hAnsi="Arial" w:cs="Arial"/>
          <w:bCs/>
          <w:sz w:val="20"/>
          <w:szCs w:val="20"/>
        </w:rPr>
        <w:t xml:space="preserve">Opinión positiva de la EMA para su autorización en </w:t>
      </w:r>
      <w:r w:rsidR="00A47100" w:rsidRPr="00AB6676">
        <w:rPr>
          <w:rFonts w:ascii="Arial" w:hAnsi="Arial" w:cs="Arial"/>
          <w:bCs/>
          <w:sz w:val="20"/>
          <w:szCs w:val="20"/>
        </w:rPr>
        <w:t>c</w:t>
      </w:r>
      <w:r w:rsidR="001A0EA8" w:rsidRPr="00AB6676">
        <w:rPr>
          <w:rFonts w:ascii="Arial" w:hAnsi="Arial" w:cs="Arial"/>
          <w:bCs/>
          <w:sz w:val="20"/>
          <w:szCs w:val="20"/>
        </w:rPr>
        <w:t>áncer de próstata resistente a la castración metastásico</w:t>
      </w:r>
      <w:r w:rsidR="00A47100" w:rsidRPr="00AB6676">
        <w:rPr>
          <w:rFonts w:ascii="Arial" w:hAnsi="Arial" w:cs="Arial"/>
          <w:bCs/>
          <w:sz w:val="20"/>
          <w:szCs w:val="20"/>
        </w:rPr>
        <w:t xml:space="preserve"> (</w:t>
      </w:r>
      <w:r w:rsidR="00EB5CF9" w:rsidRPr="00AB6676">
        <w:rPr>
          <w:rFonts w:ascii="Arial" w:hAnsi="Arial" w:cs="Arial"/>
          <w:bCs/>
          <w:sz w:val="20"/>
          <w:szCs w:val="20"/>
        </w:rPr>
        <w:t>CPRCm</w:t>
      </w:r>
      <w:r w:rsidR="00A47100" w:rsidRPr="00AB6676">
        <w:rPr>
          <w:rFonts w:ascii="Arial" w:hAnsi="Arial" w:cs="Arial"/>
          <w:bCs/>
          <w:sz w:val="20"/>
          <w:szCs w:val="20"/>
        </w:rPr>
        <w:t>).</w:t>
      </w:r>
    </w:p>
    <w:p w14:paraId="1FE4CCA3" w14:textId="77777777" w:rsidR="00BC3E8E" w:rsidRPr="006F6ABB" w:rsidRDefault="00BC3E8E" w:rsidP="00BC3E8E">
      <w:pPr>
        <w:pStyle w:val="Encabezado"/>
        <w:tabs>
          <w:tab w:val="clear" w:pos="4252"/>
          <w:tab w:val="clear" w:pos="8504"/>
        </w:tabs>
        <w:rPr>
          <w:rFonts w:ascii="Arial" w:hAnsi="Arial" w:cs="Aria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4"/>
        <w:gridCol w:w="1238"/>
        <w:gridCol w:w="965"/>
        <w:gridCol w:w="2007"/>
        <w:gridCol w:w="2188"/>
      </w:tblGrid>
      <w:tr w:rsidR="00BC3E8E" w:rsidRPr="006F6ABB" w14:paraId="266FE3C6" w14:textId="77777777" w:rsidTr="00BC3E8E">
        <w:trPr>
          <w:cantSplit/>
        </w:trPr>
        <w:tc>
          <w:tcPr>
            <w:tcW w:w="8962" w:type="dxa"/>
            <w:gridSpan w:val="5"/>
            <w:shd w:val="clear" w:color="auto" w:fill="CCFFCC"/>
          </w:tcPr>
          <w:p w14:paraId="278B4F59" w14:textId="77777777" w:rsidR="00BC3E8E" w:rsidRPr="006F6ABB" w:rsidRDefault="00BC3E8E" w:rsidP="00BC3E8E">
            <w:pPr>
              <w:jc w:val="both"/>
              <w:rPr>
                <w:rFonts w:ascii="Arial" w:hAnsi="Arial" w:cs="Arial"/>
                <w:b/>
                <w:sz w:val="16"/>
              </w:rPr>
            </w:pPr>
            <w:r w:rsidRPr="00117945">
              <w:rPr>
                <w:rFonts w:ascii="Arial" w:hAnsi="Arial" w:cs="Arial"/>
                <w:b/>
                <w:sz w:val="18"/>
              </w:rPr>
              <w:t xml:space="preserve">Presentaciones y precio </w:t>
            </w:r>
            <w:r w:rsidRPr="00117945">
              <w:rPr>
                <w:rFonts w:ascii="Arial" w:hAnsi="Arial" w:cs="Arial"/>
                <w:bCs/>
                <w:sz w:val="18"/>
              </w:rPr>
              <w:t xml:space="preserve"> </w:t>
            </w:r>
          </w:p>
        </w:tc>
      </w:tr>
      <w:tr w:rsidR="00BC3E8E" w:rsidRPr="006F6ABB" w14:paraId="43D5F8C7" w14:textId="77777777" w:rsidTr="00BC3E8E">
        <w:trPr>
          <w:cantSplit/>
        </w:trPr>
        <w:tc>
          <w:tcPr>
            <w:tcW w:w="2564" w:type="dxa"/>
          </w:tcPr>
          <w:p w14:paraId="2D81DFA0" w14:textId="77777777" w:rsidR="00BC3E8E" w:rsidRPr="006F6ABB" w:rsidRDefault="00BC3E8E" w:rsidP="00BC3E8E">
            <w:pPr>
              <w:jc w:val="both"/>
              <w:rPr>
                <w:rFonts w:ascii="Arial" w:hAnsi="Arial" w:cs="Arial"/>
                <w:bCs/>
                <w:sz w:val="16"/>
              </w:rPr>
            </w:pPr>
            <w:r w:rsidRPr="006F6ABB">
              <w:rPr>
                <w:rFonts w:ascii="Arial" w:hAnsi="Arial" w:cs="Arial"/>
                <w:bCs/>
                <w:sz w:val="16"/>
              </w:rPr>
              <w:t>Forma farmacéutica y dosis</w:t>
            </w:r>
          </w:p>
        </w:tc>
        <w:tc>
          <w:tcPr>
            <w:tcW w:w="1238" w:type="dxa"/>
          </w:tcPr>
          <w:p w14:paraId="6A6CB58B" w14:textId="77777777" w:rsidR="00BC3E8E" w:rsidRPr="006F6ABB" w:rsidRDefault="00BC3E8E" w:rsidP="00BC3E8E">
            <w:pPr>
              <w:jc w:val="both"/>
              <w:rPr>
                <w:rFonts w:ascii="Arial" w:hAnsi="Arial" w:cs="Arial"/>
                <w:bCs/>
                <w:sz w:val="16"/>
                <w:lang w:val="pt-BR"/>
              </w:rPr>
            </w:pPr>
            <w:r w:rsidRPr="006F6ABB">
              <w:rPr>
                <w:rFonts w:ascii="Arial" w:hAnsi="Arial" w:cs="Arial"/>
                <w:bCs/>
                <w:sz w:val="16"/>
                <w:lang w:val="pt-BR"/>
              </w:rPr>
              <w:t>Nº de unidades por envase</w:t>
            </w:r>
          </w:p>
        </w:tc>
        <w:tc>
          <w:tcPr>
            <w:tcW w:w="965" w:type="dxa"/>
          </w:tcPr>
          <w:p w14:paraId="677D8D14" w14:textId="77777777" w:rsidR="00BC3E8E" w:rsidRPr="006F6ABB" w:rsidRDefault="00BC3E8E" w:rsidP="00BC3E8E">
            <w:pPr>
              <w:jc w:val="both"/>
              <w:rPr>
                <w:rFonts w:ascii="Arial" w:hAnsi="Arial" w:cs="Arial"/>
                <w:bCs/>
                <w:sz w:val="16"/>
              </w:rPr>
            </w:pPr>
            <w:r w:rsidRPr="006F6ABB">
              <w:rPr>
                <w:rFonts w:ascii="Arial" w:hAnsi="Arial" w:cs="Arial"/>
                <w:bCs/>
                <w:sz w:val="16"/>
              </w:rPr>
              <w:t>Código</w:t>
            </w:r>
          </w:p>
        </w:tc>
        <w:tc>
          <w:tcPr>
            <w:tcW w:w="2007" w:type="dxa"/>
          </w:tcPr>
          <w:p w14:paraId="569A3492" w14:textId="77777777" w:rsidR="00BC3E8E" w:rsidRPr="006F6ABB" w:rsidRDefault="006B7B3B" w:rsidP="00A93E29">
            <w:pPr>
              <w:jc w:val="both"/>
              <w:rPr>
                <w:rFonts w:ascii="Arial" w:hAnsi="Arial" w:cs="Arial"/>
                <w:bCs/>
                <w:sz w:val="16"/>
              </w:rPr>
            </w:pPr>
            <w:r>
              <w:rPr>
                <w:rFonts w:ascii="Arial" w:hAnsi="Arial" w:cs="Arial"/>
                <w:bCs/>
                <w:sz w:val="16"/>
              </w:rPr>
              <w:t>Coste por unidad PVP + IVA</w:t>
            </w:r>
            <w:r w:rsidR="00BC3E8E" w:rsidRPr="006F6ABB">
              <w:rPr>
                <w:rFonts w:ascii="Arial" w:hAnsi="Arial" w:cs="Arial"/>
                <w:bCs/>
                <w:sz w:val="16"/>
              </w:rPr>
              <w:t xml:space="preserve"> </w:t>
            </w:r>
            <w:r w:rsidR="00BC3E8E">
              <w:rPr>
                <w:rFonts w:ascii="Arial" w:hAnsi="Arial" w:cs="Arial"/>
                <w:bCs/>
                <w:sz w:val="16"/>
              </w:rPr>
              <w:t>(1)</w:t>
            </w:r>
            <w:r>
              <w:rPr>
                <w:rFonts w:ascii="Arial" w:hAnsi="Arial" w:cs="Arial"/>
                <w:bCs/>
                <w:sz w:val="16"/>
              </w:rPr>
              <w:t xml:space="preserve"> </w:t>
            </w:r>
          </w:p>
        </w:tc>
        <w:tc>
          <w:tcPr>
            <w:tcW w:w="2188" w:type="dxa"/>
          </w:tcPr>
          <w:p w14:paraId="74DFABFD" w14:textId="77777777" w:rsidR="00BC3E8E" w:rsidRPr="006F6ABB" w:rsidRDefault="00BC3E8E" w:rsidP="00A93E29">
            <w:pPr>
              <w:jc w:val="both"/>
              <w:rPr>
                <w:rFonts w:ascii="Arial" w:hAnsi="Arial" w:cs="Arial"/>
                <w:bCs/>
                <w:sz w:val="16"/>
              </w:rPr>
            </w:pPr>
            <w:r w:rsidRPr="006F6ABB">
              <w:rPr>
                <w:rFonts w:ascii="Arial" w:hAnsi="Arial" w:cs="Arial"/>
                <w:bCs/>
                <w:sz w:val="16"/>
              </w:rPr>
              <w:t>Coste por unidad PVL + IVA</w:t>
            </w:r>
            <w:r w:rsidR="006B7B3B">
              <w:rPr>
                <w:rFonts w:ascii="Arial" w:hAnsi="Arial" w:cs="Arial"/>
                <w:bCs/>
                <w:sz w:val="16"/>
              </w:rPr>
              <w:t xml:space="preserve"> (</w:t>
            </w:r>
            <w:r w:rsidR="00A93E29">
              <w:rPr>
                <w:rFonts w:ascii="Arial" w:hAnsi="Arial" w:cs="Arial"/>
                <w:bCs/>
                <w:sz w:val="16"/>
              </w:rPr>
              <w:t>1</w:t>
            </w:r>
            <w:r w:rsidR="006B7B3B">
              <w:rPr>
                <w:rFonts w:ascii="Arial" w:hAnsi="Arial" w:cs="Arial"/>
                <w:bCs/>
                <w:sz w:val="16"/>
              </w:rPr>
              <w:t>)</w:t>
            </w:r>
            <w:r w:rsidRPr="006F6ABB">
              <w:rPr>
                <w:rFonts w:ascii="Arial" w:hAnsi="Arial" w:cs="Arial"/>
                <w:bCs/>
                <w:sz w:val="16"/>
              </w:rPr>
              <w:t xml:space="preserve"> </w:t>
            </w:r>
          </w:p>
        </w:tc>
      </w:tr>
      <w:tr w:rsidR="00EB151D" w:rsidRPr="006F6ABB" w14:paraId="425E19BF" w14:textId="77777777" w:rsidTr="00BC3E8E">
        <w:trPr>
          <w:cantSplit/>
        </w:trPr>
        <w:tc>
          <w:tcPr>
            <w:tcW w:w="2564" w:type="dxa"/>
          </w:tcPr>
          <w:p w14:paraId="02B5CB7B" w14:textId="77777777" w:rsidR="00EB151D" w:rsidRPr="006F6ABB" w:rsidRDefault="00EB151D" w:rsidP="00EB151D">
            <w:pPr>
              <w:jc w:val="both"/>
              <w:rPr>
                <w:rFonts w:ascii="Arial" w:hAnsi="Arial" w:cs="Arial"/>
                <w:bCs/>
                <w:sz w:val="16"/>
              </w:rPr>
            </w:pPr>
            <w:r>
              <w:rPr>
                <w:rFonts w:ascii="Arial" w:hAnsi="Arial" w:cs="Arial"/>
                <w:bCs/>
                <w:sz w:val="16"/>
              </w:rPr>
              <w:t>Comprimidos recubiertos con película 50/500 mg</w:t>
            </w:r>
          </w:p>
        </w:tc>
        <w:tc>
          <w:tcPr>
            <w:tcW w:w="1238" w:type="dxa"/>
          </w:tcPr>
          <w:p w14:paraId="134BD15A" w14:textId="77777777" w:rsidR="00EB151D" w:rsidRPr="006F6ABB" w:rsidRDefault="00EB151D" w:rsidP="00EB151D">
            <w:pPr>
              <w:jc w:val="both"/>
              <w:rPr>
                <w:rFonts w:ascii="Arial" w:hAnsi="Arial" w:cs="Arial"/>
                <w:bCs/>
                <w:sz w:val="16"/>
              </w:rPr>
            </w:pPr>
            <w:r>
              <w:rPr>
                <w:rFonts w:ascii="Arial" w:hAnsi="Arial" w:cs="Arial"/>
                <w:bCs/>
                <w:sz w:val="16"/>
              </w:rPr>
              <w:t>56</w:t>
            </w:r>
          </w:p>
        </w:tc>
        <w:tc>
          <w:tcPr>
            <w:tcW w:w="965" w:type="dxa"/>
          </w:tcPr>
          <w:p w14:paraId="5EAB2EDB" w14:textId="77777777" w:rsidR="00EB151D" w:rsidRPr="006F6ABB" w:rsidRDefault="00EB151D" w:rsidP="00EB151D">
            <w:pPr>
              <w:jc w:val="both"/>
              <w:rPr>
                <w:rFonts w:ascii="Arial" w:hAnsi="Arial" w:cs="Arial"/>
                <w:bCs/>
                <w:sz w:val="16"/>
              </w:rPr>
            </w:pPr>
            <w:r>
              <w:rPr>
                <w:rFonts w:ascii="Arial" w:hAnsi="Arial" w:cs="Arial"/>
                <w:bCs/>
                <w:sz w:val="16"/>
              </w:rPr>
              <w:t>762401</w:t>
            </w:r>
          </w:p>
        </w:tc>
        <w:tc>
          <w:tcPr>
            <w:tcW w:w="2007" w:type="dxa"/>
          </w:tcPr>
          <w:p w14:paraId="68316B23" w14:textId="77777777" w:rsidR="00EB151D" w:rsidRPr="006F6ABB" w:rsidRDefault="00EB151D" w:rsidP="00EB151D">
            <w:pPr>
              <w:jc w:val="both"/>
              <w:rPr>
                <w:rFonts w:ascii="Arial" w:hAnsi="Arial" w:cs="Arial"/>
                <w:bCs/>
                <w:sz w:val="16"/>
              </w:rPr>
            </w:pPr>
            <w:r>
              <w:rPr>
                <w:rFonts w:ascii="Arial" w:hAnsi="Arial" w:cs="Arial"/>
                <w:bCs/>
                <w:sz w:val="16"/>
              </w:rPr>
              <w:t xml:space="preserve">Pendiente de resolución de precio y financiación </w:t>
            </w:r>
          </w:p>
        </w:tc>
        <w:tc>
          <w:tcPr>
            <w:tcW w:w="2188" w:type="dxa"/>
          </w:tcPr>
          <w:p w14:paraId="4AE806EA" w14:textId="77777777" w:rsidR="00EB151D" w:rsidRPr="006F6ABB" w:rsidRDefault="00EB151D" w:rsidP="00EB151D">
            <w:pPr>
              <w:jc w:val="both"/>
              <w:rPr>
                <w:rFonts w:ascii="Arial" w:hAnsi="Arial" w:cs="Arial"/>
                <w:bCs/>
                <w:sz w:val="16"/>
              </w:rPr>
            </w:pPr>
            <w:r>
              <w:rPr>
                <w:rFonts w:ascii="Arial" w:hAnsi="Arial" w:cs="Arial"/>
                <w:bCs/>
                <w:sz w:val="16"/>
              </w:rPr>
              <w:t xml:space="preserve">Pendiente de resolución de precio y financiación </w:t>
            </w:r>
          </w:p>
        </w:tc>
      </w:tr>
      <w:tr w:rsidR="00EB151D" w:rsidRPr="006F6ABB" w14:paraId="34ECA72A" w14:textId="77777777" w:rsidTr="00BC3E8E">
        <w:trPr>
          <w:cantSplit/>
          <w:trHeight w:val="98"/>
        </w:trPr>
        <w:tc>
          <w:tcPr>
            <w:tcW w:w="2564" w:type="dxa"/>
          </w:tcPr>
          <w:p w14:paraId="2F0E8CF4" w14:textId="77777777" w:rsidR="00EB151D" w:rsidRPr="006F6ABB" w:rsidRDefault="00EB151D" w:rsidP="00EB151D">
            <w:pPr>
              <w:jc w:val="both"/>
              <w:rPr>
                <w:rFonts w:ascii="Arial" w:hAnsi="Arial" w:cs="Arial"/>
                <w:bCs/>
                <w:sz w:val="16"/>
              </w:rPr>
            </w:pPr>
            <w:r>
              <w:rPr>
                <w:rFonts w:ascii="Arial" w:hAnsi="Arial" w:cs="Arial"/>
                <w:bCs/>
                <w:sz w:val="16"/>
              </w:rPr>
              <w:t>Comprimidos recubiertos con película 100/500 mg</w:t>
            </w:r>
          </w:p>
        </w:tc>
        <w:tc>
          <w:tcPr>
            <w:tcW w:w="1238" w:type="dxa"/>
          </w:tcPr>
          <w:p w14:paraId="5C423AF0" w14:textId="77777777" w:rsidR="00EB151D" w:rsidRPr="006F6ABB" w:rsidRDefault="00EB151D" w:rsidP="00EB151D">
            <w:pPr>
              <w:jc w:val="both"/>
              <w:rPr>
                <w:rFonts w:ascii="Arial" w:hAnsi="Arial" w:cs="Arial"/>
                <w:bCs/>
                <w:sz w:val="16"/>
              </w:rPr>
            </w:pPr>
            <w:r>
              <w:rPr>
                <w:rFonts w:ascii="Arial" w:hAnsi="Arial" w:cs="Arial"/>
                <w:bCs/>
                <w:sz w:val="16"/>
              </w:rPr>
              <w:t>56</w:t>
            </w:r>
          </w:p>
        </w:tc>
        <w:tc>
          <w:tcPr>
            <w:tcW w:w="965" w:type="dxa"/>
          </w:tcPr>
          <w:p w14:paraId="73DC0245" w14:textId="77777777" w:rsidR="00EB151D" w:rsidRPr="006F6ABB" w:rsidRDefault="00EB151D" w:rsidP="00EB151D">
            <w:pPr>
              <w:jc w:val="both"/>
              <w:rPr>
                <w:rFonts w:ascii="Arial" w:hAnsi="Arial" w:cs="Arial"/>
                <w:bCs/>
                <w:sz w:val="16"/>
              </w:rPr>
            </w:pPr>
            <w:r>
              <w:rPr>
                <w:rFonts w:ascii="Arial" w:hAnsi="Arial" w:cs="Arial"/>
                <w:bCs/>
                <w:sz w:val="16"/>
              </w:rPr>
              <w:t>762402</w:t>
            </w:r>
          </w:p>
        </w:tc>
        <w:tc>
          <w:tcPr>
            <w:tcW w:w="2007" w:type="dxa"/>
          </w:tcPr>
          <w:p w14:paraId="5A4FFF49" w14:textId="77777777" w:rsidR="00EB151D" w:rsidRPr="006F6ABB" w:rsidRDefault="00EB151D" w:rsidP="00EB151D">
            <w:pPr>
              <w:jc w:val="both"/>
              <w:rPr>
                <w:rFonts w:ascii="Arial" w:hAnsi="Arial" w:cs="Arial"/>
                <w:bCs/>
                <w:sz w:val="16"/>
              </w:rPr>
            </w:pPr>
            <w:r>
              <w:rPr>
                <w:rFonts w:ascii="Arial" w:hAnsi="Arial" w:cs="Arial"/>
                <w:bCs/>
                <w:sz w:val="16"/>
              </w:rPr>
              <w:t xml:space="preserve">Pendiente de resolución de precio y financiación </w:t>
            </w:r>
          </w:p>
        </w:tc>
        <w:tc>
          <w:tcPr>
            <w:tcW w:w="2188" w:type="dxa"/>
          </w:tcPr>
          <w:p w14:paraId="4A0174DA" w14:textId="77777777" w:rsidR="00EB151D" w:rsidRPr="006F6ABB" w:rsidRDefault="00EB151D" w:rsidP="00EB151D">
            <w:pPr>
              <w:jc w:val="both"/>
              <w:rPr>
                <w:rFonts w:ascii="Arial" w:hAnsi="Arial" w:cs="Arial"/>
                <w:bCs/>
                <w:sz w:val="16"/>
              </w:rPr>
            </w:pPr>
            <w:r>
              <w:rPr>
                <w:rFonts w:ascii="Arial" w:hAnsi="Arial" w:cs="Arial"/>
                <w:bCs/>
                <w:sz w:val="16"/>
              </w:rPr>
              <w:t xml:space="preserve">Pendiente de resolución de precio y financiación </w:t>
            </w:r>
          </w:p>
        </w:tc>
      </w:tr>
    </w:tbl>
    <w:p w14:paraId="5A7BEF11" w14:textId="77777777" w:rsidR="00A93E29" w:rsidRDefault="00A93E29" w:rsidP="00A93E29">
      <w:pPr>
        <w:rPr>
          <w:rFonts w:ascii="Arial" w:hAnsi="Arial" w:cs="Arial"/>
          <w:color w:val="0000FF"/>
          <w:sz w:val="20"/>
          <w:szCs w:val="20"/>
          <w:u w:val="single"/>
        </w:rPr>
      </w:pPr>
    </w:p>
    <w:p w14:paraId="5F8F3A23" w14:textId="77777777" w:rsidR="00BC3E8E" w:rsidRPr="006F6ABB" w:rsidRDefault="00BC3E8E" w:rsidP="00BC3E8E">
      <w:pPr>
        <w:jc w:val="right"/>
        <w:rPr>
          <w:rFonts w:ascii="Arial" w:hAnsi="Arial" w:cs="Arial"/>
          <w:color w:val="0000FF"/>
          <w:sz w:val="20"/>
          <w:szCs w:val="20"/>
          <w:u w:val="single"/>
        </w:rPr>
      </w:pPr>
    </w:p>
    <w:p w14:paraId="14B63E30"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 w:name="_Toc344399622"/>
      <w:bookmarkStart w:id="14" w:name="_Toc348931349"/>
      <w:bookmarkStart w:id="15" w:name="_Toc153727181"/>
      <w:r w:rsidRPr="00E3472F">
        <w:rPr>
          <w:rFonts w:cs="Arial"/>
          <w:sz w:val="20"/>
        </w:rPr>
        <w:t>3.2 Área descriptiva del problema de salud</w:t>
      </w:r>
      <w:bookmarkEnd w:id="13"/>
      <w:bookmarkEnd w:id="14"/>
      <w:bookmarkEnd w:id="15"/>
    </w:p>
    <w:p w14:paraId="2E7C7960" w14:textId="77777777" w:rsidR="00BC3E8E" w:rsidRPr="006F6ABB" w:rsidRDefault="00BC3E8E" w:rsidP="00BC3E8E">
      <w:pPr>
        <w:jc w:val="both"/>
        <w:rPr>
          <w:rFonts w:ascii="Arial" w:hAnsi="Arial" w:cs="Arial"/>
          <w:bCs/>
          <w:color w:val="000080"/>
          <w:sz w:val="20"/>
          <w:szCs w:val="20"/>
        </w:rPr>
      </w:pPr>
    </w:p>
    <w:p w14:paraId="78492BB7"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6" w:name="_Toc344399623"/>
      <w:bookmarkStart w:id="17" w:name="_Toc348931350"/>
      <w:bookmarkStart w:id="18" w:name="_Toc153727182"/>
      <w:r w:rsidRPr="00E3472F">
        <w:rPr>
          <w:rFonts w:cs="Arial"/>
          <w:sz w:val="20"/>
        </w:rPr>
        <w:t>3.2.a Descripción estructurada del problema de salud</w:t>
      </w:r>
      <w:bookmarkEnd w:id="16"/>
      <w:bookmarkEnd w:id="17"/>
      <w:bookmarkEnd w:id="18"/>
    </w:p>
    <w:p w14:paraId="2A1F1580" w14:textId="77777777" w:rsidR="00796BDE" w:rsidRPr="006F6ABB" w:rsidRDefault="00796BDE" w:rsidP="00BC3E8E">
      <w:pPr>
        <w:jc w:val="both"/>
        <w:rPr>
          <w:rFonts w:ascii="Arial" w:hAnsi="Arial" w:cs="Arial"/>
          <w:b/>
          <w:bCs/>
          <w:color w:val="FF0000"/>
          <w:sz w:val="20"/>
          <w:szCs w:val="20"/>
        </w:rPr>
      </w:pPr>
    </w:p>
    <w:tbl>
      <w:tblPr>
        <w:tblW w:w="89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04"/>
      </w:tblGrid>
      <w:tr w:rsidR="00BC3E8E" w:rsidRPr="006F6ABB" w14:paraId="6473DBB1" w14:textId="77777777" w:rsidTr="00C67DF8">
        <w:trPr>
          <w:cantSplit/>
        </w:trPr>
        <w:tc>
          <w:tcPr>
            <w:tcW w:w="8931" w:type="dxa"/>
            <w:gridSpan w:val="2"/>
            <w:tcBorders>
              <w:top w:val="single" w:sz="4" w:space="0" w:color="auto"/>
              <w:left w:val="single" w:sz="4" w:space="0" w:color="auto"/>
              <w:right w:val="single" w:sz="4" w:space="0" w:color="auto"/>
            </w:tcBorders>
            <w:shd w:val="clear" w:color="auto" w:fill="CCFFCC"/>
          </w:tcPr>
          <w:p w14:paraId="05889975" w14:textId="77777777" w:rsidR="00BC3E8E" w:rsidRPr="00117945" w:rsidRDefault="00BC3E8E" w:rsidP="00BC3E8E">
            <w:pPr>
              <w:rPr>
                <w:rFonts w:ascii="Arial" w:hAnsi="Arial" w:cs="Arial"/>
                <w:b/>
                <w:sz w:val="18"/>
                <w:szCs w:val="18"/>
              </w:rPr>
            </w:pPr>
            <w:r w:rsidRPr="00117945">
              <w:rPr>
                <w:rFonts w:ascii="Arial" w:hAnsi="Arial" w:cs="Arial"/>
                <w:b/>
                <w:sz w:val="18"/>
                <w:szCs w:val="18"/>
              </w:rPr>
              <w:t>Descripción del problema de salud</w:t>
            </w:r>
          </w:p>
        </w:tc>
      </w:tr>
      <w:tr w:rsidR="00BC3E8E" w:rsidRPr="006F6ABB" w14:paraId="22363580" w14:textId="77777777" w:rsidTr="005C3A53">
        <w:trPr>
          <w:cantSplit/>
        </w:trPr>
        <w:tc>
          <w:tcPr>
            <w:tcW w:w="2127" w:type="dxa"/>
            <w:shd w:val="clear" w:color="auto" w:fill="E6E6E6"/>
          </w:tcPr>
          <w:p w14:paraId="4BC00C5D" w14:textId="77777777" w:rsidR="00BC3E8E" w:rsidRPr="00117945" w:rsidRDefault="00BC3E8E" w:rsidP="00BC3E8E">
            <w:pPr>
              <w:rPr>
                <w:rFonts w:ascii="Arial" w:hAnsi="Arial" w:cs="Arial"/>
                <w:bCs/>
                <w:sz w:val="16"/>
                <w:szCs w:val="16"/>
              </w:rPr>
            </w:pPr>
            <w:r w:rsidRPr="00117945">
              <w:rPr>
                <w:rFonts w:ascii="Arial" w:hAnsi="Arial" w:cs="Arial"/>
                <w:bCs/>
                <w:sz w:val="16"/>
                <w:szCs w:val="16"/>
              </w:rPr>
              <w:t>Definición</w:t>
            </w:r>
          </w:p>
        </w:tc>
        <w:tc>
          <w:tcPr>
            <w:tcW w:w="6804" w:type="dxa"/>
          </w:tcPr>
          <w:p w14:paraId="21A71751" w14:textId="77777777" w:rsidR="00BC3E8E" w:rsidRPr="009035DD" w:rsidRDefault="001A0EA8" w:rsidP="00E85039">
            <w:pPr>
              <w:jc w:val="both"/>
              <w:rPr>
                <w:rFonts w:ascii="Arial" w:hAnsi="Arial" w:cs="Arial"/>
                <w:bCs/>
                <w:sz w:val="20"/>
                <w:szCs w:val="20"/>
              </w:rPr>
            </w:pPr>
            <w:r w:rsidRPr="009035DD">
              <w:rPr>
                <w:rFonts w:ascii="Arial" w:hAnsi="Arial" w:cs="Arial"/>
                <w:sz w:val="20"/>
                <w:szCs w:val="20"/>
              </w:rPr>
              <w:t>El cáncer de próstata (CP) es la neoplasia urogenital con mayor incidencia entre los varones. Se trata de un proceso tumoral con una elevada tasa de supervivencia a los 5 años, próxima al 85%, debido en gran parte a que la mayoría de los casos son diagnosticados en estadios tempranos, y únicamente un 5% de estos se realizan en fases metastásicas. Por tanto, para la mayoría de los pacientes se puede aplicar una terapia radical con intención curativa. A pesar de ello, no se debe obviar que hasta un 30% de los casos progresan a una forma sistémica de la enfermedad (3,4).</w:t>
            </w:r>
          </w:p>
        </w:tc>
      </w:tr>
      <w:tr w:rsidR="00BC3E8E" w:rsidRPr="006F6ABB" w14:paraId="6BECB6D8" w14:textId="77777777" w:rsidTr="005C3A53">
        <w:trPr>
          <w:cantSplit/>
        </w:trPr>
        <w:tc>
          <w:tcPr>
            <w:tcW w:w="2127" w:type="dxa"/>
            <w:shd w:val="clear" w:color="auto" w:fill="E6E6E6"/>
          </w:tcPr>
          <w:p w14:paraId="14AF3663" w14:textId="77777777" w:rsidR="00BC3E8E" w:rsidRPr="00117945" w:rsidRDefault="00BC3E8E" w:rsidP="00BC3E8E">
            <w:pPr>
              <w:rPr>
                <w:rFonts w:ascii="Arial" w:hAnsi="Arial" w:cs="Arial"/>
                <w:bCs/>
                <w:sz w:val="16"/>
                <w:szCs w:val="16"/>
              </w:rPr>
            </w:pPr>
            <w:r w:rsidRPr="00117945">
              <w:rPr>
                <w:rFonts w:ascii="Arial" w:hAnsi="Arial" w:cs="Arial"/>
                <w:bCs/>
                <w:sz w:val="16"/>
                <w:szCs w:val="16"/>
              </w:rPr>
              <w:t>Principales manifestaciones clínicas</w:t>
            </w:r>
          </w:p>
        </w:tc>
        <w:tc>
          <w:tcPr>
            <w:tcW w:w="6804" w:type="dxa"/>
          </w:tcPr>
          <w:p w14:paraId="20C62100" w14:textId="48D6EFE3" w:rsidR="00BC3E8E" w:rsidRPr="009035DD" w:rsidRDefault="001A0EA8" w:rsidP="00E85039">
            <w:pPr>
              <w:jc w:val="both"/>
              <w:rPr>
                <w:rFonts w:ascii="Arial" w:hAnsi="Arial" w:cs="Arial"/>
                <w:bCs/>
                <w:sz w:val="20"/>
                <w:szCs w:val="20"/>
              </w:rPr>
            </w:pPr>
            <w:r w:rsidRPr="009035DD">
              <w:rPr>
                <w:rFonts w:ascii="Arial" w:hAnsi="Arial" w:cs="Arial"/>
                <w:bCs/>
                <w:sz w:val="20"/>
                <w:szCs w:val="20"/>
              </w:rPr>
              <w:t xml:space="preserve">El CPRCm se caracteriza predominantemente por dolor óseo, fatiga y disfunción urinaria. El hueso es la localización predominante del cáncer de próstata diseminado, y el dolor es la manifestación más común de las metástasis óseas. </w:t>
            </w:r>
            <w:r w:rsidRPr="009035DD">
              <w:rPr>
                <w:rFonts w:ascii="Arial" w:eastAsia="Arial" w:hAnsi="Arial" w:cs="Arial"/>
                <w:sz w:val="20"/>
                <w:szCs w:val="18"/>
              </w:rPr>
              <w:t xml:space="preserve">Las metástasis óseas son un evento frecuente (su frecuencia se estima entre el 65-85% en </w:t>
            </w:r>
            <w:r w:rsidR="00F833E1" w:rsidRPr="009035DD">
              <w:rPr>
                <w:rFonts w:ascii="Arial" w:eastAsia="Arial" w:hAnsi="Arial" w:cs="Arial"/>
                <w:sz w:val="20"/>
                <w:szCs w:val="18"/>
              </w:rPr>
              <w:t>función</w:t>
            </w:r>
            <w:r w:rsidRPr="009035DD">
              <w:rPr>
                <w:rFonts w:ascii="Arial" w:eastAsia="Arial" w:hAnsi="Arial" w:cs="Arial"/>
                <w:sz w:val="20"/>
                <w:szCs w:val="18"/>
              </w:rPr>
              <w:t xml:space="preserve"> de las series) y con </w:t>
            </w:r>
            <w:r w:rsidR="00F833E1" w:rsidRPr="009035DD">
              <w:rPr>
                <w:rFonts w:ascii="Arial" w:eastAsia="Arial" w:hAnsi="Arial" w:cs="Arial"/>
                <w:sz w:val="20"/>
                <w:szCs w:val="18"/>
              </w:rPr>
              <w:t>repercusión</w:t>
            </w:r>
            <w:r w:rsidRPr="009035DD">
              <w:rPr>
                <w:rFonts w:ascii="Arial" w:eastAsia="Arial" w:hAnsi="Arial" w:cs="Arial"/>
                <w:sz w:val="20"/>
                <w:szCs w:val="18"/>
              </w:rPr>
              <w:t xml:space="preserve"> clínica que </w:t>
            </w:r>
            <w:r w:rsidRPr="009035DD">
              <w:rPr>
                <w:rFonts w:ascii="Arial" w:hAnsi="Arial" w:cs="Arial"/>
                <w:bCs/>
                <w:sz w:val="20"/>
                <w:szCs w:val="20"/>
              </w:rPr>
              <w:t xml:space="preserve">conlleva una morbilidad significativa, incluyendo dolor y eventos relacionados con el esqueleto como la compresión de la médula espinal y las fracturas patológicas, que requieren intervenciones como la cirugía ósea o la radioterapia </w:t>
            </w:r>
            <w:r w:rsidRPr="009035DD">
              <w:rPr>
                <w:rFonts w:ascii="Arial" w:eastAsia="Arial" w:hAnsi="Arial" w:cs="Arial"/>
                <w:sz w:val="20"/>
                <w:szCs w:val="18"/>
              </w:rPr>
              <w:t>(3).</w:t>
            </w:r>
          </w:p>
        </w:tc>
      </w:tr>
      <w:tr w:rsidR="00BC3E8E" w:rsidRPr="006F6ABB" w14:paraId="154EA48C" w14:textId="77777777" w:rsidTr="009035DD">
        <w:trPr>
          <w:cantSplit/>
          <w:trHeight w:val="8042"/>
        </w:trPr>
        <w:tc>
          <w:tcPr>
            <w:tcW w:w="2127" w:type="dxa"/>
            <w:shd w:val="clear" w:color="auto" w:fill="E6E6E6"/>
          </w:tcPr>
          <w:p w14:paraId="732F5EFF" w14:textId="77777777" w:rsidR="00BC3E8E" w:rsidRPr="00117945" w:rsidRDefault="00BC3E8E" w:rsidP="00BC3E8E">
            <w:pPr>
              <w:rPr>
                <w:rFonts w:ascii="Arial" w:hAnsi="Arial" w:cs="Arial"/>
                <w:bCs/>
                <w:sz w:val="16"/>
                <w:szCs w:val="16"/>
              </w:rPr>
            </w:pPr>
            <w:r w:rsidRPr="00117945">
              <w:rPr>
                <w:rFonts w:ascii="Arial" w:hAnsi="Arial" w:cs="Arial"/>
                <w:bCs/>
                <w:sz w:val="16"/>
                <w:szCs w:val="16"/>
              </w:rPr>
              <w:t>Incidencia y prevalencia</w:t>
            </w:r>
          </w:p>
        </w:tc>
        <w:tc>
          <w:tcPr>
            <w:tcW w:w="6804" w:type="dxa"/>
          </w:tcPr>
          <w:p w14:paraId="7B5C5771" w14:textId="77777777" w:rsidR="00E45AE3" w:rsidRPr="009035DD" w:rsidRDefault="001A0EA8" w:rsidP="00E45AE3">
            <w:pPr>
              <w:jc w:val="both"/>
              <w:rPr>
                <w:rFonts w:ascii="Arial" w:hAnsi="Arial" w:cs="Arial"/>
                <w:bCs/>
                <w:sz w:val="20"/>
                <w:szCs w:val="20"/>
              </w:rPr>
            </w:pPr>
            <w:r w:rsidRPr="009035DD">
              <w:rPr>
                <w:rFonts w:ascii="Arial" w:hAnsi="Arial" w:cs="Arial"/>
                <w:bCs/>
                <w:sz w:val="20"/>
                <w:szCs w:val="20"/>
              </w:rPr>
              <w:t>En todo el mundo, el cáncer de próstata es el segundo cáncer más común y la quinta causa de muerte por cáncer en los hombres, con 1,4 millones de nuevos casos de cáncer y 375.304 muertes por cáncer en 2020. En Europa, el cáncer de próstata es el cáncer más frecuente en los hombres, con 473.344 nuevos casos, lo que representa el 20,2% de todos los cánceres en hombres, y 108.088 (10%) de las muertes por cáncer en 2020 (4).</w:t>
            </w:r>
          </w:p>
          <w:p w14:paraId="20937F2A" w14:textId="77777777" w:rsidR="00E45AE3" w:rsidRPr="009035DD" w:rsidRDefault="001A0EA8" w:rsidP="00E45AE3">
            <w:pPr>
              <w:jc w:val="both"/>
              <w:rPr>
                <w:rFonts w:ascii="Arial" w:hAnsi="Arial" w:cs="Arial"/>
                <w:bCs/>
                <w:sz w:val="20"/>
                <w:szCs w:val="20"/>
              </w:rPr>
            </w:pPr>
            <w:r w:rsidRPr="009035DD">
              <w:rPr>
                <w:rFonts w:ascii="Arial" w:hAnsi="Arial" w:cs="Arial"/>
                <w:bCs/>
                <w:sz w:val="20"/>
                <w:szCs w:val="20"/>
              </w:rPr>
              <w:t>La incidencia del cáncer de próstata se correlaciona con la edad, siendo la edad media en el momento del diagnóstico de 66 años. Cabe destacar que el cáncer de próstata es más común en hombres negros en comparación con hombres blancos o hispanos.</w:t>
            </w:r>
          </w:p>
          <w:p w14:paraId="55824480" w14:textId="77777777" w:rsidR="00E45AE3" w:rsidRPr="009035DD" w:rsidRDefault="001A0EA8" w:rsidP="00E45AE3">
            <w:pPr>
              <w:jc w:val="both"/>
              <w:rPr>
                <w:rFonts w:ascii="Arial" w:hAnsi="Arial" w:cs="Arial"/>
                <w:bCs/>
                <w:sz w:val="20"/>
                <w:szCs w:val="20"/>
              </w:rPr>
            </w:pPr>
            <w:r w:rsidRPr="009035DD">
              <w:rPr>
                <w:rFonts w:ascii="Arial" w:hAnsi="Arial" w:cs="Arial"/>
                <w:bCs/>
                <w:sz w:val="20"/>
                <w:szCs w:val="20"/>
              </w:rPr>
              <w:t xml:space="preserve">Los principales factores de riesgo del cáncer de próstata son la edad avanzada, el origen étnico, los factores genéticos y los antecedentes familiares. </w:t>
            </w:r>
          </w:p>
          <w:p w14:paraId="018ABEF7" w14:textId="77777777" w:rsidR="00E45AE3" w:rsidRPr="009035DD" w:rsidRDefault="001A0EA8" w:rsidP="00E45AE3">
            <w:pPr>
              <w:jc w:val="both"/>
              <w:rPr>
                <w:rFonts w:ascii="Arial" w:hAnsi="Arial" w:cs="Arial"/>
                <w:bCs/>
                <w:sz w:val="20"/>
                <w:szCs w:val="20"/>
              </w:rPr>
            </w:pPr>
            <w:r w:rsidRPr="009035DD">
              <w:rPr>
                <w:rFonts w:ascii="Arial" w:hAnsi="Arial" w:cs="Arial"/>
                <w:bCs/>
                <w:sz w:val="20"/>
                <w:szCs w:val="20"/>
              </w:rPr>
              <w:t>Otros factores que se han asociado con el cáncer de próstata son la dieta, la obesidad y la inactividad física (5).</w:t>
            </w:r>
          </w:p>
          <w:p w14:paraId="42CCC2C0" w14:textId="77777777" w:rsidR="00BC3E8E" w:rsidRPr="009035DD" w:rsidRDefault="00BC3E8E" w:rsidP="00E45AE3">
            <w:pPr>
              <w:keepNext/>
              <w:jc w:val="both"/>
              <w:outlineLvl w:val="2"/>
              <w:rPr>
                <w:rFonts w:ascii="Arial" w:hAnsi="Arial" w:cs="Arial"/>
                <w:bCs/>
                <w:sz w:val="20"/>
                <w:szCs w:val="20"/>
              </w:rPr>
            </w:pPr>
          </w:p>
          <w:p w14:paraId="4458225B" w14:textId="77777777" w:rsidR="00DF238B" w:rsidRPr="009035DD" w:rsidRDefault="001A0EA8" w:rsidP="00DF238B">
            <w:pPr>
              <w:jc w:val="both"/>
              <w:rPr>
                <w:rFonts w:ascii="Arial" w:hAnsi="Arial" w:cs="Arial"/>
                <w:bCs/>
                <w:sz w:val="20"/>
                <w:szCs w:val="20"/>
              </w:rPr>
            </w:pPr>
            <w:r w:rsidRPr="009035DD">
              <w:rPr>
                <w:rFonts w:ascii="Arial" w:hAnsi="Arial" w:cs="Arial"/>
                <w:bCs/>
                <w:sz w:val="20"/>
                <w:szCs w:val="20"/>
              </w:rPr>
              <w:t>Los genes de respuesta al daño del ADN (DDR, por sus siglas en inglés) desempeñan un papel clave en el cáncer de próstata. La prevalencia estimada de mutaciones DDR heredadas en hombres con CPm es de aproximadamente del 12%. Estas mutaciones son más frecuentes en BRCA1, BRCA2, ATM, CHEK2, RAD51D y PALB2.</w:t>
            </w:r>
          </w:p>
          <w:p w14:paraId="042AE3DD" w14:textId="77777777" w:rsidR="00260A3F" w:rsidRPr="009035DD" w:rsidRDefault="00260A3F" w:rsidP="00DF238B">
            <w:pPr>
              <w:keepNext/>
              <w:jc w:val="both"/>
              <w:outlineLvl w:val="2"/>
              <w:rPr>
                <w:rFonts w:ascii="Arial" w:hAnsi="Arial" w:cs="Arial"/>
                <w:bCs/>
                <w:sz w:val="20"/>
                <w:szCs w:val="20"/>
              </w:rPr>
            </w:pPr>
          </w:p>
          <w:p w14:paraId="7C7450DA" w14:textId="77777777" w:rsidR="00DF238B" w:rsidRPr="009035DD" w:rsidRDefault="001A0EA8" w:rsidP="00DF238B">
            <w:pPr>
              <w:keepNext/>
              <w:jc w:val="both"/>
              <w:outlineLvl w:val="2"/>
              <w:rPr>
                <w:rFonts w:ascii="Arial" w:hAnsi="Arial" w:cs="Arial"/>
                <w:bCs/>
                <w:sz w:val="20"/>
                <w:szCs w:val="20"/>
              </w:rPr>
            </w:pPr>
            <w:r w:rsidRPr="009035DD">
              <w:rPr>
                <w:rFonts w:ascii="Arial" w:hAnsi="Arial" w:cs="Arial"/>
                <w:bCs/>
                <w:sz w:val="20"/>
                <w:szCs w:val="20"/>
              </w:rPr>
              <w:t>Los cánceres de próstata que surgen en pacientes con mutaciones en la línea germinal de BRCA2 suelen tener características clinicopatológicas más agresivas y peores resultados clínicos. Sin embargo, el valor pronóstico de otras mutaciones de línea germinal en genes DDR no se conoce. Las aberraciones somáticas en genes DDR (con mayor frecuencia, BRCA2, ATM, BRCA1, CHEK2, CDK12 y PALB2) se producen en aproximadamente el 23% de los cánceres de próstata metastásicos. Las mutaciones en el BRCA (BRCA1 y/o BRCA2) son las mutaciones genéticas de reparación por recombinación homóloga (HRR, por sus siglas en inglés) más prevalentes en el CPRCm (siendo BRCA2 más prevalente que BRCA1), siendo ATM el segundo gen mutado con mayor frecuencia en el CRPCm.</w:t>
            </w:r>
          </w:p>
        </w:tc>
      </w:tr>
      <w:tr w:rsidR="00BC3E8E" w:rsidRPr="006F6ABB" w14:paraId="799E52B4" w14:textId="77777777" w:rsidTr="005C3A53">
        <w:trPr>
          <w:cantSplit/>
        </w:trPr>
        <w:tc>
          <w:tcPr>
            <w:tcW w:w="2127" w:type="dxa"/>
            <w:shd w:val="clear" w:color="auto" w:fill="E6E6E6"/>
          </w:tcPr>
          <w:p w14:paraId="050B5153" w14:textId="77777777" w:rsidR="00BC3E8E" w:rsidRPr="00117945" w:rsidRDefault="00BC3E8E" w:rsidP="00BC3E8E">
            <w:pPr>
              <w:rPr>
                <w:rFonts w:ascii="Arial" w:hAnsi="Arial" w:cs="Arial"/>
                <w:bCs/>
                <w:sz w:val="16"/>
                <w:szCs w:val="16"/>
              </w:rPr>
            </w:pPr>
            <w:r w:rsidRPr="00117945">
              <w:rPr>
                <w:rFonts w:ascii="Arial" w:hAnsi="Arial" w:cs="Arial"/>
                <w:bCs/>
                <w:sz w:val="16"/>
                <w:szCs w:val="16"/>
              </w:rPr>
              <w:t>Evolución / Pronóstico</w:t>
            </w:r>
          </w:p>
        </w:tc>
        <w:tc>
          <w:tcPr>
            <w:tcW w:w="6804" w:type="dxa"/>
          </w:tcPr>
          <w:p w14:paraId="1E3B950D" w14:textId="77777777" w:rsidR="00AD295C" w:rsidRPr="009035DD" w:rsidRDefault="001A0EA8" w:rsidP="00520DF7">
            <w:pPr>
              <w:jc w:val="both"/>
              <w:rPr>
                <w:rFonts w:ascii="Arial" w:hAnsi="Arial" w:cs="Arial"/>
                <w:bCs/>
                <w:sz w:val="20"/>
                <w:szCs w:val="20"/>
              </w:rPr>
            </w:pPr>
            <w:r w:rsidRPr="009035DD">
              <w:rPr>
                <w:rFonts w:ascii="Arial" w:hAnsi="Arial" w:cs="Arial"/>
                <w:bCs/>
                <w:sz w:val="20"/>
                <w:szCs w:val="20"/>
              </w:rPr>
              <w:t>Los factores más importantes que influyen en la supervivencia de los varones con CPRC son el lugar y el grado de afectación metastásica. Un metaanálisis de datos de pacientes individuales incluyó información de 8</w:t>
            </w:r>
            <w:r w:rsidR="00E85039">
              <w:rPr>
                <w:rFonts w:ascii="Arial" w:hAnsi="Arial" w:cs="Arial"/>
                <w:bCs/>
                <w:sz w:val="20"/>
                <w:szCs w:val="20"/>
              </w:rPr>
              <w:t>.</w:t>
            </w:r>
            <w:r w:rsidRPr="009035DD">
              <w:rPr>
                <w:rFonts w:ascii="Arial" w:hAnsi="Arial" w:cs="Arial"/>
                <w:bCs/>
                <w:sz w:val="20"/>
                <w:szCs w:val="20"/>
              </w:rPr>
              <w:t>820 varones con CPRC que habían sido tratados con un régimen que contenía docetaxel como participantes en uno de los nueve ensayos de fase III. La supervivencia global (SG) fue mejor en los pacientes con enfermedad sólo ganglionar y disminuyó progresivamente en los pacientes con metástasis óseas, pulmonares o hepáticas (mediana de 31,6, 21,3, 19,4 y 13,5 meses, respectivamente)</w:t>
            </w:r>
            <w:r w:rsidR="006A00F0" w:rsidRPr="00E85039">
              <w:rPr>
                <w:rFonts w:ascii="Arial" w:hAnsi="Arial" w:cs="Arial"/>
                <w:sz w:val="20"/>
                <w:szCs w:val="20"/>
              </w:rPr>
              <w:t xml:space="preserve"> </w:t>
            </w:r>
            <w:r w:rsidR="00BE2D2B" w:rsidRPr="00E85039">
              <w:rPr>
                <w:rFonts w:ascii="Arial" w:hAnsi="Arial" w:cs="Arial"/>
                <w:sz w:val="20"/>
                <w:szCs w:val="20"/>
              </w:rPr>
              <w:t>(6)</w:t>
            </w:r>
            <w:r w:rsidR="00E85039">
              <w:rPr>
                <w:rFonts w:ascii="Arial" w:hAnsi="Arial" w:cs="Arial"/>
                <w:sz w:val="20"/>
                <w:szCs w:val="20"/>
              </w:rPr>
              <w:t>.</w:t>
            </w:r>
          </w:p>
          <w:p w14:paraId="6ED1DA87" w14:textId="77777777" w:rsidR="00520DF7" w:rsidRPr="00E85039" w:rsidRDefault="00520DF7" w:rsidP="00520DF7">
            <w:pPr>
              <w:rPr>
                <w:rFonts w:ascii="Arial" w:hAnsi="Arial" w:cs="Arial"/>
                <w:bCs/>
                <w:sz w:val="20"/>
                <w:szCs w:val="20"/>
              </w:rPr>
            </w:pPr>
          </w:p>
          <w:p w14:paraId="03B95FD6" w14:textId="77777777" w:rsidR="00BC3E8E" w:rsidRPr="00EB151D" w:rsidRDefault="00BC3E8E" w:rsidP="00520DF7">
            <w:pPr>
              <w:rPr>
                <w:rFonts w:ascii="Arial" w:hAnsi="Arial" w:cs="Arial"/>
                <w:bCs/>
                <w:sz w:val="20"/>
                <w:szCs w:val="20"/>
              </w:rPr>
            </w:pPr>
          </w:p>
        </w:tc>
      </w:tr>
      <w:tr w:rsidR="00BC3E8E" w:rsidRPr="006F6ABB" w14:paraId="529A00D2" w14:textId="77777777" w:rsidTr="005C3A53">
        <w:trPr>
          <w:cantSplit/>
        </w:trPr>
        <w:tc>
          <w:tcPr>
            <w:tcW w:w="2127" w:type="dxa"/>
            <w:shd w:val="clear" w:color="auto" w:fill="E6E6E6"/>
          </w:tcPr>
          <w:p w14:paraId="49D7CBE9" w14:textId="77777777" w:rsidR="00BC3E8E" w:rsidRPr="00117945" w:rsidRDefault="00BC3E8E" w:rsidP="00BC3E8E">
            <w:pPr>
              <w:rPr>
                <w:rFonts w:ascii="Arial" w:hAnsi="Arial" w:cs="Arial"/>
                <w:bCs/>
                <w:sz w:val="16"/>
                <w:szCs w:val="16"/>
              </w:rPr>
            </w:pPr>
            <w:r w:rsidRPr="00117945">
              <w:rPr>
                <w:rFonts w:ascii="Arial" w:hAnsi="Arial" w:cs="Arial"/>
                <w:bCs/>
                <w:sz w:val="16"/>
                <w:szCs w:val="16"/>
              </w:rPr>
              <w:t>Grados de gravedad / Estadiaje</w:t>
            </w:r>
          </w:p>
        </w:tc>
        <w:tc>
          <w:tcPr>
            <w:tcW w:w="6804" w:type="dxa"/>
          </w:tcPr>
          <w:p w14:paraId="76B681AF" w14:textId="77777777" w:rsidR="00BC3E8E" w:rsidRPr="009035DD" w:rsidRDefault="001A0EA8" w:rsidP="00524A68">
            <w:pPr>
              <w:jc w:val="both"/>
              <w:rPr>
                <w:rFonts w:ascii="Arial" w:hAnsi="Arial" w:cs="Arial"/>
                <w:bCs/>
                <w:sz w:val="20"/>
                <w:szCs w:val="20"/>
              </w:rPr>
            </w:pPr>
            <w:r w:rsidRPr="009035DD">
              <w:rPr>
                <w:rFonts w:ascii="Arial" w:hAnsi="Arial" w:cs="Arial"/>
                <w:bCs/>
                <w:sz w:val="20"/>
                <w:szCs w:val="20"/>
              </w:rPr>
              <w:t>Estadios I y II: tumor local. Estadio III: localmente avanzado. Estadio IV: metastásico.</w:t>
            </w:r>
          </w:p>
        </w:tc>
      </w:tr>
      <w:tr w:rsidR="00BC3E8E" w:rsidRPr="006F6ABB" w14:paraId="05352E03" w14:textId="77777777" w:rsidTr="005C3A53">
        <w:trPr>
          <w:cantSplit/>
        </w:trPr>
        <w:tc>
          <w:tcPr>
            <w:tcW w:w="2127" w:type="dxa"/>
            <w:shd w:val="clear" w:color="auto" w:fill="E6E6E6"/>
          </w:tcPr>
          <w:p w14:paraId="791E6801" w14:textId="77777777" w:rsidR="00BC3E8E" w:rsidRPr="00117945" w:rsidRDefault="00BC3E8E" w:rsidP="00BC3E8E">
            <w:pPr>
              <w:rPr>
                <w:rFonts w:ascii="Arial" w:hAnsi="Arial" w:cs="Arial"/>
                <w:sz w:val="16"/>
                <w:szCs w:val="16"/>
              </w:rPr>
            </w:pPr>
            <w:r w:rsidRPr="00117945">
              <w:rPr>
                <w:rFonts w:ascii="Arial" w:hAnsi="Arial" w:cs="Arial"/>
                <w:bCs/>
                <w:sz w:val="16"/>
                <w:szCs w:val="16"/>
              </w:rPr>
              <w:t>Carga de la enfermedad</w:t>
            </w:r>
          </w:p>
        </w:tc>
        <w:tc>
          <w:tcPr>
            <w:tcW w:w="6804" w:type="dxa"/>
          </w:tcPr>
          <w:p w14:paraId="1E88E7E6" w14:textId="77777777" w:rsidR="00BC3E8E" w:rsidRPr="009035DD" w:rsidRDefault="001A0EA8" w:rsidP="00E85039">
            <w:pPr>
              <w:jc w:val="both"/>
              <w:rPr>
                <w:rFonts w:ascii="Arial" w:hAnsi="Arial" w:cs="Arial"/>
                <w:bCs/>
                <w:sz w:val="20"/>
                <w:szCs w:val="20"/>
              </w:rPr>
            </w:pPr>
            <w:r w:rsidRPr="009035DD">
              <w:rPr>
                <w:rFonts w:ascii="Arial" w:hAnsi="Arial" w:cs="Arial"/>
                <w:bCs/>
                <w:sz w:val="20"/>
                <w:szCs w:val="20"/>
              </w:rPr>
              <w:t>Los aspectos físicos, y las posibles secuelas, influyen en la calidad de vida y en la manera en la que la persona va a afrontar la enfermedad y la supervivencia. De hecho, existen numerosos estudios que muestran que el diagnóstico de CP produce importantes problemas psicosociales. Al igual que en el resto de pacientes con cáncer, las intervenciones psicológicas constituyen una parte esencial de los cuidados de estos pacientes (7)</w:t>
            </w:r>
            <w:r w:rsidR="00E85039">
              <w:rPr>
                <w:rFonts w:ascii="Arial" w:hAnsi="Arial" w:cs="Arial"/>
                <w:bCs/>
                <w:sz w:val="20"/>
                <w:szCs w:val="20"/>
              </w:rPr>
              <w:t>.</w:t>
            </w:r>
          </w:p>
        </w:tc>
      </w:tr>
    </w:tbl>
    <w:p w14:paraId="6432D931" w14:textId="77777777" w:rsidR="00BC3E8E" w:rsidRDefault="00BC3E8E" w:rsidP="00BC3E8E">
      <w:pPr>
        <w:jc w:val="both"/>
        <w:rPr>
          <w:rFonts w:ascii="Arial" w:hAnsi="Arial" w:cs="Arial"/>
          <w:b/>
          <w:bCs/>
          <w:color w:val="FF0000"/>
          <w:sz w:val="20"/>
          <w:szCs w:val="20"/>
        </w:rPr>
      </w:pPr>
    </w:p>
    <w:p w14:paraId="0DC31E2C" w14:textId="77777777" w:rsidR="00BC3E8E" w:rsidRPr="00EC69B7"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9" w:name="_Toc344399624"/>
      <w:bookmarkStart w:id="20" w:name="_Toc348931351"/>
      <w:bookmarkStart w:id="21" w:name="_Toc153727183"/>
      <w:r w:rsidRPr="00EC69B7">
        <w:rPr>
          <w:rFonts w:cs="Arial"/>
          <w:sz w:val="20"/>
        </w:rPr>
        <w:t>3.2.b Tratamiento actual de la enfermedad: evidencias</w:t>
      </w:r>
      <w:bookmarkEnd w:id="19"/>
      <w:bookmarkEnd w:id="20"/>
      <w:r w:rsidRPr="00EC69B7">
        <w:rPr>
          <w:rFonts w:cs="Arial"/>
          <w:sz w:val="20"/>
        </w:rPr>
        <w:t xml:space="preserve"> </w:t>
      </w:r>
      <w:r w:rsidR="00B81EB4">
        <w:rPr>
          <w:rFonts w:cs="Arial"/>
          <w:sz w:val="20"/>
        </w:rPr>
        <w:t>(</w:t>
      </w:r>
      <w:r w:rsidR="00260A3F">
        <w:rPr>
          <w:rFonts w:cs="Arial"/>
          <w:sz w:val="20"/>
        </w:rPr>
        <w:t>8-11</w:t>
      </w:r>
      <w:r w:rsidR="00B81EB4">
        <w:rPr>
          <w:rFonts w:cs="Arial"/>
          <w:sz w:val="20"/>
        </w:rPr>
        <w:t>)</w:t>
      </w:r>
      <w:bookmarkEnd w:id="21"/>
    </w:p>
    <w:p w14:paraId="11692AA5" w14:textId="77777777" w:rsidR="00BC3E8E" w:rsidRDefault="00BC3E8E" w:rsidP="00BC3E8E">
      <w:pPr>
        <w:rPr>
          <w:rFonts w:ascii="Arial" w:hAnsi="Arial" w:cs="Arial"/>
          <w:color w:val="FF0000"/>
          <w:sz w:val="20"/>
          <w:szCs w:val="20"/>
        </w:rPr>
      </w:pPr>
    </w:p>
    <w:p w14:paraId="0A95B950" w14:textId="77777777" w:rsidR="00BA718A" w:rsidRDefault="001A0EA8" w:rsidP="00BA718A">
      <w:pPr>
        <w:jc w:val="both"/>
        <w:rPr>
          <w:rFonts w:ascii="Arial" w:hAnsi="Arial" w:cs="Arial"/>
          <w:bCs/>
          <w:sz w:val="20"/>
          <w:szCs w:val="20"/>
        </w:rPr>
      </w:pPr>
      <w:r w:rsidRPr="009035DD">
        <w:rPr>
          <w:rFonts w:ascii="Arial" w:hAnsi="Arial" w:cs="Arial"/>
          <w:bCs/>
          <w:sz w:val="20"/>
          <w:szCs w:val="20"/>
        </w:rPr>
        <w:t xml:space="preserve">Los </w:t>
      </w:r>
      <w:r w:rsidR="00637E3D">
        <w:rPr>
          <w:rFonts w:ascii="Arial" w:hAnsi="Arial" w:cs="Arial"/>
          <w:bCs/>
          <w:sz w:val="20"/>
          <w:szCs w:val="20"/>
        </w:rPr>
        <w:t>CP</w:t>
      </w:r>
      <w:r w:rsidRPr="009035DD">
        <w:rPr>
          <w:rFonts w:ascii="Arial" w:hAnsi="Arial" w:cs="Arial"/>
          <w:bCs/>
          <w:sz w:val="20"/>
          <w:szCs w:val="20"/>
        </w:rPr>
        <w:t xml:space="preserve"> dependen de la señalización mediada por andrógenos para su crecimiento y supervivencia. Por ello, durante muchas décadas, el tratamiento inicial del cáncer de próstata metastásico ha sido la castración quirúrgica mediante orquiectomía bilateral o la castración química con terapia de privación de andrógenos [ADT]. Cabe destacar que los inhibidores de la vía androgénica (es decir, abiraterona, enzalutamida o apalutamida) y docetaxel, en combinación con ADT, han demostrado ser beneficiosos en este contexto (8)</w:t>
      </w:r>
      <w:r w:rsidR="00E85039">
        <w:rPr>
          <w:rFonts w:ascii="Arial" w:hAnsi="Arial" w:cs="Arial"/>
          <w:bCs/>
          <w:sz w:val="20"/>
          <w:szCs w:val="20"/>
        </w:rPr>
        <w:t xml:space="preserve">. </w:t>
      </w:r>
      <w:r w:rsidRPr="009035DD">
        <w:rPr>
          <w:rFonts w:ascii="Arial" w:hAnsi="Arial" w:cs="Arial"/>
          <w:bCs/>
          <w:sz w:val="20"/>
          <w:szCs w:val="20"/>
        </w:rPr>
        <w:t>Sin embargo, aunque se obtenga un beneficio inicial con la ADT, inevitablemente se produce resistencia a la misma.</w:t>
      </w:r>
    </w:p>
    <w:p w14:paraId="2CF2DC79" w14:textId="77777777" w:rsidR="00E85039" w:rsidRPr="009035DD" w:rsidRDefault="00E85039" w:rsidP="00BA718A">
      <w:pPr>
        <w:jc w:val="both"/>
        <w:rPr>
          <w:rFonts w:ascii="Arial" w:hAnsi="Arial" w:cs="Arial"/>
          <w:bCs/>
          <w:sz w:val="20"/>
          <w:szCs w:val="20"/>
        </w:rPr>
      </w:pPr>
    </w:p>
    <w:p w14:paraId="7C00E073" w14:textId="1D559466" w:rsidR="00BA718A" w:rsidRDefault="001A0EA8" w:rsidP="00BA718A">
      <w:pPr>
        <w:jc w:val="both"/>
        <w:rPr>
          <w:rFonts w:ascii="Arial" w:hAnsi="Arial" w:cs="Arial"/>
          <w:bCs/>
          <w:sz w:val="20"/>
          <w:szCs w:val="20"/>
        </w:rPr>
      </w:pPr>
      <w:r w:rsidRPr="009035DD">
        <w:rPr>
          <w:rFonts w:ascii="Arial" w:hAnsi="Arial" w:cs="Arial"/>
          <w:bCs/>
          <w:sz w:val="20"/>
          <w:szCs w:val="20"/>
        </w:rPr>
        <w:t xml:space="preserve">Las opciones de tratamiento para los pacientes con CPRCm incluyen el acetato de abiraterona (más prednisona o prednisolona) </w:t>
      </w:r>
      <w:r w:rsidR="009035DD">
        <w:rPr>
          <w:rFonts w:ascii="Arial" w:hAnsi="Arial" w:cs="Arial"/>
          <w:bCs/>
          <w:sz w:val="20"/>
          <w:szCs w:val="20"/>
        </w:rPr>
        <w:t xml:space="preserve">o </w:t>
      </w:r>
      <w:r w:rsidRPr="009035DD">
        <w:rPr>
          <w:rFonts w:ascii="Arial" w:hAnsi="Arial" w:cs="Arial"/>
          <w:bCs/>
          <w:sz w:val="20"/>
          <w:szCs w:val="20"/>
        </w:rPr>
        <w:t xml:space="preserve">enzalutamida para los pacientes </w:t>
      </w:r>
      <w:r w:rsidR="00E85039">
        <w:rPr>
          <w:rFonts w:ascii="Arial" w:hAnsi="Arial" w:cs="Arial"/>
          <w:bCs/>
          <w:sz w:val="20"/>
          <w:szCs w:val="20"/>
        </w:rPr>
        <w:t>sin tratamiento previo con</w:t>
      </w:r>
      <w:r w:rsidRPr="009035DD">
        <w:rPr>
          <w:rFonts w:ascii="Arial" w:hAnsi="Arial" w:cs="Arial"/>
          <w:bCs/>
          <w:sz w:val="20"/>
          <w:szCs w:val="20"/>
        </w:rPr>
        <w:t>quimioterapia que son asintomáticos o levemente sintomáticos y en los que la quimioterapia aún no está clínicamente indicada (9,10). Para pacientes sintomáticos o con signos de progresión rápida o metástasis viscerales a pesar de la ausencia de síntomas, puede ser preferible el uso inicial de docetaxel. El radionúclido radio-223 puede utilizarse en pacientes con CPRC</w:t>
      </w:r>
      <w:r w:rsidR="0006761F">
        <w:rPr>
          <w:rFonts w:ascii="Arial" w:hAnsi="Arial" w:cs="Arial"/>
          <w:bCs/>
          <w:sz w:val="20"/>
          <w:szCs w:val="20"/>
        </w:rPr>
        <w:t>m</w:t>
      </w:r>
      <w:r w:rsidRPr="009035DD">
        <w:rPr>
          <w:rFonts w:ascii="Arial" w:hAnsi="Arial" w:cs="Arial"/>
          <w:bCs/>
          <w:sz w:val="20"/>
          <w:szCs w:val="20"/>
        </w:rPr>
        <w:t xml:space="preserve"> sintomático con </w:t>
      </w:r>
      <w:r w:rsidR="00035DD2">
        <w:rPr>
          <w:rFonts w:ascii="Arial" w:hAnsi="Arial" w:cs="Arial"/>
          <w:bCs/>
          <w:sz w:val="20"/>
          <w:szCs w:val="20"/>
        </w:rPr>
        <w:t>metástasis óseas</w:t>
      </w:r>
      <w:r w:rsidR="00F833E1">
        <w:rPr>
          <w:rFonts w:ascii="Arial" w:hAnsi="Arial" w:cs="Arial"/>
          <w:bCs/>
          <w:sz w:val="20"/>
          <w:szCs w:val="20"/>
        </w:rPr>
        <w:t>,</w:t>
      </w:r>
      <w:r w:rsidR="00035DD2">
        <w:rPr>
          <w:rFonts w:ascii="Arial" w:hAnsi="Arial" w:cs="Arial"/>
          <w:bCs/>
          <w:sz w:val="20"/>
          <w:szCs w:val="20"/>
        </w:rPr>
        <w:t xml:space="preserve"> pero no viscerales</w:t>
      </w:r>
      <w:r w:rsidRPr="009035DD">
        <w:rPr>
          <w:rFonts w:ascii="Arial" w:hAnsi="Arial" w:cs="Arial"/>
          <w:bCs/>
          <w:sz w:val="20"/>
          <w:szCs w:val="20"/>
        </w:rPr>
        <w:t>.</w:t>
      </w:r>
    </w:p>
    <w:p w14:paraId="48AF9B74" w14:textId="77777777" w:rsidR="00E85039" w:rsidRPr="009035DD" w:rsidRDefault="00E85039" w:rsidP="00BA718A">
      <w:pPr>
        <w:jc w:val="both"/>
        <w:rPr>
          <w:rFonts w:ascii="Arial" w:hAnsi="Arial" w:cs="Arial"/>
          <w:bCs/>
          <w:sz w:val="20"/>
          <w:szCs w:val="20"/>
        </w:rPr>
      </w:pPr>
    </w:p>
    <w:p w14:paraId="13EB9EC4" w14:textId="77777777" w:rsidR="00035DD2" w:rsidRPr="009035DD" w:rsidRDefault="00035DD2" w:rsidP="00BA718A">
      <w:pPr>
        <w:jc w:val="both"/>
        <w:rPr>
          <w:rFonts w:ascii="Arial" w:hAnsi="Arial" w:cs="Arial"/>
          <w:bCs/>
          <w:sz w:val="20"/>
          <w:szCs w:val="20"/>
        </w:rPr>
      </w:pPr>
    </w:p>
    <w:p w14:paraId="51366EB6" w14:textId="77777777" w:rsidR="00BA718A" w:rsidRPr="009035DD" w:rsidRDefault="001A0EA8" w:rsidP="00BA718A">
      <w:pPr>
        <w:jc w:val="both"/>
        <w:rPr>
          <w:rFonts w:ascii="Arial" w:hAnsi="Arial" w:cs="Arial"/>
          <w:bCs/>
          <w:sz w:val="20"/>
          <w:szCs w:val="20"/>
        </w:rPr>
      </w:pPr>
      <w:r w:rsidRPr="009035DD">
        <w:rPr>
          <w:rFonts w:ascii="Arial" w:hAnsi="Arial" w:cs="Arial"/>
          <w:bCs/>
          <w:sz w:val="20"/>
          <w:szCs w:val="20"/>
        </w:rPr>
        <w:t xml:space="preserve">La vía de la </w:t>
      </w:r>
      <w:r w:rsidR="00035DD2">
        <w:rPr>
          <w:rFonts w:ascii="Arial" w:hAnsi="Arial" w:cs="Arial"/>
          <w:bCs/>
          <w:sz w:val="20"/>
          <w:szCs w:val="20"/>
        </w:rPr>
        <w:t>poli-ADP-ribosapolimerasa</w:t>
      </w:r>
      <w:r w:rsidRPr="009035DD">
        <w:rPr>
          <w:rFonts w:ascii="Arial" w:hAnsi="Arial" w:cs="Arial"/>
          <w:bCs/>
          <w:sz w:val="20"/>
          <w:szCs w:val="20"/>
        </w:rPr>
        <w:t xml:space="preserve"> (PARP) se ha identificado como una posible diana farmacológica en los </w:t>
      </w:r>
      <w:r w:rsidR="00637E3D">
        <w:rPr>
          <w:rFonts w:ascii="Arial" w:hAnsi="Arial" w:cs="Arial"/>
          <w:bCs/>
          <w:sz w:val="20"/>
          <w:szCs w:val="20"/>
        </w:rPr>
        <w:t>CP</w:t>
      </w:r>
      <w:r w:rsidR="00035DD2">
        <w:rPr>
          <w:rFonts w:ascii="Arial" w:hAnsi="Arial" w:cs="Arial"/>
          <w:bCs/>
          <w:sz w:val="20"/>
          <w:szCs w:val="20"/>
        </w:rPr>
        <w:t xml:space="preserve"> </w:t>
      </w:r>
      <w:r w:rsidRPr="009035DD">
        <w:rPr>
          <w:rFonts w:ascii="Arial" w:hAnsi="Arial" w:cs="Arial"/>
          <w:bCs/>
          <w:sz w:val="20"/>
          <w:szCs w:val="20"/>
        </w:rPr>
        <w:t xml:space="preserve">que presentan alteraciones del gen HRR. En este contexto, los inhibidores de la </w:t>
      </w:r>
      <w:r w:rsidR="00035DD2">
        <w:rPr>
          <w:rFonts w:ascii="Arial" w:hAnsi="Arial" w:cs="Arial"/>
          <w:bCs/>
          <w:sz w:val="20"/>
          <w:szCs w:val="20"/>
        </w:rPr>
        <w:t>PARP</w:t>
      </w:r>
      <w:r w:rsidRPr="009035DD">
        <w:rPr>
          <w:rFonts w:ascii="Arial" w:hAnsi="Arial" w:cs="Arial"/>
          <w:bCs/>
          <w:sz w:val="20"/>
          <w:szCs w:val="20"/>
        </w:rPr>
        <w:t>(iPARP) representan un nuevo enfoque terapéutico específico para el tratamiento de los hombres con cáncer de próstata y alteraciones del gen HRR.</w:t>
      </w:r>
    </w:p>
    <w:p w14:paraId="30422E16" w14:textId="27A39838" w:rsidR="00BA718A" w:rsidRPr="009035DD" w:rsidRDefault="001A0EA8" w:rsidP="00BA718A">
      <w:pPr>
        <w:jc w:val="both"/>
        <w:rPr>
          <w:rFonts w:ascii="Arial" w:hAnsi="Arial" w:cs="Arial"/>
          <w:bCs/>
          <w:sz w:val="20"/>
          <w:szCs w:val="20"/>
        </w:rPr>
      </w:pPr>
      <w:r w:rsidRPr="009035DD">
        <w:rPr>
          <w:rFonts w:ascii="Arial" w:hAnsi="Arial" w:cs="Arial"/>
          <w:bCs/>
          <w:sz w:val="20"/>
          <w:szCs w:val="20"/>
        </w:rPr>
        <w:t xml:space="preserve">Recientemente, se han aprobado dos inhibidores de la PARP en monoterapia, olaparib y rucaparib, para el tratamiento de los varones con </w:t>
      </w:r>
      <w:r w:rsidR="00035DD2">
        <w:rPr>
          <w:rFonts w:ascii="Arial" w:hAnsi="Arial" w:cs="Arial"/>
          <w:bCs/>
          <w:sz w:val="20"/>
          <w:szCs w:val="20"/>
        </w:rPr>
        <w:t>CPRCm</w:t>
      </w:r>
      <w:r w:rsidR="009D4B5E">
        <w:rPr>
          <w:rFonts w:ascii="Arial" w:hAnsi="Arial" w:cs="Arial"/>
          <w:bCs/>
          <w:sz w:val="20"/>
          <w:szCs w:val="20"/>
        </w:rPr>
        <w:t xml:space="preserve"> </w:t>
      </w:r>
      <w:r w:rsidRPr="009035DD">
        <w:rPr>
          <w:rFonts w:ascii="Arial" w:hAnsi="Arial" w:cs="Arial"/>
          <w:bCs/>
          <w:sz w:val="20"/>
          <w:szCs w:val="20"/>
        </w:rPr>
        <w:t>(10)</w:t>
      </w:r>
      <w:r w:rsidR="00035DD2">
        <w:rPr>
          <w:rFonts w:ascii="Arial" w:hAnsi="Arial" w:cs="Arial"/>
          <w:bCs/>
          <w:sz w:val="20"/>
          <w:szCs w:val="20"/>
        </w:rPr>
        <w:t>.</w:t>
      </w:r>
    </w:p>
    <w:p w14:paraId="75EEC008" w14:textId="77777777" w:rsidR="00BA718A" w:rsidRPr="009035DD" w:rsidRDefault="001A0EA8" w:rsidP="00BA718A">
      <w:pPr>
        <w:jc w:val="both"/>
        <w:rPr>
          <w:rFonts w:ascii="Arial" w:hAnsi="Arial" w:cs="Arial"/>
          <w:bCs/>
          <w:sz w:val="20"/>
          <w:szCs w:val="20"/>
        </w:rPr>
      </w:pPr>
      <w:r w:rsidRPr="009035DD">
        <w:rPr>
          <w:rFonts w:ascii="Arial" w:hAnsi="Arial" w:cs="Arial"/>
          <w:bCs/>
          <w:sz w:val="20"/>
          <w:szCs w:val="20"/>
        </w:rPr>
        <w:t xml:space="preserve">El olaparib está aprobado para el tratamiento del CPRCm en pacientes con mutaciones del gen HRR (EE.UU.) o mutaciones BRCA (UE) que hayan progresado tras un tratamiento previo con enzalutamida o </w:t>
      </w:r>
      <w:r w:rsidR="00035DD2">
        <w:rPr>
          <w:rFonts w:ascii="Arial" w:hAnsi="Arial" w:cs="Arial"/>
          <w:bCs/>
          <w:sz w:val="20"/>
          <w:szCs w:val="20"/>
        </w:rPr>
        <w:t>acetato de abiraterona más prednisona (</w:t>
      </w:r>
      <w:r w:rsidRPr="009035DD">
        <w:rPr>
          <w:rFonts w:ascii="Arial" w:hAnsi="Arial" w:cs="Arial"/>
          <w:bCs/>
          <w:sz w:val="20"/>
          <w:szCs w:val="20"/>
        </w:rPr>
        <w:t>AAP</w:t>
      </w:r>
      <w:r w:rsidR="00035DD2">
        <w:rPr>
          <w:rFonts w:ascii="Arial" w:hAnsi="Arial" w:cs="Arial"/>
          <w:bCs/>
          <w:sz w:val="20"/>
          <w:szCs w:val="20"/>
        </w:rPr>
        <w:t>)</w:t>
      </w:r>
      <w:r w:rsidRPr="009035DD">
        <w:rPr>
          <w:rFonts w:ascii="Arial" w:hAnsi="Arial" w:cs="Arial"/>
          <w:bCs/>
          <w:sz w:val="20"/>
          <w:szCs w:val="20"/>
        </w:rPr>
        <w:t xml:space="preserve"> y en combinación con abiraterona y prednisona o prednisolona para el tratamiento de pacientes adultos con CPRCm en los que la quimioterapia no está clínicamente indicada (11). Rucaparib está aprobado</w:t>
      </w:r>
      <w:r w:rsidR="00035DD2">
        <w:rPr>
          <w:rFonts w:ascii="Arial" w:hAnsi="Arial" w:cs="Arial"/>
          <w:bCs/>
          <w:sz w:val="20"/>
          <w:szCs w:val="20"/>
        </w:rPr>
        <w:t xml:space="preserve"> únicamente por la FDA</w:t>
      </w:r>
      <w:r w:rsidRPr="009035DD">
        <w:rPr>
          <w:rFonts w:ascii="Arial" w:hAnsi="Arial" w:cs="Arial"/>
          <w:bCs/>
          <w:sz w:val="20"/>
          <w:szCs w:val="20"/>
        </w:rPr>
        <w:t xml:space="preserve"> para pacientes con CPRCm con mutación del gen BRCA que hayan recibido tratamiento previo con una terapia dirigida al receptor de andrógenos (RA) y una quimioterapia basada en taxanos (12)</w:t>
      </w:r>
      <w:r w:rsidR="00035DD2">
        <w:rPr>
          <w:rFonts w:ascii="Arial" w:hAnsi="Arial" w:cs="Arial"/>
          <w:bCs/>
          <w:sz w:val="20"/>
          <w:szCs w:val="20"/>
        </w:rPr>
        <w:t>.</w:t>
      </w:r>
    </w:p>
    <w:p w14:paraId="6349DC07" w14:textId="77777777" w:rsidR="004B297D" w:rsidRDefault="004B297D" w:rsidP="00BA718A">
      <w:pPr>
        <w:jc w:val="both"/>
        <w:rPr>
          <w:rFonts w:ascii="Arial" w:hAnsi="Arial" w:cs="Arial"/>
          <w:color w:val="FF0000"/>
          <w:sz w:val="20"/>
          <w:szCs w:val="20"/>
        </w:rPr>
      </w:pPr>
    </w:p>
    <w:p w14:paraId="238AF2C1" w14:textId="77777777" w:rsidR="004B297D" w:rsidRDefault="004B297D" w:rsidP="00BA718A">
      <w:pPr>
        <w:jc w:val="both"/>
        <w:rPr>
          <w:rFonts w:ascii="Arial" w:hAnsi="Arial" w:cs="Arial"/>
          <w:color w:val="FF0000"/>
          <w:sz w:val="20"/>
          <w:szCs w:val="20"/>
        </w:rPr>
      </w:pPr>
    </w:p>
    <w:p w14:paraId="248F9368" w14:textId="77777777" w:rsidR="004B297D" w:rsidRPr="00BA718A" w:rsidRDefault="004B297D" w:rsidP="00BA718A">
      <w:pPr>
        <w:jc w:val="both"/>
        <w:rPr>
          <w:rFonts w:ascii="Arial" w:hAnsi="Arial" w:cs="Arial"/>
          <w:color w:val="FF0000"/>
          <w:sz w:val="20"/>
          <w:szCs w:val="20"/>
        </w:rPr>
      </w:pPr>
    </w:p>
    <w:p w14:paraId="3316C696"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2" w:name="_Toc344399625"/>
      <w:bookmarkStart w:id="23" w:name="_Toc348931352"/>
      <w:bookmarkStart w:id="24" w:name="_Toc153727184"/>
      <w:r w:rsidRPr="00E3472F">
        <w:rPr>
          <w:rFonts w:cs="Arial"/>
          <w:sz w:val="20"/>
        </w:rPr>
        <w:t>3.3 Características comparadas con otras alternativas similares</w:t>
      </w:r>
      <w:bookmarkEnd w:id="22"/>
      <w:bookmarkEnd w:id="23"/>
      <w:bookmarkEnd w:id="24"/>
      <w:r w:rsidRPr="00E3472F">
        <w:rPr>
          <w:rFonts w:cs="Arial"/>
          <w:sz w:val="20"/>
        </w:rPr>
        <w:t xml:space="preserve"> </w:t>
      </w:r>
    </w:p>
    <w:p w14:paraId="0BCD3F1D" w14:textId="77777777" w:rsidR="00796BDE" w:rsidRDefault="00796BDE" w:rsidP="00BC3E8E">
      <w:pPr>
        <w:rPr>
          <w:rFonts w:cs="Arial"/>
          <w:bCs/>
        </w:rPr>
      </w:pPr>
    </w:p>
    <w:p w14:paraId="5BFAEE1C" w14:textId="77777777" w:rsidR="00BC3E8E" w:rsidRDefault="00BC3E8E" w:rsidP="00BC3E8E">
      <w:pPr>
        <w:rPr>
          <w:rFonts w:ascii="Arial" w:hAnsi="Arial" w:cs="Arial"/>
          <w:bCs/>
          <w:sz w:val="20"/>
          <w:szCs w:val="20"/>
        </w:rPr>
      </w:pPr>
      <w:r w:rsidRPr="00BD16B7">
        <w:rPr>
          <w:rFonts w:ascii="Arial" w:hAnsi="Arial" w:cs="Arial"/>
          <w:bCs/>
          <w:sz w:val="20"/>
          <w:szCs w:val="20"/>
        </w:rPr>
        <w:t xml:space="preserve">Alternativas disponibles en el Hospital para la misma indicación. </w:t>
      </w:r>
    </w:p>
    <w:p w14:paraId="448D9950" w14:textId="77777777" w:rsidR="004B297D" w:rsidRDefault="004B297D" w:rsidP="00BC3E8E">
      <w:pPr>
        <w:rPr>
          <w:rFonts w:ascii="Arial" w:hAnsi="Arial" w:cs="Arial"/>
          <w:bCs/>
          <w:sz w:val="20"/>
          <w:szCs w:val="20"/>
        </w:rPr>
      </w:pPr>
    </w:p>
    <w:p w14:paraId="073F768C" w14:textId="77777777" w:rsidR="004B297D" w:rsidRDefault="004B297D" w:rsidP="00BC3E8E">
      <w:pPr>
        <w:rPr>
          <w:rFonts w:ascii="Arial" w:hAnsi="Arial" w:cs="Arial"/>
          <w:bCs/>
          <w:sz w:val="20"/>
          <w:szCs w:val="20"/>
        </w:rPr>
      </w:pPr>
    </w:p>
    <w:p w14:paraId="28B37C3A" w14:textId="77777777" w:rsidR="00BC3E8E" w:rsidRPr="006A00F0" w:rsidRDefault="00BC3E8E" w:rsidP="00BC3E8E">
      <w:pPr>
        <w:pStyle w:val="Encabezado"/>
        <w:tabs>
          <w:tab w:val="clear" w:pos="4252"/>
          <w:tab w:val="clear" w:pos="8504"/>
        </w:tabs>
        <w:rPr>
          <w:rFonts w:ascii="Arial" w:hAnsi="Arial" w:cs="Arial"/>
          <w:b/>
          <w:bCs/>
        </w:rPr>
      </w:pPr>
    </w:p>
    <w:tbl>
      <w:tblPr>
        <w:tblW w:w="9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524A68" w:rsidRPr="00EE2E78" w14:paraId="1E704BE8" w14:textId="77777777" w:rsidTr="006A3B60">
        <w:trPr>
          <w:cantSplit/>
          <w:trHeight w:val="238"/>
        </w:trPr>
        <w:tc>
          <w:tcPr>
            <w:tcW w:w="9498" w:type="dxa"/>
            <w:shd w:val="clear" w:color="auto" w:fill="CCFFCC"/>
          </w:tcPr>
          <w:p w14:paraId="08B18CB9" w14:textId="77777777" w:rsidR="003134FE" w:rsidRPr="00A379A0" w:rsidRDefault="00796BDE" w:rsidP="00BC3E8E">
            <w:pPr>
              <w:pStyle w:val="Encabezado"/>
              <w:tabs>
                <w:tab w:val="clear" w:pos="4252"/>
                <w:tab w:val="clear" w:pos="8504"/>
              </w:tabs>
              <w:rPr>
                <w:rFonts w:ascii="Arial" w:hAnsi="Arial" w:cs="Arial"/>
                <w:b/>
                <w:bCs/>
                <w:sz w:val="18"/>
                <w:szCs w:val="20"/>
              </w:rPr>
            </w:pPr>
            <w:r>
              <w:rPr>
                <w:rFonts w:ascii="Arial" w:hAnsi="Arial" w:cs="Arial"/>
                <w:b/>
                <w:bCs/>
                <w:sz w:val="18"/>
                <w:szCs w:val="20"/>
              </w:rPr>
              <w:t xml:space="preserve">Tabla1. </w:t>
            </w:r>
            <w:r w:rsidR="00524A68" w:rsidRPr="00A379A0">
              <w:rPr>
                <w:rFonts w:ascii="Arial" w:hAnsi="Arial" w:cs="Arial"/>
                <w:b/>
                <w:bCs/>
                <w:sz w:val="18"/>
                <w:szCs w:val="20"/>
              </w:rPr>
              <w:t>Características diferenciales comparadas con otras alternativas similares</w:t>
            </w:r>
            <w:r w:rsidR="003134FE">
              <w:rPr>
                <w:rFonts w:ascii="Arial" w:hAnsi="Arial" w:cs="Arial"/>
                <w:b/>
                <w:bCs/>
                <w:sz w:val="18"/>
                <w:szCs w:val="20"/>
              </w:rPr>
              <w:t xml:space="preserve"> para el tratamiento de CPRCm</w:t>
            </w:r>
          </w:p>
        </w:tc>
      </w:tr>
    </w:tbl>
    <w:p w14:paraId="551CCDAF" w14:textId="77777777" w:rsidR="00044F4C" w:rsidRDefault="00044F4C" w:rsidP="00BC3E8E">
      <w:pPr>
        <w:jc w:val="right"/>
        <w:rPr>
          <w:rFonts w:ascii="Arial" w:hAnsi="Arial" w:cs="Arial"/>
          <w:color w:val="0000FF"/>
        </w:rPr>
      </w:pPr>
    </w:p>
    <w:tbl>
      <w:tblPr>
        <w:tblW w:w="9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134"/>
        <w:gridCol w:w="1417"/>
        <w:gridCol w:w="1276"/>
        <w:gridCol w:w="1701"/>
        <w:gridCol w:w="1417"/>
        <w:gridCol w:w="1418"/>
      </w:tblGrid>
      <w:tr w:rsidR="006A3B60" w:rsidRPr="000A45FE" w14:paraId="443CEA9F" w14:textId="77777777" w:rsidTr="006A3B60">
        <w:trPr>
          <w:trHeight w:val="255"/>
        </w:trPr>
        <w:tc>
          <w:tcPr>
            <w:tcW w:w="1135" w:type="dxa"/>
          </w:tcPr>
          <w:p w14:paraId="4D0B9A93" w14:textId="77777777" w:rsidR="006A3B60" w:rsidRPr="000A45FE" w:rsidRDefault="006A3B60" w:rsidP="00330A65">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Nombre</w:t>
            </w:r>
          </w:p>
        </w:tc>
        <w:tc>
          <w:tcPr>
            <w:tcW w:w="1134" w:type="dxa"/>
          </w:tcPr>
          <w:p w14:paraId="5135D7BD" w14:textId="77777777" w:rsidR="006A3B60" w:rsidRPr="000A45FE" w:rsidRDefault="006A3B60" w:rsidP="00330A65">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Niraparib / abiraterona (8)</w:t>
            </w:r>
          </w:p>
        </w:tc>
        <w:tc>
          <w:tcPr>
            <w:tcW w:w="1417" w:type="dxa"/>
          </w:tcPr>
          <w:p w14:paraId="19A23B70" w14:textId="77777777" w:rsidR="006A3B60" w:rsidRPr="000A45FE" w:rsidRDefault="006A3B60" w:rsidP="00330A65">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Olaparib y/o Abiraterona</w:t>
            </w:r>
            <w:r w:rsidRPr="000A45FE">
              <w:rPr>
                <w:rStyle w:val="Refdenotaalfinal"/>
                <w:rFonts w:ascii="Arial" w:hAnsi="Arial" w:cs="Arial"/>
                <w:b/>
                <w:bCs/>
                <w:sz w:val="16"/>
                <w:szCs w:val="16"/>
              </w:rPr>
              <w:endnoteReference w:id="1"/>
            </w:r>
            <w:r w:rsidRPr="000A45FE">
              <w:rPr>
                <w:rFonts w:ascii="Arial" w:hAnsi="Arial" w:cs="Arial"/>
                <w:b/>
                <w:bCs/>
                <w:sz w:val="16"/>
                <w:szCs w:val="16"/>
              </w:rPr>
              <w:t xml:space="preserve"> (13)</w:t>
            </w:r>
          </w:p>
        </w:tc>
        <w:tc>
          <w:tcPr>
            <w:tcW w:w="1276" w:type="dxa"/>
          </w:tcPr>
          <w:p w14:paraId="7FCEFFFD" w14:textId="22EECB36" w:rsidR="006A3B60" w:rsidRPr="000A45FE" w:rsidRDefault="006A3B60" w:rsidP="00330A65">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Rucaparib</w:t>
            </w:r>
            <w:r w:rsidRPr="000A45FE">
              <w:rPr>
                <w:rStyle w:val="Refdenotaalfinal"/>
                <w:rFonts w:ascii="Arial" w:hAnsi="Arial" w:cs="Arial"/>
                <w:b/>
                <w:bCs/>
                <w:sz w:val="16"/>
                <w:szCs w:val="16"/>
              </w:rPr>
              <w:endnoteReference w:id="2"/>
            </w:r>
            <w:r w:rsidRPr="000A45FE">
              <w:rPr>
                <w:rFonts w:ascii="Arial" w:hAnsi="Arial" w:cs="Arial"/>
                <w:b/>
                <w:bCs/>
                <w:sz w:val="16"/>
                <w:szCs w:val="16"/>
              </w:rPr>
              <w:t xml:space="preserve"> (14)</w:t>
            </w:r>
          </w:p>
        </w:tc>
        <w:tc>
          <w:tcPr>
            <w:tcW w:w="1701" w:type="dxa"/>
          </w:tcPr>
          <w:p w14:paraId="433F97FA" w14:textId="6D6A0A50" w:rsidR="006A3B60" w:rsidRPr="000A45FE" w:rsidRDefault="006A3B60" w:rsidP="000A45FE">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Talazoparib (15)</w:t>
            </w:r>
            <w:r>
              <w:rPr>
                <w:rFonts w:ascii="Arial" w:hAnsi="Arial" w:cs="Arial"/>
                <w:b/>
                <w:bCs/>
                <w:sz w:val="16"/>
                <w:szCs w:val="16"/>
              </w:rPr>
              <w:t xml:space="preserve"> / enzalutamida (16)</w:t>
            </w:r>
          </w:p>
        </w:tc>
        <w:tc>
          <w:tcPr>
            <w:tcW w:w="1417" w:type="dxa"/>
          </w:tcPr>
          <w:p w14:paraId="79B63074" w14:textId="77777777" w:rsidR="006A3B60" w:rsidRPr="000A45FE" w:rsidRDefault="006A3B60" w:rsidP="00EA5133">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Enzalutamida (16)</w:t>
            </w:r>
          </w:p>
        </w:tc>
        <w:tc>
          <w:tcPr>
            <w:tcW w:w="1418" w:type="dxa"/>
          </w:tcPr>
          <w:p w14:paraId="5D6DBBCA" w14:textId="77777777" w:rsidR="006A3B60" w:rsidRPr="000A45FE" w:rsidRDefault="006A3B60" w:rsidP="00EA5133">
            <w:pPr>
              <w:pStyle w:val="Encabezado"/>
              <w:tabs>
                <w:tab w:val="clear" w:pos="4252"/>
                <w:tab w:val="clear" w:pos="8504"/>
              </w:tabs>
              <w:rPr>
                <w:rFonts w:ascii="Arial" w:hAnsi="Arial" w:cs="Arial"/>
                <w:b/>
                <w:bCs/>
                <w:sz w:val="16"/>
                <w:szCs w:val="16"/>
              </w:rPr>
            </w:pPr>
            <w:r w:rsidRPr="000A45FE">
              <w:rPr>
                <w:rFonts w:ascii="Arial" w:hAnsi="Arial" w:cs="Arial"/>
                <w:b/>
                <w:bCs/>
                <w:sz w:val="16"/>
                <w:szCs w:val="16"/>
              </w:rPr>
              <w:t>Abiraterona (17)</w:t>
            </w:r>
          </w:p>
        </w:tc>
      </w:tr>
      <w:tr w:rsidR="006A3B60" w:rsidRPr="000A45FE" w14:paraId="3BD6E9DC" w14:textId="77777777" w:rsidTr="006A3B60">
        <w:trPr>
          <w:trHeight w:val="219"/>
        </w:trPr>
        <w:tc>
          <w:tcPr>
            <w:tcW w:w="1135" w:type="dxa"/>
          </w:tcPr>
          <w:p w14:paraId="70019E11" w14:textId="77777777" w:rsidR="006A3B60" w:rsidRPr="000A45FE" w:rsidRDefault="006A3B60" w:rsidP="00330A65">
            <w:pPr>
              <w:rPr>
                <w:rFonts w:ascii="Arial" w:hAnsi="Arial" w:cs="Arial"/>
                <w:sz w:val="16"/>
                <w:szCs w:val="16"/>
              </w:rPr>
            </w:pPr>
            <w:r w:rsidRPr="000A45FE">
              <w:rPr>
                <w:rFonts w:ascii="Arial" w:hAnsi="Arial" w:cs="Arial"/>
                <w:sz w:val="16"/>
                <w:szCs w:val="16"/>
              </w:rPr>
              <w:t>Presentación</w:t>
            </w:r>
          </w:p>
        </w:tc>
        <w:tc>
          <w:tcPr>
            <w:tcW w:w="1134" w:type="dxa"/>
          </w:tcPr>
          <w:p w14:paraId="0919D6E2" w14:textId="77777777" w:rsidR="006A3B60" w:rsidRPr="000A45FE" w:rsidRDefault="006A3B60" w:rsidP="00D43BE4">
            <w:pPr>
              <w:jc w:val="center"/>
              <w:rPr>
                <w:rFonts w:ascii="Arial" w:hAnsi="Arial" w:cs="Arial"/>
                <w:bCs/>
                <w:sz w:val="16"/>
                <w:szCs w:val="16"/>
              </w:rPr>
            </w:pPr>
            <w:r w:rsidRPr="000A45FE">
              <w:rPr>
                <w:rFonts w:ascii="Arial" w:hAnsi="Arial" w:cs="Arial"/>
                <w:bCs/>
                <w:sz w:val="16"/>
                <w:szCs w:val="16"/>
              </w:rPr>
              <w:t>Comprimidos 50/500 mg</w:t>
            </w:r>
          </w:p>
          <w:p w14:paraId="3F555460" w14:textId="77777777" w:rsidR="006A3B60" w:rsidRPr="000A45FE" w:rsidRDefault="006A3B60" w:rsidP="00D43BE4">
            <w:pPr>
              <w:jc w:val="center"/>
              <w:rPr>
                <w:rFonts w:ascii="Arial" w:hAnsi="Arial" w:cs="Arial"/>
                <w:sz w:val="16"/>
                <w:szCs w:val="16"/>
              </w:rPr>
            </w:pPr>
            <w:r w:rsidRPr="000A45FE">
              <w:rPr>
                <w:rFonts w:ascii="Arial" w:hAnsi="Arial" w:cs="Arial"/>
                <w:bCs/>
                <w:sz w:val="16"/>
                <w:szCs w:val="16"/>
              </w:rPr>
              <w:t>Comprimidos 100/500 mg</w:t>
            </w:r>
          </w:p>
        </w:tc>
        <w:tc>
          <w:tcPr>
            <w:tcW w:w="1417" w:type="dxa"/>
          </w:tcPr>
          <w:p w14:paraId="4792AA29"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 xml:space="preserve">Olaparib </w:t>
            </w:r>
          </w:p>
          <w:p w14:paraId="6096C514" w14:textId="77777777" w:rsidR="006A3B60" w:rsidRPr="000A45FE" w:rsidRDefault="006A3B60" w:rsidP="00F11A65">
            <w:pPr>
              <w:rPr>
                <w:rFonts w:ascii="Arial" w:hAnsi="Arial" w:cs="Arial"/>
                <w:sz w:val="16"/>
                <w:szCs w:val="16"/>
              </w:rPr>
            </w:pPr>
            <w:r w:rsidRPr="000A45FE">
              <w:rPr>
                <w:rFonts w:ascii="Arial" w:hAnsi="Arial" w:cs="Arial"/>
                <w:sz w:val="16"/>
                <w:szCs w:val="16"/>
              </w:rPr>
              <w:t>Comprimidos 150 mg</w:t>
            </w:r>
          </w:p>
          <w:p w14:paraId="13137679" w14:textId="77777777" w:rsidR="006A3B60" w:rsidRPr="000A45FE" w:rsidRDefault="006A3B60" w:rsidP="00F11A65">
            <w:pPr>
              <w:rPr>
                <w:rFonts w:ascii="Arial" w:hAnsi="Arial" w:cs="Arial"/>
                <w:sz w:val="16"/>
                <w:szCs w:val="16"/>
              </w:rPr>
            </w:pPr>
            <w:r w:rsidRPr="000A45FE">
              <w:rPr>
                <w:rFonts w:ascii="Arial" w:hAnsi="Arial" w:cs="Arial"/>
                <w:sz w:val="16"/>
                <w:szCs w:val="16"/>
              </w:rPr>
              <w:t>Comprimidos 100 mg</w:t>
            </w:r>
          </w:p>
          <w:p w14:paraId="6CB4AA24" w14:textId="77777777" w:rsidR="006A3B60" w:rsidRPr="000A45FE" w:rsidRDefault="006A3B60" w:rsidP="00F11A65">
            <w:pPr>
              <w:jc w:val="center"/>
              <w:rPr>
                <w:rFonts w:ascii="Arial" w:hAnsi="Arial" w:cs="Arial"/>
                <w:sz w:val="16"/>
                <w:szCs w:val="16"/>
              </w:rPr>
            </w:pPr>
            <w:r w:rsidRPr="000A45FE">
              <w:rPr>
                <w:rFonts w:ascii="Arial" w:hAnsi="Arial" w:cs="Arial"/>
                <w:sz w:val="16"/>
                <w:szCs w:val="16"/>
              </w:rPr>
              <w:t>Abiraterona</w:t>
            </w:r>
          </w:p>
          <w:p w14:paraId="69F00B08" w14:textId="77777777" w:rsidR="006A3B60" w:rsidRPr="000A45FE" w:rsidRDefault="006A3B60" w:rsidP="00F11A65">
            <w:pPr>
              <w:rPr>
                <w:rFonts w:ascii="Arial" w:hAnsi="Arial" w:cs="Arial"/>
                <w:sz w:val="16"/>
                <w:szCs w:val="16"/>
              </w:rPr>
            </w:pPr>
            <w:r w:rsidRPr="000A45FE">
              <w:rPr>
                <w:rFonts w:ascii="Arial" w:hAnsi="Arial" w:cs="Arial"/>
                <w:sz w:val="16"/>
                <w:szCs w:val="16"/>
              </w:rPr>
              <w:t>Comprimidos 500 mg</w:t>
            </w:r>
          </w:p>
        </w:tc>
        <w:tc>
          <w:tcPr>
            <w:tcW w:w="1276" w:type="dxa"/>
          </w:tcPr>
          <w:p w14:paraId="38E417BC" w14:textId="379DBB10" w:rsidR="006A3B60" w:rsidRPr="000A45FE" w:rsidRDefault="006A3B60" w:rsidP="00330A65">
            <w:pPr>
              <w:jc w:val="center"/>
              <w:rPr>
                <w:rFonts w:ascii="Arial" w:hAnsi="Arial" w:cs="Arial"/>
                <w:sz w:val="16"/>
                <w:szCs w:val="16"/>
              </w:rPr>
            </w:pPr>
            <w:r w:rsidRPr="000A45FE">
              <w:rPr>
                <w:rFonts w:ascii="Arial" w:hAnsi="Arial" w:cs="Arial"/>
                <w:sz w:val="16"/>
                <w:szCs w:val="16"/>
              </w:rPr>
              <w:t>Comprimidos 200, 250 y 300 mg</w:t>
            </w:r>
          </w:p>
        </w:tc>
        <w:tc>
          <w:tcPr>
            <w:tcW w:w="1701" w:type="dxa"/>
          </w:tcPr>
          <w:p w14:paraId="423CD605" w14:textId="77777777" w:rsidR="006A3B60" w:rsidRDefault="006A3B60" w:rsidP="00F171FE">
            <w:pPr>
              <w:jc w:val="center"/>
              <w:rPr>
                <w:rFonts w:ascii="Arial" w:hAnsi="Arial" w:cs="Arial"/>
                <w:sz w:val="16"/>
                <w:szCs w:val="16"/>
              </w:rPr>
            </w:pPr>
            <w:r w:rsidRPr="000A45FE">
              <w:rPr>
                <w:rFonts w:ascii="Arial" w:hAnsi="Arial" w:cs="Arial"/>
                <w:sz w:val="16"/>
                <w:szCs w:val="16"/>
              </w:rPr>
              <w:t>Cápsulas 0,25 mg y 1 mg</w:t>
            </w:r>
          </w:p>
          <w:p w14:paraId="216F5B5E" w14:textId="30C134C0" w:rsidR="006A3B60" w:rsidRPr="000A45FE" w:rsidRDefault="006A3B60" w:rsidP="00F171FE">
            <w:pPr>
              <w:jc w:val="center"/>
              <w:rPr>
                <w:rFonts w:ascii="Arial" w:hAnsi="Arial" w:cs="Arial"/>
                <w:sz w:val="16"/>
                <w:szCs w:val="16"/>
              </w:rPr>
            </w:pPr>
            <w:r w:rsidRPr="000A45FE">
              <w:rPr>
                <w:rFonts w:ascii="Arial" w:hAnsi="Arial" w:cs="Arial"/>
                <w:sz w:val="16"/>
                <w:szCs w:val="16"/>
              </w:rPr>
              <w:t>Enzalutamida comprimidos 40 mg</w:t>
            </w:r>
          </w:p>
        </w:tc>
        <w:tc>
          <w:tcPr>
            <w:tcW w:w="1417" w:type="dxa"/>
          </w:tcPr>
          <w:p w14:paraId="4810F758" w14:textId="77777777" w:rsidR="006A3B60" w:rsidRPr="000A45FE" w:rsidRDefault="006A3B60" w:rsidP="006A3B60">
            <w:pPr>
              <w:rPr>
                <w:rFonts w:ascii="Arial" w:hAnsi="Arial" w:cs="Arial"/>
                <w:sz w:val="16"/>
                <w:szCs w:val="16"/>
              </w:rPr>
            </w:pPr>
            <w:r w:rsidRPr="000A45FE">
              <w:rPr>
                <w:rFonts w:ascii="Arial" w:hAnsi="Arial" w:cs="Arial"/>
                <w:sz w:val="16"/>
                <w:szCs w:val="16"/>
              </w:rPr>
              <w:t>Comprimidos 40 mg</w:t>
            </w:r>
          </w:p>
        </w:tc>
        <w:tc>
          <w:tcPr>
            <w:tcW w:w="1418" w:type="dxa"/>
          </w:tcPr>
          <w:p w14:paraId="4DEDCEC6" w14:textId="77777777" w:rsidR="006A3B60" w:rsidRPr="000A45FE" w:rsidRDefault="006A3B60" w:rsidP="00EA5133">
            <w:pPr>
              <w:jc w:val="center"/>
              <w:rPr>
                <w:rFonts w:ascii="Arial" w:hAnsi="Arial" w:cs="Arial"/>
                <w:sz w:val="16"/>
                <w:szCs w:val="16"/>
              </w:rPr>
            </w:pPr>
            <w:r w:rsidRPr="000A45FE">
              <w:rPr>
                <w:rFonts w:ascii="Arial" w:hAnsi="Arial" w:cs="Arial"/>
                <w:sz w:val="16"/>
                <w:szCs w:val="16"/>
              </w:rPr>
              <w:t>Comprimidos 500 mg</w:t>
            </w:r>
          </w:p>
        </w:tc>
      </w:tr>
      <w:tr w:rsidR="006A3B60" w:rsidRPr="000A45FE" w14:paraId="23B923E7" w14:textId="77777777" w:rsidTr="006A3B60">
        <w:trPr>
          <w:trHeight w:val="219"/>
        </w:trPr>
        <w:tc>
          <w:tcPr>
            <w:tcW w:w="1135" w:type="dxa"/>
          </w:tcPr>
          <w:p w14:paraId="3ED6769D" w14:textId="77777777" w:rsidR="006A3B60" w:rsidRPr="000A45FE" w:rsidRDefault="006A3B60" w:rsidP="00330A65">
            <w:pPr>
              <w:rPr>
                <w:rFonts w:ascii="Arial" w:hAnsi="Arial" w:cs="Arial"/>
                <w:sz w:val="16"/>
                <w:szCs w:val="16"/>
              </w:rPr>
            </w:pPr>
            <w:r w:rsidRPr="000A45FE">
              <w:rPr>
                <w:rFonts w:ascii="Arial" w:hAnsi="Arial" w:cs="Arial"/>
                <w:sz w:val="16"/>
                <w:szCs w:val="16"/>
              </w:rPr>
              <w:t>Posología</w:t>
            </w:r>
          </w:p>
        </w:tc>
        <w:tc>
          <w:tcPr>
            <w:tcW w:w="1134" w:type="dxa"/>
          </w:tcPr>
          <w:p w14:paraId="449128C5" w14:textId="77777777" w:rsidR="006A3B60" w:rsidRPr="000A45FE" w:rsidRDefault="006A3B60" w:rsidP="00330A65">
            <w:pPr>
              <w:jc w:val="center"/>
              <w:rPr>
                <w:rFonts w:ascii="Arial" w:hAnsi="Arial" w:cs="Arial"/>
                <w:sz w:val="16"/>
                <w:szCs w:val="16"/>
              </w:rPr>
            </w:pPr>
            <w:r w:rsidRPr="000A45FE">
              <w:rPr>
                <w:rFonts w:ascii="Arial" w:hAnsi="Arial" w:cs="Arial"/>
                <w:bCs/>
                <w:sz w:val="16"/>
                <w:szCs w:val="16"/>
              </w:rPr>
              <w:t>Comprimidos 200/1000 mg cada 24 h</w:t>
            </w:r>
          </w:p>
          <w:p w14:paraId="0FD5EF34" w14:textId="77777777" w:rsidR="006A3B60" w:rsidRPr="000A45FE" w:rsidRDefault="006A3B60" w:rsidP="00330A65">
            <w:pPr>
              <w:jc w:val="center"/>
              <w:rPr>
                <w:rFonts w:ascii="Arial" w:hAnsi="Arial" w:cs="Arial"/>
                <w:sz w:val="16"/>
                <w:szCs w:val="16"/>
              </w:rPr>
            </w:pPr>
          </w:p>
        </w:tc>
        <w:tc>
          <w:tcPr>
            <w:tcW w:w="1417" w:type="dxa"/>
          </w:tcPr>
          <w:p w14:paraId="1D464501"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Olaparib 300 mg c/12h</w:t>
            </w:r>
          </w:p>
          <w:p w14:paraId="2BD20A29"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Abiraterona 1000 mg c/24h</w:t>
            </w:r>
          </w:p>
          <w:p w14:paraId="33DC95B8" w14:textId="77777777" w:rsidR="006A3B60" w:rsidRPr="000A45FE" w:rsidRDefault="006A3B60" w:rsidP="00330A65">
            <w:pPr>
              <w:jc w:val="center"/>
              <w:rPr>
                <w:rFonts w:ascii="Arial" w:hAnsi="Arial" w:cs="Arial"/>
                <w:sz w:val="16"/>
                <w:szCs w:val="16"/>
              </w:rPr>
            </w:pPr>
          </w:p>
        </w:tc>
        <w:tc>
          <w:tcPr>
            <w:tcW w:w="1276" w:type="dxa"/>
          </w:tcPr>
          <w:p w14:paraId="306890FB" w14:textId="539AA93D" w:rsidR="006A3B60" w:rsidRPr="000A45FE" w:rsidRDefault="006A3B60" w:rsidP="00330A65">
            <w:pPr>
              <w:jc w:val="center"/>
              <w:rPr>
                <w:rFonts w:ascii="Arial" w:hAnsi="Arial" w:cs="Arial"/>
                <w:sz w:val="16"/>
                <w:szCs w:val="16"/>
              </w:rPr>
            </w:pPr>
            <w:r w:rsidRPr="000A45FE">
              <w:rPr>
                <w:rFonts w:ascii="Arial" w:hAnsi="Arial" w:cs="Arial"/>
                <w:sz w:val="16"/>
                <w:szCs w:val="16"/>
              </w:rPr>
              <w:t>Comprimidos 600 mg c/12h</w:t>
            </w:r>
          </w:p>
        </w:tc>
        <w:tc>
          <w:tcPr>
            <w:tcW w:w="1701" w:type="dxa"/>
          </w:tcPr>
          <w:p w14:paraId="1B0E66FB" w14:textId="77777777" w:rsidR="006A3B60" w:rsidRPr="000A45FE" w:rsidRDefault="006A3B60" w:rsidP="000A45FE">
            <w:pPr>
              <w:jc w:val="center"/>
              <w:rPr>
                <w:rFonts w:ascii="Arial" w:hAnsi="Arial" w:cs="Arial"/>
                <w:sz w:val="16"/>
                <w:szCs w:val="16"/>
              </w:rPr>
            </w:pPr>
            <w:r w:rsidRPr="000A45FE">
              <w:rPr>
                <w:rFonts w:ascii="Arial" w:hAnsi="Arial" w:cs="Arial"/>
                <w:sz w:val="16"/>
                <w:szCs w:val="16"/>
              </w:rPr>
              <w:t>Talazoparib 0,5 mg c/24h</w:t>
            </w:r>
          </w:p>
          <w:p w14:paraId="368EBE8E" w14:textId="12917A3C" w:rsidR="006A3B60" w:rsidRPr="000A45FE" w:rsidRDefault="006A3B60" w:rsidP="000A45FE">
            <w:pPr>
              <w:jc w:val="center"/>
              <w:rPr>
                <w:rFonts w:ascii="Arial" w:hAnsi="Arial" w:cs="Arial"/>
                <w:sz w:val="16"/>
                <w:szCs w:val="16"/>
              </w:rPr>
            </w:pPr>
            <w:r w:rsidRPr="000A45FE">
              <w:rPr>
                <w:rFonts w:ascii="Arial" w:hAnsi="Arial" w:cs="Arial"/>
                <w:sz w:val="16"/>
                <w:szCs w:val="16"/>
              </w:rPr>
              <w:t>Enzalutamida 160mg c/24 h</w:t>
            </w:r>
          </w:p>
        </w:tc>
        <w:tc>
          <w:tcPr>
            <w:tcW w:w="1417" w:type="dxa"/>
          </w:tcPr>
          <w:p w14:paraId="1D313178" w14:textId="77777777" w:rsidR="006A3B60" w:rsidRPr="000A45FE" w:rsidRDefault="006A3B60" w:rsidP="00EA5133">
            <w:pPr>
              <w:jc w:val="center"/>
              <w:rPr>
                <w:rFonts w:ascii="Arial" w:hAnsi="Arial" w:cs="Arial"/>
                <w:sz w:val="16"/>
                <w:szCs w:val="16"/>
              </w:rPr>
            </w:pPr>
            <w:r w:rsidRPr="000A45FE">
              <w:rPr>
                <w:rFonts w:ascii="Arial" w:eastAsia="Arial" w:hAnsi="Arial" w:cs="Arial"/>
                <w:sz w:val="16"/>
                <w:szCs w:val="16"/>
              </w:rPr>
              <w:t>160 mg (cuatro comprimidos de 40mg) en una sola dosis diaria</w:t>
            </w:r>
          </w:p>
        </w:tc>
        <w:tc>
          <w:tcPr>
            <w:tcW w:w="1418" w:type="dxa"/>
          </w:tcPr>
          <w:p w14:paraId="034380F2" w14:textId="77777777" w:rsidR="006A3B60" w:rsidRPr="000A45FE" w:rsidRDefault="006A3B60" w:rsidP="00EA5133">
            <w:pPr>
              <w:jc w:val="center"/>
              <w:rPr>
                <w:rFonts w:ascii="Arial" w:hAnsi="Arial" w:cs="Arial"/>
                <w:sz w:val="16"/>
                <w:szCs w:val="16"/>
              </w:rPr>
            </w:pPr>
            <w:r w:rsidRPr="000A45FE">
              <w:rPr>
                <w:rFonts w:ascii="Arial" w:eastAsia="Arial" w:hAnsi="Arial" w:cs="Arial"/>
                <w:sz w:val="16"/>
                <w:szCs w:val="16"/>
              </w:rPr>
              <w:t>1 g/24 h</w:t>
            </w:r>
          </w:p>
        </w:tc>
      </w:tr>
      <w:tr w:rsidR="006A3B60" w:rsidRPr="000A45FE" w14:paraId="305D17F0" w14:textId="77777777" w:rsidTr="006A3B60">
        <w:trPr>
          <w:trHeight w:val="219"/>
        </w:trPr>
        <w:tc>
          <w:tcPr>
            <w:tcW w:w="1135" w:type="dxa"/>
          </w:tcPr>
          <w:p w14:paraId="10A32C23" w14:textId="77777777" w:rsidR="006A3B60" w:rsidRPr="000A45FE" w:rsidDel="00C50164" w:rsidRDefault="006A3B60" w:rsidP="00330A65">
            <w:pPr>
              <w:rPr>
                <w:rFonts w:ascii="Arial" w:hAnsi="Arial" w:cs="Arial"/>
                <w:sz w:val="16"/>
                <w:szCs w:val="16"/>
                <w:lang w:val="es-ES_tradnl"/>
              </w:rPr>
            </w:pPr>
            <w:r w:rsidRPr="000A45FE">
              <w:rPr>
                <w:rFonts w:ascii="Arial" w:hAnsi="Arial" w:cs="Arial"/>
                <w:sz w:val="16"/>
                <w:szCs w:val="16"/>
                <w:lang w:val="es-ES_tradnl"/>
              </w:rPr>
              <w:t>Indicación aprobada en FT</w:t>
            </w:r>
          </w:p>
        </w:tc>
        <w:tc>
          <w:tcPr>
            <w:tcW w:w="1134" w:type="dxa"/>
          </w:tcPr>
          <w:p w14:paraId="78970305" w14:textId="4C7F9F33" w:rsidR="006A3B60" w:rsidRPr="000A45FE" w:rsidRDefault="006A3B60" w:rsidP="00330A65">
            <w:pPr>
              <w:rPr>
                <w:rFonts w:ascii="Arial" w:hAnsi="Arial" w:cs="Arial"/>
                <w:sz w:val="16"/>
                <w:szCs w:val="16"/>
              </w:rPr>
            </w:pPr>
            <w:r w:rsidRPr="000A45FE">
              <w:rPr>
                <w:rFonts w:ascii="Arial" w:eastAsia="Arial" w:hAnsi="Arial" w:cs="Arial"/>
                <w:sz w:val="16"/>
                <w:szCs w:val="16"/>
              </w:rPr>
              <w:t>Tratamiento de pacientes adultos con CPRCm y con mutaciones en los genes BRCA1/2 (germinales y/o somáticas) en los que la quimioterapia (QT) no está clínicamente indicada.</w:t>
            </w:r>
            <w:r w:rsidRPr="000A45FE">
              <w:rPr>
                <w:rFonts w:ascii="Arial" w:eastAsia="Arial" w:hAnsi="Arial" w:cs="Arial"/>
                <w:sz w:val="16"/>
                <w:szCs w:val="16"/>
                <w:vertAlign w:val="superscript"/>
              </w:rPr>
              <w:t>1,2,3</w:t>
            </w:r>
          </w:p>
        </w:tc>
        <w:tc>
          <w:tcPr>
            <w:tcW w:w="1417" w:type="dxa"/>
          </w:tcPr>
          <w:p w14:paraId="5EA0173D" w14:textId="41D90622" w:rsidR="006A3B60" w:rsidRPr="000A45FE" w:rsidRDefault="006A3B60" w:rsidP="00D736C7">
            <w:pPr>
              <w:spacing w:before="240" w:after="240"/>
              <w:rPr>
                <w:rFonts w:ascii="Arial" w:eastAsia="Arial" w:hAnsi="Arial" w:cs="Arial"/>
                <w:sz w:val="16"/>
                <w:szCs w:val="16"/>
              </w:rPr>
            </w:pPr>
            <w:r w:rsidRPr="000A45FE">
              <w:rPr>
                <w:rFonts w:ascii="Arial" w:eastAsia="Arial" w:hAnsi="Arial" w:cs="Arial"/>
                <w:sz w:val="16"/>
                <w:szCs w:val="16"/>
              </w:rPr>
              <w:t xml:space="preserve">En monoterapia para el tratamiento de pacientes adultos CPRCm en población BRCA 1/2+ </w:t>
            </w:r>
            <w:r w:rsidRPr="000A45FE">
              <w:rPr>
                <w:rFonts w:ascii="Arial" w:eastAsia="Arial" w:hAnsi="Arial" w:cs="Arial"/>
                <w:sz w:val="16"/>
                <w:szCs w:val="16"/>
                <w:vertAlign w:val="superscript"/>
              </w:rPr>
              <w:t>1,2</w:t>
            </w:r>
            <w:r w:rsidRPr="000A45FE">
              <w:rPr>
                <w:rFonts w:ascii="Arial" w:eastAsia="Arial" w:hAnsi="Arial" w:cs="Arial"/>
                <w:sz w:val="16"/>
                <w:szCs w:val="16"/>
              </w:rPr>
              <w:t xml:space="preserve"> o HRR+ </w:t>
            </w:r>
            <w:r w:rsidRPr="000A45FE">
              <w:rPr>
                <w:rFonts w:ascii="Arial" w:eastAsia="Arial" w:hAnsi="Arial" w:cs="Arial"/>
                <w:sz w:val="16"/>
                <w:szCs w:val="16"/>
                <w:vertAlign w:val="superscript"/>
              </w:rPr>
              <w:t>3</w:t>
            </w:r>
            <w:r w:rsidRPr="000A45FE">
              <w:rPr>
                <w:rFonts w:ascii="Arial" w:eastAsia="Arial" w:hAnsi="Arial" w:cs="Arial"/>
                <w:sz w:val="16"/>
                <w:szCs w:val="16"/>
              </w:rPr>
              <w:t xml:space="preserve"> que</w:t>
            </w:r>
            <w:r w:rsidRPr="000A45FE">
              <w:rPr>
                <w:rFonts w:ascii="Arial" w:eastAsia="Arial" w:hAnsi="Arial" w:cs="Arial"/>
                <w:sz w:val="16"/>
                <w:szCs w:val="16"/>
              </w:rPr>
              <w:br/>
              <w:t xml:space="preserve">han progresado tras terapia previa que incluyera un nuevo agente hormonal (enzalutamida o abiraterona) </w:t>
            </w:r>
          </w:p>
          <w:p w14:paraId="3EA870C0" w14:textId="6E321553" w:rsidR="006A3B60" w:rsidRPr="000A45FE" w:rsidRDefault="006A3B60" w:rsidP="00D736C7">
            <w:pPr>
              <w:spacing w:before="240" w:after="240"/>
              <w:ind w:hanging="2"/>
              <w:rPr>
                <w:rFonts w:ascii="Arial" w:eastAsia="Arial" w:hAnsi="Arial" w:cs="Arial"/>
                <w:sz w:val="16"/>
                <w:szCs w:val="16"/>
              </w:rPr>
            </w:pPr>
            <w:r w:rsidRPr="000A45FE">
              <w:rPr>
                <w:rFonts w:ascii="Arial" w:eastAsia="Arial" w:hAnsi="Arial" w:cs="Arial"/>
                <w:sz w:val="16"/>
                <w:szCs w:val="16"/>
              </w:rPr>
              <w:br/>
              <w:t>En combinación con abiraterona y prednisona o prednisolona para el tratamiento de pacientes</w:t>
            </w:r>
            <w:r w:rsidRPr="000A45FE">
              <w:rPr>
                <w:rFonts w:ascii="Arial" w:eastAsia="Arial" w:hAnsi="Arial" w:cs="Arial"/>
                <w:sz w:val="16"/>
                <w:szCs w:val="16"/>
              </w:rPr>
              <w:br/>
              <w:t>adultos con CPRCm en los que la QT no está indicada a juicio del clínico</w:t>
            </w:r>
            <w:r w:rsidRPr="000A45FE">
              <w:rPr>
                <w:rFonts w:ascii="Arial" w:eastAsia="Arial" w:hAnsi="Arial" w:cs="Arial"/>
                <w:sz w:val="16"/>
                <w:szCs w:val="16"/>
                <w:vertAlign w:val="superscript"/>
              </w:rPr>
              <w:t xml:space="preserve">1,2 </w:t>
            </w:r>
            <w:r w:rsidRPr="000A45FE">
              <w:rPr>
                <w:rFonts w:ascii="Arial" w:eastAsia="Arial" w:hAnsi="Arial" w:cs="Arial"/>
                <w:sz w:val="16"/>
                <w:szCs w:val="16"/>
              </w:rPr>
              <w:t>o en población BRCA+</w:t>
            </w:r>
            <w:r w:rsidRPr="000A45FE">
              <w:rPr>
                <w:rFonts w:ascii="Arial" w:eastAsia="Arial" w:hAnsi="Arial" w:cs="Arial"/>
                <w:sz w:val="16"/>
                <w:szCs w:val="16"/>
                <w:vertAlign w:val="superscript"/>
              </w:rPr>
              <w:t xml:space="preserve"> 3</w:t>
            </w:r>
          </w:p>
        </w:tc>
        <w:tc>
          <w:tcPr>
            <w:tcW w:w="1276" w:type="dxa"/>
          </w:tcPr>
          <w:p w14:paraId="45E88D37" w14:textId="3E594D2E" w:rsidR="006A3B60" w:rsidRPr="000A45FE" w:rsidRDefault="006A3B60" w:rsidP="004A3790">
            <w:pPr>
              <w:rPr>
                <w:rFonts w:ascii="Arial" w:eastAsia="Arial" w:hAnsi="Arial" w:cs="Arial"/>
                <w:sz w:val="16"/>
                <w:szCs w:val="16"/>
              </w:rPr>
            </w:pPr>
            <w:r w:rsidRPr="000A45FE">
              <w:rPr>
                <w:rFonts w:ascii="Arial" w:eastAsia="Arial" w:hAnsi="Arial" w:cs="Arial"/>
                <w:sz w:val="16"/>
                <w:szCs w:val="16"/>
              </w:rPr>
              <w:t>En monoterapia para el tratamiento de pacientes adultos mutación deletérea BRCA</w:t>
            </w:r>
          </w:p>
          <w:p w14:paraId="057E48E2" w14:textId="0058F60E" w:rsidR="006A3B60" w:rsidRPr="000A45FE" w:rsidRDefault="006A3B60" w:rsidP="004A3790">
            <w:pPr>
              <w:ind w:hanging="2"/>
              <w:rPr>
                <w:rFonts w:ascii="Arial" w:eastAsia="Arial" w:hAnsi="Arial" w:cs="Arial"/>
                <w:sz w:val="16"/>
                <w:szCs w:val="16"/>
                <w:u w:val="single"/>
              </w:rPr>
            </w:pPr>
            <w:r w:rsidRPr="000A45FE">
              <w:rPr>
                <w:rFonts w:ascii="Arial" w:eastAsia="Arial" w:hAnsi="Arial" w:cs="Arial"/>
                <w:sz w:val="16"/>
                <w:szCs w:val="16"/>
              </w:rPr>
              <w:t xml:space="preserve">(germinal y/o somática) </w:t>
            </w:r>
            <w:r>
              <w:rPr>
                <w:rFonts w:ascii="Arial" w:eastAsia="Arial" w:hAnsi="Arial" w:cs="Arial"/>
                <w:sz w:val="16"/>
                <w:szCs w:val="16"/>
              </w:rPr>
              <w:t>en</w:t>
            </w:r>
            <w:r w:rsidRPr="000A45FE">
              <w:rPr>
                <w:rFonts w:ascii="Arial" w:eastAsia="Arial" w:hAnsi="Arial" w:cs="Arial"/>
                <w:sz w:val="16"/>
                <w:szCs w:val="16"/>
              </w:rPr>
              <w:t xml:space="preserve"> CPRCm que</w:t>
            </w:r>
            <w:r w:rsidRPr="000A45FE">
              <w:rPr>
                <w:rFonts w:ascii="Arial" w:eastAsia="Arial" w:hAnsi="Arial" w:cs="Arial"/>
                <w:sz w:val="16"/>
                <w:szCs w:val="16"/>
              </w:rPr>
              <w:br/>
            </w:r>
            <w:r w:rsidRPr="000A45FE">
              <w:rPr>
                <w:rFonts w:ascii="Arial" w:eastAsia="Arial" w:hAnsi="Arial" w:cs="Arial"/>
                <w:sz w:val="16"/>
                <w:szCs w:val="16"/>
                <w:u w:val="single"/>
              </w:rPr>
              <w:t>han progresado tras terapia previa que incluyera un nuevo agente hormonal</w:t>
            </w:r>
          </w:p>
          <w:p w14:paraId="58BEA7AB" w14:textId="6FD07339" w:rsidR="006A3B60" w:rsidRPr="000A45FE" w:rsidRDefault="006A3B60" w:rsidP="004A3790">
            <w:pPr>
              <w:ind w:hanging="2"/>
              <w:rPr>
                <w:rFonts w:ascii="Arial" w:eastAsia="Arial" w:hAnsi="Arial" w:cs="Arial"/>
                <w:sz w:val="16"/>
                <w:szCs w:val="16"/>
                <w:u w:val="single"/>
              </w:rPr>
            </w:pPr>
            <w:r w:rsidRPr="000A45FE">
              <w:rPr>
                <w:rFonts w:ascii="Arial" w:eastAsia="Arial" w:hAnsi="Arial" w:cs="Arial"/>
                <w:sz w:val="16"/>
                <w:szCs w:val="16"/>
                <w:u w:val="single"/>
              </w:rPr>
              <w:t xml:space="preserve">y una QT basada en taxanos. </w:t>
            </w:r>
            <w:r w:rsidRPr="000A45FE">
              <w:rPr>
                <w:rFonts w:ascii="Arial" w:eastAsia="Arial" w:hAnsi="Arial" w:cs="Arial"/>
                <w:sz w:val="16"/>
                <w:szCs w:val="16"/>
                <w:u w:val="single"/>
                <w:vertAlign w:val="superscript"/>
              </w:rPr>
              <w:t>3</w:t>
            </w:r>
          </w:p>
          <w:p w14:paraId="25333359" w14:textId="77777777" w:rsidR="006A3B60" w:rsidRPr="000A45FE" w:rsidRDefault="006A3B60" w:rsidP="004A3790">
            <w:pPr>
              <w:ind w:hanging="2"/>
              <w:rPr>
                <w:rFonts w:ascii="Arial" w:hAnsi="Arial" w:cs="Arial"/>
                <w:sz w:val="16"/>
                <w:szCs w:val="16"/>
              </w:rPr>
            </w:pPr>
          </w:p>
        </w:tc>
        <w:tc>
          <w:tcPr>
            <w:tcW w:w="1701" w:type="dxa"/>
          </w:tcPr>
          <w:p w14:paraId="31A05EA5" w14:textId="77777777" w:rsidR="006A3B60" w:rsidRPr="000A45FE" w:rsidRDefault="006A3B60" w:rsidP="000A45FE">
            <w:pPr>
              <w:ind w:left="-2"/>
              <w:rPr>
                <w:rFonts w:ascii="Arial" w:eastAsia="Arial" w:hAnsi="Arial" w:cs="Arial"/>
                <w:sz w:val="16"/>
                <w:szCs w:val="16"/>
                <w:highlight w:val="white"/>
              </w:rPr>
            </w:pPr>
            <w:r w:rsidRPr="000A45FE">
              <w:rPr>
                <w:rFonts w:ascii="Arial" w:eastAsia="Arial" w:hAnsi="Arial" w:cs="Arial"/>
                <w:sz w:val="16"/>
                <w:szCs w:val="16"/>
              </w:rPr>
              <w:t>En combinación con enzalutamida para el tratamiento de pacientes adultos con mutación HRR en CPRCm</w:t>
            </w:r>
            <w:r w:rsidRPr="000A45FE">
              <w:rPr>
                <w:rFonts w:ascii="Arial" w:eastAsia="Arial" w:hAnsi="Arial" w:cs="Arial"/>
                <w:sz w:val="16"/>
                <w:szCs w:val="16"/>
                <w:highlight w:val="white"/>
                <w:vertAlign w:val="superscript"/>
              </w:rPr>
              <w:t>3</w:t>
            </w:r>
          </w:p>
          <w:p w14:paraId="3555FC62" w14:textId="66BDFC46" w:rsidR="006A3B60" w:rsidRPr="000A45FE" w:rsidRDefault="006A3B60" w:rsidP="003134FE">
            <w:pPr>
              <w:ind w:hanging="2"/>
              <w:rPr>
                <w:rFonts w:ascii="Arial" w:eastAsia="Arial" w:hAnsi="Arial" w:cs="Arial"/>
                <w:sz w:val="16"/>
                <w:szCs w:val="16"/>
                <w:highlight w:val="white"/>
              </w:rPr>
            </w:pPr>
          </w:p>
        </w:tc>
        <w:tc>
          <w:tcPr>
            <w:tcW w:w="1417" w:type="dxa"/>
          </w:tcPr>
          <w:p w14:paraId="3EC002DC" w14:textId="6C8FE493" w:rsidR="006A3B60" w:rsidRPr="000A45FE" w:rsidRDefault="006A3B60" w:rsidP="00EA5133">
            <w:pPr>
              <w:spacing w:before="240" w:after="240"/>
              <w:ind w:hanging="2"/>
              <w:rPr>
                <w:rFonts w:ascii="Arial" w:eastAsia="Arial" w:hAnsi="Arial" w:cs="Arial"/>
                <w:sz w:val="16"/>
                <w:szCs w:val="16"/>
              </w:rPr>
            </w:pPr>
            <w:r w:rsidRPr="000A45FE">
              <w:rPr>
                <w:rFonts w:ascii="Arial" w:eastAsia="Arial" w:hAnsi="Arial" w:cs="Arial"/>
                <w:sz w:val="16"/>
                <w:szCs w:val="16"/>
              </w:rPr>
              <w:t>Tratamiento de hombres adultos con cáncer de próstata hormonosensible metastásico (CPHSm) en combinación con la terapia de deprivación de andrógenos.</w:t>
            </w:r>
            <w:r w:rsidRPr="000A45FE">
              <w:rPr>
                <w:rFonts w:ascii="Arial" w:eastAsia="Arial" w:hAnsi="Arial" w:cs="Arial"/>
                <w:sz w:val="16"/>
                <w:szCs w:val="16"/>
                <w:vertAlign w:val="superscript"/>
              </w:rPr>
              <w:t>1,2,3</w:t>
            </w:r>
          </w:p>
          <w:p w14:paraId="673A81CB" w14:textId="232712FF" w:rsidR="006A3B60" w:rsidRPr="000A45FE" w:rsidRDefault="006A3B60" w:rsidP="00EA5133">
            <w:pPr>
              <w:spacing w:before="240" w:after="240"/>
              <w:ind w:hanging="2"/>
              <w:rPr>
                <w:rFonts w:ascii="Arial" w:eastAsia="Arial" w:hAnsi="Arial" w:cs="Arial"/>
                <w:sz w:val="16"/>
                <w:szCs w:val="16"/>
              </w:rPr>
            </w:pPr>
            <w:r w:rsidRPr="000A45FE">
              <w:rPr>
                <w:rFonts w:ascii="Arial" w:eastAsia="Arial" w:hAnsi="Arial" w:cs="Arial"/>
                <w:sz w:val="16"/>
                <w:szCs w:val="16"/>
              </w:rPr>
              <w:t xml:space="preserve">Tratamiento de hombres adultos con cáncer de próstata resistente a la </w:t>
            </w:r>
            <w:r w:rsidR="00516CE2" w:rsidRPr="000A45FE">
              <w:rPr>
                <w:rFonts w:ascii="Arial" w:eastAsia="Arial" w:hAnsi="Arial" w:cs="Arial"/>
                <w:sz w:val="16"/>
                <w:szCs w:val="16"/>
              </w:rPr>
              <w:t>castración</w:t>
            </w:r>
            <w:r w:rsidRPr="000A45FE">
              <w:rPr>
                <w:rFonts w:ascii="Arial" w:eastAsia="Arial" w:hAnsi="Arial" w:cs="Arial"/>
                <w:sz w:val="16"/>
                <w:szCs w:val="16"/>
              </w:rPr>
              <w:t xml:space="preserve"> no metastásico (CPRCnm) de alto riesgo.</w:t>
            </w:r>
            <w:r w:rsidRPr="000A45FE">
              <w:rPr>
                <w:rFonts w:ascii="Arial" w:eastAsia="Arial" w:hAnsi="Arial" w:cs="Arial"/>
                <w:sz w:val="16"/>
                <w:szCs w:val="16"/>
                <w:vertAlign w:val="superscript"/>
              </w:rPr>
              <w:t xml:space="preserve"> 1,2,3</w:t>
            </w:r>
          </w:p>
          <w:p w14:paraId="66E33C85" w14:textId="7344BC93" w:rsidR="006A3B60" w:rsidRPr="000A45FE" w:rsidRDefault="006A3B60" w:rsidP="006A3B60">
            <w:pPr>
              <w:spacing w:before="240" w:after="240"/>
              <w:ind w:hanging="2"/>
              <w:rPr>
                <w:rFonts w:ascii="Arial" w:eastAsia="Arial" w:hAnsi="Arial" w:cs="Arial"/>
                <w:sz w:val="16"/>
                <w:szCs w:val="16"/>
              </w:rPr>
            </w:pPr>
            <w:r w:rsidRPr="000A45FE">
              <w:rPr>
                <w:rFonts w:ascii="Arial" w:eastAsia="Arial" w:hAnsi="Arial" w:cs="Arial"/>
                <w:sz w:val="16"/>
                <w:szCs w:val="16"/>
              </w:rPr>
              <w:t>Tratamiento de hombres adultos con CPRCm</w:t>
            </w:r>
            <w:r w:rsidRPr="000A45FE">
              <w:rPr>
                <w:rFonts w:ascii="Arial" w:eastAsia="Arial" w:hAnsi="Arial" w:cs="Arial"/>
                <w:sz w:val="16"/>
                <w:szCs w:val="16"/>
                <w:vertAlign w:val="superscript"/>
              </w:rPr>
              <w:t>3</w:t>
            </w:r>
            <w:r>
              <w:rPr>
                <w:rFonts w:ascii="Arial" w:eastAsia="Arial" w:hAnsi="Arial" w:cs="Arial"/>
                <w:sz w:val="16"/>
                <w:szCs w:val="16"/>
                <w:vertAlign w:val="superscript"/>
              </w:rPr>
              <w:t xml:space="preserve">  </w:t>
            </w:r>
            <w:r>
              <w:rPr>
                <w:rFonts w:ascii="Arial" w:eastAsia="Arial" w:hAnsi="Arial" w:cs="Arial"/>
                <w:sz w:val="16"/>
                <w:szCs w:val="16"/>
              </w:rPr>
              <w:t xml:space="preserve">o </w:t>
            </w:r>
            <w:r w:rsidRPr="000A45FE">
              <w:rPr>
                <w:rFonts w:ascii="Arial" w:eastAsia="Arial" w:hAnsi="Arial" w:cs="Arial"/>
                <w:sz w:val="16"/>
                <w:szCs w:val="16"/>
              </w:rPr>
              <w:t xml:space="preserve">CPRCm </w:t>
            </w:r>
            <w:r w:rsidR="00516CE2" w:rsidRPr="000A45FE">
              <w:rPr>
                <w:rFonts w:ascii="Arial" w:eastAsia="Arial" w:hAnsi="Arial" w:cs="Arial"/>
                <w:sz w:val="16"/>
                <w:szCs w:val="16"/>
              </w:rPr>
              <w:t>asintomáticos</w:t>
            </w:r>
            <w:r w:rsidRPr="000A45FE">
              <w:rPr>
                <w:rFonts w:ascii="Arial" w:eastAsia="Arial" w:hAnsi="Arial" w:cs="Arial"/>
                <w:sz w:val="16"/>
                <w:szCs w:val="16"/>
              </w:rPr>
              <w:t xml:space="preserve"> o levemente sintomáticos tras el fracaso del ADT en los cuales la QT no está aún clínicamente indicada</w:t>
            </w:r>
            <w:r>
              <w:rPr>
                <w:rFonts w:ascii="Arial" w:eastAsia="Arial" w:hAnsi="Arial" w:cs="Arial"/>
                <w:sz w:val="16"/>
                <w:szCs w:val="16"/>
              </w:rPr>
              <w:t xml:space="preserve"> </w:t>
            </w:r>
            <w:r w:rsidRPr="000A45FE">
              <w:rPr>
                <w:rFonts w:ascii="Arial" w:eastAsia="Arial" w:hAnsi="Arial" w:cs="Arial"/>
                <w:sz w:val="16"/>
                <w:szCs w:val="16"/>
              </w:rPr>
              <w:t>CPRCm cuya enfermedad ha progresado durante o tras el tratamiento con docetaxel.</w:t>
            </w:r>
            <w:r w:rsidRPr="000A45FE">
              <w:rPr>
                <w:rFonts w:ascii="Arial" w:eastAsia="Arial" w:hAnsi="Arial" w:cs="Arial"/>
                <w:sz w:val="16"/>
                <w:szCs w:val="16"/>
                <w:vertAlign w:val="superscript"/>
              </w:rPr>
              <w:t xml:space="preserve"> 1,2,</w:t>
            </w:r>
          </w:p>
          <w:p w14:paraId="3695A371" w14:textId="77777777" w:rsidR="006A3B60" w:rsidRPr="000A45FE" w:rsidRDefault="006A3B60" w:rsidP="00EA5133">
            <w:pPr>
              <w:spacing w:before="240" w:after="240"/>
              <w:ind w:hanging="2"/>
              <w:rPr>
                <w:rFonts w:ascii="Arial" w:eastAsia="Arial" w:hAnsi="Arial" w:cs="Arial"/>
                <w:sz w:val="16"/>
                <w:szCs w:val="16"/>
              </w:rPr>
            </w:pPr>
          </w:p>
        </w:tc>
        <w:tc>
          <w:tcPr>
            <w:tcW w:w="1418" w:type="dxa"/>
          </w:tcPr>
          <w:p w14:paraId="25ABF9D3" w14:textId="505E665C" w:rsidR="006A3B60" w:rsidRPr="000A45FE" w:rsidRDefault="006A3B60" w:rsidP="00EA5133">
            <w:pPr>
              <w:ind w:hanging="2"/>
              <w:rPr>
                <w:rFonts w:ascii="Arial" w:eastAsia="Arial" w:hAnsi="Arial" w:cs="Arial"/>
                <w:sz w:val="16"/>
                <w:szCs w:val="16"/>
                <w:highlight w:val="white"/>
              </w:rPr>
            </w:pPr>
            <w:r w:rsidRPr="000A45FE">
              <w:rPr>
                <w:rFonts w:ascii="Arial" w:eastAsia="Arial" w:hAnsi="Arial" w:cs="Arial"/>
                <w:sz w:val="16"/>
                <w:szCs w:val="16"/>
                <w:highlight w:val="white"/>
              </w:rPr>
              <w:t>Indicado en combinación con prednisona o prednisolona para:</w:t>
            </w:r>
          </w:p>
          <w:p w14:paraId="7E51E1AD" w14:textId="77777777" w:rsidR="006A3B60" w:rsidRPr="000A45FE" w:rsidRDefault="006A3B60" w:rsidP="00EA5133">
            <w:pPr>
              <w:ind w:hanging="2"/>
              <w:rPr>
                <w:rFonts w:ascii="Arial" w:eastAsia="Arial" w:hAnsi="Arial" w:cs="Arial"/>
                <w:sz w:val="16"/>
                <w:szCs w:val="16"/>
                <w:highlight w:val="white"/>
              </w:rPr>
            </w:pPr>
          </w:p>
          <w:p w14:paraId="519BC9FA" w14:textId="1335B73C" w:rsidR="006A3B60" w:rsidRPr="000A45FE" w:rsidRDefault="006A3B60" w:rsidP="00EA5133">
            <w:pPr>
              <w:ind w:hanging="2"/>
              <w:rPr>
                <w:rFonts w:ascii="Arial" w:eastAsia="Arial" w:hAnsi="Arial" w:cs="Arial"/>
                <w:sz w:val="16"/>
                <w:szCs w:val="16"/>
                <w:highlight w:val="white"/>
              </w:rPr>
            </w:pPr>
            <w:r w:rsidRPr="000A45FE">
              <w:rPr>
                <w:rFonts w:ascii="Arial" w:eastAsia="Arial" w:hAnsi="Arial" w:cs="Arial"/>
                <w:sz w:val="16"/>
                <w:szCs w:val="16"/>
                <w:highlight w:val="white"/>
              </w:rPr>
              <w:t>Tratamiento en hombres adultos del CPHSm de nuevo</w:t>
            </w:r>
            <w:r w:rsidRPr="000A45FE">
              <w:rPr>
                <w:rFonts w:ascii="Arial" w:eastAsia="Arial" w:hAnsi="Arial" w:cs="Arial"/>
                <w:sz w:val="16"/>
                <w:szCs w:val="16"/>
                <w:highlight w:val="white"/>
              </w:rPr>
              <w:br/>
              <w:t>diagnóstico de alto riesgo en combinación con ADT.</w:t>
            </w:r>
            <w:r w:rsidRPr="000A45FE">
              <w:rPr>
                <w:rFonts w:ascii="Arial" w:eastAsia="Arial" w:hAnsi="Arial" w:cs="Arial"/>
                <w:color w:val="333333"/>
                <w:sz w:val="16"/>
                <w:szCs w:val="16"/>
                <w:highlight w:val="white"/>
                <w:vertAlign w:val="superscript"/>
              </w:rPr>
              <w:t>1,2,3</w:t>
            </w:r>
          </w:p>
          <w:p w14:paraId="60A049BE" w14:textId="77777777" w:rsidR="006A3B60" w:rsidRPr="000A45FE" w:rsidRDefault="006A3B60" w:rsidP="00EA5133">
            <w:pPr>
              <w:ind w:hanging="2"/>
              <w:rPr>
                <w:rFonts w:ascii="Arial" w:eastAsia="Arial" w:hAnsi="Arial" w:cs="Arial"/>
                <w:sz w:val="16"/>
                <w:szCs w:val="16"/>
                <w:highlight w:val="white"/>
              </w:rPr>
            </w:pPr>
          </w:p>
          <w:p w14:paraId="193CE159" w14:textId="77777777" w:rsidR="006A3B60" w:rsidRPr="000A45FE" w:rsidRDefault="006A3B60" w:rsidP="00EA5133">
            <w:pPr>
              <w:ind w:hanging="2"/>
              <w:rPr>
                <w:rFonts w:ascii="Arial" w:eastAsia="Arial" w:hAnsi="Arial" w:cs="Arial"/>
                <w:sz w:val="16"/>
                <w:szCs w:val="16"/>
                <w:highlight w:val="white"/>
              </w:rPr>
            </w:pPr>
            <w:r w:rsidRPr="000A45FE">
              <w:rPr>
                <w:rFonts w:ascii="Arial" w:eastAsia="Arial" w:hAnsi="Arial" w:cs="Arial"/>
                <w:sz w:val="16"/>
                <w:szCs w:val="16"/>
                <w:highlight w:val="white"/>
              </w:rPr>
              <w:t>Tratamiento del CPRCm</w:t>
            </w:r>
            <w:r w:rsidRPr="000A45FE">
              <w:rPr>
                <w:rFonts w:ascii="Arial" w:eastAsia="Arial" w:hAnsi="Arial" w:cs="Arial"/>
                <w:sz w:val="16"/>
                <w:szCs w:val="16"/>
                <w:highlight w:val="white"/>
                <w:vertAlign w:val="superscript"/>
              </w:rPr>
              <w:t>3</w:t>
            </w:r>
            <w:r w:rsidRPr="000A45FE">
              <w:rPr>
                <w:rFonts w:ascii="Arial" w:eastAsia="Arial" w:hAnsi="Arial" w:cs="Arial"/>
                <w:sz w:val="16"/>
                <w:szCs w:val="16"/>
                <w:highlight w:val="white"/>
              </w:rPr>
              <w:t xml:space="preserve"> </w:t>
            </w:r>
          </w:p>
          <w:p w14:paraId="76201FA9" w14:textId="5844B6BD" w:rsidR="006A3B60" w:rsidRPr="000A45FE" w:rsidRDefault="006A3B60" w:rsidP="00EA5133">
            <w:pPr>
              <w:ind w:hanging="2"/>
              <w:rPr>
                <w:rFonts w:ascii="Arial" w:eastAsia="Arial" w:hAnsi="Arial" w:cs="Arial"/>
                <w:sz w:val="16"/>
                <w:szCs w:val="16"/>
                <w:highlight w:val="white"/>
              </w:rPr>
            </w:pPr>
            <w:r>
              <w:rPr>
                <w:rFonts w:ascii="Arial" w:eastAsia="Arial" w:hAnsi="Arial" w:cs="Arial"/>
                <w:sz w:val="16"/>
                <w:szCs w:val="16"/>
                <w:highlight w:val="white"/>
              </w:rPr>
              <w:t xml:space="preserve">O </w:t>
            </w:r>
            <w:r w:rsidRPr="000A45FE">
              <w:rPr>
                <w:rFonts w:ascii="Arial" w:eastAsia="Arial" w:hAnsi="Arial" w:cs="Arial"/>
                <w:sz w:val="16"/>
                <w:szCs w:val="16"/>
                <w:highlight w:val="white"/>
              </w:rPr>
              <w:t>CPRCm en hombres</w:t>
            </w:r>
            <w:r w:rsidRPr="000A45FE">
              <w:rPr>
                <w:rFonts w:ascii="Arial" w:eastAsia="Arial" w:hAnsi="Arial" w:cs="Arial"/>
                <w:sz w:val="16"/>
                <w:szCs w:val="16"/>
                <w:highlight w:val="white"/>
              </w:rPr>
              <w:br/>
              <w:t xml:space="preserve">adultos que sean </w:t>
            </w:r>
            <w:r w:rsidR="00516CE2" w:rsidRPr="000A45FE">
              <w:rPr>
                <w:rFonts w:ascii="Arial" w:eastAsia="Arial" w:hAnsi="Arial" w:cs="Arial"/>
                <w:sz w:val="16"/>
                <w:szCs w:val="16"/>
                <w:highlight w:val="white"/>
              </w:rPr>
              <w:t>asintomáticos</w:t>
            </w:r>
            <w:r w:rsidRPr="000A45FE">
              <w:rPr>
                <w:rFonts w:ascii="Arial" w:eastAsia="Arial" w:hAnsi="Arial" w:cs="Arial"/>
                <w:sz w:val="16"/>
                <w:szCs w:val="16"/>
                <w:highlight w:val="white"/>
              </w:rPr>
              <w:t xml:space="preserve"> o levemente </w:t>
            </w:r>
            <w:r w:rsidR="00516CE2" w:rsidRPr="000A45FE">
              <w:rPr>
                <w:rFonts w:ascii="Arial" w:eastAsia="Arial" w:hAnsi="Arial" w:cs="Arial"/>
                <w:sz w:val="16"/>
                <w:szCs w:val="16"/>
                <w:highlight w:val="white"/>
              </w:rPr>
              <w:t>sintomáticos</w:t>
            </w:r>
            <w:r w:rsidRPr="000A45FE">
              <w:rPr>
                <w:rFonts w:ascii="Arial" w:eastAsia="Arial" w:hAnsi="Arial" w:cs="Arial"/>
                <w:sz w:val="16"/>
                <w:szCs w:val="16"/>
                <w:highlight w:val="white"/>
              </w:rPr>
              <w:t xml:space="preserve"> tras el fracaso del ADT en los cuales la QT no está́ aún clínicamente indicada, o cuya enfermedad ha progresado durante o tras un régimen de QT basado en docetaxel.</w:t>
            </w:r>
            <w:r w:rsidRPr="000A45FE">
              <w:rPr>
                <w:rFonts w:ascii="Arial" w:eastAsia="Arial" w:hAnsi="Arial" w:cs="Arial"/>
                <w:sz w:val="16"/>
                <w:szCs w:val="16"/>
                <w:highlight w:val="white"/>
                <w:vertAlign w:val="superscript"/>
              </w:rPr>
              <w:t>1,2</w:t>
            </w:r>
          </w:p>
          <w:p w14:paraId="496B8763" w14:textId="77777777" w:rsidR="006A3B60" w:rsidRPr="000A45FE" w:rsidRDefault="006A3B60" w:rsidP="00EA5133">
            <w:pPr>
              <w:ind w:hanging="2"/>
              <w:rPr>
                <w:rFonts w:ascii="Arial" w:eastAsia="Arial" w:hAnsi="Arial" w:cs="Arial"/>
                <w:sz w:val="16"/>
                <w:szCs w:val="16"/>
                <w:highlight w:val="white"/>
              </w:rPr>
            </w:pPr>
          </w:p>
          <w:p w14:paraId="3D35B782" w14:textId="77777777" w:rsidR="006A3B60" w:rsidRPr="000A45FE" w:rsidRDefault="006A3B60" w:rsidP="00EA5133">
            <w:pPr>
              <w:jc w:val="center"/>
              <w:rPr>
                <w:rFonts w:ascii="Arial" w:hAnsi="Arial" w:cs="Arial"/>
                <w:sz w:val="16"/>
                <w:szCs w:val="16"/>
              </w:rPr>
            </w:pPr>
          </w:p>
        </w:tc>
      </w:tr>
      <w:tr w:rsidR="006A3B60" w:rsidRPr="000A45FE" w14:paraId="511479EC" w14:textId="77777777" w:rsidTr="006A3B60">
        <w:trPr>
          <w:trHeight w:val="219"/>
        </w:trPr>
        <w:tc>
          <w:tcPr>
            <w:tcW w:w="1135" w:type="dxa"/>
          </w:tcPr>
          <w:p w14:paraId="7E6C0E6D" w14:textId="77777777" w:rsidR="006A3B60" w:rsidRPr="000A45FE" w:rsidRDefault="006A3B60" w:rsidP="00330A65">
            <w:pPr>
              <w:rPr>
                <w:rFonts w:ascii="Arial" w:hAnsi="Arial" w:cs="Arial"/>
                <w:sz w:val="16"/>
                <w:szCs w:val="16"/>
                <w:lang w:val="es-ES_tradnl"/>
              </w:rPr>
            </w:pPr>
            <w:r w:rsidRPr="000A45FE">
              <w:rPr>
                <w:rFonts w:ascii="Arial" w:hAnsi="Arial" w:cs="Arial"/>
                <w:sz w:val="16"/>
                <w:szCs w:val="16"/>
                <w:lang w:val="es-ES_tradnl"/>
              </w:rPr>
              <w:t>Efectos adversos</w:t>
            </w:r>
          </w:p>
        </w:tc>
        <w:tc>
          <w:tcPr>
            <w:tcW w:w="1134" w:type="dxa"/>
          </w:tcPr>
          <w:p w14:paraId="12726D4D" w14:textId="77777777" w:rsidR="006A3B60" w:rsidRPr="000A45FE" w:rsidRDefault="006A3B60" w:rsidP="00C90DEC">
            <w:pPr>
              <w:ind w:hanging="2"/>
              <w:jc w:val="center"/>
              <w:rPr>
                <w:rFonts w:ascii="Arial" w:eastAsia="Arial" w:hAnsi="Arial"/>
                <w:sz w:val="16"/>
                <w:szCs w:val="16"/>
                <w:lang w:val="it-IT"/>
              </w:rPr>
            </w:pPr>
            <w:r w:rsidRPr="000A45FE">
              <w:rPr>
                <w:rFonts w:ascii="Arial" w:eastAsia="Arial" w:hAnsi="Arial"/>
                <w:sz w:val="16"/>
                <w:szCs w:val="16"/>
                <w:lang w:val="it-IT"/>
              </w:rPr>
              <w:t>Infección urinaria, anemia, trombocitopenia, neutropenia,</w:t>
            </w:r>
          </w:p>
          <w:p w14:paraId="4AD7E6A2" w14:textId="77777777" w:rsidR="006A3B60" w:rsidRPr="000A45FE" w:rsidRDefault="006A3B60" w:rsidP="00C90DEC">
            <w:pPr>
              <w:ind w:hanging="2"/>
              <w:jc w:val="center"/>
              <w:rPr>
                <w:rFonts w:ascii="Arial" w:eastAsia="Arial" w:hAnsi="Arial" w:cs="Arial"/>
                <w:sz w:val="16"/>
                <w:szCs w:val="16"/>
              </w:rPr>
            </w:pPr>
            <w:r w:rsidRPr="000A45FE">
              <w:rPr>
                <w:rFonts w:ascii="Arial" w:eastAsia="Arial" w:hAnsi="Arial" w:cs="Arial"/>
                <w:sz w:val="16"/>
                <w:szCs w:val="16"/>
              </w:rPr>
              <w:t>leucopenia, apetito disminuido, hipopotasemia, mareo, estreñimiento, náuseas, vómitos, hipertensión, disnea, elevación de transaminasas y triglicéridos.</w:t>
            </w:r>
          </w:p>
        </w:tc>
        <w:tc>
          <w:tcPr>
            <w:tcW w:w="1417" w:type="dxa"/>
          </w:tcPr>
          <w:p w14:paraId="57B7AF84" w14:textId="77777777" w:rsidR="006A3B60" w:rsidRPr="000A45FE" w:rsidRDefault="006A3B60" w:rsidP="00EE3BE5">
            <w:pPr>
              <w:ind w:hanging="2"/>
              <w:jc w:val="center"/>
              <w:rPr>
                <w:rFonts w:ascii="Arial" w:eastAsia="Arial" w:hAnsi="Arial" w:cs="Arial"/>
                <w:sz w:val="16"/>
                <w:szCs w:val="16"/>
              </w:rPr>
            </w:pPr>
            <w:r w:rsidRPr="000A45FE">
              <w:rPr>
                <w:rFonts w:ascii="Arial" w:eastAsia="Arial" w:hAnsi="Arial" w:cs="Arial"/>
                <w:sz w:val="16"/>
                <w:szCs w:val="16"/>
              </w:rPr>
              <w:t>Muy frecuentes: anemia, neutropenia,</w:t>
            </w:r>
          </w:p>
          <w:p w14:paraId="3CD52C8D" w14:textId="77777777" w:rsidR="006A3B60" w:rsidRPr="000A45FE" w:rsidRDefault="006A3B60" w:rsidP="00EE3BE5">
            <w:pPr>
              <w:jc w:val="center"/>
              <w:rPr>
                <w:rFonts w:ascii="Arial" w:hAnsi="Arial" w:cs="Arial"/>
                <w:b/>
                <w:sz w:val="16"/>
                <w:szCs w:val="16"/>
              </w:rPr>
            </w:pPr>
            <w:r w:rsidRPr="000A45FE">
              <w:rPr>
                <w:rFonts w:ascii="Arial" w:eastAsia="Arial" w:hAnsi="Arial" w:cs="Arial"/>
                <w:sz w:val="16"/>
                <w:szCs w:val="16"/>
              </w:rPr>
              <w:t>leucopenia, hipopotasemia, estreñimiento,  apetito disminuido, tos, disnea, mareo,  náuseas, vómitos, hipertensión, disnea, elevación de transaminasas y triglicéridos.</w:t>
            </w:r>
          </w:p>
        </w:tc>
        <w:tc>
          <w:tcPr>
            <w:tcW w:w="1276" w:type="dxa"/>
          </w:tcPr>
          <w:p w14:paraId="591AEFA4" w14:textId="31FB6D12" w:rsidR="006A3B60" w:rsidRPr="000A45FE" w:rsidRDefault="006A3B60" w:rsidP="00920295">
            <w:pPr>
              <w:jc w:val="center"/>
              <w:rPr>
                <w:rFonts w:ascii="Arial" w:hAnsi="Arial" w:cs="Arial"/>
                <w:sz w:val="16"/>
                <w:szCs w:val="16"/>
              </w:rPr>
            </w:pPr>
            <w:r w:rsidRPr="000A45FE">
              <w:rPr>
                <w:rFonts w:ascii="Arial" w:hAnsi="Arial" w:cs="Arial"/>
                <w:sz w:val="16"/>
                <w:szCs w:val="16"/>
              </w:rPr>
              <w:t>Hipersensibilidad, anemia, trombocitopenia,  disminución apetito, elevación de creatinina sanguínea, mareo, náuseas, vómitos, fotosensibilidad, fatiga, pirexia.</w:t>
            </w:r>
          </w:p>
        </w:tc>
        <w:tc>
          <w:tcPr>
            <w:tcW w:w="1701" w:type="dxa"/>
          </w:tcPr>
          <w:p w14:paraId="79685F49" w14:textId="43F2EE76" w:rsidR="006A3B60" w:rsidRPr="000A45FE" w:rsidRDefault="006A3B60" w:rsidP="00330A65">
            <w:pPr>
              <w:jc w:val="center"/>
              <w:rPr>
                <w:rFonts w:ascii="Arial" w:hAnsi="Arial" w:cs="Arial"/>
                <w:sz w:val="16"/>
                <w:szCs w:val="16"/>
              </w:rPr>
            </w:pPr>
            <w:r w:rsidRPr="000A45FE">
              <w:rPr>
                <w:rFonts w:ascii="Arial" w:hAnsi="Arial" w:cs="Arial"/>
                <w:sz w:val="16"/>
                <w:szCs w:val="16"/>
              </w:rPr>
              <w:t xml:space="preserve">Trombocitopenia, anemia, neutropenia, </w:t>
            </w:r>
            <w:r w:rsidR="00516CE2" w:rsidRPr="000A45FE">
              <w:rPr>
                <w:rFonts w:ascii="Arial" w:hAnsi="Arial" w:cs="Arial"/>
                <w:sz w:val="16"/>
                <w:szCs w:val="16"/>
              </w:rPr>
              <w:t>apetito</w:t>
            </w:r>
            <w:r w:rsidRPr="000A45FE">
              <w:rPr>
                <w:rFonts w:ascii="Arial" w:hAnsi="Arial" w:cs="Arial"/>
                <w:sz w:val="16"/>
                <w:szCs w:val="16"/>
              </w:rPr>
              <w:t xml:space="preserve"> disminuido, cefalea, mareo, vómitos, náuseas, alopecia, fatiga.</w:t>
            </w:r>
          </w:p>
        </w:tc>
        <w:tc>
          <w:tcPr>
            <w:tcW w:w="1417" w:type="dxa"/>
          </w:tcPr>
          <w:p w14:paraId="341C6543" w14:textId="77777777" w:rsidR="006A3B60" w:rsidRPr="000A45FE" w:rsidRDefault="006A3B60" w:rsidP="00EA5133">
            <w:pPr>
              <w:ind w:hanging="2"/>
              <w:jc w:val="center"/>
              <w:rPr>
                <w:rFonts w:ascii="Arial" w:eastAsia="Arial" w:hAnsi="Arial" w:cs="Arial"/>
                <w:sz w:val="16"/>
                <w:szCs w:val="16"/>
              </w:rPr>
            </w:pPr>
            <w:r w:rsidRPr="000A45FE">
              <w:rPr>
                <w:rFonts w:ascii="Arial" w:eastAsia="Arial" w:hAnsi="Arial" w:cs="Arial"/>
                <w:sz w:val="16"/>
                <w:szCs w:val="16"/>
              </w:rPr>
              <w:t>Astenia, fatiga, sofocos, hipertensión, fracturas y caídas. Trastorno cognoscitivo</w:t>
            </w:r>
          </w:p>
          <w:p w14:paraId="40658AFD" w14:textId="77777777" w:rsidR="006A3B60" w:rsidRPr="000A45FE" w:rsidRDefault="006A3B60" w:rsidP="00EA5133">
            <w:pPr>
              <w:jc w:val="center"/>
              <w:rPr>
                <w:rFonts w:ascii="Arial" w:hAnsi="Arial" w:cs="Arial"/>
                <w:b/>
                <w:sz w:val="16"/>
                <w:szCs w:val="16"/>
              </w:rPr>
            </w:pPr>
            <w:r w:rsidRPr="000A45FE">
              <w:rPr>
                <w:rFonts w:ascii="Arial" w:eastAsia="Arial" w:hAnsi="Arial" w:cs="Arial"/>
                <w:sz w:val="16"/>
                <w:szCs w:val="16"/>
              </w:rPr>
              <w:t xml:space="preserve"> y neutropenia.</w:t>
            </w:r>
          </w:p>
        </w:tc>
        <w:tc>
          <w:tcPr>
            <w:tcW w:w="1418" w:type="dxa"/>
          </w:tcPr>
          <w:p w14:paraId="1291E8F9" w14:textId="77777777" w:rsidR="006A3B60" w:rsidRPr="000A45FE" w:rsidRDefault="006A3B60" w:rsidP="00EA5133">
            <w:pPr>
              <w:jc w:val="center"/>
              <w:rPr>
                <w:rFonts w:ascii="Arial" w:hAnsi="Arial" w:cs="Arial"/>
                <w:b/>
                <w:sz w:val="16"/>
                <w:szCs w:val="16"/>
              </w:rPr>
            </w:pPr>
            <w:r w:rsidRPr="000A45FE">
              <w:rPr>
                <w:rFonts w:ascii="Arial" w:eastAsia="Arial" w:hAnsi="Arial" w:cs="Arial"/>
                <w:sz w:val="16"/>
                <w:szCs w:val="16"/>
              </w:rPr>
              <w:t>Retención de líquidos con edemas, hipopotasemia, hipertensión arterial, diarrea, infección urinaria, insuficiencia cardíaca, elevación de transaminasas y triglicéridos, fracturas</w:t>
            </w:r>
          </w:p>
        </w:tc>
      </w:tr>
      <w:tr w:rsidR="006A3B60" w:rsidRPr="000A45FE" w14:paraId="40C61023" w14:textId="77777777" w:rsidTr="006A3B60">
        <w:trPr>
          <w:trHeight w:val="219"/>
        </w:trPr>
        <w:tc>
          <w:tcPr>
            <w:tcW w:w="1135" w:type="dxa"/>
          </w:tcPr>
          <w:p w14:paraId="19963113" w14:textId="77777777" w:rsidR="006A3B60" w:rsidRPr="000A45FE" w:rsidDel="00C50164" w:rsidRDefault="006A3B60" w:rsidP="00330A65">
            <w:pPr>
              <w:rPr>
                <w:rFonts w:ascii="Arial" w:hAnsi="Arial" w:cs="Arial"/>
                <w:sz w:val="16"/>
                <w:szCs w:val="16"/>
                <w:lang w:val="es-ES_tradnl"/>
              </w:rPr>
            </w:pPr>
            <w:r w:rsidRPr="000A45FE">
              <w:rPr>
                <w:rFonts w:ascii="Arial" w:hAnsi="Arial" w:cs="Arial"/>
                <w:sz w:val="16"/>
                <w:szCs w:val="16"/>
                <w:lang w:val="es-ES_tradnl"/>
              </w:rPr>
              <w:t>Utilización de recursos</w:t>
            </w:r>
          </w:p>
        </w:tc>
        <w:tc>
          <w:tcPr>
            <w:tcW w:w="1134" w:type="dxa"/>
          </w:tcPr>
          <w:p w14:paraId="31E56452" w14:textId="77777777" w:rsidR="006A3B60" w:rsidRPr="000A45FE" w:rsidRDefault="006A3B60" w:rsidP="00330A65">
            <w:pPr>
              <w:jc w:val="center"/>
              <w:rPr>
                <w:rFonts w:ascii="Arial" w:hAnsi="Arial" w:cs="Arial"/>
                <w:sz w:val="16"/>
                <w:szCs w:val="16"/>
              </w:rPr>
            </w:pPr>
          </w:p>
        </w:tc>
        <w:tc>
          <w:tcPr>
            <w:tcW w:w="1417" w:type="dxa"/>
          </w:tcPr>
          <w:p w14:paraId="48465D07" w14:textId="77777777" w:rsidR="006A3B60" w:rsidRPr="000A45FE" w:rsidRDefault="006A3B60" w:rsidP="00330A65">
            <w:pPr>
              <w:jc w:val="center"/>
              <w:rPr>
                <w:rFonts w:ascii="Arial" w:hAnsi="Arial" w:cs="Arial"/>
                <w:sz w:val="16"/>
                <w:szCs w:val="16"/>
              </w:rPr>
            </w:pPr>
          </w:p>
        </w:tc>
        <w:tc>
          <w:tcPr>
            <w:tcW w:w="1276" w:type="dxa"/>
          </w:tcPr>
          <w:p w14:paraId="4E6BBB12" w14:textId="6F930A19" w:rsidR="006A3B60" w:rsidRPr="000A45FE" w:rsidRDefault="006A3B60" w:rsidP="00330A65">
            <w:pPr>
              <w:jc w:val="center"/>
              <w:rPr>
                <w:rFonts w:ascii="Arial" w:hAnsi="Arial" w:cs="Arial"/>
                <w:sz w:val="16"/>
                <w:szCs w:val="16"/>
              </w:rPr>
            </w:pPr>
          </w:p>
        </w:tc>
        <w:tc>
          <w:tcPr>
            <w:tcW w:w="1701" w:type="dxa"/>
          </w:tcPr>
          <w:p w14:paraId="15F4801A" w14:textId="77777777" w:rsidR="006A3B60" w:rsidRPr="000A45FE" w:rsidRDefault="006A3B60" w:rsidP="00330A65">
            <w:pPr>
              <w:jc w:val="center"/>
              <w:rPr>
                <w:rFonts w:ascii="Arial" w:hAnsi="Arial" w:cs="Arial"/>
                <w:sz w:val="16"/>
                <w:szCs w:val="16"/>
              </w:rPr>
            </w:pPr>
          </w:p>
        </w:tc>
        <w:tc>
          <w:tcPr>
            <w:tcW w:w="1417" w:type="dxa"/>
          </w:tcPr>
          <w:p w14:paraId="5FE321C3" w14:textId="77777777" w:rsidR="006A3B60" w:rsidRPr="000A45FE" w:rsidRDefault="006A3B60" w:rsidP="00EA5133">
            <w:pPr>
              <w:jc w:val="center"/>
              <w:rPr>
                <w:rFonts w:ascii="Arial" w:hAnsi="Arial" w:cs="Arial"/>
                <w:sz w:val="16"/>
                <w:szCs w:val="16"/>
              </w:rPr>
            </w:pPr>
          </w:p>
        </w:tc>
        <w:tc>
          <w:tcPr>
            <w:tcW w:w="1418" w:type="dxa"/>
          </w:tcPr>
          <w:p w14:paraId="27931826" w14:textId="77777777" w:rsidR="006A3B60" w:rsidRPr="000A45FE" w:rsidRDefault="006A3B60" w:rsidP="00EA5133">
            <w:pPr>
              <w:jc w:val="center"/>
              <w:rPr>
                <w:rFonts w:ascii="Arial" w:hAnsi="Arial" w:cs="Arial"/>
                <w:sz w:val="16"/>
                <w:szCs w:val="16"/>
              </w:rPr>
            </w:pPr>
          </w:p>
        </w:tc>
      </w:tr>
      <w:tr w:rsidR="006A3B60" w:rsidRPr="000A45FE" w14:paraId="29B4465A" w14:textId="77777777" w:rsidTr="006A3B60">
        <w:trPr>
          <w:trHeight w:val="219"/>
        </w:trPr>
        <w:tc>
          <w:tcPr>
            <w:tcW w:w="1135" w:type="dxa"/>
          </w:tcPr>
          <w:p w14:paraId="0965E0EA" w14:textId="77777777" w:rsidR="006A3B60" w:rsidRPr="000A45FE" w:rsidDel="00C50164" w:rsidRDefault="006A3B60" w:rsidP="00330A65">
            <w:pPr>
              <w:rPr>
                <w:rFonts w:ascii="Arial" w:hAnsi="Arial" w:cs="Arial"/>
                <w:sz w:val="16"/>
                <w:szCs w:val="16"/>
                <w:lang w:val="es-ES_tradnl"/>
              </w:rPr>
            </w:pPr>
            <w:r w:rsidRPr="000A45FE">
              <w:rPr>
                <w:rFonts w:ascii="Arial" w:hAnsi="Arial" w:cs="Arial"/>
                <w:sz w:val="16"/>
                <w:szCs w:val="16"/>
                <w:lang w:val="es-ES_tradnl"/>
              </w:rPr>
              <w:t>Conveniencia</w:t>
            </w:r>
          </w:p>
        </w:tc>
        <w:tc>
          <w:tcPr>
            <w:tcW w:w="1134" w:type="dxa"/>
          </w:tcPr>
          <w:p w14:paraId="24722E73"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Administración oral. Necesario de uso de corticoides.</w:t>
            </w:r>
          </w:p>
        </w:tc>
        <w:tc>
          <w:tcPr>
            <w:tcW w:w="1417" w:type="dxa"/>
          </w:tcPr>
          <w:p w14:paraId="4B6CC985"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Administración oral. Necesario de uso de corticoides. (en combinación con abiraterona)</w:t>
            </w:r>
          </w:p>
        </w:tc>
        <w:tc>
          <w:tcPr>
            <w:tcW w:w="1276" w:type="dxa"/>
          </w:tcPr>
          <w:p w14:paraId="277BC1B1" w14:textId="08652169" w:rsidR="006A3B60" w:rsidRPr="000A45FE" w:rsidRDefault="006A3B60" w:rsidP="00330A65">
            <w:pPr>
              <w:jc w:val="center"/>
              <w:rPr>
                <w:rFonts w:ascii="Arial" w:hAnsi="Arial" w:cs="Arial"/>
                <w:sz w:val="16"/>
                <w:szCs w:val="16"/>
              </w:rPr>
            </w:pPr>
            <w:r w:rsidRPr="000A45FE">
              <w:rPr>
                <w:rFonts w:ascii="Arial" w:hAnsi="Arial" w:cs="Arial"/>
                <w:sz w:val="16"/>
                <w:szCs w:val="16"/>
              </w:rPr>
              <w:t>Administración oral.</w:t>
            </w:r>
          </w:p>
        </w:tc>
        <w:tc>
          <w:tcPr>
            <w:tcW w:w="1701" w:type="dxa"/>
          </w:tcPr>
          <w:p w14:paraId="51C27CFD" w14:textId="77777777" w:rsidR="006A3B60" w:rsidRPr="000A45FE" w:rsidRDefault="006A3B60" w:rsidP="00330A65">
            <w:pPr>
              <w:jc w:val="center"/>
              <w:rPr>
                <w:rFonts w:ascii="Arial" w:hAnsi="Arial" w:cs="Arial"/>
                <w:sz w:val="16"/>
                <w:szCs w:val="16"/>
              </w:rPr>
            </w:pPr>
            <w:r w:rsidRPr="000A45FE">
              <w:rPr>
                <w:rFonts w:ascii="Arial" w:hAnsi="Arial" w:cs="Arial"/>
                <w:sz w:val="16"/>
                <w:szCs w:val="16"/>
              </w:rPr>
              <w:t>Administración oral.</w:t>
            </w:r>
          </w:p>
        </w:tc>
        <w:tc>
          <w:tcPr>
            <w:tcW w:w="1417" w:type="dxa"/>
          </w:tcPr>
          <w:p w14:paraId="2D41E003" w14:textId="77777777" w:rsidR="006A3B60" w:rsidRPr="000A45FE" w:rsidRDefault="006A3B60" w:rsidP="00EA5133">
            <w:pPr>
              <w:jc w:val="center"/>
              <w:rPr>
                <w:rFonts w:ascii="Arial" w:hAnsi="Arial" w:cs="Arial"/>
                <w:sz w:val="16"/>
                <w:szCs w:val="16"/>
              </w:rPr>
            </w:pPr>
            <w:r w:rsidRPr="000A45FE">
              <w:rPr>
                <w:rFonts w:ascii="Arial" w:hAnsi="Arial" w:cs="Arial"/>
                <w:sz w:val="16"/>
                <w:szCs w:val="16"/>
              </w:rPr>
              <w:t>Administración oral. No interacción con alimentos</w:t>
            </w:r>
          </w:p>
        </w:tc>
        <w:tc>
          <w:tcPr>
            <w:tcW w:w="1418" w:type="dxa"/>
          </w:tcPr>
          <w:p w14:paraId="533B8E5B" w14:textId="77777777" w:rsidR="006A3B60" w:rsidRPr="000A45FE" w:rsidRDefault="006A3B60" w:rsidP="00EA5133">
            <w:pPr>
              <w:jc w:val="center"/>
              <w:rPr>
                <w:rFonts w:ascii="Arial" w:hAnsi="Arial" w:cs="Arial"/>
                <w:sz w:val="16"/>
                <w:szCs w:val="16"/>
              </w:rPr>
            </w:pPr>
            <w:r w:rsidRPr="000A45FE">
              <w:rPr>
                <w:rFonts w:ascii="Arial" w:hAnsi="Arial" w:cs="Arial"/>
                <w:sz w:val="16"/>
                <w:szCs w:val="16"/>
              </w:rPr>
              <w:t>Administración oral. Necesario de uso de corticoides.</w:t>
            </w:r>
          </w:p>
        </w:tc>
      </w:tr>
      <w:tr w:rsidR="006A3B60" w:rsidRPr="000A45FE" w14:paraId="78B484C7" w14:textId="77777777" w:rsidTr="006A3B60">
        <w:trPr>
          <w:trHeight w:val="219"/>
        </w:trPr>
        <w:tc>
          <w:tcPr>
            <w:tcW w:w="1135" w:type="dxa"/>
          </w:tcPr>
          <w:p w14:paraId="151300A1" w14:textId="31B0C0C6" w:rsidR="006A3B60" w:rsidRPr="000A45FE" w:rsidRDefault="006A3B60" w:rsidP="00330A65">
            <w:pPr>
              <w:rPr>
                <w:rFonts w:ascii="Arial" w:hAnsi="Arial" w:cs="Arial"/>
                <w:sz w:val="16"/>
                <w:szCs w:val="16"/>
                <w:lang w:val="es-ES_tradnl"/>
              </w:rPr>
            </w:pPr>
            <w:r w:rsidRPr="000A45FE">
              <w:rPr>
                <w:rFonts w:ascii="Arial" w:hAnsi="Arial" w:cs="Arial"/>
                <w:sz w:val="16"/>
                <w:szCs w:val="16"/>
                <w:lang w:val="es-ES_tradnl"/>
              </w:rPr>
              <w:t>Situación España</w:t>
            </w:r>
          </w:p>
        </w:tc>
        <w:tc>
          <w:tcPr>
            <w:tcW w:w="1134" w:type="dxa"/>
          </w:tcPr>
          <w:p w14:paraId="150BDEFC" w14:textId="5BB09EFA" w:rsidR="006A3B60" w:rsidRPr="000A45FE" w:rsidRDefault="006A3B60" w:rsidP="00330A65">
            <w:pPr>
              <w:jc w:val="center"/>
              <w:rPr>
                <w:rFonts w:ascii="Arial" w:hAnsi="Arial" w:cs="Arial"/>
                <w:sz w:val="16"/>
                <w:szCs w:val="16"/>
              </w:rPr>
            </w:pPr>
            <w:r w:rsidRPr="000A45FE">
              <w:rPr>
                <w:rFonts w:ascii="Arial" w:hAnsi="Arial" w:cs="Arial"/>
                <w:sz w:val="16"/>
                <w:szCs w:val="16"/>
              </w:rPr>
              <w:t>Pendiente de decisión de precio y financiación</w:t>
            </w:r>
          </w:p>
        </w:tc>
        <w:tc>
          <w:tcPr>
            <w:tcW w:w="1417" w:type="dxa"/>
          </w:tcPr>
          <w:p w14:paraId="03762066" w14:textId="3879F4D9" w:rsidR="006A3B60" w:rsidRPr="000A45FE" w:rsidRDefault="006A3B60" w:rsidP="00330A65">
            <w:pPr>
              <w:jc w:val="center"/>
              <w:rPr>
                <w:rFonts w:ascii="Arial" w:hAnsi="Arial" w:cs="Arial"/>
                <w:sz w:val="16"/>
                <w:szCs w:val="16"/>
              </w:rPr>
            </w:pPr>
            <w:r w:rsidRPr="000A45FE">
              <w:rPr>
                <w:rFonts w:ascii="Arial" w:hAnsi="Arial" w:cs="Arial"/>
                <w:sz w:val="16"/>
                <w:szCs w:val="16"/>
              </w:rPr>
              <w:t>Pendiente de decisión de precio y financiación</w:t>
            </w:r>
          </w:p>
        </w:tc>
        <w:tc>
          <w:tcPr>
            <w:tcW w:w="1276" w:type="dxa"/>
          </w:tcPr>
          <w:p w14:paraId="65C59B08" w14:textId="585112E1" w:rsidR="006A3B60" w:rsidRPr="000A45FE" w:rsidRDefault="006A3B60" w:rsidP="00330A65">
            <w:pPr>
              <w:jc w:val="center"/>
              <w:rPr>
                <w:rFonts w:ascii="Arial" w:hAnsi="Arial" w:cs="Arial"/>
                <w:sz w:val="16"/>
                <w:szCs w:val="16"/>
              </w:rPr>
            </w:pPr>
            <w:r>
              <w:rPr>
                <w:rFonts w:ascii="Arial" w:hAnsi="Arial" w:cs="Arial"/>
                <w:sz w:val="16"/>
                <w:szCs w:val="16"/>
              </w:rPr>
              <w:t>No presenta indicación aprobada</w:t>
            </w:r>
          </w:p>
        </w:tc>
        <w:tc>
          <w:tcPr>
            <w:tcW w:w="1701" w:type="dxa"/>
          </w:tcPr>
          <w:p w14:paraId="68D961AA" w14:textId="3D4ABD59" w:rsidR="006A3B60" w:rsidRPr="000A45FE" w:rsidRDefault="006A3B60" w:rsidP="000A45FE">
            <w:pPr>
              <w:rPr>
                <w:rFonts w:ascii="Arial" w:hAnsi="Arial" w:cs="Arial"/>
                <w:sz w:val="16"/>
                <w:szCs w:val="16"/>
              </w:rPr>
            </w:pPr>
            <w:r>
              <w:rPr>
                <w:rFonts w:ascii="Arial" w:hAnsi="Arial" w:cs="Arial"/>
                <w:sz w:val="16"/>
                <w:szCs w:val="16"/>
              </w:rPr>
              <w:t>No presenta indicación aprobada</w:t>
            </w:r>
          </w:p>
        </w:tc>
        <w:tc>
          <w:tcPr>
            <w:tcW w:w="1417" w:type="dxa"/>
          </w:tcPr>
          <w:p w14:paraId="2425316B" w14:textId="77777777" w:rsidR="006A3B60" w:rsidRDefault="00C567D1" w:rsidP="00EA5133">
            <w:pPr>
              <w:jc w:val="center"/>
              <w:rPr>
                <w:rFonts w:ascii="Arial" w:hAnsi="Arial" w:cs="Arial"/>
                <w:sz w:val="16"/>
                <w:szCs w:val="16"/>
              </w:rPr>
            </w:pPr>
            <w:r>
              <w:rPr>
                <w:rFonts w:ascii="Arial" w:hAnsi="Arial" w:cs="Arial"/>
                <w:sz w:val="16"/>
                <w:szCs w:val="16"/>
              </w:rPr>
              <w:t>Financiado en CPRCm</w:t>
            </w:r>
          </w:p>
          <w:p w14:paraId="58C08824" w14:textId="77777777" w:rsidR="00C567D1" w:rsidRDefault="00C567D1" w:rsidP="00EA5133">
            <w:pPr>
              <w:jc w:val="center"/>
              <w:rPr>
                <w:rFonts w:ascii="Arial" w:eastAsia="Arial" w:hAnsi="Arial" w:cs="Arial"/>
                <w:sz w:val="16"/>
                <w:szCs w:val="16"/>
              </w:rPr>
            </w:pPr>
            <w:r>
              <w:rPr>
                <w:rFonts w:ascii="Arial" w:hAnsi="Arial" w:cs="Arial"/>
                <w:sz w:val="16"/>
                <w:szCs w:val="16"/>
              </w:rPr>
              <w:t xml:space="preserve">Pendiente de decisión </w:t>
            </w:r>
            <w:r w:rsidRPr="000A45FE">
              <w:rPr>
                <w:rFonts w:ascii="Arial" w:eastAsia="Arial" w:hAnsi="Arial" w:cs="Arial"/>
                <w:sz w:val="16"/>
                <w:szCs w:val="16"/>
              </w:rPr>
              <w:t>CPHSm</w:t>
            </w:r>
          </w:p>
          <w:p w14:paraId="768495D7" w14:textId="7B225FD0" w:rsidR="00C567D1" w:rsidRPr="000A45FE" w:rsidRDefault="00C567D1" w:rsidP="00EA5133">
            <w:pPr>
              <w:jc w:val="center"/>
              <w:rPr>
                <w:rFonts w:ascii="Arial" w:hAnsi="Arial" w:cs="Arial"/>
                <w:sz w:val="16"/>
                <w:szCs w:val="16"/>
              </w:rPr>
            </w:pPr>
            <w:r>
              <w:rPr>
                <w:rFonts w:ascii="Arial" w:eastAsia="Arial" w:hAnsi="Arial" w:cs="Arial"/>
                <w:sz w:val="16"/>
                <w:szCs w:val="16"/>
              </w:rPr>
              <w:t>No incluido en CPRCnm</w:t>
            </w:r>
          </w:p>
        </w:tc>
        <w:tc>
          <w:tcPr>
            <w:tcW w:w="1418" w:type="dxa"/>
          </w:tcPr>
          <w:p w14:paraId="282B0DBF" w14:textId="77777777" w:rsidR="00C567D1" w:rsidRDefault="00C567D1" w:rsidP="00C567D1">
            <w:pPr>
              <w:jc w:val="center"/>
              <w:rPr>
                <w:rFonts w:ascii="Arial" w:hAnsi="Arial" w:cs="Arial"/>
                <w:sz w:val="16"/>
                <w:szCs w:val="16"/>
              </w:rPr>
            </w:pPr>
            <w:r>
              <w:rPr>
                <w:rFonts w:ascii="Arial" w:hAnsi="Arial" w:cs="Arial"/>
                <w:sz w:val="16"/>
                <w:szCs w:val="16"/>
              </w:rPr>
              <w:t>Financiado en CPRCm</w:t>
            </w:r>
          </w:p>
          <w:p w14:paraId="73C8F5E3" w14:textId="419F4165" w:rsidR="00C567D1" w:rsidRDefault="00C567D1" w:rsidP="00C567D1">
            <w:pPr>
              <w:jc w:val="center"/>
              <w:rPr>
                <w:rFonts w:ascii="Arial" w:hAnsi="Arial" w:cs="Arial"/>
                <w:sz w:val="16"/>
                <w:szCs w:val="16"/>
              </w:rPr>
            </w:pPr>
            <w:r>
              <w:rPr>
                <w:rFonts w:ascii="Arial" w:hAnsi="Arial" w:cs="Arial"/>
                <w:sz w:val="16"/>
                <w:szCs w:val="16"/>
              </w:rPr>
              <w:t>CPHSm alto riesgo incluido con restricciones:</w:t>
            </w:r>
          </w:p>
          <w:p w14:paraId="57754633" w14:textId="5B1D7EB9" w:rsidR="00C567D1" w:rsidRPr="000A45FE" w:rsidRDefault="00C567D1" w:rsidP="00C567D1">
            <w:pPr>
              <w:jc w:val="center"/>
              <w:rPr>
                <w:rFonts w:ascii="Arial" w:hAnsi="Arial" w:cs="Arial"/>
                <w:sz w:val="16"/>
                <w:szCs w:val="16"/>
              </w:rPr>
            </w:pPr>
            <w:r w:rsidRPr="00C567D1">
              <w:rPr>
                <w:rFonts w:ascii="Arial" w:hAnsi="Arial" w:cs="Arial"/>
                <w:sz w:val="16"/>
                <w:szCs w:val="16"/>
              </w:rPr>
              <w:t>en hombres adultos que no toleren o no sean susceptibles de recibir Docetaxel. La consideración de alto riesgo supone que al menos dos de las siguientes tres características: Gleason 8-10, al menos 3 metástasis óseas y al menos una metástasis visceral.</w:t>
            </w:r>
          </w:p>
        </w:tc>
      </w:tr>
    </w:tbl>
    <w:p w14:paraId="03FBB986" w14:textId="5035A3A8" w:rsidR="00044F4C" w:rsidRPr="00F060A9" w:rsidRDefault="00F060A9" w:rsidP="00F060A9">
      <w:pPr>
        <w:rPr>
          <w:rFonts w:ascii="Arial" w:hAnsi="Arial" w:cs="Arial"/>
          <w:sz w:val="16"/>
          <w:szCs w:val="16"/>
        </w:rPr>
      </w:pPr>
      <w:r w:rsidRPr="00F060A9">
        <w:rPr>
          <w:rFonts w:ascii="Arial" w:hAnsi="Arial" w:cs="Arial"/>
          <w:sz w:val="16"/>
          <w:szCs w:val="16"/>
          <w:vertAlign w:val="superscript"/>
        </w:rPr>
        <w:t>1</w:t>
      </w:r>
      <w:r w:rsidRPr="00F060A9">
        <w:rPr>
          <w:rFonts w:ascii="Arial" w:hAnsi="Arial" w:cs="Arial"/>
          <w:sz w:val="16"/>
          <w:szCs w:val="16"/>
        </w:rPr>
        <w:t xml:space="preserve">EMA, </w:t>
      </w:r>
      <w:r w:rsidR="00D736C7" w:rsidRPr="00D736C7">
        <w:rPr>
          <w:rFonts w:ascii="Arial" w:hAnsi="Arial" w:cs="Arial"/>
          <w:sz w:val="16"/>
          <w:szCs w:val="16"/>
          <w:vertAlign w:val="superscript"/>
        </w:rPr>
        <w:t>2</w:t>
      </w:r>
      <w:r w:rsidR="00D736C7" w:rsidRPr="00F060A9">
        <w:rPr>
          <w:rFonts w:ascii="Arial" w:hAnsi="Arial" w:cs="Arial"/>
          <w:sz w:val="16"/>
          <w:szCs w:val="16"/>
        </w:rPr>
        <w:t>AEMPS</w:t>
      </w:r>
      <w:r w:rsidR="00D736C7">
        <w:rPr>
          <w:rFonts w:ascii="Arial" w:hAnsi="Arial" w:cs="Arial"/>
          <w:sz w:val="16"/>
          <w:szCs w:val="16"/>
        </w:rPr>
        <w:t xml:space="preserve">, </w:t>
      </w:r>
      <w:r w:rsidR="00D736C7" w:rsidRPr="00D736C7">
        <w:rPr>
          <w:rFonts w:ascii="Arial" w:hAnsi="Arial" w:cs="Arial"/>
          <w:sz w:val="16"/>
          <w:szCs w:val="16"/>
          <w:vertAlign w:val="superscript"/>
        </w:rPr>
        <w:t>3</w:t>
      </w:r>
      <w:r w:rsidRPr="00F060A9">
        <w:rPr>
          <w:rFonts w:ascii="Arial" w:hAnsi="Arial" w:cs="Arial"/>
          <w:sz w:val="16"/>
          <w:szCs w:val="16"/>
        </w:rPr>
        <w:t>FDA</w:t>
      </w:r>
      <w:r w:rsidR="003D403B">
        <w:rPr>
          <w:rFonts w:ascii="Arial" w:hAnsi="Arial" w:cs="Arial"/>
          <w:sz w:val="16"/>
          <w:szCs w:val="16"/>
        </w:rPr>
        <w:t>.</w:t>
      </w:r>
    </w:p>
    <w:p w14:paraId="6B090073" w14:textId="77777777" w:rsidR="00BC3E8E" w:rsidRDefault="00BC3E8E" w:rsidP="00BC3E8E">
      <w:pPr>
        <w:rPr>
          <w:rFonts w:ascii="Arial" w:hAnsi="Arial" w:cs="Arial"/>
          <w:sz w:val="16"/>
        </w:rPr>
      </w:pPr>
    </w:p>
    <w:p w14:paraId="53633383" w14:textId="77777777" w:rsidR="004B297D" w:rsidRPr="006F6ABB" w:rsidRDefault="004B297D" w:rsidP="00BC3E8E">
      <w:pPr>
        <w:rPr>
          <w:rFonts w:ascii="Arial" w:hAnsi="Arial" w:cs="Arial"/>
          <w:sz w:val="16"/>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0C3CF60C"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1FBC0C9F" w14:textId="38C98F74" w:rsidR="00BC3E8E" w:rsidRPr="00A379A0" w:rsidRDefault="00BC3E8E" w:rsidP="00BC3E8E">
            <w:pPr>
              <w:pStyle w:val="Ttulo1"/>
              <w:shd w:val="clear" w:color="auto" w:fill="A6A6A6"/>
              <w:rPr>
                <w:rFonts w:ascii="Arial" w:hAnsi="Arial" w:cs="Arial"/>
                <w:bCs w:val="0"/>
                <w:kern w:val="0"/>
                <w:sz w:val="20"/>
                <w:szCs w:val="20"/>
              </w:rPr>
            </w:pPr>
            <w:bookmarkStart w:id="25" w:name="_Toc344399626"/>
            <w:bookmarkStart w:id="26" w:name="_Toc348931353"/>
            <w:bookmarkStart w:id="27" w:name="_Toc153727185"/>
            <w:r w:rsidRPr="00A379A0">
              <w:rPr>
                <w:rFonts w:ascii="Arial" w:hAnsi="Arial" w:cs="Arial"/>
                <w:bCs w:val="0"/>
                <w:kern w:val="0"/>
                <w:sz w:val="20"/>
                <w:szCs w:val="20"/>
              </w:rPr>
              <w:t>4.- AREA DE ACCIÓN FARMACOLÓGICA.</w:t>
            </w:r>
            <w:bookmarkEnd w:id="25"/>
            <w:bookmarkEnd w:id="26"/>
            <w:r w:rsidR="00B81EB4">
              <w:rPr>
                <w:rFonts w:ascii="Arial" w:hAnsi="Arial" w:cs="Arial"/>
                <w:bCs w:val="0"/>
                <w:kern w:val="0"/>
                <w:sz w:val="20"/>
                <w:szCs w:val="20"/>
              </w:rPr>
              <w:t xml:space="preserve"> (8,1</w:t>
            </w:r>
            <w:r w:rsidR="005B099C">
              <w:rPr>
                <w:rFonts w:ascii="Arial" w:hAnsi="Arial" w:cs="Arial"/>
                <w:bCs w:val="0"/>
                <w:kern w:val="0"/>
                <w:sz w:val="20"/>
                <w:szCs w:val="20"/>
              </w:rPr>
              <w:t>8</w:t>
            </w:r>
            <w:r w:rsidR="00B81EB4">
              <w:rPr>
                <w:rFonts w:ascii="Arial" w:hAnsi="Arial" w:cs="Arial"/>
                <w:bCs w:val="0"/>
                <w:kern w:val="0"/>
                <w:sz w:val="20"/>
                <w:szCs w:val="20"/>
              </w:rPr>
              <w:t>)</w:t>
            </w:r>
            <w:bookmarkEnd w:id="27"/>
          </w:p>
        </w:tc>
      </w:tr>
    </w:tbl>
    <w:p w14:paraId="19B7EC60" w14:textId="77777777" w:rsidR="00BC3E8E" w:rsidRPr="006F6ABB" w:rsidRDefault="00BC3E8E" w:rsidP="00BC3E8E">
      <w:pPr>
        <w:jc w:val="right"/>
        <w:rPr>
          <w:rFonts w:ascii="Arial" w:hAnsi="Arial" w:cs="Arial"/>
          <w:b/>
          <w:sz w:val="20"/>
          <w:szCs w:val="20"/>
        </w:rPr>
      </w:pPr>
    </w:p>
    <w:p w14:paraId="5B4A881D" w14:textId="36317FA9" w:rsidR="003C2A62" w:rsidRPr="00C567D1" w:rsidRDefault="00BC3E8E" w:rsidP="00C567D1">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8" w:name="_Toc344399627"/>
      <w:bookmarkStart w:id="29" w:name="_Toc348931354"/>
      <w:bookmarkStart w:id="30" w:name="_Toc153727186"/>
      <w:r w:rsidRPr="00E3472F">
        <w:rPr>
          <w:rFonts w:cs="Arial"/>
          <w:sz w:val="20"/>
        </w:rPr>
        <w:t>4.1 Mecanismo de acción</w:t>
      </w:r>
      <w:r w:rsidR="00046C70">
        <w:rPr>
          <w:rFonts w:cs="Arial"/>
          <w:sz w:val="20"/>
        </w:rPr>
        <w:t xml:space="preserve"> (1</w:t>
      </w:r>
      <w:r w:rsidR="005B099C">
        <w:rPr>
          <w:rFonts w:cs="Arial"/>
          <w:sz w:val="20"/>
        </w:rPr>
        <w:t>8</w:t>
      </w:r>
      <w:r w:rsidR="00046C70">
        <w:rPr>
          <w:rFonts w:cs="Arial"/>
          <w:sz w:val="20"/>
        </w:rPr>
        <w:t>)</w:t>
      </w:r>
      <w:r w:rsidRPr="00E3472F">
        <w:rPr>
          <w:rFonts w:cs="Arial"/>
          <w:sz w:val="20"/>
        </w:rPr>
        <w:t>.</w:t>
      </w:r>
      <w:bookmarkEnd w:id="28"/>
      <w:bookmarkEnd w:id="29"/>
      <w:bookmarkEnd w:id="30"/>
    </w:p>
    <w:p w14:paraId="5554B9FE" w14:textId="77777777" w:rsidR="003C2A62" w:rsidRPr="009035DD" w:rsidRDefault="001A0EA8" w:rsidP="00067BBA">
      <w:pPr>
        <w:pStyle w:val="NormalWeb"/>
        <w:spacing w:before="0" w:beforeAutospacing="0" w:after="0" w:afterAutospacing="0" w:line="276" w:lineRule="auto"/>
        <w:jc w:val="both"/>
        <w:rPr>
          <w:rFonts w:ascii="Arial" w:hAnsi="Arial" w:cs="Arial"/>
          <w:bCs/>
          <w:sz w:val="20"/>
          <w:szCs w:val="20"/>
        </w:rPr>
      </w:pPr>
      <w:r w:rsidRPr="009035DD">
        <w:rPr>
          <w:rFonts w:ascii="Arial" w:hAnsi="Arial" w:cs="Arial"/>
          <w:bCs/>
          <w:i/>
          <w:iCs/>
          <w:sz w:val="20"/>
          <w:szCs w:val="20"/>
        </w:rPr>
        <w:t>Niraparib</w:t>
      </w:r>
    </w:p>
    <w:p w14:paraId="2E702FF9" w14:textId="519AC95F" w:rsidR="003C2A62" w:rsidRPr="009035DD" w:rsidRDefault="00516CE2" w:rsidP="00067BBA">
      <w:pPr>
        <w:pStyle w:val="NormalWeb"/>
        <w:spacing w:before="0" w:beforeAutospacing="0" w:after="0" w:afterAutospacing="0" w:line="276" w:lineRule="auto"/>
        <w:jc w:val="both"/>
        <w:rPr>
          <w:rFonts w:ascii="Arial" w:hAnsi="Arial" w:cs="Arial"/>
          <w:bCs/>
          <w:sz w:val="20"/>
          <w:szCs w:val="20"/>
        </w:rPr>
      </w:pPr>
      <w:r>
        <w:rPr>
          <w:rFonts w:ascii="Arial" w:hAnsi="Arial" w:cs="Arial"/>
          <w:bCs/>
          <w:sz w:val="20"/>
          <w:szCs w:val="20"/>
        </w:rPr>
        <w:t>N</w:t>
      </w:r>
      <w:r w:rsidR="001A0EA8" w:rsidRPr="009035DD">
        <w:rPr>
          <w:rFonts w:ascii="Arial" w:hAnsi="Arial" w:cs="Arial"/>
          <w:bCs/>
          <w:sz w:val="20"/>
          <w:szCs w:val="20"/>
        </w:rPr>
        <w:t xml:space="preserve">iraparib es un inhibidor de las enzimas PARP-1 y PARP-2, que cumplen una función en la reparación del ADN. Los estudios </w:t>
      </w:r>
      <w:r w:rsidR="001A0EA8" w:rsidRPr="009035DD">
        <w:rPr>
          <w:rFonts w:ascii="Arial" w:hAnsi="Arial" w:cs="Arial"/>
          <w:bCs/>
          <w:i/>
          <w:iCs/>
          <w:sz w:val="20"/>
          <w:szCs w:val="20"/>
        </w:rPr>
        <w:t>in vitro</w:t>
      </w:r>
      <w:r w:rsidR="001A0EA8" w:rsidRPr="009035DD">
        <w:rPr>
          <w:rFonts w:ascii="Arial" w:hAnsi="Arial" w:cs="Arial"/>
          <w:bCs/>
          <w:sz w:val="20"/>
          <w:szCs w:val="20"/>
        </w:rPr>
        <w:t xml:space="preserve"> han demostrado que la citotoxicidad inducida por niraparib puede suponer la inhibición de la actividad enzimática de la PARP y un aumento de la formación de complejos PARP-ADN que tienen como resultado el daño del ADN, apoptosis y muerte celular.</w:t>
      </w:r>
    </w:p>
    <w:p w14:paraId="20ED301C" w14:textId="77777777" w:rsidR="003C2A62" w:rsidRPr="009035DD" w:rsidRDefault="001A0EA8" w:rsidP="00067BBA">
      <w:pPr>
        <w:pStyle w:val="NormalWeb"/>
        <w:spacing w:before="0" w:beforeAutospacing="0" w:after="0" w:afterAutospacing="0" w:line="276" w:lineRule="auto"/>
        <w:jc w:val="both"/>
        <w:rPr>
          <w:rFonts w:ascii="Arial" w:hAnsi="Arial" w:cs="Arial"/>
          <w:bCs/>
          <w:sz w:val="20"/>
          <w:szCs w:val="20"/>
        </w:rPr>
      </w:pPr>
      <w:r w:rsidRPr="009035DD">
        <w:rPr>
          <w:rFonts w:ascii="Arial" w:hAnsi="Arial" w:cs="Arial"/>
          <w:bCs/>
          <w:sz w:val="20"/>
          <w:szCs w:val="20"/>
        </w:rPr>
        <w:t> </w:t>
      </w:r>
    </w:p>
    <w:p w14:paraId="465B750B" w14:textId="77777777" w:rsidR="003C2A62" w:rsidRPr="009035DD" w:rsidRDefault="001A0EA8" w:rsidP="00067BBA">
      <w:pPr>
        <w:pStyle w:val="NormalWeb"/>
        <w:spacing w:before="0" w:beforeAutospacing="0" w:after="0" w:afterAutospacing="0" w:line="276" w:lineRule="auto"/>
        <w:jc w:val="both"/>
        <w:rPr>
          <w:rFonts w:ascii="Arial" w:hAnsi="Arial" w:cs="Arial"/>
          <w:bCs/>
          <w:sz w:val="20"/>
          <w:szCs w:val="20"/>
        </w:rPr>
      </w:pPr>
      <w:r w:rsidRPr="009035DD">
        <w:rPr>
          <w:rFonts w:ascii="Arial" w:hAnsi="Arial" w:cs="Arial"/>
          <w:bCs/>
          <w:i/>
          <w:iCs/>
          <w:sz w:val="20"/>
          <w:szCs w:val="20"/>
        </w:rPr>
        <w:t>Acetato de abiraterona</w:t>
      </w:r>
    </w:p>
    <w:p w14:paraId="3DA5FCCA" w14:textId="77777777" w:rsidR="003C2A62" w:rsidRPr="009035DD" w:rsidRDefault="001A0EA8" w:rsidP="00067BBA">
      <w:pPr>
        <w:pStyle w:val="NormalWeb"/>
        <w:spacing w:before="0" w:beforeAutospacing="0" w:after="0" w:afterAutospacing="0" w:line="276" w:lineRule="auto"/>
        <w:jc w:val="both"/>
        <w:rPr>
          <w:rFonts w:ascii="Arial" w:hAnsi="Arial" w:cs="Arial"/>
          <w:bCs/>
          <w:sz w:val="20"/>
          <w:szCs w:val="20"/>
        </w:rPr>
      </w:pPr>
      <w:r w:rsidRPr="009035DD">
        <w:rPr>
          <w:rFonts w:ascii="Arial" w:hAnsi="Arial" w:cs="Arial"/>
          <w:bCs/>
          <w:sz w:val="20"/>
          <w:szCs w:val="20"/>
        </w:rPr>
        <w:t xml:space="preserve">El acetato de abiraterona se convierte </w:t>
      </w:r>
      <w:r w:rsidRPr="009035DD">
        <w:rPr>
          <w:rFonts w:ascii="Arial" w:hAnsi="Arial" w:cs="Arial"/>
          <w:bCs/>
          <w:i/>
          <w:iCs/>
          <w:sz w:val="20"/>
          <w:szCs w:val="20"/>
        </w:rPr>
        <w:t>in vivo</w:t>
      </w:r>
      <w:r w:rsidRPr="009035DD">
        <w:rPr>
          <w:rFonts w:ascii="Arial" w:hAnsi="Arial" w:cs="Arial"/>
          <w:bCs/>
          <w:sz w:val="20"/>
          <w:szCs w:val="20"/>
        </w:rPr>
        <w:t xml:space="preserve"> en abiraterona, un inhibidor de la biosíntesis de los andrógenos. En concreto, la abiraterona es un inhibidor selectivo de la enzima 17α-hidroxilasa/C17,20-liasa (CYP17). Esta enzima se expresa y es necesaria para la biosíntesis de andrógenos en los tejidos testiculares, suprarrenales y tejidos prostáticos tumorales. El CYP17 cataliza la conversión de la pregnenolona y la progesterona a los precursores de la testosterona, DHEA y androstenodiona, respectivamente, por 17α-hidroxilación y rotura del enlace C17,20. La inhibición del CYP17 produce también un aumento de la producción de mineralocorticoides por las glándulas suprarrenales.</w:t>
      </w:r>
    </w:p>
    <w:p w14:paraId="415B84D5"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1" w:name="_Toc344399628"/>
      <w:bookmarkStart w:id="32" w:name="_Toc348931355"/>
      <w:bookmarkStart w:id="33" w:name="_Toc153727187"/>
      <w:r w:rsidRPr="00E3472F">
        <w:rPr>
          <w:rFonts w:cs="Arial"/>
          <w:sz w:val="20"/>
        </w:rPr>
        <w:t>4.2 Indicaciones clínicas formalmente aprobadas y fecha de aprobación.</w:t>
      </w:r>
      <w:bookmarkEnd w:id="31"/>
      <w:bookmarkEnd w:id="32"/>
      <w:bookmarkEnd w:id="33"/>
    </w:p>
    <w:p w14:paraId="6F03A97B" w14:textId="77777777" w:rsidR="00BC3E8E" w:rsidRPr="006F6ABB" w:rsidRDefault="00BC3E8E" w:rsidP="00BC3E8E">
      <w:pPr>
        <w:jc w:val="both"/>
        <w:rPr>
          <w:rFonts w:ascii="Arial" w:hAnsi="Arial" w:cs="Arial"/>
          <w:b/>
          <w:bCs/>
          <w:sz w:val="20"/>
          <w:szCs w:val="20"/>
        </w:rPr>
      </w:pPr>
    </w:p>
    <w:p w14:paraId="7A89C62C" w14:textId="051F2881" w:rsidR="00BC3E8E" w:rsidRPr="006F6ABB" w:rsidRDefault="00BC3E8E" w:rsidP="00BC3E8E">
      <w:pPr>
        <w:shd w:val="clear" w:color="auto" w:fill="FFFFFF"/>
        <w:jc w:val="both"/>
        <w:rPr>
          <w:rFonts w:ascii="Arial" w:hAnsi="Arial" w:cs="Arial"/>
          <w:sz w:val="20"/>
          <w:szCs w:val="20"/>
        </w:rPr>
      </w:pPr>
      <w:r w:rsidRPr="006F6ABB">
        <w:rPr>
          <w:rFonts w:ascii="Arial" w:hAnsi="Arial" w:cs="Arial"/>
          <w:sz w:val="20"/>
          <w:szCs w:val="20"/>
        </w:rPr>
        <w:t xml:space="preserve">AEMPS: </w:t>
      </w:r>
      <w:r w:rsidR="00CB4CAD">
        <w:rPr>
          <w:rFonts w:ascii="Arial" w:hAnsi="Arial" w:cs="Arial"/>
          <w:sz w:val="20"/>
          <w:szCs w:val="20"/>
        </w:rPr>
        <w:t>Registrado</w:t>
      </w:r>
      <w:r w:rsidR="003C2A62">
        <w:rPr>
          <w:rFonts w:ascii="Arial" w:hAnsi="Arial" w:cs="Arial"/>
          <w:sz w:val="20"/>
          <w:szCs w:val="20"/>
        </w:rPr>
        <w:t>, no comercializado</w:t>
      </w:r>
      <w:r w:rsidRPr="006F6ABB">
        <w:rPr>
          <w:rFonts w:ascii="Arial" w:hAnsi="Arial" w:cs="Arial"/>
          <w:sz w:val="20"/>
          <w:szCs w:val="20"/>
        </w:rPr>
        <w:tab/>
      </w:r>
      <w:r w:rsidR="003C2A62">
        <w:rPr>
          <w:rFonts w:ascii="Arial" w:hAnsi="Arial" w:cs="Arial"/>
          <w:sz w:val="20"/>
          <w:szCs w:val="20"/>
        </w:rPr>
        <w:tab/>
      </w:r>
      <w:r w:rsidR="003C2A62">
        <w:rPr>
          <w:rFonts w:ascii="Arial" w:hAnsi="Arial" w:cs="Arial"/>
          <w:sz w:val="20"/>
          <w:szCs w:val="20"/>
        </w:rPr>
        <w:tab/>
      </w:r>
      <w:r w:rsidR="003C2A62">
        <w:rPr>
          <w:rFonts w:ascii="Arial" w:hAnsi="Arial" w:cs="Arial"/>
          <w:sz w:val="20"/>
          <w:szCs w:val="20"/>
        </w:rPr>
        <w:tab/>
      </w:r>
      <w:r w:rsidR="003C2A62">
        <w:rPr>
          <w:rFonts w:ascii="Arial" w:hAnsi="Arial" w:cs="Arial"/>
          <w:sz w:val="20"/>
          <w:szCs w:val="20"/>
        </w:rPr>
        <w:tab/>
      </w:r>
      <w:r w:rsidRPr="006F6ABB">
        <w:rPr>
          <w:rFonts w:ascii="Arial" w:hAnsi="Arial" w:cs="Arial"/>
          <w:sz w:val="20"/>
          <w:szCs w:val="20"/>
        </w:rPr>
        <w:t>[</w:t>
      </w:r>
      <w:r w:rsidR="003C2A62">
        <w:rPr>
          <w:rFonts w:ascii="Arial" w:hAnsi="Arial" w:cs="Arial"/>
          <w:sz w:val="20"/>
          <w:szCs w:val="20"/>
        </w:rPr>
        <w:t>27/04/2023</w:t>
      </w:r>
      <w:r w:rsidRPr="006F6ABB">
        <w:rPr>
          <w:rFonts w:ascii="Arial" w:hAnsi="Arial" w:cs="Arial"/>
          <w:sz w:val="20"/>
          <w:szCs w:val="20"/>
        </w:rPr>
        <w:t>]</w:t>
      </w:r>
    </w:p>
    <w:p w14:paraId="128474CE" w14:textId="77777777" w:rsidR="00BC3E8E" w:rsidRPr="006F6ABB" w:rsidRDefault="00BC3E8E" w:rsidP="00BC3E8E">
      <w:pPr>
        <w:shd w:val="clear" w:color="auto" w:fill="FFFFFF"/>
        <w:jc w:val="both"/>
        <w:rPr>
          <w:rFonts w:ascii="Arial" w:hAnsi="Arial" w:cs="Arial"/>
          <w:sz w:val="20"/>
          <w:szCs w:val="20"/>
        </w:rPr>
      </w:pPr>
      <w:r w:rsidRPr="006F6ABB">
        <w:rPr>
          <w:rFonts w:ascii="Arial" w:hAnsi="Arial" w:cs="Arial"/>
          <w:sz w:val="20"/>
          <w:szCs w:val="20"/>
        </w:rPr>
        <w:t>EMA:</w:t>
      </w:r>
      <w:r w:rsidRPr="006F6ABB">
        <w:rPr>
          <w:rFonts w:ascii="Arial" w:hAnsi="Arial" w:cs="Arial"/>
          <w:sz w:val="20"/>
          <w:szCs w:val="20"/>
        </w:rPr>
        <w:tab/>
      </w:r>
      <w:r w:rsidR="003C2A62">
        <w:rPr>
          <w:rFonts w:ascii="Arial" w:hAnsi="Arial" w:cs="Arial"/>
          <w:sz w:val="20"/>
          <w:szCs w:val="20"/>
        </w:rPr>
        <w:t>Autorizado</w:t>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t>[</w:t>
      </w:r>
      <w:r w:rsidR="003C2A62">
        <w:rPr>
          <w:rFonts w:ascii="Arial" w:hAnsi="Arial" w:cs="Arial"/>
          <w:sz w:val="20"/>
          <w:szCs w:val="20"/>
        </w:rPr>
        <w:t>24/02/2023</w:t>
      </w:r>
      <w:r w:rsidRPr="006F6ABB">
        <w:rPr>
          <w:rFonts w:ascii="Arial" w:hAnsi="Arial" w:cs="Arial"/>
          <w:sz w:val="20"/>
          <w:szCs w:val="20"/>
        </w:rPr>
        <w:t xml:space="preserve">]          </w:t>
      </w:r>
    </w:p>
    <w:p w14:paraId="7E81CF2F" w14:textId="77777777" w:rsidR="00BC3E8E" w:rsidRDefault="00BC3E8E" w:rsidP="00BC3E8E">
      <w:pPr>
        <w:shd w:val="clear" w:color="auto" w:fill="FFFFFF"/>
        <w:jc w:val="both"/>
        <w:rPr>
          <w:rFonts w:ascii="Arial" w:hAnsi="Arial" w:cs="Arial"/>
          <w:sz w:val="20"/>
          <w:szCs w:val="20"/>
        </w:rPr>
      </w:pPr>
      <w:r w:rsidRPr="006F6ABB">
        <w:rPr>
          <w:rFonts w:ascii="Arial" w:hAnsi="Arial" w:cs="Arial"/>
          <w:sz w:val="20"/>
          <w:szCs w:val="20"/>
        </w:rPr>
        <w:t>FDA:</w:t>
      </w:r>
      <w:r w:rsidR="00B81EB4">
        <w:rPr>
          <w:rFonts w:ascii="Arial" w:hAnsi="Arial" w:cs="Arial"/>
          <w:sz w:val="20"/>
          <w:szCs w:val="20"/>
        </w:rPr>
        <w:t xml:space="preserve">    </w:t>
      </w:r>
      <w:r w:rsidR="00847425">
        <w:rPr>
          <w:rFonts w:ascii="Arial" w:hAnsi="Arial" w:cs="Arial"/>
          <w:sz w:val="20"/>
          <w:szCs w:val="20"/>
        </w:rPr>
        <w:t>Autorizado</w:t>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00847425">
        <w:rPr>
          <w:rFonts w:ascii="Arial" w:hAnsi="Arial" w:cs="Arial"/>
          <w:sz w:val="20"/>
          <w:szCs w:val="20"/>
        </w:rPr>
        <w:t>[Agosto/2023]</w:t>
      </w:r>
    </w:p>
    <w:p w14:paraId="54F641CC" w14:textId="77777777" w:rsidR="00E27179" w:rsidRDefault="00E27179" w:rsidP="00BC3E8E">
      <w:pPr>
        <w:shd w:val="clear" w:color="auto" w:fill="FFFFFF"/>
        <w:jc w:val="both"/>
        <w:rPr>
          <w:rFonts w:ascii="Arial" w:hAnsi="Arial" w:cs="Arial"/>
          <w:color w:val="000080"/>
          <w:sz w:val="20"/>
          <w:szCs w:val="20"/>
        </w:rPr>
      </w:pPr>
    </w:p>
    <w:p w14:paraId="0647158A" w14:textId="0AEFCA9F" w:rsidR="00BC3E8E" w:rsidRPr="00046C70"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4" w:name="_Toc344399629"/>
      <w:bookmarkStart w:id="35" w:name="_Toc348931356"/>
      <w:bookmarkStart w:id="36" w:name="_Toc153727188"/>
      <w:r w:rsidRPr="00E3472F">
        <w:rPr>
          <w:rFonts w:cs="Arial"/>
          <w:sz w:val="20"/>
        </w:rPr>
        <w:t>4.3 Posología, forma de preparación y administración</w:t>
      </w:r>
      <w:bookmarkEnd w:id="34"/>
      <w:bookmarkEnd w:id="35"/>
      <w:r w:rsidRPr="00E3472F">
        <w:rPr>
          <w:rFonts w:cs="Arial"/>
          <w:sz w:val="20"/>
        </w:rPr>
        <w:t xml:space="preserve"> </w:t>
      </w:r>
      <w:r w:rsidR="005B099C">
        <w:rPr>
          <w:rFonts w:cs="Arial"/>
          <w:sz w:val="20"/>
        </w:rPr>
        <w:t>(</w:t>
      </w:r>
      <w:r w:rsidR="00046C70">
        <w:rPr>
          <w:rFonts w:cs="Arial"/>
          <w:sz w:val="20"/>
        </w:rPr>
        <w:t>1</w:t>
      </w:r>
      <w:bookmarkEnd w:id="36"/>
      <w:r w:rsidR="005B099C">
        <w:rPr>
          <w:rFonts w:cs="Arial"/>
          <w:sz w:val="20"/>
        </w:rPr>
        <w:t>8)</w:t>
      </w:r>
    </w:p>
    <w:p w14:paraId="70120E38" w14:textId="77777777" w:rsidR="00BC3E8E" w:rsidRDefault="00BC3E8E" w:rsidP="00BC3E8E">
      <w:pPr>
        <w:jc w:val="both"/>
        <w:rPr>
          <w:rFonts w:ascii="Arial" w:hAnsi="Arial" w:cs="Arial"/>
          <w:b/>
          <w:bCs/>
          <w:sz w:val="20"/>
          <w:szCs w:val="20"/>
        </w:rPr>
      </w:pPr>
    </w:p>
    <w:p w14:paraId="7FB8784B" w14:textId="4FC2B115" w:rsidR="00737E18"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9035DD">
        <w:rPr>
          <w:rFonts w:ascii="Arial" w:hAnsi="Arial" w:cs="Arial"/>
          <w:bCs/>
          <w:sz w:val="20"/>
          <w:szCs w:val="20"/>
        </w:rPr>
        <w:t xml:space="preserve">La dosis inicial recomendada de </w:t>
      </w:r>
      <w:r w:rsidR="00920295">
        <w:rPr>
          <w:rFonts w:ascii="Arial" w:hAnsi="Arial" w:cs="Arial"/>
          <w:bCs/>
          <w:sz w:val="20"/>
          <w:szCs w:val="20"/>
        </w:rPr>
        <w:t>n</w:t>
      </w:r>
      <w:r w:rsidRPr="00CF1E09">
        <w:rPr>
          <w:rFonts w:ascii="Arial" w:hAnsi="Arial" w:cs="Arial"/>
          <w:bCs/>
          <w:sz w:val="20"/>
          <w:szCs w:val="20"/>
        </w:rPr>
        <w:t>iraparib/abiraterona es de 200 mg/1.000 mg (dos comprimidos de 100 mg de niraparib/500 mg de acetato de abiraterona) en una sola dosis diaria oral, aproximadamente a la misma hora todos los días. El comprimido de 50 mg/500 mg está disponible para la reducción de dosis.</w:t>
      </w:r>
    </w:p>
    <w:p w14:paraId="62EBE27C" w14:textId="77777777" w:rsidR="00737E18"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 </w:t>
      </w:r>
    </w:p>
    <w:p w14:paraId="0E5C9806" w14:textId="77777777" w:rsidR="00737E18"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Se debe mantener la castración médica con un análogo de la hormona liberadora de gonadotropinas (GnRH por sus siglas en inglés) durante el tratamiento en pacientes no sometidos a castración quirúrgica.</w:t>
      </w:r>
    </w:p>
    <w:p w14:paraId="1140E404" w14:textId="77777777" w:rsidR="00737E18" w:rsidRDefault="00737E18" w:rsidP="00067BBA">
      <w:pPr>
        <w:pStyle w:val="NormalWeb"/>
        <w:spacing w:before="0" w:beforeAutospacing="0" w:after="0" w:afterAutospacing="0" w:line="276" w:lineRule="auto"/>
        <w:jc w:val="both"/>
        <w:rPr>
          <w:rFonts w:ascii="Calibri" w:hAnsi="Calibri" w:cs="Calibri"/>
          <w:bCs/>
          <w:sz w:val="22"/>
          <w:szCs w:val="20"/>
        </w:rPr>
      </w:pPr>
    </w:p>
    <w:p w14:paraId="01782C06" w14:textId="77777777" w:rsidR="00737E18"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Los comprimidos se deben tomar en una dosis única una vez al día. Se debe tomar con el estómago vacío al menos 1 hora antes o 2 horas después de las comidas. Para una absorción óptima, los comprimidos se deben tragar enteros con agua, no se deben partir, triturar ni masticar.</w:t>
      </w:r>
    </w:p>
    <w:p w14:paraId="25BD5590" w14:textId="77777777" w:rsidR="00737E18" w:rsidRPr="006F6ABB" w:rsidRDefault="00737E18" w:rsidP="00BC3E8E">
      <w:pPr>
        <w:jc w:val="both"/>
        <w:rPr>
          <w:rFonts w:ascii="Arial" w:hAnsi="Arial" w:cs="Arial"/>
          <w:b/>
          <w:bCs/>
          <w:sz w:val="20"/>
          <w:szCs w:val="20"/>
        </w:rPr>
      </w:pPr>
    </w:p>
    <w:p w14:paraId="6B8839DF" w14:textId="77777777" w:rsidR="00BC3E8E" w:rsidRPr="006F6ABB" w:rsidRDefault="00BC3E8E" w:rsidP="00BC3E8E">
      <w:pPr>
        <w:jc w:val="both"/>
        <w:rPr>
          <w:rFonts w:ascii="Arial" w:hAnsi="Arial" w:cs="Arial"/>
          <w:b/>
          <w:bCs/>
          <w:sz w:val="20"/>
          <w:szCs w:val="20"/>
        </w:rPr>
      </w:pPr>
    </w:p>
    <w:p w14:paraId="64210191" w14:textId="5B5CED69" w:rsidR="00BC3E8E" w:rsidRPr="00EE4022"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7" w:name="_Toc344399630"/>
      <w:bookmarkStart w:id="38" w:name="_Toc348931357"/>
      <w:bookmarkStart w:id="39" w:name="_Toc153727189"/>
      <w:r w:rsidRPr="00E3472F">
        <w:rPr>
          <w:rFonts w:cs="Arial"/>
          <w:sz w:val="20"/>
        </w:rPr>
        <w:t>4.4 Utilización en poblaciones especiales</w:t>
      </w:r>
      <w:bookmarkEnd w:id="37"/>
      <w:bookmarkEnd w:id="38"/>
      <w:r w:rsidR="00546446">
        <w:rPr>
          <w:rFonts w:cs="Arial"/>
          <w:sz w:val="20"/>
        </w:rPr>
        <w:t xml:space="preserve"> (</w:t>
      </w:r>
      <w:r w:rsidR="00046C70">
        <w:rPr>
          <w:rFonts w:cs="Arial"/>
          <w:sz w:val="20"/>
        </w:rPr>
        <w:t>1</w:t>
      </w:r>
      <w:bookmarkEnd w:id="39"/>
      <w:r w:rsidR="00546446">
        <w:rPr>
          <w:rFonts w:cs="Arial"/>
          <w:sz w:val="20"/>
        </w:rPr>
        <w:t>8)</w:t>
      </w:r>
    </w:p>
    <w:p w14:paraId="614604B2" w14:textId="77777777" w:rsidR="00BC3E8E" w:rsidRPr="006F6ABB" w:rsidRDefault="00BC3E8E" w:rsidP="00BC3E8E">
      <w:pPr>
        <w:jc w:val="both"/>
        <w:rPr>
          <w:rFonts w:ascii="Arial" w:hAnsi="Arial" w:cs="Arial"/>
          <w:b/>
          <w:bCs/>
          <w:sz w:val="20"/>
          <w:szCs w:val="20"/>
        </w:rPr>
      </w:pPr>
    </w:p>
    <w:p w14:paraId="562F0584" w14:textId="77777777" w:rsidR="00BC3E8E" w:rsidRPr="00CF1E09" w:rsidRDefault="001A0EA8" w:rsidP="00BC3E8E">
      <w:pPr>
        <w:jc w:val="both"/>
        <w:rPr>
          <w:rFonts w:ascii="Arial" w:hAnsi="Arial" w:cs="Arial"/>
          <w:bCs/>
          <w:sz w:val="20"/>
          <w:szCs w:val="20"/>
        </w:rPr>
      </w:pPr>
      <w:r w:rsidRPr="00CF1E09">
        <w:rPr>
          <w:rFonts w:ascii="Arial" w:hAnsi="Arial" w:cs="Arial"/>
          <w:b/>
          <w:bCs/>
          <w:sz w:val="20"/>
          <w:szCs w:val="20"/>
        </w:rPr>
        <w:t>Pediatría</w:t>
      </w:r>
      <w:r w:rsidRPr="00CF1E09">
        <w:rPr>
          <w:rFonts w:ascii="Arial" w:hAnsi="Arial" w:cs="Arial"/>
          <w:bCs/>
          <w:sz w:val="20"/>
          <w:szCs w:val="20"/>
        </w:rPr>
        <w:t>: El uso de este medicamento en la población pediátrica no es relevante.</w:t>
      </w:r>
    </w:p>
    <w:p w14:paraId="64F38586" w14:textId="77777777" w:rsidR="00C157EB" w:rsidRPr="00CF1E09" w:rsidRDefault="00C157EB" w:rsidP="00BC3E8E">
      <w:pPr>
        <w:jc w:val="both"/>
        <w:rPr>
          <w:rFonts w:ascii="Arial" w:hAnsi="Arial" w:cs="Arial"/>
          <w:bCs/>
          <w:sz w:val="20"/>
          <w:szCs w:val="20"/>
        </w:rPr>
      </w:pPr>
    </w:p>
    <w:p w14:paraId="6D564716" w14:textId="77777777" w:rsidR="00BC3E8E" w:rsidRPr="00CF1E09" w:rsidRDefault="001A0EA8" w:rsidP="00EE4022">
      <w:pPr>
        <w:pStyle w:val="NormalWeb"/>
        <w:spacing w:before="0" w:beforeAutospacing="0" w:after="0" w:afterAutospacing="0" w:line="276" w:lineRule="auto"/>
        <w:rPr>
          <w:rFonts w:ascii="Arial" w:hAnsi="Arial" w:cs="Arial"/>
          <w:sz w:val="20"/>
          <w:szCs w:val="20"/>
        </w:rPr>
      </w:pPr>
      <w:r w:rsidRPr="00CF1E09">
        <w:rPr>
          <w:rFonts w:ascii="Arial" w:hAnsi="Arial" w:cs="Arial"/>
          <w:b/>
          <w:bCs/>
          <w:sz w:val="20"/>
          <w:szCs w:val="20"/>
        </w:rPr>
        <w:t>Mayores de 65 años</w:t>
      </w:r>
      <w:r w:rsidRPr="00CF1E09">
        <w:rPr>
          <w:rFonts w:ascii="Arial" w:hAnsi="Arial" w:cs="Arial"/>
          <w:bCs/>
          <w:sz w:val="20"/>
          <w:szCs w:val="20"/>
        </w:rPr>
        <w:t>: No es necesario ajustar la dosis en los pacientes de edad avanzada. La edad no tuvo un efecto significativo en la farmacocinética del niraparib (intervalo de edad: 45-90 años) y la abiraterona (intervalo de edad: 19-85 años).</w:t>
      </w:r>
    </w:p>
    <w:p w14:paraId="21F1F5EE" w14:textId="77777777" w:rsidR="00C157EB" w:rsidRPr="00CF1E09" w:rsidRDefault="00C157EB" w:rsidP="00BC3E8E">
      <w:pPr>
        <w:jc w:val="both"/>
        <w:rPr>
          <w:rFonts w:ascii="Arial" w:hAnsi="Arial" w:cs="Arial"/>
          <w:bCs/>
          <w:sz w:val="20"/>
          <w:szCs w:val="20"/>
        </w:rPr>
      </w:pPr>
    </w:p>
    <w:p w14:paraId="5A746455" w14:textId="77777777" w:rsidR="00BC3E8E" w:rsidRPr="00CF1E09" w:rsidRDefault="001A0EA8" w:rsidP="00BC3E8E">
      <w:pPr>
        <w:jc w:val="both"/>
        <w:rPr>
          <w:rFonts w:ascii="Arial" w:hAnsi="Arial" w:cs="Arial"/>
          <w:bCs/>
          <w:sz w:val="20"/>
          <w:szCs w:val="20"/>
        </w:rPr>
      </w:pPr>
      <w:r w:rsidRPr="00CF1E09">
        <w:rPr>
          <w:rFonts w:ascii="Arial" w:hAnsi="Arial" w:cs="Arial"/>
          <w:b/>
          <w:bCs/>
          <w:sz w:val="20"/>
          <w:szCs w:val="20"/>
        </w:rPr>
        <w:t>Insuficiencia renal</w:t>
      </w:r>
      <w:r w:rsidRPr="00CF1E09">
        <w:rPr>
          <w:rFonts w:ascii="Arial" w:hAnsi="Arial" w:cs="Arial"/>
          <w:bCs/>
          <w:sz w:val="20"/>
          <w:szCs w:val="20"/>
        </w:rPr>
        <w:t>: No es necesario ajustar la dosis en pacientes con insuficiencia renal de leve a moderada, aunque se debe llevar a cabo una estrecha monitorización de los acontecimientos de seguridad en casos de insuficiencia renal moderada debido a un posible aumento de la exposición al niraparib. No se dispone de datos sobre el uso de este medicamento en pacientes con insuficiencia renal grave o enfermedad renal terminal sometidos a hemodiálisis. Este medicamento solo se puede utilizar en pacientes con insuficiencia renal grave si el beneficio supera el posible riesgo, y el paciente se debe someter a una estrecha monitorización de la función renal y de los acontecimientos adversos</w:t>
      </w:r>
    </w:p>
    <w:p w14:paraId="3E39E58C" w14:textId="77777777" w:rsidR="00C157EB" w:rsidRPr="00CF1E09" w:rsidRDefault="00C157EB" w:rsidP="00BC3E8E">
      <w:pPr>
        <w:jc w:val="both"/>
        <w:rPr>
          <w:rFonts w:ascii="Arial" w:hAnsi="Arial" w:cs="Arial"/>
          <w:bCs/>
          <w:sz w:val="20"/>
          <w:szCs w:val="20"/>
        </w:rPr>
      </w:pPr>
    </w:p>
    <w:p w14:paraId="4E280F70" w14:textId="77777777" w:rsidR="00BC3E8E" w:rsidRPr="00CF1E09" w:rsidRDefault="001A0EA8" w:rsidP="00BC3E8E">
      <w:pPr>
        <w:jc w:val="both"/>
        <w:rPr>
          <w:rFonts w:ascii="Arial" w:hAnsi="Arial" w:cs="Arial"/>
          <w:bCs/>
          <w:sz w:val="20"/>
          <w:szCs w:val="20"/>
        </w:rPr>
      </w:pPr>
      <w:r w:rsidRPr="00CF1E09">
        <w:rPr>
          <w:rFonts w:ascii="Arial" w:hAnsi="Arial" w:cs="Arial"/>
          <w:b/>
          <w:bCs/>
          <w:sz w:val="20"/>
          <w:szCs w:val="20"/>
        </w:rPr>
        <w:t>Insuficiencia hepática</w:t>
      </w:r>
      <w:r w:rsidRPr="00CF1E09">
        <w:rPr>
          <w:rFonts w:ascii="Arial" w:hAnsi="Arial" w:cs="Arial"/>
          <w:bCs/>
          <w:sz w:val="20"/>
          <w:szCs w:val="20"/>
        </w:rPr>
        <w:t>: No es necesario ajustar la dosis en los pacientes con insuficiencia hepática leve preexistente (Clase A de Child-Pugh). No existen datos sobre la seguridad y la eficacia clínica de dosis múltiples de niraparib/abiraterona administradas a pacientes con insuficiencia hepática moderada o grave (Clase B o C de Child-Pugh). No se puede predecir el ajuste de la dosis. El uso de este medicamento se debe evaluar con precaución en pacientes con insuficiencia hepática moderada, para los que el beneficio debe superar claramente el posible riesgo. Está contraindicado en pacientes con insuficiencia hepática grave.</w:t>
      </w:r>
    </w:p>
    <w:p w14:paraId="71E524E2" w14:textId="77777777" w:rsidR="00EE4022" w:rsidRPr="00CF1E09" w:rsidRDefault="00EE4022" w:rsidP="00BC3E8E">
      <w:pPr>
        <w:jc w:val="both"/>
        <w:rPr>
          <w:rFonts w:ascii="Arial" w:hAnsi="Arial" w:cs="Arial"/>
          <w:bCs/>
          <w:sz w:val="20"/>
          <w:szCs w:val="20"/>
          <w:u w:val="single"/>
        </w:rPr>
      </w:pPr>
    </w:p>
    <w:p w14:paraId="7EC4F333" w14:textId="77777777" w:rsidR="00EE4022" w:rsidRPr="00CF1E09" w:rsidRDefault="001A0EA8" w:rsidP="00067BBA">
      <w:pPr>
        <w:jc w:val="both"/>
        <w:rPr>
          <w:rFonts w:ascii="Arial" w:hAnsi="Arial" w:cs="Arial"/>
          <w:bCs/>
          <w:sz w:val="20"/>
          <w:szCs w:val="20"/>
        </w:rPr>
      </w:pPr>
      <w:r w:rsidRPr="00CF1E09">
        <w:rPr>
          <w:rFonts w:ascii="Arial" w:hAnsi="Arial" w:cs="Arial"/>
          <w:bCs/>
          <w:sz w:val="20"/>
          <w:szCs w:val="20"/>
        </w:rPr>
        <w:t>Peso: El peso corporal no tuvo una influencia clínicamente significativa en la exposición al niraparib (intervalo de peso corporal: 43,3-165 kg) y la abiraterona (intervalo de peso corporal:</w:t>
      </w:r>
    </w:p>
    <w:p w14:paraId="64B2EA87"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56,0-135 kg).</w:t>
      </w:r>
    </w:p>
    <w:p w14:paraId="3EDC38C0" w14:textId="77777777" w:rsidR="00EE4022" w:rsidRPr="00CF1E09" w:rsidRDefault="00EE4022" w:rsidP="00067BBA">
      <w:pPr>
        <w:jc w:val="both"/>
        <w:rPr>
          <w:rFonts w:ascii="Arial" w:hAnsi="Arial" w:cs="Arial"/>
          <w:bCs/>
          <w:sz w:val="20"/>
          <w:szCs w:val="20"/>
        </w:rPr>
      </w:pPr>
    </w:p>
    <w:p w14:paraId="2179F352" w14:textId="77777777" w:rsidR="00EE4022" w:rsidRPr="00CF1E09" w:rsidRDefault="001A0EA8" w:rsidP="00067BBA">
      <w:pPr>
        <w:jc w:val="both"/>
        <w:rPr>
          <w:rFonts w:ascii="Arial" w:hAnsi="Arial" w:cs="Arial"/>
          <w:bCs/>
          <w:sz w:val="20"/>
          <w:szCs w:val="20"/>
        </w:rPr>
      </w:pPr>
      <w:r w:rsidRPr="00CF1E09">
        <w:rPr>
          <w:rFonts w:ascii="Arial" w:hAnsi="Arial" w:cs="Arial"/>
          <w:bCs/>
          <w:sz w:val="20"/>
          <w:szCs w:val="20"/>
        </w:rPr>
        <w:t>Raza: No existen datos suficientes para determinar el efecto de la raza en la farmacocinética del niraparib y la abiraterona</w:t>
      </w:r>
      <w:r w:rsidRPr="00CF1E09">
        <w:rPr>
          <w:rFonts w:ascii="Arial" w:hAnsi="Arial" w:cs="Arial"/>
          <w:bCs/>
          <w:i/>
          <w:iCs/>
          <w:sz w:val="20"/>
          <w:szCs w:val="20"/>
        </w:rPr>
        <w:t>.</w:t>
      </w:r>
    </w:p>
    <w:p w14:paraId="5E7854E6" w14:textId="77777777" w:rsidR="00EE4022" w:rsidRPr="00C157EB" w:rsidRDefault="00EE4022" w:rsidP="00BC3E8E">
      <w:pPr>
        <w:jc w:val="both"/>
        <w:rPr>
          <w:rFonts w:ascii="Calibri" w:hAnsi="Calibri" w:cs="Calibri"/>
          <w:bCs/>
          <w:sz w:val="22"/>
          <w:szCs w:val="20"/>
        </w:rPr>
      </w:pPr>
    </w:p>
    <w:p w14:paraId="495DD9AA" w14:textId="77777777" w:rsidR="00BC3E8E" w:rsidRPr="006F6ABB" w:rsidRDefault="00BC3E8E" w:rsidP="00BC3E8E">
      <w:pPr>
        <w:jc w:val="both"/>
        <w:rPr>
          <w:rFonts w:ascii="Arial" w:hAnsi="Arial" w:cs="Arial"/>
          <w:color w:val="0000FF"/>
          <w:sz w:val="20"/>
          <w:szCs w:val="20"/>
        </w:rPr>
      </w:pPr>
    </w:p>
    <w:p w14:paraId="30742DFE" w14:textId="21CF4B3C" w:rsidR="00BC3E8E" w:rsidRPr="00046C70"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0" w:name="_Toc344399631"/>
      <w:bookmarkStart w:id="41" w:name="_Toc348931358"/>
      <w:bookmarkStart w:id="42" w:name="_Toc153727190"/>
      <w:r w:rsidRPr="00E3472F">
        <w:rPr>
          <w:rFonts w:cs="Arial"/>
          <w:sz w:val="20"/>
        </w:rPr>
        <w:t xml:space="preserve">4.5 </w:t>
      </w:r>
      <w:bookmarkEnd w:id="40"/>
      <w:bookmarkEnd w:id="41"/>
      <w:r w:rsidR="00516CE2" w:rsidRPr="00E3472F">
        <w:rPr>
          <w:rFonts w:cs="Arial"/>
          <w:sz w:val="20"/>
        </w:rPr>
        <w:t>Farmacocinética</w:t>
      </w:r>
      <w:r w:rsidR="00516CE2">
        <w:rPr>
          <w:rFonts w:cs="Arial"/>
          <w:sz w:val="20"/>
        </w:rPr>
        <w:t xml:space="preserve"> (</w:t>
      </w:r>
      <w:r w:rsidR="00046C70">
        <w:rPr>
          <w:rFonts w:cs="Arial"/>
          <w:sz w:val="20"/>
        </w:rPr>
        <w:t>1</w:t>
      </w:r>
      <w:bookmarkEnd w:id="42"/>
      <w:r w:rsidR="00546446">
        <w:rPr>
          <w:rFonts w:cs="Arial"/>
          <w:sz w:val="20"/>
        </w:rPr>
        <w:t>8</w:t>
      </w:r>
      <w:r w:rsidR="00EB151D">
        <w:rPr>
          <w:rFonts w:cs="Arial"/>
          <w:sz w:val="20"/>
        </w:rPr>
        <w:t>)</w:t>
      </w:r>
    </w:p>
    <w:p w14:paraId="74153DF1" w14:textId="77777777" w:rsidR="00BC3E8E" w:rsidRDefault="00BC3E8E" w:rsidP="00BC3E8E">
      <w:pPr>
        <w:jc w:val="both"/>
        <w:rPr>
          <w:rFonts w:ascii="Arial" w:hAnsi="Arial" w:cs="Arial"/>
          <w:b/>
          <w:bCs/>
          <w:color w:val="C00000"/>
          <w:sz w:val="20"/>
          <w:szCs w:val="20"/>
        </w:rPr>
      </w:pPr>
    </w:p>
    <w:p w14:paraId="6DF62A21"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2"/>
        </w:rPr>
      </w:pPr>
      <w:r w:rsidRPr="00CF1E09">
        <w:rPr>
          <w:rFonts w:ascii="Arial" w:hAnsi="Arial" w:cs="Arial"/>
          <w:sz w:val="20"/>
          <w:szCs w:val="22"/>
          <w:u w:val="single"/>
        </w:rPr>
        <w:t>Absorción</w:t>
      </w:r>
    </w:p>
    <w:p w14:paraId="17BB1D44"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En pacientes con CPRCm, en condiciones de ayuno y ayuno modificado, tras la administración de varias dosis de comprimidos de niraparib/abiraterona, la concentración plasmática máxima se alcanzó en aproximadamente 3 horas para el niraparib, y en aproximadamente 1,5 horas para la abiraterona.</w:t>
      </w:r>
    </w:p>
    <w:p w14:paraId="005E7520"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 </w:t>
      </w:r>
    </w:p>
    <w:p w14:paraId="42C001AD"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La administración de acetato de abiraterona con alimentos, en comparación con la administración en ayunas, aumenta hasta en 10 veces (AUC) y hasta en 17 veces (Cmáx) la exposición sistémica media de abiraterona, dependiendo del contenido graso de la comida. Teniendo en consideración la variación normal en el contenido y la composición de las comidas, la administración de acetato de abiraterona con las comidas puede dar lugar a exposiciones muy variables. Por lo tanto, acetato de abiraterona no se debe tomar con alimentos.</w:t>
      </w:r>
    </w:p>
    <w:p w14:paraId="5B0D1467" w14:textId="77777777" w:rsidR="00EE4022" w:rsidRDefault="00EE4022" w:rsidP="00067BBA">
      <w:pPr>
        <w:pStyle w:val="NormalWeb"/>
        <w:spacing w:before="0" w:beforeAutospacing="0" w:after="0" w:afterAutospacing="0" w:line="276" w:lineRule="auto"/>
        <w:jc w:val="both"/>
        <w:rPr>
          <w:sz w:val="22"/>
          <w:szCs w:val="22"/>
        </w:rPr>
      </w:pPr>
      <w:r>
        <w:rPr>
          <w:sz w:val="22"/>
          <w:szCs w:val="22"/>
        </w:rPr>
        <w:t> </w:t>
      </w:r>
    </w:p>
    <w:p w14:paraId="1FD49161"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2"/>
        </w:rPr>
      </w:pPr>
      <w:r w:rsidRPr="00CF1E09">
        <w:rPr>
          <w:rFonts w:ascii="Arial" w:hAnsi="Arial" w:cs="Arial"/>
          <w:sz w:val="20"/>
          <w:szCs w:val="22"/>
          <w:u w:val="single"/>
        </w:rPr>
        <w:t>Distribución</w:t>
      </w:r>
    </w:p>
    <w:p w14:paraId="38DA0789" w14:textId="7A59E575"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Según el análisis farmacocinético poblacional, el volumen aparente de distribución del niraparib y la abiraterona fue de 1</w:t>
      </w:r>
      <w:r w:rsidR="00EB151D">
        <w:rPr>
          <w:rFonts w:ascii="Arial" w:hAnsi="Arial" w:cs="Arial"/>
          <w:bCs/>
          <w:sz w:val="20"/>
          <w:szCs w:val="20"/>
        </w:rPr>
        <w:t>.</w:t>
      </w:r>
      <w:r w:rsidRPr="00CF1E09">
        <w:rPr>
          <w:rFonts w:ascii="Arial" w:hAnsi="Arial" w:cs="Arial"/>
          <w:bCs/>
          <w:sz w:val="20"/>
          <w:szCs w:val="20"/>
        </w:rPr>
        <w:t xml:space="preserve">117 </w:t>
      </w:r>
      <w:r w:rsidR="00EB151D">
        <w:rPr>
          <w:rFonts w:ascii="Arial" w:hAnsi="Arial" w:cs="Arial"/>
          <w:bCs/>
          <w:sz w:val="20"/>
          <w:szCs w:val="20"/>
        </w:rPr>
        <w:t>L</w:t>
      </w:r>
      <w:r w:rsidRPr="00CF1E09">
        <w:rPr>
          <w:rFonts w:ascii="Arial" w:hAnsi="Arial" w:cs="Arial"/>
          <w:bCs/>
          <w:sz w:val="20"/>
          <w:szCs w:val="20"/>
        </w:rPr>
        <w:t xml:space="preserve"> y 25</w:t>
      </w:r>
      <w:r w:rsidR="00EB151D">
        <w:rPr>
          <w:rFonts w:ascii="Arial" w:hAnsi="Arial" w:cs="Arial"/>
          <w:bCs/>
          <w:sz w:val="20"/>
          <w:szCs w:val="20"/>
        </w:rPr>
        <w:t>.</w:t>
      </w:r>
      <w:r w:rsidRPr="00CF1E09">
        <w:rPr>
          <w:rFonts w:ascii="Arial" w:hAnsi="Arial" w:cs="Arial"/>
          <w:bCs/>
          <w:sz w:val="20"/>
          <w:szCs w:val="20"/>
        </w:rPr>
        <w:t xml:space="preserve">774 </w:t>
      </w:r>
      <w:r w:rsidR="00EB151D">
        <w:rPr>
          <w:rFonts w:ascii="Arial" w:hAnsi="Arial" w:cs="Arial"/>
          <w:bCs/>
          <w:sz w:val="20"/>
          <w:szCs w:val="20"/>
        </w:rPr>
        <w:t>L</w:t>
      </w:r>
      <w:r w:rsidRPr="00CF1E09">
        <w:rPr>
          <w:rFonts w:ascii="Arial" w:hAnsi="Arial" w:cs="Arial"/>
          <w:bCs/>
          <w:sz w:val="20"/>
          <w:szCs w:val="20"/>
        </w:rPr>
        <w:t>, respectivamente, lo que indica una amplia distribución extravascular</w:t>
      </w:r>
      <w:r w:rsidRPr="00CF1E09">
        <w:rPr>
          <w:rFonts w:ascii="Arial" w:hAnsi="Arial" w:cs="Arial"/>
          <w:bCs/>
          <w:i/>
          <w:iCs/>
          <w:sz w:val="20"/>
          <w:szCs w:val="20"/>
        </w:rPr>
        <w:t>.</w:t>
      </w:r>
    </w:p>
    <w:p w14:paraId="1F5FEFAF"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Fonts w:ascii="Arial" w:hAnsi="Arial" w:cs="Arial"/>
          <w:sz w:val="20"/>
          <w:szCs w:val="20"/>
        </w:rPr>
        <w:t> </w:t>
      </w:r>
    </w:p>
    <w:p w14:paraId="3E7AC90B"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Style w:val="nfasis"/>
          <w:rFonts w:ascii="Arial" w:hAnsi="Arial" w:cs="Arial"/>
          <w:sz w:val="20"/>
          <w:szCs w:val="20"/>
        </w:rPr>
        <w:t>Niraparib</w:t>
      </w:r>
    </w:p>
    <w:p w14:paraId="077F74E1"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El niraparib se unió moderadamente a las proteínas en el plasma humano (83,0 %), principalmente a la albúmina sérica.</w:t>
      </w:r>
    </w:p>
    <w:p w14:paraId="3FB392F6"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Fonts w:ascii="Arial" w:hAnsi="Arial" w:cs="Arial"/>
          <w:sz w:val="20"/>
          <w:szCs w:val="20"/>
        </w:rPr>
        <w:t> </w:t>
      </w:r>
    </w:p>
    <w:p w14:paraId="6719BC2F"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Style w:val="nfasis"/>
          <w:rFonts w:ascii="Arial" w:hAnsi="Arial" w:cs="Arial"/>
          <w:sz w:val="20"/>
          <w:szCs w:val="20"/>
        </w:rPr>
        <w:t>Acetato de abiraterona</w:t>
      </w:r>
    </w:p>
    <w:p w14:paraId="61554897"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La unión a proteínas plasmáticas de 14C-abiraterona en el plasma humano es del 99,8 %.</w:t>
      </w:r>
    </w:p>
    <w:p w14:paraId="1FCEA9D1"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Fonts w:ascii="Arial" w:hAnsi="Arial" w:cs="Arial"/>
          <w:sz w:val="20"/>
          <w:szCs w:val="20"/>
        </w:rPr>
        <w:t> </w:t>
      </w:r>
    </w:p>
    <w:p w14:paraId="56556C0D"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Fonts w:ascii="Arial" w:hAnsi="Arial" w:cs="Arial"/>
          <w:sz w:val="20"/>
          <w:szCs w:val="20"/>
          <w:u w:val="single"/>
        </w:rPr>
        <w:t>Biotransformación</w:t>
      </w:r>
    </w:p>
    <w:p w14:paraId="261F003F"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Style w:val="nfasis"/>
          <w:rFonts w:ascii="Arial" w:hAnsi="Arial" w:cs="Arial"/>
          <w:sz w:val="20"/>
          <w:szCs w:val="20"/>
        </w:rPr>
        <w:t>Niraparib</w:t>
      </w:r>
    </w:p>
    <w:p w14:paraId="0E593C58"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 xml:space="preserve">El niraparib se metaboliza principalmente por las carboxilesterasas para formar un metabolito inactivo principal, el M1. En un estudio de balance de masas, M1 y M10 (los glucurónidos de M1 formados posteriormente) fueron los principales metabolitos circulantes. El potencial para inhibir el CYP3A4 a nivel intestinal no se ha determinado en concentraciones de niraparib relevantes. El niraparib induce débilmente el CYP1A2 a concentraciones elevadas </w:t>
      </w:r>
      <w:r w:rsidRPr="00CF1E09">
        <w:rPr>
          <w:rFonts w:ascii="Arial" w:hAnsi="Arial" w:cs="Arial"/>
          <w:bCs/>
          <w:i/>
          <w:iCs/>
          <w:sz w:val="20"/>
          <w:szCs w:val="20"/>
        </w:rPr>
        <w:t>in vitro</w:t>
      </w:r>
      <w:r w:rsidRPr="00CF1E09">
        <w:rPr>
          <w:rFonts w:ascii="Arial" w:hAnsi="Arial" w:cs="Arial"/>
          <w:bCs/>
          <w:sz w:val="20"/>
          <w:szCs w:val="20"/>
        </w:rPr>
        <w:t>.</w:t>
      </w:r>
    </w:p>
    <w:p w14:paraId="106CAC13"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Fonts w:ascii="Arial" w:hAnsi="Arial" w:cs="Arial"/>
          <w:sz w:val="20"/>
          <w:szCs w:val="20"/>
        </w:rPr>
        <w:t> </w:t>
      </w:r>
    </w:p>
    <w:p w14:paraId="34121FE8"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0"/>
        </w:rPr>
      </w:pPr>
      <w:r w:rsidRPr="00CF1E09">
        <w:rPr>
          <w:rStyle w:val="nfasis"/>
          <w:rFonts w:ascii="Arial" w:hAnsi="Arial" w:cs="Arial"/>
          <w:sz w:val="20"/>
          <w:szCs w:val="20"/>
        </w:rPr>
        <w:t>Acetato de abiraterona</w:t>
      </w:r>
    </w:p>
    <w:p w14:paraId="365EDA4D"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Tras la administración oral de acetato de 14C-abiraterona en cápsulas, el acetato de abiraterona se hidroliza por las carboxilesterasas a abiraterona, que experimenta un metabolismo que incluye sulfatación, hidroxilación y oxidación principalmente en el hígado. La abiraterona es un sustrato del CYP3A4 y la sulfotransferasa 2A1 (SULT2A1). La mayor parte de la radiactividad circulante (aproximadamente el 92 %) se encuentra en forma de metabolitos de la abiraterona. De los 15 metabolitos detectables, dos metabolitos principales, el sulfato de abiraterona y el N-óxido de sulfato de abiraterona, representan cada uno de ellos aproximadamente el 43 % de la radiactividad total. La abiraterona es un inhibidor de las enzimas hepáticas metabolizadoras de fármacos CYP2D6 y CYP2C8.</w:t>
      </w:r>
    </w:p>
    <w:p w14:paraId="6FE99FB3" w14:textId="77777777" w:rsidR="00EE4022" w:rsidRDefault="00EE4022" w:rsidP="00067BBA">
      <w:pPr>
        <w:pStyle w:val="NormalWeb"/>
        <w:spacing w:before="0" w:beforeAutospacing="0" w:after="0" w:afterAutospacing="0" w:line="276" w:lineRule="auto"/>
        <w:jc w:val="both"/>
        <w:rPr>
          <w:sz w:val="22"/>
          <w:szCs w:val="22"/>
        </w:rPr>
      </w:pPr>
      <w:r>
        <w:rPr>
          <w:sz w:val="22"/>
          <w:szCs w:val="22"/>
        </w:rPr>
        <w:t> </w:t>
      </w:r>
    </w:p>
    <w:p w14:paraId="70A08D29"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2"/>
        </w:rPr>
      </w:pPr>
      <w:r w:rsidRPr="00CF1E09">
        <w:rPr>
          <w:rFonts w:ascii="Arial" w:hAnsi="Arial" w:cs="Arial"/>
          <w:sz w:val="20"/>
          <w:szCs w:val="22"/>
          <w:u w:val="single"/>
        </w:rPr>
        <w:t>Eliminación</w:t>
      </w:r>
    </w:p>
    <w:p w14:paraId="5A5456E7" w14:textId="379DDB99"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 xml:space="preserve">La </w:t>
      </w:r>
      <w:r w:rsidR="00EB151D">
        <w:rPr>
          <w:rFonts w:ascii="Arial" w:hAnsi="Arial" w:cs="Arial"/>
          <w:bCs/>
          <w:sz w:val="20"/>
          <w:szCs w:val="20"/>
        </w:rPr>
        <w:t>semivida de eliminación</w:t>
      </w:r>
      <w:r w:rsidRPr="00CF1E09">
        <w:rPr>
          <w:rFonts w:ascii="Arial" w:hAnsi="Arial" w:cs="Arial"/>
          <w:bCs/>
          <w:sz w:val="20"/>
          <w:szCs w:val="20"/>
        </w:rPr>
        <w:t xml:space="preserve"> del niraparib y la abiraterona cuando se administran en combinación fue de aproximadamente 62 horas y 20 horas, respectivamente, y la CL/F aparente del niraparib y la abiraterona fue de 16,7 </w:t>
      </w:r>
      <w:r w:rsidR="00EB151D">
        <w:rPr>
          <w:rFonts w:ascii="Arial" w:hAnsi="Arial" w:cs="Arial"/>
          <w:bCs/>
          <w:sz w:val="20"/>
          <w:szCs w:val="20"/>
        </w:rPr>
        <w:t>L</w:t>
      </w:r>
      <w:r w:rsidRPr="00CF1E09">
        <w:rPr>
          <w:rFonts w:ascii="Arial" w:hAnsi="Arial" w:cs="Arial"/>
          <w:bCs/>
          <w:sz w:val="20"/>
          <w:szCs w:val="20"/>
        </w:rPr>
        <w:t>/h y 1</w:t>
      </w:r>
      <w:r w:rsidR="00EB151D">
        <w:rPr>
          <w:rFonts w:ascii="Arial" w:hAnsi="Arial" w:cs="Arial"/>
          <w:bCs/>
          <w:sz w:val="20"/>
          <w:szCs w:val="20"/>
        </w:rPr>
        <w:t>.</w:t>
      </w:r>
      <w:r w:rsidRPr="00CF1E09">
        <w:rPr>
          <w:rFonts w:ascii="Arial" w:hAnsi="Arial" w:cs="Arial"/>
          <w:bCs/>
          <w:sz w:val="20"/>
          <w:szCs w:val="20"/>
        </w:rPr>
        <w:t xml:space="preserve">673 </w:t>
      </w:r>
      <w:r w:rsidR="00EB151D">
        <w:rPr>
          <w:rFonts w:ascii="Arial" w:hAnsi="Arial" w:cs="Arial"/>
          <w:bCs/>
          <w:sz w:val="20"/>
          <w:szCs w:val="20"/>
        </w:rPr>
        <w:t>L</w:t>
      </w:r>
      <w:r w:rsidRPr="00CF1E09">
        <w:rPr>
          <w:rFonts w:ascii="Arial" w:hAnsi="Arial" w:cs="Arial"/>
          <w:bCs/>
          <w:sz w:val="20"/>
          <w:szCs w:val="20"/>
        </w:rPr>
        <w:t>/h, respectivamente, según el análisis farmacocinético poblacional en pacientes con CPRCm.</w:t>
      </w:r>
    </w:p>
    <w:p w14:paraId="7096C33E"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2"/>
        </w:rPr>
      </w:pPr>
      <w:r w:rsidRPr="00CF1E09">
        <w:rPr>
          <w:rFonts w:ascii="Arial" w:hAnsi="Arial" w:cs="Arial"/>
          <w:sz w:val="20"/>
          <w:szCs w:val="22"/>
        </w:rPr>
        <w:t> </w:t>
      </w:r>
      <w:r w:rsidRPr="00CF1E09">
        <w:rPr>
          <w:rFonts w:ascii="Arial" w:hAnsi="Arial" w:cs="Arial"/>
          <w:sz w:val="20"/>
          <w:szCs w:val="21"/>
        </w:rPr>
        <w:t> </w:t>
      </w:r>
    </w:p>
    <w:p w14:paraId="62CD0DDE" w14:textId="77777777" w:rsidR="00EE4022" w:rsidRPr="00CF1E09" w:rsidRDefault="001A0EA8" w:rsidP="00067BBA">
      <w:pPr>
        <w:pStyle w:val="NormalWeb"/>
        <w:spacing w:before="0" w:beforeAutospacing="0" w:after="0" w:afterAutospacing="0" w:line="276" w:lineRule="auto"/>
        <w:jc w:val="both"/>
        <w:rPr>
          <w:rFonts w:ascii="Arial" w:hAnsi="Arial" w:cs="Arial"/>
          <w:sz w:val="20"/>
          <w:szCs w:val="22"/>
        </w:rPr>
      </w:pPr>
      <w:r w:rsidRPr="00CF1E09">
        <w:rPr>
          <w:rStyle w:val="nfasis"/>
          <w:rFonts w:ascii="Arial" w:hAnsi="Arial" w:cs="Arial"/>
          <w:sz w:val="20"/>
          <w:szCs w:val="22"/>
        </w:rPr>
        <w:t>Efectos del niraparib o la abiraterona sobre los transportadores</w:t>
      </w:r>
    </w:p>
    <w:p w14:paraId="6F99F0A9" w14:textId="77777777" w:rsidR="00EE4022" w:rsidRPr="00CF1E09" w:rsidRDefault="001A0EA8" w:rsidP="00067BBA">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El niraparib inhibe débilmente la P-gp con un IC50 = 161 μM. El niraparib es un inhibidor de BCRP, el transportador de cationes orgánicos 1 (OCT1), MATE-1 y 2 con valores IC50 de 5,8 μM, 34,4 μM, 0,18 μM y ≤ 0,14 μM, respectivamente. Se ha demostrado que los metabolitos principales de abiraterona, sulfato de abiraterona y N-óxido sulfato de abiraterona, inhiben el transportador de captación hepática polipéptido de transporte de aniones orgánicos 1B1 (OATP1B1) y, en consecuencia, pueden elevar las exposiciones plasmáticas de medicamentos eliminados por OATP1B1. No hay datos clínicos disponibles para confirmar la interacción basada en el transportador OATP1B1.</w:t>
      </w:r>
    </w:p>
    <w:p w14:paraId="7FB27CA0" w14:textId="77777777" w:rsidR="00EE4022" w:rsidRDefault="00EE4022" w:rsidP="00067BBA">
      <w:pPr>
        <w:jc w:val="both"/>
        <w:rPr>
          <w:rFonts w:ascii="Arial" w:hAnsi="Arial" w:cs="Arial"/>
          <w:b/>
          <w:bCs/>
          <w:color w:val="C00000"/>
          <w:sz w:val="20"/>
          <w:szCs w:val="20"/>
        </w:rPr>
      </w:pPr>
    </w:p>
    <w:p w14:paraId="7D64026D" w14:textId="77777777" w:rsidR="00EE4022" w:rsidRPr="006F6ABB" w:rsidRDefault="00EE4022" w:rsidP="00BC3E8E">
      <w:pPr>
        <w:jc w:val="both"/>
        <w:rPr>
          <w:rFonts w:ascii="Arial" w:hAnsi="Arial" w:cs="Arial"/>
          <w:b/>
          <w:bCs/>
          <w:color w:val="C00000"/>
          <w:sz w:val="20"/>
          <w:szCs w:val="20"/>
        </w:rPr>
      </w:pPr>
    </w:p>
    <w:p w14:paraId="00BE1CFE" w14:textId="77777777" w:rsidR="00BC3E8E" w:rsidRPr="006F6ABB" w:rsidRDefault="00BC3E8E" w:rsidP="00BC3E8E">
      <w:pPr>
        <w:jc w:val="right"/>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5817FA75"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186AE676" w14:textId="77777777" w:rsidR="00BC3E8E" w:rsidRPr="00A379A0" w:rsidRDefault="00BC3E8E" w:rsidP="00BC3E8E">
            <w:pPr>
              <w:pStyle w:val="Ttulo1"/>
              <w:shd w:val="clear" w:color="auto" w:fill="A6A6A6"/>
              <w:rPr>
                <w:rFonts w:ascii="Arial" w:hAnsi="Arial" w:cs="Arial"/>
                <w:bCs w:val="0"/>
                <w:kern w:val="0"/>
                <w:sz w:val="20"/>
                <w:szCs w:val="20"/>
              </w:rPr>
            </w:pPr>
            <w:bookmarkStart w:id="43" w:name="_Toc344399632"/>
            <w:bookmarkStart w:id="44" w:name="_Toc348931359"/>
            <w:bookmarkStart w:id="45" w:name="_Toc153727191"/>
            <w:r w:rsidRPr="00A379A0">
              <w:rPr>
                <w:rFonts w:ascii="Arial" w:hAnsi="Arial" w:cs="Arial"/>
                <w:bCs w:val="0"/>
                <w:kern w:val="0"/>
                <w:sz w:val="20"/>
                <w:szCs w:val="20"/>
              </w:rPr>
              <w:t>5.- EVALUACIÓN DE LA EFICACIA.</w:t>
            </w:r>
            <w:bookmarkEnd w:id="43"/>
            <w:bookmarkEnd w:id="44"/>
            <w:bookmarkEnd w:id="45"/>
          </w:p>
        </w:tc>
      </w:tr>
    </w:tbl>
    <w:p w14:paraId="2AF04BAF" w14:textId="77777777" w:rsidR="00BC3E8E" w:rsidRPr="006F6ABB" w:rsidRDefault="00BC3E8E" w:rsidP="00BC3E8E">
      <w:pPr>
        <w:rPr>
          <w:rFonts w:ascii="Arial" w:hAnsi="Arial" w:cs="Arial"/>
          <w:sz w:val="20"/>
          <w:szCs w:val="20"/>
        </w:rPr>
      </w:pPr>
    </w:p>
    <w:p w14:paraId="5F944D64"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6" w:name="_Toc344399633"/>
      <w:bookmarkStart w:id="47" w:name="_Toc348931360"/>
      <w:bookmarkStart w:id="48" w:name="_Toc153727192"/>
      <w:r w:rsidRPr="00E3472F">
        <w:rPr>
          <w:rFonts w:cs="Arial"/>
          <w:sz w:val="20"/>
        </w:rPr>
        <w:t>5.1.a Ensayos clínicos disponibles para la indicación clínica evaluada</w:t>
      </w:r>
      <w:bookmarkEnd w:id="46"/>
      <w:bookmarkEnd w:id="47"/>
      <w:bookmarkEnd w:id="48"/>
    </w:p>
    <w:p w14:paraId="5769E6D8" w14:textId="77777777" w:rsidR="00BC3E8E" w:rsidRDefault="00BC3E8E" w:rsidP="00BC3E8E">
      <w:pPr>
        <w:jc w:val="both"/>
        <w:rPr>
          <w:rFonts w:ascii="Arial" w:hAnsi="Arial" w:cs="Arial"/>
          <w:color w:val="000080"/>
          <w:sz w:val="20"/>
          <w:szCs w:val="20"/>
        </w:rPr>
      </w:pPr>
    </w:p>
    <w:p w14:paraId="14C9CD6E" w14:textId="77777777" w:rsidR="007C0AC5" w:rsidRPr="00CF1E09" w:rsidRDefault="001A0EA8" w:rsidP="00496C66">
      <w:pPr>
        <w:pStyle w:val="NormalWeb"/>
        <w:spacing w:before="0" w:beforeAutospacing="0" w:after="0" w:afterAutospacing="0" w:line="276" w:lineRule="auto"/>
        <w:jc w:val="both"/>
        <w:rPr>
          <w:rFonts w:ascii="Arial" w:hAnsi="Arial" w:cs="Arial"/>
          <w:bCs/>
          <w:sz w:val="20"/>
          <w:szCs w:val="20"/>
        </w:rPr>
      </w:pPr>
      <w:r w:rsidRPr="00CF1E09">
        <w:rPr>
          <w:rFonts w:ascii="Arial" w:hAnsi="Arial" w:cs="Arial"/>
          <w:bCs/>
          <w:sz w:val="20"/>
          <w:szCs w:val="20"/>
        </w:rPr>
        <w:t>En fecha 04/07/2023 se realizó una búsqueda en PubMed, utilizando las palabras clave “Niraparib” and “Abiraterone” and " metastasic-castration resistant prostate cancer" y filtrando por “Clinical Trial” encontrando los siguientes resultados:</w:t>
      </w:r>
    </w:p>
    <w:p w14:paraId="33F91CD7" w14:textId="7117698E" w:rsidR="00C567D1" w:rsidRPr="00C567D1" w:rsidRDefault="00C567D1" w:rsidP="00C567D1">
      <w:pPr>
        <w:numPr>
          <w:ilvl w:val="0"/>
          <w:numId w:val="10"/>
        </w:numPr>
        <w:rPr>
          <w:rFonts w:ascii="Arial" w:hAnsi="Arial" w:cs="Arial"/>
          <w:sz w:val="20"/>
          <w:szCs w:val="20"/>
        </w:rPr>
      </w:pPr>
      <w:r w:rsidRPr="00FB1DEA">
        <w:rPr>
          <w:rFonts w:ascii="Arial" w:hAnsi="Arial"/>
          <w:sz w:val="20"/>
          <w:lang w:val="it-IT"/>
        </w:rPr>
        <w:t xml:space="preserve">Saad, F., Chi, K. N., Shore, N. D., et al (2021). </w:t>
      </w:r>
      <w:r w:rsidRPr="00FB1DEA">
        <w:rPr>
          <w:rFonts w:ascii="Arial" w:hAnsi="Arial" w:cs="Arial"/>
          <w:bCs/>
          <w:sz w:val="20"/>
          <w:szCs w:val="20"/>
          <w:lang w:val="en-GB"/>
        </w:rPr>
        <w:t xml:space="preserve">Niraparib with androgen receptor-axis-targeted therapy in patients with metastatic castration-resistant prostate cancer: safety and pharmacokinetic results from a phase 1b study (BEDIVERE). </w:t>
      </w:r>
      <w:r w:rsidRPr="00FB1DEA">
        <w:rPr>
          <w:rFonts w:ascii="Arial" w:hAnsi="Arial" w:cs="Arial"/>
          <w:bCs/>
          <w:sz w:val="20"/>
          <w:szCs w:val="20"/>
        </w:rPr>
        <w:t xml:space="preserve">Cancer </w:t>
      </w:r>
      <w:r>
        <w:rPr>
          <w:rFonts w:ascii="Arial" w:hAnsi="Arial" w:cs="Arial"/>
          <w:bCs/>
          <w:sz w:val="20"/>
          <w:szCs w:val="20"/>
        </w:rPr>
        <w:t>C</w:t>
      </w:r>
      <w:r w:rsidRPr="00FB1DEA">
        <w:rPr>
          <w:rFonts w:ascii="Arial" w:hAnsi="Arial" w:cs="Arial"/>
          <w:bCs/>
          <w:sz w:val="20"/>
          <w:szCs w:val="20"/>
        </w:rPr>
        <w:t xml:space="preserve">hemotherapy and </w:t>
      </w:r>
      <w:r>
        <w:rPr>
          <w:rFonts w:ascii="Arial" w:hAnsi="Arial" w:cs="Arial"/>
          <w:bCs/>
          <w:sz w:val="20"/>
          <w:szCs w:val="20"/>
        </w:rPr>
        <w:t>P</w:t>
      </w:r>
      <w:r w:rsidRPr="00FB1DEA">
        <w:rPr>
          <w:rFonts w:ascii="Arial" w:hAnsi="Arial" w:cs="Arial"/>
          <w:bCs/>
          <w:sz w:val="20"/>
          <w:szCs w:val="20"/>
        </w:rPr>
        <w:t>harmacology</w:t>
      </w:r>
      <w:r>
        <w:rPr>
          <w:rFonts w:ascii="Arial" w:hAnsi="Arial" w:cs="Arial"/>
          <w:bCs/>
          <w:sz w:val="20"/>
          <w:szCs w:val="20"/>
        </w:rPr>
        <w:t xml:space="preserve">. 2021; </w:t>
      </w:r>
      <w:r w:rsidRPr="00FB1DEA">
        <w:rPr>
          <w:rFonts w:ascii="Arial" w:hAnsi="Arial" w:cs="Arial"/>
          <w:bCs/>
          <w:sz w:val="20"/>
          <w:szCs w:val="20"/>
        </w:rPr>
        <w:t>88(1), 25–37.</w:t>
      </w:r>
      <w:r w:rsidRPr="00FB1DEA">
        <w:rPr>
          <w:rFonts w:ascii="Arial" w:hAnsi="Arial" w:cs="Arial"/>
          <w:sz w:val="20"/>
          <w:szCs w:val="20"/>
        </w:rPr>
        <w:t xml:space="preserve"> </w:t>
      </w:r>
      <w:hyperlink r:id="rId11" w:history="1">
        <w:r w:rsidRPr="00FB1DEA">
          <w:rPr>
            <w:rStyle w:val="Hipervnculo"/>
            <w:rFonts w:ascii="Arial" w:hAnsi="Arial" w:cs="Arial"/>
            <w:sz w:val="20"/>
            <w:szCs w:val="20"/>
          </w:rPr>
          <w:t>https://doi.org/10.1007/s00280-021-04249-7</w:t>
        </w:r>
      </w:hyperlink>
      <w:r w:rsidRPr="00FB1DEA">
        <w:rPr>
          <w:rFonts w:ascii="Arial" w:hAnsi="Arial" w:cs="Arial"/>
          <w:sz w:val="20"/>
          <w:szCs w:val="20"/>
        </w:rPr>
        <w:t xml:space="preserve"> (</w:t>
      </w:r>
      <w:r w:rsidR="00470336">
        <w:rPr>
          <w:rFonts w:ascii="Arial" w:hAnsi="Arial" w:cs="Arial"/>
          <w:sz w:val="20"/>
          <w:szCs w:val="20"/>
        </w:rPr>
        <w:t>19</w:t>
      </w:r>
      <w:r w:rsidRPr="00FB1DEA">
        <w:rPr>
          <w:rFonts w:ascii="Arial" w:hAnsi="Arial" w:cs="Arial"/>
          <w:sz w:val="20"/>
          <w:szCs w:val="20"/>
        </w:rPr>
        <w:t>)</w:t>
      </w:r>
    </w:p>
    <w:p w14:paraId="1CDAAA16" w14:textId="0A2E7988" w:rsidR="007C0AC5" w:rsidRPr="00EB151D" w:rsidRDefault="001A0EA8" w:rsidP="007C0AC5">
      <w:pPr>
        <w:numPr>
          <w:ilvl w:val="0"/>
          <w:numId w:val="10"/>
        </w:numPr>
        <w:spacing w:after="120" w:line="280" w:lineRule="exact"/>
        <w:jc w:val="both"/>
        <w:rPr>
          <w:rFonts w:ascii="Arial" w:hAnsi="Arial" w:cs="Arial"/>
          <w:sz w:val="20"/>
          <w:szCs w:val="20"/>
        </w:rPr>
      </w:pPr>
      <w:r w:rsidRPr="00B26609">
        <w:rPr>
          <w:rFonts w:ascii="Arial" w:hAnsi="Arial"/>
          <w:sz w:val="20"/>
          <w:lang w:val="en-GB"/>
        </w:rPr>
        <w:t xml:space="preserve">Chi, K. N., Rathkopf, D., Smith, M. R et al MAGNITUDE Principal Investigators. Niraparib and Abiraterone Acetate for Metastatic Castration-Resistant Prostate Cancer. </w:t>
      </w:r>
      <w:r w:rsidRPr="00FB1DEA">
        <w:rPr>
          <w:rFonts w:ascii="Arial" w:hAnsi="Arial" w:cs="Arial"/>
          <w:bCs/>
          <w:sz w:val="20"/>
          <w:szCs w:val="20"/>
          <w:lang w:val="en-GB"/>
        </w:rPr>
        <w:t xml:space="preserve">Journal of </w:t>
      </w:r>
      <w:r w:rsidR="00EB151D">
        <w:rPr>
          <w:rFonts w:ascii="Arial" w:hAnsi="Arial" w:cs="Arial"/>
          <w:bCs/>
          <w:sz w:val="20"/>
          <w:szCs w:val="20"/>
          <w:lang w:val="en-GB"/>
        </w:rPr>
        <w:t>C</w:t>
      </w:r>
      <w:r w:rsidRPr="00FB1DEA">
        <w:rPr>
          <w:rFonts w:ascii="Arial" w:hAnsi="Arial" w:cs="Arial"/>
          <w:bCs/>
          <w:sz w:val="20"/>
          <w:szCs w:val="20"/>
          <w:lang w:val="en-GB"/>
        </w:rPr>
        <w:t xml:space="preserve">linical </w:t>
      </w:r>
      <w:r w:rsidR="00EB151D">
        <w:rPr>
          <w:rFonts w:ascii="Arial" w:hAnsi="Arial" w:cs="Arial"/>
          <w:bCs/>
          <w:sz w:val="20"/>
          <w:szCs w:val="20"/>
          <w:lang w:val="en-GB"/>
        </w:rPr>
        <w:t>O</w:t>
      </w:r>
      <w:r w:rsidRPr="00FB1DEA">
        <w:rPr>
          <w:rFonts w:ascii="Arial" w:hAnsi="Arial" w:cs="Arial"/>
          <w:bCs/>
          <w:sz w:val="20"/>
          <w:szCs w:val="20"/>
          <w:lang w:val="en-GB"/>
        </w:rPr>
        <w:t>ncology</w:t>
      </w:r>
      <w:r w:rsidR="00EB151D">
        <w:rPr>
          <w:rFonts w:ascii="Arial" w:hAnsi="Arial" w:cs="Arial"/>
          <w:bCs/>
          <w:sz w:val="20"/>
          <w:szCs w:val="20"/>
          <w:lang w:val="en-GB"/>
        </w:rPr>
        <w:t>. 2023;</w:t>
      </w:r>
      <w:r w:rsidRPr="00FB1DEA">
        <w:rPr>
          <w:rFonts w:ascii="Arial" w:hAnsi="Arial" w:cs="Arial"/>
          <w:bCs/>
          <w:sz w:val="20"/>
          <w:szCs w:val="20"/>
          <w:lang w:val="en-GB"/>
        </w:rPr>
        <w:t xml:space="preserve">  41(18), 3339–51</w:t>
      </w:r>
      <w:r w:rsidRPr="00FB1DEA">
        <w:rPr>
          <w:rFonts w:ascii="Arial" w:hAnsi="Arial" w:cs="Arial"/>
          <w:sz w:val="20"/>
          <w:szCs w:val="20"/>
          <w:lang w:val="en-GB"/>
        </w:rPr>
        <w:t xml:space="preserve">. </w:t>
      </w:r>
      <w:hyperlink r:id="rId12" w:history="1">
        <w:r w:rsidRPr="00FB1DEA">
          <w:rPr>
            <w:rStyle w:val="Hipervnculo"/>
            <w:rFonts w:ascii="Arial" w:hAnsi="Arial" w:cs="Arial"/>
            <w:sz w:val="20"/>
            <w:szCs w:val="20"/>
          </w:rPr>
          <w:t>https://doi.org/10.1200/JCO.22.01649</w:t>
        </w:r>
      </w:hyperlink>
      <w:r w:rsidRPr="00FB1DEA">
        <w:rPr>
          <w:rFonts w:ascii="Arial" w:hAnsi="Arial" w:cs="Arial"/>
          <w:sz w:val="20"/>
          <w:szCs w:val="20"/>
        </w:rPr>
        <w:t xml:space="preserve"> (20)</w:t>
      </w:r>
    </w:p>
    <w:p w14:paraId="0BBBDF85" w14:textId="1867C239" w:rsidR="007C0AC5" w:rsidRPr="00EB151D" w:rsidRDefault="001A0EA8" w:rsidP="007C0AC5">
      <w:pPr>
        <w:numPr>
          <w:ilvl w:val="0"/>
          <w:numId w:val="10"/>
        </w:numPr>
        <w:spacing w:after="120" w:line="280" w:lineRule="exact"/>
        <w:jc w:val="both"/>
        <w:rPr>
          <w:rFonts w:ascii="Arial" w:hAnsi="Arial" w:cs="Arial"/>
          <w:sz w:val="20"/>
          <w:szCs w:val="20"/>
        </w:rPr>
      </w:pPr>
      <w:r w:rsidRPr="00FB1DEA">
        <w:rPr>
          <w:rFonts w:ascii="Arial" w:hAnsi="Arial"/>
          <w:sz w:val="20"/>
          <w:lang w:val="it-IT"/>
        </w:rPr>
        <w:t xml:space="preserve">Chi, K. N., Fleshner, N., Chiuri, V. E., et al. . </w:t>
      </w:r>
      <w:r w:rsidRPr="00FB1DEA">
        <w:rPr>
          <w:rFonts w:ascii="Arial" w:hAnsi="Arial" w:cs="Arial"/>
          <w:bCs/>
          <w:sz w:val="20"/>
          <w:szCs w:val="20"/>
          <w:lang w:val="en-GB"/>
        </w:rPr>
        <w:t xml:space="preserve">Niraparib with Abiraterone Acetate and Prednisone for Metastatic Castration-Resistant Prostate Cancer: Phase II QUEST Study Results. </w:t>
      </w:r>
      <w:r w:rsidR="00EB151D">
        <w:rPr>
          <w:rFonts w:ascii="Arial" w:hAnsi="Arial" w:cs="Arial"/>
          <w:bCs/>
          <w:sz w:val="20"/>
          <w:szCs w:val="20"/>
        </w:rPr>
        <w:t>O</w:t>
      </w:r>
      <w:r w:rsidRPr="00FB1DEA">
        <w:rPr>
          <w:rFonts w:ascii="Arial" w:hAnsi="Arial" w:cs="Arial"/>
          <w:bCs/>
          <w:sz w:val="20"/>
          <w:szCs w:val="20"/>
        </w:rPr>
        <w:t>ncologist</w:t>
      </w:r>
      <w:r w:rsidR="00B93F21">
        <w:rPr>
          <w:rFonts w:ascii="Arial" w:hAnsi="Arial" w:cs="Arial"/>
          <w:bCs/>
          <w:sz w:val="20"/>
          <w:szCs w:val="20"/>
        </w:rPr>
        <w:t>.2023;</w:t>
      </w:r>
      <w:r w:rsidRPr="00FB1DEA">
        <w:rPr>
          <w:rFonts w:ascii="Arial" w:hAnsi="Arial" w:cs="Arial"/>
          <w:bCs/>
          <w:sz w:val="20"/>
          <w:szCs w:val="20"/>
        </w:rPr>
        <w:t xml:space="preserve"> 28(5), e309–e312.</w:t>
      </w:r>
      <w:r w:rsidRPr="00FB1DEA">
        <w:rPr>
          <w:rFonts w:ascii="Arial" w:hAnsi="Arial" w:cs="Arial"/>
          <w:sz w:val="20"/>
          <w:szCs w:val="20"/>
        </w:rPr>
        <w:t xml:space="preserve"> </w:t>
      </w:r>
      <w:hyperlink r:id="rId13" w:history="1">
        <w:r w:rsidRPr="00FB1DEA">
          <w:rPr>
            <w:rStyle w:val="Hipervnculo"/>
            <w:rFonts w:ascii="Arial" w:hAnsi="Arial" w:cs="Arial"/>
            <w:sz w:val="20"/>
            <w:szCs w:val="20"/>
          </w:rPr>
          <w:t>https://doi.org/10.1093/oncolo/oyad008</w:t>
        </w:r>
      </w:hyperlink>
      <w:r w:rsidRPr="00FB1DEA">
        <w:rPr>
          <w:rFonts w:ascii="Arial" w:hAnsi="Arial" w:cs="Arial"/>
          <w:sz w:val="20"/>
          <w:szCs w:val="20"/>
        </w:rPr>
        <w:t xml:space="preserve"> (21)</w:t>
      </w:r>
    </w:p>
    <w:p w14:paraId="417A9668" w14:textId="11FC6A06" w:rsidR="007C0AC5" w:rsidRPr="00EB151D" w:rsidRDefault="001A0EA8" w:rsidP="007C0AC5">
      <w:pPr>
        <w:numPr>
          <w:ilvl w:val="0"/>
          <w:numId w:val="10"/>
        </w:numPr>
        <w:spacing w:after="120" w:line="280" w:lineRule="exact"/>
        <w:jc w:val="both"/>
        <w:rPr>
          <w:rFonts w:ascii="Arial" w:hAnsi="Arial" w:cs="Arial"/>
          <w:sz w:val="20"/>
          <w:szCs w:val="20"/>
        </w:rPr>
      </w:pPr>
      <w:r w:rsidRPr="00FB1DEA">
        <w:rPr>
          <w:rFonts w:ascii="Arial" w:hAnsi="Arial"/>
          <w:sz w:val="20"/>
          <w:lang w:val="fr-FR"/>
        </w:rPr>
        <w:t xml:space="preserve">Quinn, Z., Leiby, B., Sonpavde, et al. </w:t>
      </w:r>
      <w:r w:rsidRPr="00FB1DEA">
        <w:rPr>
          <w:rFonts w:ascii="Arial" w:hAnsi="Arial" w:cs="Arial"/>
          <w:bCs/>
          <w:sz w:val="20"/>
          <w:szCs w:val="20"/>
          <w:lang w:val="en-GB"/>
        </w:rPr>
        <w:t xml:space="preserve">Phase I Study of Niraparib in Combination with Radium-223 for the Treatment of Metastatic Castrate-Resistant Prostate Cancer. Clinical </w:t>
      </w:r>
      <w:r w:rsidR="00B93F21">
        <w:rPr>
          <w:rFonts w:ascii="Arial" w:hAnsi="Arial" w:cs="Arial"/>
          <w:bCs/>
          <w:sz w:val="20"/>
          <w:szCs w:val="20"/>
          <w:lang w:val="en-GB"/>
        </w:rPr>
        <w:t>C</w:t>
      </w:r>
      <w:r w:rsidRPr="00FB1DEA">
        <w:rPr>
          <w:rFonts w:ascii="Arial" w:hAnsi="Arial" w:cs="Arial"/>
          <w:bCs/>
          <w:sz w:val="20"/>
          <w:szCs w:val="20"/>
          <w:lang w:val="en-GB"/>
        </w:rPr>
        <w:t xml:space="preserve">ancer </w:t>
      </w:r>
      <w:r w:rsidR="00B93F21">
        <w:rPr>
          <w:rFonts w:ascii="Arial" w:hAnsi="Arial" w:cs="Arial"/>
          <w:bCs/>
          <w:sz w:val="20"/>
          <w:szCs w:val="20"/>
          <w:lang w:val="en-GB"/>
        </w:rPr>
        <w:t>R</w:t>
      </w:r>
      <w:r w:rsidRPr="00FB1DEA">
        <w:rPr>
          <w:rFonts w:ascii="Arial" w:hAnsi="Arial" w:cs="Arial"/>
          <w:bCs/>
          <w:sz w:val="20"/>
          <w:szCs w:val="20"/>
          <w:lang w:val="en-GB"/>
        </w:rPr>
        <w:t>esearch</w:t>
      </w:r>
      <w:r w:rsidR="00B93F21">
        <w:rPr>
          <w:rFonts w:ascii="Arial" w:hAnsi="Arial" w:cs="Arial"/>
          <w:bCs/>
          <w:sz w:val="20"/>
          <w:szCs w:val="20"/>
          <w:lang w:val="en-GB"/>
        </w:rPr>
        <w:t>. 2023;</w:t>
      </w:r>
      <w:r w:rsidRPr="00FB1DEA">
        <w:rPr>
          <w:rFonts w:ascii="Arial" w:hAnsi="Arial" w:cs="Arial"/>
          <w:bCs/>
          <w:sz w:val="20"/>
          <w:szCs w:val="20"/>
          <w:lang w:val="en-GB"/>
        </w:rPr>
        <w:t>29(1), 50–9.</w:t>
      </w:r>
      <w:r w:rsidRPr="00FB1DEA">
        <w:rPr>
          <w:rFonts w:ascii="Arial" w:hAnsi="Arial" w:cs="Arial"/>
          <w:sz w:val="20"/>
          <w:szCs w:val="20"/>
          <w:lang w:val="en-GB"/>
        </w:rPr>
        <w:t xml:space="preserve"> </w:t>
      </w:r>
      <w:hyperlink r:id="rId14" w:history="1">
        <w:r w:rsidRPr="00FB1DEA">
          <w:rPr>
            <w:rStyle w:val="Hipervnculo"/>
            <w:rFonts w:ascii="Arial" w:hAnsi="Arial" w:cs="Arial"/>
            <w:sz w:val="20"/>
            <w:szCs w:val="20"/>
          </w:rPr>
          <w:t>https://doi.org/10.1158/1078-0432.CCR-22-2526</w:t>
        </w:r>
      </w:hyperlink>
      <w:r w:rsidR="00470336">
        <w:rPr>
          <w:rFonts w:ascii="Arial" w:hAnsi="Arial" w:cs="Arial"/>
          <w:sz w:val="20"/>
          <w:szCs w:val="20"/>
        </w:rPr>
        <w:t xml:space="preserve"> (22)</w:t>
      </w:r>
    </w:p>
    <w:p w14:paraId="006F6442" w14:textId="77777777" w:rsidR="00794A3C" w:rsidRPr="00FB1DEA" w:rsidRDefault="00794A3C" w:rsidP="00794A3C">
      <w:pPr>
        <w:rPr>
          <w:rFonts w:ascii="Arial" w:hAnsi="Arial" w:cs="Arial"/>
          <w:sz w:val="20"/>
          <w:szCs w:val="20"/>
        </w:rPr>
      </w:pPr>
    </w:p>
    <w:p w14:paraId="4C65E4A2" w14:textId="49C4B21A" w:rsidR="007C0AC5" w:rsidRPr="00FB1DEA" w:rsidRDefault="001A0EA8" w:rsidP="00BC3E8E">
      <w:pPr>
        <w:jc w:val="both"/>
        <w:rPr>
          <w:rFonts w:ascii="Arial" w:hAnsi="Arial"/>
          <w:sz w:val="20"/>
        </w:rPr>
      </w:pPr>
      <w:r w:rsidRPr="00FB1DEA">
        <w:rPr>
          <w:rFonts w:ascii="Arial" w:hAnsi="Arial" w:cs="Arial"/>
          <w:bCs/>
          <w:sz w:val="20"/>
          <w:szCs w:val="20"/>
        </w:rPr>
        <w:t xml:space="preserve">Se dispone del European Public Assessment Report (EPAR), publicado por la EMA el 2 de junio de 2023 (8). </w:t>
      </w:r>
      <w:r w:rsidRPr="00FB1DEA">
        <w:rPr>
          <w:rFonts w:ascii="Arial" w:hAnsi="Arial"/>
          <w:sz w:val="20"/>
        </w:rPr>
        <w:t>En dicho informe se analiza el ensayo principal Study MAGNITUDE (64091742PRC3001): (20).</w:t>
      </w:r>
    </w:p>
    <w:p w14:paraId="7C00FE94" w14:textId="77777777" w:rsidR="00BC3E8E" w:rsidRPr="00FB1DEA" w:rsidRDefault="00BC3E8E" w:rsidP="00BC3E8E">
      <w:pPr>
        <w:rPr>
          <w:rFonts w:ascii="Arial" w:hAnsi="Arial"/>
          <w:color w:val="FF0000"/>
          <w:sz w:val="20"/>
        </w:rPr>
      </w:pPr>
    </w:p>
    <w:p w14:paraId="4D33765D"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9" w:name="_Toc344399634"/>
      <w:bookmarkStart w:id="50" w:name="_Toc348931361"/>
      <w:bookmarkStart w:id="51" w:name="_Toc153727193"/>
      <w:r w:rsidRPr="00E3472F">
        <w:rPr>
          <w:rFonts w:cs="Arial"/>
          <w:sz w:val="20"/>
        </w:rPr>
        <w:t>5.1.b Variables utilizadas en los ensayos</w:t>
      </w:r>
      <w:bookmarkEnd w:id="49"/>
      <w:bookmarkEnd w:id="50"/>
      <w:bookmarkEnd w:id="51"/>
      <w:r w:rsidRPr="00E3472F">
        <w:rPr>
          <w:rFonts w:cs="Arial"/>
          <w:sz w:val="20"/>
        </w:rPr>
        <w:t xml:space="preserve"> </w:t>
      </w:r>
    </w:p>
    <w:p w14:paraId="4A50BEB4" w14:textId="77777777" w:rsidR="00BC3E8E" w:rsidRDefault="00BC3E8E" w:rsidP="00BC3E8E">
      <w:pPr>
        <w:jc w:val="both"/>
        <w:rPr>
          <w:rFonts w:ascii="Arial" w:hAnsi="Arial" w:cs="Arial"/>
          <w:color w:val="000080"/>
          <w:sz w:val="20"/>
          <w:szCs w:val="20"/>
        </w:rPr>
      </w:pPr>
    </w:p>
    <w:tbl>
      <w:tblPr>
        <w:tblW w:w="8765" w:type="dxa"/>
        <w:tblInd w:w="-120" w:type="dxa"/>
        <w:tblLayout w:type="fixed"/>
        <w:tblLook w:val="0000" w:firstRow="0" w:lastRow="0" w:firstColumn="0" w:lastColumn="0" w:noHBand="0" w:noVBand="0"/>
      </w:tblPr>
      <w:tblGrid>
        <w:gridCol w:w="2262"/>
        <w:gridCol w:w="1273"/>
        <w:gridCol w:w="3377"/>
        <w:gridCol w:w="1853"/>
      </w:tblGrid>
      <w:tr w:rsidR="009A2108" w14:paraId="1800AFD3" w14:textId="77777777" w:rsidTr="006012F2">
        <w:tc>
          <w:tcPr>
            <w:tcW w:w="8765" w:type="dxa"/>
            <w:gridSpan w:val="4"/>
            <w:tcBorders>
              <w:top w:val="single" w:sz="4" w:space="0" w:color="000000"/>
              <w:left w:val="single" w:sz="4" w:space="0" w:color="000000"/>
              <w:bottom w:val="single" w:sz="4" w:space="0" w:color="000000"/>
              <w:right w:val="single" w:sz="4" w:space="0" w:color="000000"/>
            </w:tcBorders>
            <w:shd w:val="clear" w:color="auto" w:fill="CCFFCC"/>
          </w:tcPr>
          <w:p w14:paraId="16B0CEF8" w14:textId="77777777" w:rsidR="009A2108" w:rsidRDefault="00796BDE" w:rsidP="006012F2">
            <w:pPr>
              <w:ind w:hanging="2"/>
            </w:pPr>
            <w:r>
              <w:rPr>
                <w:rFonts w:ascii="Arial" w:eastAsia="Arial" w:hAnsi="Arial" w:cs="Arial"/>
                <w:sz w:val="16"/>
                <w:szCs w:val="16"/>
              </w:rPr>
              <w:t>Tabla 2</w:t>
            </w:r>
            <w:r w:rsidR="009A2108">
              <w:rPr>
                <w:rFonts w:ascii="Arial" w:eastAsia="Arial" w:hAnsi="Arial" w:cs="Arial"/>
                <w:sz w:val="16"/>
                <w:szCs w:val="16"/>
              </w:rPr>
              <w:t>. Variables empleadas en el ensayo clínico MAGNITUDE</w:t>
            </w:r>
            <w:r w:rsidR="00B81EB4">
              <w:rPr>
                <w:rFonts w:ascii="Arial" w:eastAsia="Arial" w:hAnsi="Arial" w:cs="Arial"/>
                <w:sz w:val="16"/>
                <w:szCs w:val="16"/>
              </w:rPr>
              <w:t xml:space="preserve"> (</w:t>
            </w:r>
            <w:r w:rsidR="00046C70">
              <w:rPr>
                <w:rFonts w:ascii="Arial" w:eastAsia="Arial" w:hAnsi="Arial" w:cs="Arial"/>
                <w:sz w:val="16"/>
                <w:szCs w:val="16"/>
              </w:rPr>
              <w:t>20</w:t>
            </w:r>
            <w:r w:rsidR="00B81EB4">
              <w:rPr>
                <w:rFonts w:ascii="Arial" w:eastAsia="Arial" w:hAnsi="Arial" w:cs="Arial"/>
                <w:sz w:val="16"/>
                <w:szCs w:val="16"/>
              </w:rPr>
              <w:t>)</w:t>
            </w:r>
          </w:p>
        </w:tc>
      </w:tr>
      <w:tr w:rsidR="009A2108" w14:paraId="036DA39D" w14:textId="77777777" w:rsidTr="006012F2">
        <w:tc>
          <w:tcPr>
            <w:tcW w:w="2262" w:type="dxa"/>
            <w:tcBorders>
              <w:top w:val="single" w:sz="4" w:space="0" w:color="000000"/>
              <w:left w:val="single" w:sz="4" w:space="0" w:color="000000"/>
              <w:bottom w:val="single" w:sz="4" w:space="0" w:color="000000"/>
            </w:tcBorders>
            <w:shd w:val="clear" w:color="auto" w:fill="D9D9D9"/>
          </w:tcPr>
          <w:p w14:paraId="6D66002D" w14:textId="77777777" w:rsidR="009A2108" w:rsidRDefault="009A2108" w:rsidP="006012F2">
            <w:pPr>
              <w:ind w:hanging="2"/>
            </w:pPr>
            <w:r>
              <w:rPr>
                <w:rFonts w:ascii="Arial" w:eastAsia="Arial" w:hAnsi="Arial" w:cs="Arial"/>
                <w:b/>
                <w:sz w:val="16"/>
                <w:szCs w:val="16"/>
              </w:rPr>
              <w:t>EFICACIA</w:t>
            </w:r>
          </w:p>
        </w:tc>
        <w:tc>
          <w:tcPr>
            <w:tcW w:w="1273" w:type="dxa"/>
            <w:tcBorders>
              <w:top w:val="single" w:sz="4" w:space="0" w:color="000000"/>
              <w:left w:val="single" w:sz="4" w:space="0" w:color="000000"/>
              <w:bottom w:val="single" w:sz="4" w:space="0" w:color="000000"/>
            </w:tcBorders>
            <w:shd w:val="clear" w:color="auto" w:fill="D9D9D9"/>
          </w:tcPr>
          <w:p w14:paraId="7D21A5F8" w14:textId="77777777" w:rsidR="009A2108" w:rsidRDefault="009A2108" w:rsidP="006012F2">
            <w:pPr>
              <w:ind w:hanging="2"/>
            </w:pPr>
            <w:r>
              <w:rPr>
                <w:rFonts w:ascii="Arial" w:eastAsia="Arial" w:hAnsi="Arial" w:cs="Arial"/>
                <w:b/>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14:paraId="0EE92364" w14:textId="77777777" w:rsidR="009A2108" w:rsidRDefault="009A2108" w:rsidP="006012F2">
            <w:pPr>
              <w:ind w:hanging="2"/>
            </w:pPr>
            <w:r>
              <w:rPr>
                <w:rFonts w:ascii="Arial" w:eastAsia="Arial" w:hAnsi="Arial" w:cs="Arial"/>
                <w:b/>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14:paraId="20FF7664" w14:textId="77777777" w:rsidR="009A2108" w:rsidRDefault="009A2108" w:rsidP="006012F2">
            <w:pPr>
              <w:tabs>
                <w:tab w:val="left" w:pos="2924"/>
              </w:tabs>
              <w:ind w:hanging="2"/>
            </w:pPr>
            <w:r>
              <w:rPr>
                <w:rFonts w:ascii="Arial" w:eastAsia="Arial" w:hAnsi="Arial" w:cs="Arial"/>
                <w:b/>
                <w:sz w:val="16"/>
                <w:szCs w:val="16"/>
              </w:rPr>
              <w:t>Variable intermedia o final</w:t>
            </w:r>
          </w:p>
        </w:tc>
      </w:tr>
      <w:tr w:rsidR="009A2108" w14:paraId="641743E8" w14:textId="77777777" w:rsidTr="006D5434">
        <w:tc>
          <w:tcPr>
            <w:tcW w:w="2262" w:type="dxa"/>
            <w:tcBorders>
              <w:top w:val="single" w:sz="4" w:space="0" w:color="000000"/>
              <w:left w:val="single" w:sz="4" w:space="0" w:color="000000"/>
              <w:bottom w:val="single" w:sz="4" w:space="0" w:color="000000"/>
            </w:tcBorders>
            <w:shd w:val="clear" w:color="auto" w:fill="auto"/>
            <w:vAlign w:val="center"/>
          </w:tcPr>
          <w:p w14:paraId="202A63E0" w14:textId="77777777" w:rsidR="009A2108" w:rsidRDefault="009A2108" w:rsidP="00FD4896">
            <w:pPr>
              <w:ind w:hanging="2"/>
              <w:jc w:val="center"/>
            </w:pPr>
            <w:r>
              <w:rPr>
                <w:rFonts w:ascii="Arial" w:eastAsia="Arial" w:hAnsi="Arial" w:cs="Arial"/>
                <w:sz w:val="16"/>
                <w:szCs w:val="16"/>
              </w:rPr>
              <w:t>Variable principal</w:t>
            </w:r>
          </w:p>
        </w:tc>
        <w:tc>
          <w:tcPr>
            <w:tcW w:w="1273" w:type="dxa"/>
            <w:tcBorders>
              <w:top w:val="single" w:sz="4" w:space="0" w:color="000000"/>
              <w:left w:val="single" w:sz="4" w:space="0" w:color="000000"/>
              <w:bottom w:val="single" w:sz="4" w:space="0" w:color="000000"/>
            </w:tcBorders>
            <w:shd w:val="clear" w:color="auto" w:fill="auto"/>
            <w:vAlign w:val="center"/>
          </w:tcPr>
          <w:p w14:paraId="154657CD" w14:textId="77777777" w:rsidR="009A2108" w:rsidRDefault="009A2108" w:rsidP="006D5434">
            <w:pPr>
              <w:spacing w:before="40" w:after="40"/>
              <w:ind w:hanging="2"/>
              <w:jc w:val="center"/>
            </w:pPr>
            <w:r>
              <w:rPr>
                <w:rFonts w:ascii="Arial" w:eastAsia="Arial" w:hAnsi="Arial" w:cs="Arial"/>
                <w:sz w:val="16"/>
                <w:szCs w:val="16"/>
              </w:rPr>
              <w:t>Supervivencia libre de progresión radiológica</w:t>
            </w:r>
            <w:r w:rsidR="00BE001B">
              <w:rPr>
                <w:rFonts w:ascii="Arial" w:eastAsia="Arial" w:hAnsi="Arial" w:cs="Arial"/>
                <w:sz w:val="16"/>
                <w:szCs w:val="16"/>
              </w:rPr>
              <w:t xml:space="preserve"> (SLPr)</w:t>
            </w:r>
          </w:p>
        </w:tc>
        <w:tc>
          <w:tcPr>
            <w:tcW w:w="3377" w:type="dxa"/>
            <w:tcBorders>
              <w:top w:val="single" w:sz="4" w:space="0" w:color="000000"/>
              <w:left w:val="single" w:sz="4" w:space="0" w:color="000000"/>
              <w:bottom w:val="single" w:sz="4" w:space="0" w:color="000000"/>
            </w:tcBorders>
            <w:shd w:val="clear" w:color="auto" w:fill="auto"/>
          </w:tcPr>
          <w:p w14:paraId="46A31BA1" w14:textId="77777777" w:rsidR="005A0763" w:rsidRDefault="005A0763" w:rsidP="006012F2">
            <w:pPr>
              <w:ind w:hanging="2"/>
              <w:rPr>
                <w:rFonts w:ascii="Arial" w:eastAsia="Arial" w:hAnsi="Arial" w:cs="Arial"/>
                <w:sz w:val="16"/>
                <w:szCs w:val="16"/>
              </w:rPr>
            </w:pPr>
          </w:p>
          <w:p w14:paraId="7A67C641" w14:textId="7199B979" w:rsidR="0003400F" w:rsidRPr="0003400F" w:rsidRDefault="0003400F" w:rsidP="006D5434">
            <w:pPr>
              <w:ind w:hanging="2"/>
              <w:jc w:val="both"/>
              <w:rPr>
                <w:rFonts w:ascii="Arial" w:eastAsia="Arial" w:hAnsi="Arial" w:cs="Arial"/>
                <w:sz w:val="16"/>
                <w:szCs w:val="16"/>
              </w:rPr>
            </w:pPr>
            <w:r w:rsidRPr="0003400F">
              <w:rPr>
                <w:rFonts w:ascii="Arial" w:eastAsia="Arial" w:hAnsi="Arial" w:cs="Arial"/>
                <w:sz w:val="16"/>
                <w:szCs w:val="16"/>
              </w:rPr>
              <w:t xml:space="preserve">Según el </w:t>
            </w:r>
            <w:r>
              <w:rPr>
                <w:rFonts w:ascii="Arial" w:eastAsia="Arial" w:hAnsi="Arial" w:cs="Arial"/>
                <w:sz w:val="16"/>
                <w:szCs w:val="16"/>
              </w:rPr>
              <w:t>comité de evaluación independiente</w:t>
            </w:r>
            <w:r w:rsidRPr="0003400F">
              <w:rPr>
                <w:rFonts w:ascii="Arial" w:eastAsia="Arial" w:hAnsi="Arial" w:cs="Arial"/>
                <w:sz w:val="16"/>
                <w:szCs w:val="16"/>
              </w:rPr>
              <w:t>, la SLPr es el intervalo de tiempo desde la fecha de aleatorización hasta la progresión radiográfica o la muerte, lo que ocurra primero. La progresión radiográfica se determinó mediante: 1) progresión de las lesiones de tejidos blandos medida mediante tomografía computarizada (TC) o resonancia magnética (RM) según los criterios de evaluación de la respuesta en tumores sólidos (RECIST) 1.1</w:t>
            </w:r>
            <w:r w:rsidR="00A524FC">
              <w:rPr>
                <w:rFonts w:ascii="Arial" w:eastAsia="Arial" w:hAnsi="Arial" w:cs="Arial"/>
                <w:sz w:val="16"/>
                <w:szCs w:val="16"/>
              </w:rPr>
              <w:t xml:space="preserve"> (23)</w:t>
            </w:r>
            <w:r w:rsidRPr="0003400F">
              <w:rPr>
                <w:rFonts w:ascii="Arial" w:eastAsia="Arial" w:hAnsi="Arial" w:cs="Arial"/>
                <w:sz w:val="16"/>
                <w:szCs w:val="16"/>
              </w:rPr>
              <w:t>; 2) progresión de las lesiones óseas observada mediante gammagrafía ósea basada en los criterios del grupo de trabajo 3 sobre cáncer de próstata (PCWG3). Criterios PCWG3: la progresión ósea se confirmó mediante una gammagrafía posterior mayor o igual a (&gt;=) 6 semanas después. La gammagrafía de la semana 8 fue la referencia con la que se compararon todas las gammagrafías posteriores para determinar la progresión. Una gammagrafía confirmatoria &gt;=2 lesiones nuevas indica progresión; una gammagraf</w:t>
            </w:r>
            <w:r w:rsidR="00516CE2">
              <w:rPr>
                <w:rFonts w:ascii="Arial" w:eastAsia="Arial" w:hAnsi="Arial" w:cs="Arial"/>
                <w:sz w:val="16"/>
                <w:szCs w:val="16"/>
              </w:rPr>
              <w:t xml:space="preserve">ía que no muestra &gt;= 2 lesiones </w:t>
            </w:r>
            <w:r w:rsidRPr="0003400F">
              <w:rPr>
                <w:rFonts w:ascii="Arial" w:eastAsia="Arial" w:hAnsi="Arial" w:cs="Arial"/>
                <w:sz w:val="16"/>
                <w:szCs w:val="16"/>
              </w:rPr>
              <w:t>nuevas significa que no ha habido progresión. Si la gammagrafía de la semana 8 muestra menos de (&lt;) 2 lesiones óseas nuevas en comparación con el valor basal, la gammagrafía inicial &gt;=2 lesiones nuevas en comparación con la gammagrafía de la semana 8 indica progresión si se confirma mediante una gammagrafía posterior &gt;=6 semanas después.</w:t>
            </w:r>
          </w:p>
          <w:p w14:paraId="7A2D927D" w14:textId="77777777" w:rsidR="009A2108" w:rsidRDefault="009A2108" w:rsidP="006012F2">
            <w:pPr>
              <w:widowControl w:val="0"/>
              <w:spacing w:after="240"/>
              <w:ind w:hanging="2"/>
              <w:rPr>
                <w:rFonts w:ascii="Arial" w:eastAsia="Arial" w:hAnsi="Arial" w:cs="Arial"/>
                <w:sz w:val="16"/>
                <w:szCs w:val="16"/>
              </w:rPr>
            </w:pPr>
          </w:p>
          <w:p w14:paraId="4159AE63" w14:textId="77777777" w:rsidR="009A2108" w:rsidRDefault="009A2108" w:rsidP="006012F2">
            <w:pPr>
              <w:shd w:val="clear" w:color="auto" w:fill="FFFFFF"/>
              <w:spacing w:before="280"/>
              <w:ind w:hanging="2"/>
              <w:rPr>
                <w:rFonts w:ascii="Arial" w:eastAsia="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883D1E0" w14:textId="77777777" w:rsidR="009A2108" w:rsidRDefault="009A2108" w:rsidP="00D52EA4">
            <w:pPr>
              <w:tabs>
                <w:tab w:val="left" w:pos="2924"/>
              </w:tabs>
              <w:ind w:hanging="2"/>
              <w:jc w:val="center"/>
            </w:pPr>
            <w:r>
              <w:rPr>
                <w:rFonts w:ascii="Arial" w:eastAsia="Arial" w:hAnsi="Arial" w:cs="Arial"/>
                <w:sz w:val="16"/>
                <w:szCs w:val="16"/>
              </w:rPr>
              <w:t>Intermedia</w:t>
            </w:r>
          </w:p>
        </w:tc>
      </w:tr>
      <w:tr w:rsidR="00FD4896" w14:paraId="463D1A7F" w14:textId="77777777" w:rsidTr="006D5434">
        <w:trPr>
          <w:cantSplit/>
          <w:trHeight w:val="389"/>
        </w:trPr>
        <w:tc>
          <w:tcPr>
            <w:tcW w:w="2262" w:type="dxa"/>
            <w:vMerge w:val="restart"/>
            <w:tcBorders>
              <w:top w:val="single" w:sz="4" w:space="0" w:color="000000"/>
              <w:left w:val="single" w:sz="4" w:space="0" w:color="000000"/>
              <w:bottom w:val="single" w:sz="4" w:space="0" w:color="auto"/>
            </w:tcBorders>
            <w:shd w:val="clear" w:color="auto" w:fill="auto"/>
            <w:vAlign w:val="center"/>
          </w:tcPr>
          <w:p w14:paraId="6B950AB3" w14:textId="77777777" w:rsidR="00FD4896" w:rsidRDefault="00FD4896" w:rsidP="00FD4896">
            <w:pPr>
              <w:ind w:hanging="2"/>
              <w:jc w:val="center"/>
            </w:pPr>
            <w:r>
              <w:rPr>
                <w:rFonts w:ascii="Arial" w:eastAsia="Arial" w:hAnsi="Arial" w:cs="Arial"/>
                <w:sz w:val="16"/>
                <w:szCs w:val="16"/>
              </w:rPr>
              <w:t>Variables secundarias</w:t>
            </w:r>
          </w:p>
        </w:tc>
        <w:tc>
          <w:tcPr>
            <w:tcW w:w="1273" w:type="dxa"/>
            <w:tcBorders>
              <w:top w:val="single" w:sz="4" w:space="0" w:color="000000"/>
              <w:left w:val="single" w:sz="4" w:space="0" w:color="000000"/>
              <w:bottom w:val="single" w:sz="4" w:space="0" w:color="000000"/>
            </w:tcBorders>
            <w:shd w:val="clear" w:color="auto" w:fill="auto"/>
            <w:vAlign w:val="center"/>
          </w:tcPr>
          <w:p w14:paraId="4FC852B0" w14:textId="77777777" w:rsidR="00FD4896" w:rsidRDefault="00FD4896" w:rsidP="006D5434">
            <w:pPr>
              <w:ind w:hanging="2"/>
              <w:jc w:val="center"/>
            </w:pPr>
            <w:r>
              <w:rPr>
                <w:rFonts w:ascii="Arial" w:eastAsia="Arial" w:hAnsi="Arial" w:cs="Arial"/>
                <w:sz w:val="16"/>
                <w:szCs w:val="16"/>
              </w:rPr>
              <w:t>Tiempo hasta progresión sintomática</w:t>
            </w:r>
            <w:r w:rsidR="00692B5C">
              <w:rPr>
                <w:rFonts w:ascii="Arial" w:eastAsia="Arial" w:hAnsi="Arial" w:cs="Arial"/>
                <w:sz w:val="16"/>
                <w:szCs w:val="16"/>
              </w:rPr>
              <w:t xml:space="preserve"> (TPS)</w:t>
            </w:r>
          </w:p>
        </w:tc>
        <w:tc>
          <w:tcPr>
            <w:tcW w:w="3377" w:type="dxa"/>
            <w:tcBorders>
              <w:top w:val="single" w:sz="4" w:space="0" w:color="000000"/>
              <w:left w:val="single" w:sz="4" w:space="0" w:color="000000"/>
              <w:bottom w:val="single" w:sz="4" w:space="0" w:color="000000"/>
            </w:tcBorders>
            <w:shd w:val="clear" w:color="auto" w:fill="auto"/>
          </w:tcPr>
          <w:p w14:paraId="531905E0" w14:textId="77777777" w:rsidR="00FD4896" w:rsidRPr="00E75126" w:rsidRDefault="00FD4896" w:rsidP="006D5434">
            <w:pPr>
              <w:ind w:hanging="2"/>
              <w:jc w:val="both"/>
              <w:rPr>
                <w:rFonts w:ascii="Arial" w:eastAsia="Arial" w:hAnsi="Arial" w:cs="Arial"/>
                <w:sz w:val="16"/>
                <w:szCs w:val="16"/>
              </w:rPr>
            </w:pPr>
            <w:r>
              <w:rPr>
                <w:rFonts w:ascii="Arial" w:eastAsia="Arial" w:hAnsi="Arial" w:cs="Arial"/>
                <w:sz w:val="16"/>
                <w:szCs w:val="16"/>
              </w:rPr>
              <w:t xml:space="preserve">Tiempo hasta </w:t>
            </w:r>
            <w:r w:rsidRPr="00E75126">
              <w:rPr>
                <w:rFonts w:ascii="Arial" w:eastAsia="Arial" w:hAnsi="Arial" w:cs="Arial"/>
                <w:sz w:val="16"/>
                <w:szCs w:val="16"/>
              </w:rPr>
              <w:t xml:space="preserve"> la necesidad de iniciar/registrar cualquiera de los siguientes: a. el uso de radioterapia de haz externo (EBRT) para síntomas esqueléticos; b. la necesidad de intervención quirúrgica ortopédica relacionada con el tumor; c. otros procedimientos relacionados con el cáncer (por ejemplo: inserción de nefrostomía, inserción de sonda vesical, EBRT o cirugía para síntomas tumorales distintos de los esqueléticos); d. acontecimientos mórbidos relacionados con el cáncer (por ejemplo: fractura [sintomática y/o patológica, compresión de la médula, acontecimientos obstructivos urinarios); e. inicio de un nuevo tratamiento sistémico contra el cáncer debido al dolor oncológico.</w:t>
            </w:r>
          </w:p>
          <w:p w14:paraId="02033759" w14:textId="77777777" w:rsidR="00FD4896" w:rsidRDefault="00FD4896" w:rsidP="006D5434">
            <w:pPr>
              <w:ind w:hanging="2"/>
              <w:jc w:val="both"/>
              <w:rPr>
                <w:rFonts w:ascii="Arial" w:eastAsia="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06F040F" w14:textId="77777777" w:rsidR="00FD4896" w:rsidRDefault="00FD4896" w:rsidP="00D52EA4">
            <w:pPr>
              <w:ind w:hanging="2"/>
              <w:jc w:val="center"/>
            </w:pPr>
            <w:r>
              <w:rPr>
                <w:rFonts w:ascii="Arial" w:eastAsia="Arial" w:hAnsi="Arial" w:cs="Arial"/>
                <w:sz w:val="16"/>
                <w:szCs w:val="16"/>
              </w:rPr>
              <w:t>Intermedia</w:t>
            </w:r>
          </w:p>
          <w:p w14:paraId="4DFB8C2B" w14:textId="77777777" w:rsidR="00FD4896" w:rsidRDefault="00FD4896" w:rsidP="00D52EA4">
            <w:pPr>
              <w:tabs>
                <w:tab w:val="left" w:pos="2924"/>
              </w:tabs>
              <w:ind w:hanging="2"/>
              <w:jc w:val="center"/>
            </w:pPr>
          </w:p>
        </w:tc>
      </w:tr>
      <w:tr w:rsidR="00FD4896" w14:paraId="1323E80D" w14:textId="77777777" w:rsidTr="006D5434">
        <w:trPr>
          <w:cantSplit/>
          <w:trHeight w:val="572"/>
        </w:trPr>
        <w:tc>
          <w:tcPr>
            <w:tcW w:w="2262" w:type="dxa"/>
            <w:vMerge/>
            <w:tcBorders>
              <w:left w:val="single" w:sz="4" w:space="0" w:color="000000"/>
              <w:bottom w:val="single" w:sz="4" w:space="0" w:color="auto"/>
            </w:tcBorders>
            <w:shd w:val="clear" w:color="auto" w:fill="auto"/>
          </w:tcPr>
          <w:p w14:paraId="312E61EA" w14:textId="77777777" w:rsidR="00FD4896" w:rsidRDefault="00FD4896" w:rsidP="006012F2">
            <w:pPr>
              <w:widowControl w:val="0"/>
              <w:pBdr>
                <w:top w:val="nil"/>
                <w:left w:val="nil"/>
                <w:bottom w:val="nil"/>
                <w:right w:val="nil"/>
                <w:between w:val="nil"/>
              </w:pBdr>
              <w:spacing w:line="276" w:lineRule="auto"/>
              <w:ind w:hanging="2"/>
            </w:pPr>
          </w:p>
        </w:tc>
        <w:tc>
          <w:tcPr>
            <w:tcW w:w="1273" w:type="dxa"/>
            <w:tcBorders>
              <w:top w:val="single" w:sz="4" w:space="0" w:color="000000"/>
              <w:left w:val="single" w:sz="4" w:space="0" w:color="000000"/>
              <w:bottom w:val="single" w:sz="4" w:space="0" w:color="000000"/>
            </w:tcBorders>
            <w:shd w:val="clear" w:color="auto" w:fill="auto"/>
            <w:vAlign w:val="center"/>
          </w:tcPr>
          <w:p w14:paraId="5B6F1770" w14:textId="77777777" w:rsidR="00FD4896" w:rsidRDefault="00FD4896" w:rsidP="006D5434">
            <w:pPr>
              <w:ind w:hanging="2"/>
              <w:jc w:val="center"/>
              <w:rPr>
                <w:rFonts w:ascii="Arial" w:eastAsia="Arial" w:hAnsi="Arial" w:cs="Arial"/>
                <w:sz w:val="16"/>
                <w:szCs w:val="16"/>
              </w:rPr>
            </w:pPr>
            <w:r>
              <w:rPr>
                <w:rFonts w:ascii="Arial" w:eastAsia="Arial" w:hAnsi="Arial" w:cs="Arial"/>
                <w:sz w:val="16"/>
                <w:szCs w:val="16"/>
              </w:rPr>
              <w:t>Tiempo hasta inicio de tratamiento citotóxico quimioterápico</w:t>
            </w:r>
          </w:p>
        </w:tc>
        <w:tc>
          <w:tcPr>
            <w:tcW w:w="3377" w:type="dxa"/>
            <w:tcBorders>
              <w:top w:val="single" w:sz="4" w:space="0" w:color="000000"/>
              <w:left w:val="single" w:sz="4" w:space="0" w:color="000000"/>
              <w:bottom w:val="single" w:sz="4" w:space="0" w:color="000000"/>
            </w:tcBorders>
            <w:shd w:val="clear" w:color="auto" w:fill="auto"/>
          </w:tcPr>
          <w:p w14:paraId="4FE2FDD3" w14:textId="77777777" w:rsidR="00FD4896" w:rsidRDefault="00FD4896" w:rsidP="006D5434">
            <w:pPr>
              <w:ind w:hanging="2"/>
              <w:jc w:val="both"/>
              <w:rPr>
                <w:rFonts w:ascii="Arial" w:eastAsia="Arial" w:hAnsi="Arial" w:cs="Arial"/>
                <w:sz w:val="16"/>
                <w:szCs w:val="16"/>
              </w:rPr>
            </w:pPr>
            <w:r>
              <w:rPr>
                <w:rFonts w:ascii="Arial" w:eastAsia="Arial" w:hAnsi="Arial" w:cs="Arial"/>
                <w:sz w:val="16"/>
                <w:szCs w:val="16"/>
              </w:rPr>
              <w:t>T</w:t>
            </w:r>
            <w:r w:rsidRPr="00E75126">
              <w:rPr>
                <w:rFonts w:ascii="Arial" w:eastAsia="Arial" w:hAnsi="Arial" w:cs="Arial"/>
                <w:sz w:val="16"/>
                <w:szCs w:val="16"/>
              </w:rPr>
              <w:t xml:space="preserve">iempo transcurrido desde la fecha de aleatorización hasta la fecha de inicio de la quimioterapia citotóxica para el </w:t>
            </w:r>
            <w:r>
              <w:rPr>
                <w:rFonts w:ascii="Arial" w:eastAsia="Arial" w:hAnsi="Arial" w:cs="Arial"/>
                <w:sz w:val="16"/>
                <w:szCs w:val="16"/>
              </w:rPr>
              <w:t>CP.</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2307532" w14:textId="77777777" w:rsidR="00FD4896" w:rsidRDefault="00FD4896" w:rsidP="00D52EA4">
            <w:pPr>
              <w:ind w:hanging="2"/>
              <w:jc w:val="center"/>
            </w:pPr>
            <w:r>
              <w:rPr>
                <w:rFonts w:ascii="Arial" w:eastAsia="Arial" w:hAnsi="Arial" w:cs="Arial"/>
                <w:sz w:val="16"/>
                <w:szCs w:val="16"/>
              </w:rPr>
              <w:t>Intermedia</w:t>
            </w:r>
          </w:p>
          <w:p w14:paraId="280CEE6F" w14:textId="77777777" w:rsidR="00FD4896" w:rsidRDefault="00FD4896" w:rsidP="00D52EA4">
            <w:pPr>
              <w:tabs>
                <w:tab w:val="left" w:pos="2924"/>
              </w:tabs>
              <w:ind w:hanging="2"/>
              <w:jc w:val="center"/>
            </w:pPr>
          </w:p>
        </w:tc>
      </w:tr>
      <w:tr w:rsidR="00FD4896" w14:paraId="1018B585" w14:textId="77777777" w:rsidTr="006D5434">
        <w:trPr>
          <w:cantSplit/>
          <w:trHeight w:val="572"/>
        </w:trPr>
        <w:tc>
          <w:tcPr>
            <w:tcW w:w="2262" w:type="dxa"/>
            <w:vMerge/>
            <w:tcBorders>
              <w:left w:val="single" w:sz="4" w:space="0" w:color="000000"/>
              <w:bottom w:val="single" w:sz="4" w:space="0" w:color="auto"/>
            </w:tcBorders>
            <w:shd w:val="clear" w:color="auto" w:fill="auto"/>
          </w:tcPr>
          <w:p w14:paraId="6389F863" w14:textId="77777777" w:rsidR="00FD4896" w:rsidRDefault="00FD4896" w:rsidP="006012F2">
            <w:pPr>
              <w:widowControl w:val="0"/>
              <w:pBdr>
                <w:top w:val="nil"/>
                <w:left w:val="nil"/>
                <w:bottom w:val="nil"/>
                <w:right w:val="nil"/>
                <w:between w:val="nil"/>
              </w:pBdr>
              <w:spacing w:line="276" w:lineRule="auto"/>
              <w:ind w:hanging="2"/>
            </w:pPr>
          </w:p>
        </w:tc>
        <w:tc>
          <w:tcPr>
            <w:tcW w:w="1273" w:type="dxa"/>
            <w:tcBorders>
              <w:top w:val="single" w:sz="4" w:space="0" w:color="000000"/>
              <w:left w:val="single" w:sz="4" w:space="0" w:color="000000"/>
              <w:bottom w:val="single" w:sz="4" w:space="0" w:color="000000"/>
            </w:tcBorders>
            <w:shd w:val="clear" w:color="auto" w:fill="auto"/>
            <w:vAlign w:val="center"/>
          </w:tcPr>
          <w:p w14:paraId="3F0ADA9C" w14:textId="77777777" w:rsidR="00FD4896" w:rsidRDefault="00FD4896" w:rsidP="006D5434">
            <w:pPr>
              <w:ind w:hanging="2"/>
              <w:jc w:val="center"/>
              <w:rPr>
                <w:rFonts w:ascii="Arial" w:eastAsia="Arial" w:hAnsi="Arial" w:cs="Arial"/>
                <w:sz w:val="16"/>
                <w:szCs w:val="16"/>
              </w:rPr>
            </w:pPr>
            <w:r>
              <w:rPr>
                <w:rFonts w:ascii="Arial" w:eastAsia="Arial" w:hAnsi="Arial" w:cs="Arial"/>
                <w:sz w:val="16"/>
                <w:szCs w:val="16"/>
              </w:rPr>
              <w:t>Supervivencia global</w:t>
            </w:r>
            <w:r w:rsidR="00120A46">
              <w:rPr>
                <w:rFonts w:ascii="Arial" w:eastAsia="Arial" w:hAnsi="Arial" w:cs="Arial"/>
                <w:sz w:val="16"/>
                <w:szCs w:val="16"/>
              </w:rPr>
              <w:t xml:space="preserve"> (SG)</w:t>
            </w:r>
          </w:p>
        </w:tc>
        <w:tc>
          <w:tcPr>
            <w:tcW w:w="3377" w:type="dxa"/>
            <w:tcBorders>
              <w:top w:val="single" w:sz="4" w:space="0" w:color="000000"/>
              <w:left w:val="single" w:sz="4" w:space="0" w:color="000000"/>
              <w:bottom w:val="single" w:sz="4" w:space="0" w:color="000000"/>
            </w:tcBorders>
            <w:shd w:val="clear" w:color="auto" w:fill="auto"/>
          </w:tcPr>
          <w:p w14:paraId="1E717B0D" w14:textId="77777777" w:rsidR="00FD4896" w:rsidRDefault="00FD4896" w:rsidP="006D5434">
            <w:pPr>
              <w:spacing w:line="308" w:lineRule="auto"/>
              <w:ind w:hanging="2"/>
              <w:jc w:val="both"/>
              <w:rPr>
                <w:rFonts w:ascii="Arial" w:eastAsia="Arial" w:hAnsi="Arial" w:cs="Arial"/>
                <w:sz w:val="16"/>
                <w:szCs w:val="16"/>
              </w:rPr>
            </w:pPr>
            <w:r>
              <w:rPr>
                <w:rFonts w:ascii="Arial" w:eastAsia="Arial" w:hAnsi="Arial" w:cs="Arial"/>
                <w:sz w:val="16"/>
                <w:szCs w:val="16"/>
              </w:rPr>
              <w:t>T</w:t>
            </w:r>
            <w:r w:rsidRPr="00E75126">
              <w:rPr>
                <w:rFonts w:ascii="Arial" w:eastAsia="Arial" w:hAnsi="Arial" w:cs="Arial"/>
                <w:sz w:val="16"/>
                <w:szCs w:val="16"/>
              </w:rPr>
              <w:t>iempo transcurrido desde la fecha de aleatorización hasta la fecha de fallecimiento por cualquier causa.</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28A562D" w14:textId="77777777" w:rsidR="00FD4896" w:rsidRDefault="00FD4896" w:rsidP="00D52EA4">
            <w:pPr>
              <w:ind w:hanging="2"/>
              <w:jc w:val="center"/>
              <w:rPr>
                <w:rFonts w:ascii="Arial" w:eastAsia="Arial" w:hAnsi="Arial" w:cs="Arial"/>
                <w:sz w:val="16"/>
                <w:szCs w:val="16"/>
              </w:rPr>
            </w:pPr>
            <w:r>
              <w:rPr>
                <w:rFonts w:ascii="Arial" w:eastAsia="Arial" w:hAnsi="Arial" w:cs="Arial"/>
                <w:sz w:val="16"/>
                <w:szCs w:val="16"/>
              </w:rPr>
              <w:t>Final</w:t>
            </w:r>
          </w:p>
        </w:tc>
      </w:tr>
      <w:tr w:rsidR="00FD4896" w14:paraId="46C1F5DF" w14:textId="77777777" w:rsidTr="006D5434">
        <w:trPr>
          <w:cantSplit/>
          <w:trHeight w:val="572"/>
        </w:trPr>
        <w:tc>
          <w:tcPr>
            <w:tcW w:w="2262" w:type="dxa"/>
            <w:vMerge w:val="restart"/>
            <w:tcBorders>
              <w:left w:val="single" w:sz="4" w:space="0" w:color="000000"/>
              <w:bottom w:val="single" w:sz="4" w:space="0" w:color="auto"/>
            </w:tcBorders>
            <w:shd w:val="clear" w:color="auto" w:fill="auto"/>
            <w:vAlign w:val="center"/>
          </w:tcPr>
          <w:p w14:paraId="1EF87980" w14:textId="77777777" w:rsidR="00FD4896" w:rsidRDefault="00D52EA4" w:rsidP="00D52EA4">
            <w:pPr>
              <w:pBdr>
                <w:top w:val="nil"/>
                <w:left w:val="nil"/>
                <w:bottom w:val="nil"/>
                <w:right w:val="nil"/>
                <w:between w:val="nil"/>
              </w:pBdr>
              <w:ind w:hanging="2"/>
              <w:jc w:val="center"/>
            </w:pPr>
            <w:r w:rsidRPr="00D52EA4">
              <w:rPr>
                <w:rFonts w:ascii="Arial" w:eastAsia="Arial" w:hAnsi="Arial" w:cs="Arial"/>
                <w:sz w:val="16"/>
                <w:szCs w:val="16"/>
              </w:rPr>
              <w:t>Otras variables</w:t>
            </w:r>
          </w:p>
        </w:tc>
        <w:tc>
          <w:tcPr>
            <w:tcW w:w="1273" w:type="dxa"/>
            <w:tcBorders>
              <w:top w:val="single" w:sz="4" w:space="0" w:color="000000"/>
              <w:left w:val="single" w:sz="4" w:space="0" w:color="000000"/>
              <w:bottom w:val="single" w:sz="4" w:space="0" w:color="000000"/>
            </w:tcBorders>
            <w:shd w:val="clear" w:color="auto" w:fill="auto"/>
            <w:vAlign w:val="center"/>
          </w:tcPr>
          <w:p w14:paraId="3D59E73C" w14:textId="77777777" w:rsidR="00FD4896" w:rsidRDefault="00FD4896" w:rsidP="006D5434">
            <w:pPr>
              <w:ind w:hanging="2"/>
              <w:jc w:val="center"/>
              <w:rPr>
                <w:rFonts w:ascii="Arial" w:eastAsia="Arial" w:hAnsi="Arial" w:cs="Arial"/>
                <w:sz w:val="16"/>
                <w:szCs w:val="16"/>
              </w:rPr>
            </w:pPr>
            <w:r>
              <w:rPr>
                <w:rFonts w:ascii="Arial" w:eastAsia="Arial" w:hAnsi="Arial" w:cs="Arial"/>
                <w:sz w:val="16"/>
                <w:szCs w:val="16"/>
              </w:rPr>
              <w:t>Tiempo hasta progresión de niveles PSA</w:t>
            </w:r>
          </w:p>
        </w:tc>
        <w:tc>
          <w:tcPr>
            <w:tcW w:w="3377" w:type="dxa"/>
            <w:tcBorders>
              <w:top w:val="single" w:sz="4" w:space="0" w:color="000000"/>
              <w:left w:val="single" w:sz="4" w:space="0" w:color="000000"/>
              <w:bottom w:val="single" w:sz="4" w:space="0" w:color="000000"/>
            </w:tcBorders>
            <w:shd w:val="clear" w:color="auto" w:fill="auto"/>
          </w:tcPr>
          <w:p w14:paraId="154AAB71" w14:textId="5B3F4370" w:rsidR="0051263A" w:rsidRDefault="00B93F21" w:rsidP="00470336">
            <w:pPr>
              <w:spacing w:line="308" w:lineRule="auto"/>
              <w:ind w:left="-2"/>
              <w:jc w:val="both"/>
              <w:rPr>
                <w:rFonts w:ascii="Arial" w:eastAsia="Arial" w:hAnsi="Arial" w:cs="Arial"/>
                <w:sz w:val="16"/>
                <w:szCs w:val="16"/>
              </w:rPr>
            </w:pPr>
            <w:r>
              <w:rPr>
                <w:rFonts w:ascii="Arial" w:eastAsia="Arial" w:hAnsi="Arial" w:cs="Arial"/>
                <w:sz w:val="16"/>
                <w:szCs w:val="16"/>
              </w:rPr>
              <w:t>T</w:t>
            </w:r>
            <w:r w:rsidRPr="00FD4896">
              <w:rPr>
                <w:rFonts w:ascii="Arial" w:eastAsia="Arial" w:hAnsi="Arial" w:cs="Arial"/>
                <w:sz w:val="16"/>
                <w:szCs w:val="16"/>
              </w:rPr>
              <w:t xml:space="preserve">iempo </w:t>
            </w:r>
            <w:r w:rsidR="00FD4896" w:rsidRPr="00FD4896">
              <w:rPr>
                <w:rFonts w:ascii="Arial" w:eastAsia="Arial" w:hAnsi="Arial" w:cs="Arial"/>
                <w:sz w:val="16"/>
                <w:szCs w:val="16"/>
              </w:rPr>
              <w:t>transcurrido desde la aleatorización hasta la primera fecha documentada</w:t>
            </w:r>
            <w:r w:rsidR="00FD4896">
              <w:rPr>
                <w:rFonts w:ascii="Arial" w:eastAsia="Arial" w:hAnsi="Arial" w:cs="Arial"/>
                <w:sz w:val="16"/>
                <w:szCs w:val="16"/>
              </w:rPr>
              <w:t xml:space="preserve"> de</w:t>
            </w:r>
            <w:r>
              <w:rPr>
                <w:rFonts w:ascii="Arial" w:eastAsia="Arial" w:hAnsi="Arial" w:cs="Arial"/>
                <w:sz w:val="16"/>
                <w:szCs w:val="16"/>
              </w:rPr>
              <w:t xml:space="preserve"> </w:t>
            </w:r>
            <w:r w:rsidR="00FD4896" w:rsidRPr="00FD4896">
              <w:rPr>
                <w:rFonts w:ascii="Arial" w:eastAsia="Arial" w:hAnsi="Arial" w:cs="Arial"/>
                <w:sz w:val="16"/>
                <w:szCs w:val="16"/>
              </w:rPr>
              <w:t>progresión del antígeno prostático específico según los criterios del PCWG3</w:t>
            </w:r>
            <w:r w:rsidR="008447BD">
              <w:rPr>
                <w:rStyle w:val="Refdenotaalfinal"/>
                <w:rFonts w:ascii="Arial" w:eastAsia="Arial" w:hAnsi="Arial" w:cs="Arial"/>
                <w:sz w:val="16"/>
                <w:szCs w:val="16"/>
              </w:rPr>
              <w:endnoteReference w:id="3"/>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C9FBA7B" w14:textId="77777777" w:rsidR="00FD4896" w:rsidRDefault="008447BD" w:rsidP="00D52EA4">
            <w:pPr>
              <w:ind w:hanging="2"/>
              <w:jc w:val="center"/>
              <w:rPr>
                <w:rFonts w:ascii="Arial" w:eastAsia="Arial" w:hAnsi="Arial" w:cs="Arial"/>
                <w:sz w:val="16"/>
                <w:szCs w:val="16"/>
              </w:rPr>
            </w:pPr>
            <w:r>
              <w:rPr>
                <w:rFonts w:ascii="Arial" w:eastAsia="Arial" w:hAnsi="Arial" w:cs="Arial"/>
                <w:sz w:val="16"/>
                <w:szCs w:val="16"/>
              </w:rPr>
              <w:t>Intermedia</w:t>
            </w:r>
          </w:p>
        </w:tc>
      </w:tr>
      <w:tr w:rsidR="00D52EA4" w14:paraId="38A2E134" w14:textId="77777777" w:rsidTr="006D5434">
        <w:trPr>
          <w:cantSplit/>
          <w:trHeight w:val="572"/>
        </w:trPr>
        <w:tc>
          <w:tcPr>
            <w:tcW w:w="2262" w:type="dxa"/>
            <w:vMerge/>
            <w:tcBorders>
              <w:left w:val="single" w:sz="4" w:space="0" w:color="000000"/>
              <w:bottom w:val="single" w:sz="4" w:space="0" w:color="auto"/>
            </w:tcBorders>
            <w:shd w:val="clear" w:color="auto" w:fill="auto"/>
            <w:vAlign w:val="center"/>
          </w:tcPr>
          <w:p w14:paraId="1A024926" w14:textId="77777777" w:rsidR="00D52EA4" w:rsidRPr="00D52EA4" w:rsidRDefault="00D52EA4" w:rsidP="00D52EA4">
            <w:pPr>
              <w:pBdr>
                <w:top w:val="nil"/>
                <w:left w:val="nil"/>
                <w:bottom w:val="nil"/>
                <w:right w:val="nil"/>
                <w:between w:val="nil"/>
              </w:pBdr>
              <w:ind w:hanging="2"/>
              <w:jc w:val="center"/>
              <w:rPr>
                <w:rFonts w:ascii="Arial" w:eastAsia="Arial" w:hAnsi="Arial" w:cs="Arial"/>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14:paraId="64BD082D" w14:textId="77777777" w:rsidR="00D52EA4" w:rsidRDefault="00D52EA4" w:rsidP="006D5434">
            <w:pPr>
              <w:ind w:hanging="2"/>
              <w:jc w:val="center"/>
              <w:rPr>
                <w:rFonts w:ascii="Arial" w:eastAsia="Arial" w:hAnsi="Arial" w:cs="Arial"/>
                <w:sz w:val="16"/>
                <w:szCs w:val="16"/>
              </w:rPr>
            </w:pPr>
            <w:r>
              <w:rPr>
                <w:rFonts w:ascii="Arial" w:eastAsia="Arial" w:hAnsi="Arial" w:cs="Arial"/>
                <w:sz w:val="16"/>
                <w:szCs w:val="16"/>
              </w:rPr>
              <w:t>Tiempo hasta progresión del dolor (TPD)</w:t>
            </w:r>
          </w:p>
        </w:tc>
        <w:tc>
          <w:tcPr>
            <w:tcW w:w="3377" w:type="dxa"/>
            <w:tcBorders>
              <w:top w:val="single" w:sz="4" w:space="0" w:color="000000"/>
              <w:left w:val="single" w:sz="4" w:space="0" w:color="000000"/>
              <w:bottom w:val="single" w:sz="4" w:space="0" w:color="000000"/>
            </w:tcBorders>
            <w:shd w:val="clear" w:color="auto" w:fill="auto"/>
          </w:tcPr>
          <w:p w14:paraId="42EF8A3A" w14:textId="77777777" w:rsidR="00D52EA4" w:rsidRPr="00D52EA4" w:rsidRDefault="00D52EA4" w:rsidP="006D5434">
            <w:pPr>
              <w:spacing w:line="308" w:lineRule="auto"/>
              <w:ind w:hanging="2"/>
              <w:jc w:val="both"/>
              <w:rPr>
                <w:rFonts w:ascii="Arial" w:eastAsia="Arial" w:hAnsi="Arial" w:cs="Arial"/>
                <w:sz w:val="16"/>
                <w:szCs w:val="16"/>
              </w:rPr>
            </w:pPr>
            <w:r>
              <w:rPr>
                <w:rFonts w:ascii="Arial" w:eastAsia="Arial" w:hAnsi="Arial" w:cs="Arial"/>
                <w:sz w:val="16"/>
                <w:szCs w:val="16"/>
              </w:rPr>
              <w:t>T</w:t>
            </w:r>
            <w:r w:rsidRPr="00D52EA4">
              <w:rPr>
                <w:rFonts w:ascii="Arial" w:eastAsia="Arial" w:hAnsi="Arial" w:cs="Arial"/>
                <w:sz w:val="16"/>
                <w:szCs w:val="16"/>
              </w:rPr>
              <w:t>iempo transcurrido desde la fecha de aleatorización hasta la fecha de la</w:t>
            </w:r>
          </w:p>
          <w:p w14:paraId="7A96B1C7" w14:textId="77777777" w:rsidR="00D52EA4" w:rsidRPr="00D52EA4" w:rsidRDefault="00D52EA4" w:rsidP="006D5434">
            <w:pPr>
              <w:spacing w:line="308" w:lineRule="auto"/>
              <w:ind w:hanging="2"/>
              <w:jc w:val="both"/>
              <w:rPr>
                <w:rFonts w:ascii="Arial" w:eastAsia="Arial" w:hAnsi="Arial" w:cs="Arial"/>
                <w:sz w:val="16"/>
                <w:szCs w:val="16"/>
              </w:rPr>
            </w:pPr>
            <w:r w:rsidRPr="00D52EA4">
              <w:rPr>
                <w:rFonts w:ascii="Arial" w:eastAsia="Arial" w:hAnsi="Arial" w:cs="Arial"/>
                <w:sz w:val="16"/>
                <w:szCs w:val="16"/>
              </w:rPr>
              <w:t>primera observación de progresión del dolor. La progresión del dolor se define como un aumento de al menos</w:t>
            </w:r>
          </w:p>
          <w:p w14:paraId="022F0FEA" w14:textId="77777777" w:rsidR="00D52EA4" w:rsidRPr="00FD4896" w:rsidRDefault="00D52EA4" w:rsidP="006D5434">
            <w:pPr>
              <w:spacing w:line="308" w:lineRule="auto"/>
              <w:ind w:hanging="2"/>
              <w:jc w:val="both"/>
              <w:rPr>
                <w:rFonts w:ascii="Arial" w:eastAsia="Arial" w:hAnsi="Arial" w:cs="Arial"/>
                <w:sz w:val="16"/>
                <w:szCs w:val="16"/>
              </w:rPr>
            </w:pPr>
            <w:r w:rsidRPr="00D52EA4">
              <w:rPr>
                <w:rFonts w:ascii="Arial" w:eastAsia="Arial" w:hAnsi="Arial" w:cs="Arial"/>
                <w:sz w:val="16"/>
                <w:szCs w:val="16"/>
              </w:rPr>
              <w:t>2 puntos desde el inicio en la intensidad del peor dolor (ítem 3) del BPI-SF observado en 2 evaluaciones consecutivas.</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28237C8" w14:textId="77777777" w:rsidR="00D52EA4" w:rsidRDefault="00D52EA4" w:rsidP="00D52EA4">
            <w:pPr>
              <w:ind w:hanging="2"/>
              <w:jc w:val="center"/>
              <w:rPr>
                <w:rFonts w:ascii="Arial" w:eastAsia="Arial" w:hAnsi="Arial" w:cs="Arial"/>
                <w:sz w:val="16"/>
                <w:szCs w:val="16"/>
              </w:rPr>
            </w:pPr>
            <w:r>
              <w:rPr>
                <w:rFonts w:ascii="Arial" w:eastAsia="Arial" w:hAnsi="Arial" w:cs="Arial"/>
                <w:sz w:val="16"/>
                <w:szCs w:val="16"/>
              </w:rPr>
              <w:t>Intermedia</w:t>
            </w:r>
          </w:p>
        </w:tc>
      </w:tr>
      <w:tr w:rsidR="00D52EA4" w14:paraId="1A407A42" w14:textId="77777777" w:rsidTr="006D5434">
        <w:trPr>
          <w:cantSplit/>
          <w:trHeight w:val="572"/>
        </w:trPr>
        <w:tc>
          <w:tcPr>
            <w:tcW w:w="2262" w:type="dxa"/>
            <w:vMerge/>
            <w:tcBorders>
              <w:left w:val="single" w:sz="4" w:space="0" w:color="000000"/>
              <w:bottom w:val="single" w:sz="4" w:space="0" w:color="auto"/>
            </w:tcBorders>
            <w:shd w:val="clear" w:color="auto" w:fill="auto"/>
            <w:vAlign w:val="center"/>
          </w:tcPr>
          <w:p w14:paraId="5BA667CC" w14:textId="77777777" w:rsidR="00D52EA4" w:rsidRPr="00D52EA4" w:rsidRDefault="00D52EA4" w:rsidP="00D52EA4">
            <w:pPr>
              <w:pBdr>
                <w:top w:val="nil"/>
                <w:left w:val="nil"/>
                <w:bottom w:val="nil"/>
                <w:right w:val="nil"/>
                <w:between w:val="nil"/>
              </w:pBdr>
              <w:ind w:hanging="2"/>
              <w:jc w:val="center"/>
              <w:rPr>
                <w:rFonts w:ascii="Arial" w:eastAsia="Arial" w:hAnsi="Arial" w:cs="Arial"/>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14:paraId="19E8EA22" w14:textId="77777777" w:rsidR="00D52EA4" w:rsidRDefault="00D52EA4" w:rsidP="006D5434">
            <w:pPr>
              <w:ind w:hanging="2"/>
              <w:jc w:val="center"/>
              <w:rPr>
                <w:rFonts w:ascii="Arial" w:eastAsia="Arial" w:hAnsi="Arial" w:cs="Arial"/>
                <w:sz w:val="16"/>
                <w:szCs w:val="16"/>
              </w:rPr>
            </w:pPr>
            <w:r>
              <w:rPr>
                <w:rFonts w:ascii="Arial" w:eastAsia="Arial" w:hAnsi="Arial" w:cs="Arial"/>
                <w:sz w:val="16"/>
                <w:szCs w:val="16"/>
              </w:rPr>
              <w:t>Supervivencia libre de progresión (SLP)</w:t>
            </w:r>
          </w:p>
        </w:tc>
        <w:tc>
          <w:tcPr>
            <w:tcW w:w="3377" w:type="dxa"/>
            <w:tcBorders>
              <w:top w:val="single" w:sz="4" w:space="0" w:color="000000"/>
              <w:left w:val="single" w:sz="4" w:space="0" w:color="000000"/>
              <w:bottom w:val="single" w:sz="4" w:space="0" w:color="000000"/>
            </w:tcBorders>
            <w:shd w:val="clear" w:color="auto" w:fill="auto"/>
          </w:tcPr>
          <w:p w14:paraId="176AD8D8" w14:textId="77777777" w:rsidR="00D52EA4" w:rsidRPr="00FD4896" w:rsidRDefault="00D52EA4" w:rsidP="006D5434">
            <w:pPr>
              <w:spacing w:line="308" w:lineRule="auto"/>
              <w:ind w:hanging="2"/>
              <w:jc w:val="both"/>
              <w:rPr>
                <w:rFonts w:ascii="Arial" w:eastAsia="Arial" w:hAnsi="Arial" w:cs="Arial"/>
                <w:sz w:val="16"/>
                <w:szCs w:val="16"/>
              </w:rPr>
            </w:pPr>
            <w:r>
              <w:rPr>
                <w:rFonts w:ascii="Arial" w:eastAsia="Arial" w:hAnsi="Arial" w:cs="Arial"/>
                <w:sz w:val="16"/>
                <w:szCs w:val="16"/>
              </w:rPr>
              <w:t>T</w:t>
            </w:r>
            <w:r w:rsidRPr="00D52EA4">
              <w:rPr>
                <w:rFonts w:ascii="Arial" w:eastAsia="Arial" w:hAnsi="Arial" w:cs="Arial"/>
                <w:sz w:val="16"/>
                <w:szCs w:val="16"/>
              </w:rPr>
              <w:t>iempo transcurrido desde la aleatorización hasta la fecha de la primera progresión (radiográfica, clínica o del PSA) en el primer tratamiento posterior o la muerte por cualquier causa,</w:t>
            </w:r>
            <w:r>
              <w:rPr>
                <w:rFonts w:ascii="Arial" w:eastAsia="Arial" w:hAnsi="Arial" w:cs="Arial"/>
                <w:sz w:val="16"/>
                <w:szCs w:val="16"/>
              </w:rPr>
              <w:t xml:space="preserve"> </w:t>
            </w:r>
            <w:r w:rsidRPr="00D52EA4">
              <w:rPr>
                <w:rFonts w:ascii="Arial" w:eastAsia="Arial" w:hAnsi="Arial" w:cs="Arial"/>
                <w:sz w:val="16"/>
                <w:szCs w:val="16"/>
              </w:rPr>
              <w:t>lo que ocurra primero.</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90D9CAC" w14:textId="77777777" w:rsidR="00D52EA4" w:rsidRDefault="00D52EA4" w:rsidP="00D52EA4">
            <w:pPr>
              <w:ind w:hanging="2"/>
              <w:jc w:val="center"/>
              <w:rPr>
                <w:rFonts w:ascii="Arial" w:eastAsia="Arial" w:hAnsi="Arial" w:cs="Arial"/>
                <w:sz w:val="16"/>
                <w:szCs w:val="16"/>
              </w:rPr>
            </w:pPr>
            <w:r>
              <w:rPr>
                <w:rFonts w:ascii="Arial" w:eastAsia="Arial" w:hAnsi="Arial" w:cs="Arial"/>
                <w:sz w:val="16"/>
                <w:szCs w:val="16"/>
              </w:rPr>
              <w:t>Intermedia</w:t>
            </w:r>
          </w:p>
        </w:tc>
      </w:tr>
      <w:tr w:rsidR="00664D68" w14:paraId="3337C77E" w14:textId="77777777" w:rsidTr="006D5434">
        <w:trPr>
          <w:cantSplit/>
          <w:trHeight w:val="1417"/>
        </w:trPr>
        <w:tc>
          <w:tcPr>
            <w:tcW w:w="2262" w:type="dxa"/>
            <w:vMerge/>
            <w:tcBorders>
              <w:left w:val="single" w:sz="4" w:space="0" w:color="000000"/>
              <w:bottom w:val="single" w:sz="4" w:space="0" w:color="auto"/>
            </w:tcBorders>
            <w:shd w:val="clear" w:color="auto" w:fill="auto"/>
          </w:tcPr>
          <w:p w14:paraId="369EEE8C" w14:textId="77777777" w:rsidR="00664D68" w:rsidRDefault="00664D68" w:rsidP="006012F2">
            <w:pPr>
              <w:widowControl w:val="0"/>
              <w:pBdr>
                <w:top w:val="nil"/>
                <w:left w:val="nil"/>
                <w:bottom w:val="nil"/>
                <w:right w:val="nil"/>
                <w:between w:val="nil"/>
              </w:pBdr>
              <w:spacing w:line="276" w:lineRule="auto"/>
              <w:ind w:hanging="2"/>
            </w:pPr>
          </w:p>
        </w:tc>
        <w:tc>
          <w:tcPr>
            <w:tcW w:w="1273" w:type="dxa"/>
            <w:tcBorders>
              <w:top w:val="single" w:sz="4" w:space="0" w:color="000000"/>
              <w:left w:val="single" w:sz="4" w:space="0" w:color="000000"/>
            </w:tcBorders>
            <w:shd w:val="clear" w:color="auto" w:fill="auto"/>
            <w:vAlign w:val="center"/>
          </w:tcPr>
          <w:p w14:paraId="0A325006" w14:textId="77777777" w:rsidR="00664D68" w:rsidRDefault="00664D68" w:rsidP="006D5434">
            <w:pPr>
              <w:ind w:hanging="2"/>
              <w:jc w:val="center"/>
              <w:rPr>
                <w:rFonts w:ascii="Arial" w:eastAsia="Arial" w:hAnsi="Arial" w:cs="Arial"/>
                <w:sz w:val="16"/>
                <w:szCs w:val="16"/>
              </w:rPr>
            </w:pPr>
            <w:r>
              <w:rPr>
                <w:rFonts w:ascii="Arial" w:eastAsia="Arial" w:hAnsi="Arial" w:cs="Arial"/>
                <w:sz w:val="16"/>
                <w:szCs w:val="16"/>
              </w:rPr>
              <w:t>Tasa de respuesta objetiva (TRO)</w:t>
            </w:r>
          </w:p>
        </w:tc>
        <w:tc>
          <w:tcPr>
            <w:tcW w:w="3377" w:type="dxa"/>
            <w:tcBorders>
              <w:top w:val="single" w:sz="4" w:space="0" w:color="000000"/>
              <w:left w:val="single" w:sz="4" w:space="0" w:color="000000"/>
            </w:tcBorders>
            <w:shd w:val="clear" w:color="auto" w:fill="auto"/>
          </w:tcPr>
          <w:p w14:paraId="47349D84" w14:textId="77777777" w:rsidR="00664D68" w:rsidRDefault="00664D68" w:rsidP="006D5434">
            <w:pPr>
              <w:spacing w:line="308" w:lineRule="auto"/>
              <w:ind w:hanging="2"/>
              <w:jc w:val="both"/>
              <w:rPr>
                <w:rFonts w:ascii="Arial" w:eastAsia="Arial" w:hAnsi="Arial" w:cs="Arial"/>
                <w:sz w:val="16"/>
                <w:szCs w:val="16"/>
              </w:rPr>
            </w:pPr>
            <w:r>
              <w:rPr>
                <w:rFonts w:ascii="Arial" w:eastAsia="Arial" w:hAnsi="Arial" w:cs="Arial"/>
                <w:sz w:val="16"/>
                <w:szCs w:val="16"/>
              </w:rPr>
              <w:t>P</w:t>
            </w:r>
            <w:r w:rsidRPr="008447BD">
              <w:rPr>
                <w:rFonts w:ascii="Arial" w:eastAsia="Arial" w:hAnsi="Arial" w:cs="Arial"/>
                <w:sz w:val="16"/>
                <w:szCs w:val="16"/>
              </w:rPr>
              <w:t xml:space="preserve">roporción de pacientes </w:t>
            </w:r>
            <w:r>
              <w:rPr>
                <w:rFonts w:ascii="Arial" w:eastAsia="Arial" w:hAnsi="Arial" w:cs="Arial"/>
                <w:sz w:val="16"/>
                <w:szCs w:val="16"/>
              </w:rPr>
              <w:t>con</w:t>
            </w:r>
            <w:r w:rsidRPr="008447BD">
              <w:rPr>
                <w:rFonts w:ascii="Arial" w:eastAsia="Arial" w:hAnsi="Arial" w:cs="Arial"/>
                <w:sz w:val="16"/>
                <w:szCs w:val="16"/>
              </w:rPr>
              <w:t xml:space="preserve"> mejor respuesta</w:t>
            </w:r>
            <w:r>
              <w:rPr>
                <w:rFonts w:ascii="Arial" w:eastAsia="Arial" w:hAnsi="Arial" w:cs="Arial"/>
                <w:sz w:val="16"/>
                <w:szCs w:val="16"/>
              </w:rPr>
              <w:t xml:space="preserve">: sea </w:t>
            </w:r>
            <w:r w:rsidRPr="008447BD">
              <w:rPr>
                <w:rFonts w:ascii="Arial" w:eastAsia="Arial" w:hAnsi="Arial" w:cs="Arial"/>
                <w:sz w:val="16"/>
                <w:szCs w:val="16"/>
              </w:rPr>
              <w:t xml:space="preserve">respuesta completa </w:t>
            </w:r>
            <w:r w:rsidR="00A524FC">
              <w:rPr>
                <w:rFonts w:ascii="Arial" w:eastAsia="Arial" w:hAnsi="Arial" w:cs="Arial"/>
                <w:sz w:val="16"/>
                <w:szCs w:val="16"/>
              </w:rPr>
              <w:t xml:space="preserve">(RC) </w:t>
            </w:r>
            <w:r w:rsidRPr="008447BD">
              <w:rPr>
                <w:rFonts w:ascii="Arial" w:eastAsia="Arial" w:hAnsi="Arial" w:cs="Arial"/>
                <w:sz w:val="16"/>
                <w:szCs w:val="16"/>
              </w:rPr>
              <w:t>o parcial</w:t>
            </w:r>
            <w:r w:rsidR="00A524FC">
              <w:rPr>
                <w:rFonts w:ascii="Arial" w:eastAsia="Arial" w:hAnsi="Arial" w:cs="Arial"/>
                <w:sz w:val="16"/>
                <w:szCs w:val="16"/>
              </w:rPr>
              <w:t xml:space="preserve"> (RP)</w:t>
            </w:r>
            <w:r w:rsidRPr="008447BD">
              <w:rPr>
                <w:rFonts w:ascii="Arial" w:eastAsia="Arial" w:hAnsi="Arial" w:cs="Arial"/>
                <w:sz w:val="16"/>
                <w:szCs w:val="16"/>
              </w:rPr>
              <w:t xml:space="preserve"> mediante revisión centralizada, según se define en los Criterios </w:t>
            </w:r>
            <w:r w:rsidR="00A524FC">
              <w:rPr>
                <w:rFonts w:ascii="Arial" w:eastAsia="Arial" w:hAnsi="Arial" w:cs="Arial"/>
                <w:sz w:val="16"/>
                <w:szCs w:val="16"/>
              </w:rPr>
              <w:t>RECIST1.1</w:t>
            </w:r>
          </w:p>
        </w:tc>
        <w:tc>
          <w:tcPr>
            <w:tcW w:w="1853" w:type="dxa"/>
            <w:tcBorders>
              <w:top w:val="single" w:sz="4" w:space="0" w:color="000000"/>
              <w:left w:val="single" w:sz="4" w:space="0" w:color="000000"/>
              <w:right w:val="single" w:sz="4" w:space="0" w:color="000000"/>
            </w:tcBorders>
            <w:shd w:val="clear" w:color="auto" w:fill="CCFFCC"/>
            <w:vAlign w:val="center"/>
          </w:tcPr>
          <w:p w14:paraId="488BB8A7" w14:textId="77777777" w:rsidR="00664D68" w:rsidRDefault="00664D68" w:rsidP="00D52EA4">
            <w:pPr>
              <w:ind w:hanging="2"/>
              <w:jc w:val="center"/>
              <w:rPr>
                <w:rFonts w:ascii="Arial" w:eastAsia="Arial" w:hAnsi="Arial" w:cs="Arial"/>
                <w:sz w:val="16"/>
                <w:szCs w:val="16"/>
              </w:rPr>
            </w:pPr>
            <w:r>
              <w:rPr>
                <w:rFonts w:ascii="Arial" w:eastAsia="Arial" w:hAnsi="Arial" w:cs="Arial"/>
                <w:sz w:val="16"/>
                <w:szCs w:val="16"/>
              </w:rPr>
              <w:t>Intermedia</w:t>
            </w:r>
          </w:p>
        </w:tc>
      </w:tr>
      <w:tr w:rsidR="009A2108" w14:paraId="1BF7EC8A" w14:textId="77777777" w:rsidTr="00D52EA4">
        <w:trPr>
          <w:trHeight w:val="390"/>
        </w:trPr>
        <w:tc>
          <w:tcPr>
            <w:tcW w:w="2262" w:type="dxa"/>
            <w:tcBorders>
              <w:top w:val="single" w:sz="4" w:space="0" w:color="auto"/>
              <w:left w:val="single" w:sz="4" w:space="0" w:color="000000"/>
              <w:bottom w:val="single" w:sz="4" w:space="0" w:color="000000"/>
            </w:tcBorders>
            <w:shd w:val="clear" w:color="auto" w:fill="D9D9D9"/>
          </w:tcPr>
          <w:p w14:paraId="7DED0B08" w14:textId="77777777" w:rsidR="009A2108" w:rsidRDefault="009A2108" w:rsidP="006012F2">
            <w:pPr>
              <w:ind w:hanging="2"/>
            </w:pPr>
            <w:r>
              <w:rPr>
                <w:rFonts w:ascii="Arial" w:eastAsia="Arial" w:hAnsi="Arial" w:cs="Arial"/>
                <w:b/>
                <w:sz w:val="16"/>
                <w:szCs w:val="16"/>
              </w:rPr>
              <w:t>SEGURIDAD</w:t>
            </w:r>
          </w:p>
        </w:tc>
        <w:tc>
          <w:tcPr>
            <w:tcW w:w="1273" w:type="dxa"/>
            <w:tcBorders>
              <w:top w:val="single" w:sz="4" w:space="0" w:color="000000"/>
              <w:left w:val="single" w:sz="4" w:space="0" w:color="000000"/>
              <w:bottom w:val="single" w:sz="4" w:space="0" w:color="000000"/>
            </w:tcBorders>
            <w:shd w:val="clear" w:color="auto" w:fill="D9D9D9"/>
          </w:tcPr>
          <w:p w14:paraId="09CD1F15" w14:textId="77777777" w:rsidR="009A2108" w:rsidRDefault="009A2108" w:rsidP="006012F2">
            <w:pPr>
              <w:ind w:hanging="2"/>
            </w:pPr>
            <w:r>
              <w:rPr>
                <w:rFonts w:ascii="Arial" w:eastAsia="Arial" w:hAnsi="Arial" w:cs="Arial"/>
                <w:b/>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14:paraId="1D2E0EC5" w14:textId="77777777" w:rsidR="009A2108" w:rsidRDefault="009A2108" w:rsidP="006012F2">
            <w:pPr>
              <w:ind w:hanging="2"/>
            </w:pPr>
            <w:r>
              <w:rPr>
                <w:rFonts w:ascii="Arial" w:eastAsia="Arial" w:hAnsi="Arial" w:cs="Arial"/>
                <w:b/>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14:paraId="0AF96081" w14:textId="77777777" w:rsidR="009A2108" w:rsidRDefault="009A2108" w:rsidP="006012F2">
            <w:pPr>
              <w:tabs>
                <w:tab w:val="left" w:pos="2924"/>
              </w:tabs>
              <w:ind w:hanging="2"/>
            </w:pPr>
            <w:r>
              <w:rPr>
                <w:rFonts w:ascii="Arial" w:eastAsia="Arial" w:hAnsi="Arial" w:cs="Arial"/>
                <w:b/>
                <w:sz w:val="16"/>
                <w:szCs w:val="16"/>
              </w:rPr>
              <w:t>Variable intermedia o final</w:t>
            </w:r>
          </w:p>
        </w:tc>
      </w:tr>
      <w:tr w:rsidR="009A2108" w14:paraId="28FE944F" w14:textId="77777777" w:rsidTr="00A524FC">
        <w:tc>
          <w:tcPr>
            <w:tcW w:w="2262" w:type="dxa"/>
            <w:tcBorders>
              <w:top w:val="single" w:sz="4" w:space="0" w:color="000000"/>
              <w:left w:val="single" w:sz="4" w:space="0" w:color="000000"/>
              <w:bottom w:val="single" w:sz="4" w:space="0" w:color="000000"/>
            </w:tcBorders>
            <w:shd w:val="clear" w:color="auto" w:fill="auto"/>
            <w:vAlign w:val="center"/>
          </w:tcPr>
          <w:p w14:paraId="113A1C0A" w14:textId="77777777" w:rsidR="009A2108" w:rsidRDefault="009A2108" w:rsidP="00FD4896">
            <w:pPr>
              <w:ind w:hanging="2"/>
              <w:jc w:val="center"/>
            </w:pPr>
            <w:r>
              <w:rPr>
                <w:rFonts w:ascii="Arial" w:eastAsia="Arial" w:hAnsi="Arial" w:cs="Arial"/>
                <w:sz w:val="16"/>
                <w:szCs w:val="16"/>
              </w:rPr>
              <w:t>Variable secundaria</w:t>
            </w:r>
          </w:p>
        </w:tc>
        <w:tc>
          <w:tcPr>
            <w:tcW w:w="1273" w:type="dxa"/>
            <w:tcBorders>
              <w:top w:val="single" w:sz="4" w:space="0" w:color="000000"/>
              <w:left w:val="single" w:sz="4" w:space="0" w:color="000000"/>
              <w:bottom w:val="single" w:sz="4" w:space="0" w:color="000000"/>
            </w:tcBorders>
            <w:shd w:val="clear" w:color="auto" w:fill="auto"/>
          </w:tcPr>
          <w:p w14:paraId="7D525E0E" w14:textId="77777777" w:rsidR="009A2108" w:rsidRPr="00651BF7" w:rsidRDefault="00651BF7" w:rsidP="00651BF7">
            <w:pPr>
              <w:ind w:hanging="2"/>
              <w:rPr>
                <w:rFonts w:ascii="Arial" w:eastAsia="Arial" w:hAnsi="Arial" w:cs="Arial"/>
                <w:sz w:val="16"/>
                <w:szCs w:val="16"/>
              </w:rPr>
            </w:pPr>
            <w:r w:rsidRPr="00651BF7">
              <w:rPr>
                <w:rFonts w:ascii="Arial" w:eastAsia="Arial" w:hAnsi="Arial" w:cs="Arial"/>
                <w:sz w:val="16"/>
                <w:szCs w:val="16"/>
              </w:rPr>
              <w:t xml:space="preserve">Número de participantes con acontecimientos adversos </w:t>
            </w:r>
            <w:r>
              <w:rPr>
                <w:rFonts w:ascii="Arial" w:eastAsia="Arial" w:hAnsi="Arial" w:cs="Arial"/>
                <w:sz w:val="16"/>
                <w:szCs w:val="16"/>
              </w:rPr>
              <w:t xml:space="preserve">relacionados con </w:t>
            </w:r>
            <w:r w:rsidR="00FD4896">
              <w:rPr>
                <w:rFonts w:ascii="Arial" w:eastAsia="Arial" w:hAnsi="Arial" w:cs="Arial"/>
                <w:sz w:val="16"/>
                <w:szCs w:val="16"/>
              </w:rPr>
              <w:t xml:space="preserve">el </w:t>
            </w:r>
            <w:r w:rsidR="00FD4896" w:rsidRPr="00651BF7">
              <w:rPr>
                <w:rFonts w:ascii="Arial" w:eastAsia="Arial" w:hAnsi="Arial" w:cs="Arial"/>
                <w:sz w:val="16"/>
                <w:szCs w:val="16"/>
              </w:rPr>
              <w:t>tratamiento</w:t>
            </w:r>
            <w:r w:rsidRPr="00651BF7">
              <w:rPr>
                <w:rFonts w:ascii="Arial" w:eastAsia="Arial" w:hAnsi="Arial" w:cs="Arial"/>
                <w:sz w:val="16"/>
                <w:szCs w:val="16"/>
              </w:rPr>
              <w:t xml:space="preserve"> </w:t>
            </w:r>
          </w:p>
        </w:tc>
        <w:tc>
          <w:tcPr>
            <w:tcW w:w="3377" w:type="dxa"/>
            <w:tcBorders>
              <w:top w:val="single" w:sz="4" w:space="0" w:color="000000"/>
              <w:left w:val="single" w:sz="4" w:space="0" w:color="000000"/>
              <w:bottom w:val="single" w:sz="4" w:space="0" w:color="000000"/>
            </w:tcBorders>
            <w:shd w:val="clear" w:color="auto" w:fill="auto"/>
          </w:tcPr>
          <w:p w14:paraId="5BEF48A7" w14:textId="77777777" w:rsidR="009A2108" w:rsidRDefault="00651BF7" w:rsidP="00A524FC">
            <w:pPr>
              <w:spacing w:before="40" w:after="40"/>
              <w:ind w:hanging="2"/>
              <w:jc w:val="both"/>
            </w:pPr>
            <w:r>
              <w:rPr>
                <w:rFonts w:ascii="Arial" w:eastAsia="Arial" w:hAnsi="Arial" w:cs="Arial"/>
                <w:sz w:val="16"/>
                <w:szCs w:val="16"/>
              </w:rPr>
              <w:t>A</w:t>
            </w:r>
            <w:r w:rsidRPr="00651BF7">
              <w:rPr>
                <w:rFonts w:ascii="Arial" w:eastAsia="Arial" w:hAnsi="Arial" w:cs="Arial"/>
                <w:sz w:val="16"/>
                <w:szCs w:val="16"/>
              </w:rPr>
              <w:t xml:space="preserve">contecimientos que ocurren o empeoran </w:t>
            </w:r>
            <w:r>
              <w:rPr>
                <w:rFonts w:ascii="Arial" w:eastAsia="Arial" w:hAnsi="Arial" w:cs="Arial"/>
                <w:sz w:val="16"/>
                <w:szCs w:val="16"/>
              </w:rPr>
              <w:t>tras</w:t>
            </w:r>
            <w:r w:rsidRPr="00651BF7">
              <w:rPr>
                <w:rFonts w:ascii="Arial" w:eastAsia="Arial" w:hAnsi="Arial" w:cs="Arial"/>
                <w:sz w:val="16"/>
                <w:szCs w:val="16"/>
              </w:rPr>
              <w:t xml:space="preserve"> la primera dosis del fármaco del estudio o después de ella, hasta 30 días después de la última dosis del fármaco del estudio.</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5C31B65" w14:textId="77777777" w:rsidR="009A2108" w:rsidRDefault="009A2108" w:rsidP="00A524FC">
            <w:pPr>
              <w:spacing w:before="40" w:after="40"/>
              <w:ind w:hanging="2"/>
              <w:jc w:val="center"/>
            </w:pPr>
            <w:r>
              <w:rPr>
                <w:rFonts w:ascii="Arial" w:eastAsia="Arial" w:hAnsi="Arial" w:cs="Arial"/>
                <w:sz w:val="16"/>
                <w:szCs w:val="16"/>
              </w:rPr>
              <w:t>Final</w:t>
            </w:r>
          </w:p>
        </w:tc>
      </w:tr>
    </w:tbl>
    <w:p w14:paraId="498C7164" w14:textId="77777777" w:rsidR="009A2108" w:rsidRPr="006F6ABB" w:rsidRDefault="009A2108" w:rsidP="00BC3E8E">
      <w:pPr>
        <w:jc w:val="both"/>
        <w:rPr>
          <w:rFonts w:ascii="Arial" w:hAnsi="Arial" w:cs="Arial"/>
          <w:color w:val="000080"/>
          <w:sz w:val="20"/>
          <w:szCs w:val="20"/>
        </w:rPr>
      </w:pPr>
    </w:p>
    <w:p w14:paraId="2BE6E93D" w14:textId="77777777" w:rsidR="00BC3E8E" w:rsidRPr="006F6ABB" w:rsidRDefault="00BC3E8E" w:rsidP="00BC3E8E">
      <w:pPr>
        <w:jc w:val="right"/>
        <w:rPr>
          <w:rFonts w:ascii="Arial" w:hAnsi="Arial" w:cs="Arial"/>
          <w:color w:val="0000FF"/>
          <w:sz w:val="20"/>
          <w:szCs w:val="20"/>
          <w:u w:val="single"/>
        </w:rPr>
      </w:pPr>
    </w:p>
    <w:p w14:paraId="548E8FD1"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2" w:name="_Toc344399635"/>
      <w:bookmarkStart w:id="53" w:name="_Toc348931362"/>
      <w:bookmarkStart w:id="54" w:name="_Toc153727194"/>
      <w:r w:rsidRPr="00E3472F">
        <w:rPr>
          <w:rFonts w:cs="Arial"/>
          <w:sz w:val="20"/>
        </w:rPr>
        <w:t>5.2.a Resultados de los ensayos clínicos</w:t>
      </w:r>
      <w:bookmarkEnd w:id="52"/>
      <w:bookmarkEnd w:id="53"/>
      <w:bookmarkEnd w:id="54"/>
      <w:r w:rsidRPr="00E3472F">
        <w:rPr>
          <w:rFonts w:cs="Arial"/>
          <w:sz w:val="20"/>
        </w:rPr>
        <w:t xml:space="preserve"> </w:t>
      </w:r>
    </w:p>
    <w:p w14:paraId="7C3029C7" w14:textId="77777777" w:rsidR="00BC3E8E" w:rsidRPr="006F6ABB" w:rsidRDefault="00BC3E8E" w:rsidP="00BC3E8E">
      <w:pPr>
        <w:jc w:val="both"/>
        <w:rPr>
          <w:rFonts w:ascii="Arial" w:hAnsi="Arial" w:cs="Arial"/>
          <w:b/>
          <w:bCs/>
          <w:color w:val="0000FF"/>
          <w:sz w:val="18"/>
          <w:szCs w:val="18"/>
        </w:rPr>
      </w:pPr>
    </w:p>
    <w:p w14:paraId="5EBFA3DD" w14:textId="77777777" w:rsidR="00794A3C" w:rsidRPr="00965615" w:rsidRDefault="00794A3C" w:rsidP="00794A3C"/>
    <w:p w14:paraId="78FE36C4" w14:textId="77777777" w:rsidR="00794A3C" w:rsidRPr="00867366" w:rsidRDefault="00794A3C" w:rsidP="00794A3C">
      <w:pPr>
        <w:pBdr>
          <w:top w:val="single" w:sz="4" w:space="1" w:color="auto"/>
          <w:left w:val="single" w:sz="4" w:space="4" w:color="auto"/>
          <w:bottom w:val="single" w:sz="4" w:space="1" w:color="auto"/>
          <w:right w:val="single" w:sz="4" w:space="4" w:color="auto"/>
        </w:pBdr>
        <w:spacing w:after="120" w:line="280" w:lineRule="exact"/>
        <w:jc w:val="both"/>
        <w:rPr>
          <w:rFonts w:ascii="Arial" w:hAnsi="Arial" w:cs="Arial"/>
          <w:b/>
          <w:bCs/>
          <w:color w:val="000000"/>
          <w:sz w:val="20"/>
          <w:szCs w:val="18"/>
        </w:rPr>
      </w:pPr>
      <w:r w:rsidRPr="00867366">
        <w:rPr>
          <w:rFonts w:ascii="Arial" w:hAnsi="Arial" w:cs="Arial"/>
          <w:b/>
          <w:bCs/>
          <w:color w:val="000000"/>
          <w:sz w:val="20"/>
          <w:szCs w:val="18"/>
        </w:rPr>
        <w:t>Estudios de soporte.</w:t>
      </w:r>
    </w:p>
    <w:p w14:paraId="4B87E31B" w14:textId="436D811B" w:rsidR="00BC3E8E" w:rsidRPr="00FB1DEA" w:rsidRDefault="001A0EA8" w:rsidP="00794A3C">
      <w:pPr>
        <w:numPr>
          <w:ilvl w:val="0"/>
          <w:numId w:val="13"/>
        </w:numPr>
        <w:jc w:val="both"/>
        <w:rPr>
          <w:rFonts w:ascii="Arial" w:hAnsi="Arial" w:cs="Arial"/>
          <w:bCs/>
          <w:sz w:val="20"/>
          <w:szCs w:val="20"/>
        </w:rPr>
      </w:pPr>
      <w:r w:rsidRPr="00FB1DEA">
        <w:rPr>
          <w:rFonts w:ascii="Arial" w:hAnsi="Arial" w:cs="Arial"/>
          <w:b/>
          <w:bCs/>
          <w:sz w:val="20"/>
          <w:szCs w:val="20"/>
        </w:rPr>
        <w:t>Ensayo clínico Bedivere (</w:t>
      </w:r>
      <w:r w:rsidR="00546446">
        <w:rPr>
          <w:rFonts w:ascii="Arial" w:hAnsi="Arial" w:cs="Arial"/>
          <w:b/>
          <w:bCs/>
          <w:sz w:val="20"/>
          <w:szCs w:val="20"/>
        </w:rPr>
        <w:t>19</w:t>
      </w:r>
      <w:r w:rsidRPr="00FB1DEA">
        <w:rPr>
          <w:rFonts w:ascii="Arial" w:hAnsi="Arial" w:cs="Arial"/>
          <w:b/>
          <w:bCs/>
          <w:sz w:val="20"/>
          <w:szCs w:val="20"/>
        </w:rPr>
        <w:t>).</w:t>
      </w:r>
      <w:r w:rsidRPr="00FB1DEA">
        <w:rPr>
          <w:rFonts w:ascii="Arial" w:hAnsi="Arial" w:cs="Arial"/>
          <w:b/>
          <w:bCs/>
          <w:color w:val="000080"/>
          <w:sz w:val="20"/>
          <w:szCs w:val="20"/>
        </w:rPr>
        <w:t xml:space="preserve"> </w:t>
      </w:r>
      <w:r w:rsidRPr="00FB1DEA">
        <w:rPr>
          <w:rFonts w:ascii="Arial" w:hAnsi="Arial" w:cs="Arial"/>
          <w:bCs/>
          <w:sz w:val="20"/>
          <w:szCs w:val="20"/>
        </w:rPr>
        <w:t>Trial registration no. NCT02924766 (ClinicalTrials.gov)</w:t>
      </w:r>
    </w:p>
    <w:p w14:paraId="37205DD9" w14:textId="77777777" w:rsidR="00794A3C" w:rsidRPr="00FB1DEA" w:rsidRDefault="00794A3C" w:rsidP="00794A3C">
      <w:pPr>
        <w:jc w:val="both"/>
        <w:rPr>
          <w:rFonts w:ascii="Arial" w:hAnsi="Arial" w:cs="Arial"/>
          <w:bCs/>
          <w:sz w:val="20"/>
          <w:szCs w:val="20"/>
        </w:rPr>
      </w:pPr>
    </w:p>
    <w:p w14:paraId="6FBD1BE8" w14:textId="77777777" w:rsidR="00794A3C" w:rsidRPr="00FB1DEA" w:rsidRDefault="001A0EA8" w:rsidP="00496C66">
      <w:pPr>
        <w:jc w:val="both"/>
        <w:rPr>
          <w:rFonts w:ascii="Arial" w:hAnsi="Arial" w:cs="Arial"/>
          <w:bCs/>
          <w:sz w:val="20"/>
          <w:szCs w:val="20"/>
        </w:rPr>
      </w:pPr>
      <w:r w:rsidRPr="00FB1DEA">
        <w:rPr>
          <w:rFonts w:ascii="Arial" w:hAnsi="Arial" w:cs="Arial"/>
          <w:bCs/>
          <w:sz w:val="20"/>
          <w:szCs w:val="20"/>
        </w:rPr>
        <w:t>Ensayo que evalúa la seguridad y farmacocinética de niraparib y terapias dirigidas al receptor androgénico (Apalutamida o AAP) en hombres con CPRCm. Ensayo de selección de dosis de niraparib.</w:t>
      </w:r>
    </w:p>
    <w:p w14:paraId="44E47776" w14:textId="77777777" w:rsidR="005B64D3" w:rsidRPr="00FB1DEA" w:rsidRDefault="005B64D3" w:rsidP="00794A3C">
      <w:pPr>
        <w:jc w:val="both"/>
        <w:rPr>
          <w:rFonts w:ascii="Arial" w:hAnsi="Arial" w:cs="Arial"/>
          <w:sz w:val="20"/>
          <w:szCs w:val="20"/>
        </w:rPr>
      </w:pPr>
    </w:p>
    <w:p w14:paraId="0BC7BE2A" w14:textId="27415F9E" w:rsidR="00B93EC4" w:rsidRPr="00B93F21" w:rsidRDefault="00B93EC4" w:rsidP="00B93EC4">
      <w:pPr>
        <w:widowControl w:val="0"/>
        <w:numPr>
          <w:ilvl w:val="0"/>
          <w:numId w:val="14"/>
        </w:numPr>
        <w:spacing w:after="120" w:line="280" w:lineRule="exact"/>
        <w:jc w:val="both"/>
        <w:rPr>
          <w:rFonts w:ascii="Arial" w:eastAsia="Arial" w:hAnsi="Arial" w:cs="Arial"/>
          <w:color w:val="000000"/>
          <w:sz w:val="20"/>
          <w:szCs w:val="20"/>
        </w:rPr>
      </w:pPr>
      <w:r w:rsidRPr="00B93F21">
        <w:rPr>
          <w:rFonts w:ascii="Arial" w:eastAsia="Arial" w:hAnsi="Arial" w:cs="Arial"/>
          <w:color w:val="000000"/>
          <w:sz w:val="20"/>
          <w:szCs w:val="20"/>
          <w:u w:val="single"/>
        </w:rPr>
        <w:t>Nº de pacientes</w:t>
      </w:r>
      <w:r w:rsidR="00B93F21">
        <w:rPr>
          <w:rFonts w:ascii="Arial" w:eastAsia="Arial" w:hAnsi="Arial" w:cs="Arial"/>
          <w:color w:val="000000"/>
          <w:sz w:val="20"/>
          <w:szCs w:val="20"/>
          <w:u w:val="single"/>
        </w:rPr>
        <w:t xml:space="preserve"> incluidos</w:t>
      </w:r>
      <w:r w:rsidRPr="00B93F21">
        <w:rPr>
          <w:rFonts w:ascii="Arial" w:eastAsia="Arial" w:hAnsi="Arial" w:cs="Arial"/>
          <w:color w:val="000000"/>
          <w:sz w:val="20"/>
          <w:szCs w:val="20"/>
        </w:rPr>
        <w:t xml:space="preserve">: </w:t>
      </w:r>
      <w:r w:rsidR="00FA7807" w:rsidRPr="00B93F21">
        <w:rPr>
          <w:rFonts w:ascii="Arial" w:eastAsia="Arial" w:hAnsi="Arial" w:cs="Arial"/>
          <w:color w:val="000000"/>
          <w:sz w:val="20"/>
          <w:szCs w:val="20"/>
        </w:rPr>
        <w:t>33</w:t>
      </w:r>
      <w:r w:rsidR="00B93F21">
        <w:rPr>
          <w:rFonts w:ascii="Arial" w:eastAsia="Arial" w:hAnsi="Arial" w:cs="Arial"/>
          <w:color w:val="000000"/>
          <w:sz w:val="20"/>
          <w:szCs w:val="20"/>
        </w:rPr>
        <w:t>.</w:t>
      </w:r>
      <w:r w:rsidRPr="00B93F21">
        <w:rPr>
          <w:rFonts w:ascii="Arial" w:eastAsia="Arial" w:hAnsi="Arial" w:cs="Arial"/>
          <w:color w:val="000000"/>
          <w:sz w:val="20"/>
          <w:szCs w:val="20"/>
        </w:rPr>
        <w:t xml:space="preserve"> </w:t>
      </w:r>
    </w:p>
    <w:p w14:paraId="08D71200" w14:textId="77777777" w:rsidR="00FA7807" w:rsidRPr="00B93F21" w:rsidRDefault="00B93EC4" w:rsidP="00FA7807">
      <w:pPr>
        <w:widowControl w:val="0"/>
        <w:numPr>
          <w:ilvl w:val="0"/>
          <w:numId w:val="14"/>
        </w:numPr>
        <w:spacing w:after="120" w:line="280" w:lineRule="exact"/>
        <w:jc w:val="both"/>
        <w:rPr>
          <w:rFonts w:ascii="Arial" w:eastAsia="Arial" w:hAnsi="Arial" w:cs="Arial"/>
          <w:color w:val="000000"/>
          <w:sz w:val="20"/>
          <w:szCs w:val="20"/>
        </w:rPr>
      </w:pPr>
      <w:r w:rsidRPr="00B93F21">
        <w:rPr>
          <w:rFonts w:ascii="Arial" w:eastAsia="Arial" w:hAnsi="Arial" w:cs="Arial"/>
          <w:color w:val="000000"/>
          <w:sz w:val="20"/>
          <w:szCs w:val="20"/>
          <w:u w:val="single"/>
        </w:rPr>
        <w:t>Población de pacientes:</w:t>
      </w:r>
      <w:r w:rsidR="001A0EA8" w:rsidRPr="00FB1DEA">
        <w:rPr>
          <w:rFonts w:ascii="Arial" w:hAnsi="Arial" w:cs="Arial"/>
          <w:sz w:val="20"/>
          <w:szCs w:val="20"/>
        </w:rPr>
        <w:t xml:space="preserve"> P</w:t>
      </w:r>
      <w:r w:rsidR="00FA7807" w:rsidRPr="00B93F21">
        <w:rPr>
          <w:rFonts w:ascii="Arial" w:eastAsia="Arial" w:hAnsi="Arial" w:cs="Arial"/>
          <w:color w:val="000000"/>
          <w:sz w:val="20"/>
          <w:szCs w:val="20"/>
        </w:rPr>
        <w:t>acientes con CPRCm tratados previamente con ≥ 2 líneas de terapia sistémica, incluyendo ≥ 1 terapia dirigida al receptor de andrógenos para el CP</w:t>
      </w:r>
      <w:r w:rsidR="00B93F21">
        <w:rPr>
          <w:rFonts w:ascii="Arial" w:eastAsia="Arial" w:hAnsi="Arial" w:cs="Arial"/>
          <w:color w:val="000000"/>
          <w:sz w:val="20"/>
          <w:szCs w:val="20"/>
        </w:rPr>
        <w:t>.</w:t>
      </w:r>
    </w:p>
    <w:p w14:paraId="3DDA3B14" w14:textId="77777777" w:rsidR="00B93EC4" w:rsidRPr="00807DE7" w:rsidRDefault="00B93EC4" w:rsidP="004950DB">
      <w:pPr>
        <w:widowControl w:val="0"/>
        <w:numPr>
          <w:ilvl w:val="0"/>
          <w:numId w:val="14"/>
        </w:numPr>
        <w:spacing w:after="120" w:line="280" w:lineRule="exact"/>
        <w:jc w:val="both"/>
        <w:rPr>
          <w:rFonts w:ascii="Arial" w:eastAsia="Arial" w:hAnsi="Arial" w:cs="Arial"/>
          <w:color w:val="000000"/>
          <w:sz w:val="20"/>
          <w:szCs w:val="20"/>
        </w:rPr>
      </w:pPr>
      <w:r w:rsidRPr="00807DE7">
        <w:rPr>
          <w:rFonts w:ascii="Arial" w:eastAsia="Arial" w:hAnsi="Arial" w:cs="Arial"/>
          <w:color w:val="000000"/>
          <w:sz w:val="20"/>
          <w:szCs w:val="20"/>
          <w:u w:val="single"/>
        </w:rPr>
        <w:t>Diseño:</w:t>
      </w:r>
      <w:r w:rsidRPr="00807DE7">
        <w:rPr>
          <w:rFonts w:ascii="Arial" w:eastAsia="Arial" w:hAnsi="Arial" w:cs="Arial"/>
          <w:color w:val="000000"/>
          <w:sz w:val="20"/>
          <w:szCs w:val="20"/>
        </w:rPr>
        <w:t xml:space="preserve"> </w:t>
      </w:r>
      <w:r w:rsidR="00FA7807" w:rsidRPr="00807DE7">
        <w:rPr>
          <w:rFonts w:ascii="Arial" w:eastAsia="Arial" w:hAnsi="Arial" w:cs="Arial"/>
          <w:color w:val="000000"/>
          <w:sz w:val="20"/>
          <w:szCs w:val="20"/>
        </w:rPr>
        <w:t>estudio multicéntrico, abierto, de fase 1b.</w:t>
      </w:r>
    </w:p>
    <w:p w14:paraId="78194721" w14:textId="77777777" w:rsidR="00B93EC4" w:rsidRPr="0006761F" w:rsidRDefault="00B93EC4" w:rsidP="00B93EC4">
      <w:pPr>
        <w:widowControl w:val="0"/>
        <w:numPr>
          <w:ilvl w:val="0"/>
          <w:numId w:val="14"/>
        </w:numPr>
        <w:spacing w:after="120" w:line="280" w:lineRule="exact"/>
        <w:jc w:val="both"/>
        <w:rPr>
          <w:rFonts w:ascii="Arial" w:eastAsia="Arial" w:hAnsi="Arial" w:cs="Arial"/>
          <w:color w:val="000000"/>
          <w:sz w:val="20"/>
          <w:szCs w:val="20"/>
        </w:rPr>
      </w:pPr>
      <w:r w:rsidRPr="00003755">
        <w:rPr>
          <w:rFonts w:ascii="Arial" w:eastAsia="Arial" w:hAnsi="Arial" w:cs="Arial"/>
          <w:color w:val="000000"/>
          <w:sz w:val="20"/>
          <w:szCs w:val="20"/>
          <w:u w:val="single"/>
        </w:rPr>
        <w:t>Tratamiento</w:t>
      </w:r>
      <w:r w:rsidRPr="00003755">
        <w:rPr>
          <w:rFonts w:ascii="Arial" w:eastAsia="Arial" w:hAnsi="Arial" w:cs="Arial"/>
          <w:color w:val="000000"/>
          <w:sz w:val="20"/>
          <w:szCs w:val="20"/>
        </w:rPr>
        <w:t xml:space="preserve">: </w:t>
      </w:r>
      <w:r w:rsidR="00FA7807" w:rsidRPr="00E37EF7">
        <w:rPr>
          <w:rFonts w:ascii="Arial" w:eastAsia="Arial" w:hAnsi="Arial" w:cs="Arial"/>
          <w:color w:val="000000"/>
          <w:sz w:val="20"/>
          <w:szCs w:val="20"/>
        </w:rPr>
        <w:t xml:space="preserve">niraparib 200 o 300 mg/día con apalutamida 240 mg o </w:t>
      </w:r>
      <w:r w:rsidR="00FA7807" w:rsidRPr="0006761F">
        <w:rPr>
          <w:rFonts w:ascii="Arial" w:eastAsia="Arial" w:hAnsi="Arial" w:cs="Arial"/>
          <w:color w:val="000000"/>
          <w:sz w:val="20"/>
          <w:szCs w:val="20"/>
        </w:rPr>
        <w:t>AAP (acetato de abiraterona 1000 mg; prednisona 10 mg).</w:t>
      </w:r>
    </w:p>
    <w:p w14:paraId="7CCAA729" w14:textId="77777777" w:rsidR="00B2135F" w:rsidRPr="0006761F" w:rsidRDefault="00B2135F" w:rsidP="00B2135F">
      <w:pPr>
        <w:widowControl w:val="0"/>
        <w:spacing w:after="120" w:line="280" w:lineRule="exact"/>
        <w:jc w:val="both"/>
        <w:rPr>
          <w:rFonts w:ascii="Arial" w:eastAsia="Arial" w:hAnsi="Arial" w:cs="Arial"/>
          <w:color w:val="000000"/>
          <w:sz w:val="20"/>
          <w:szCs w:val="20"/>
          <w:u w:val="single"/>
        </w:rPr>
      </w:pPr>
    </w:p>
    <w:p w14:paraId="057BB893" w14:textId="77777777" w:rsidR="00B2135F" w:rsidRPr="00FB1DEA" w:rsidRDefault="001A0EA8" w:rsidP="00B2135F">
      <w:pPr>
        <w:numPr>
          <w:ilvl w:val="0"/>
          <w:numId w:val="13"/>
        </w:numPr>
        <w:jc w:val="both"/>
        <w:rPr>
          <w:rFonts w:ascii="Arial" w:hAnsi="Arial" w:cs="Arial"/>
          <w:bCs/>
          <w:sz w:val="20"/>
          <w:szCs w:val="20"/>
        </w:rPr>
      </w:pPr>
      <w:r w:rsidRPr="00FB1DEA">
        <w:rPr>
          <w:rFonts w:ascii="Arial" w:hAnsi="Arial" w:cs="Arial"/>
          <w:b/>
          <w:bCs/>
          <w:sz w:val="20"/>
          <w:szCs w:val="20"/>
        </w:rPr>
        <w:t>Ensayo clínico Quest (21).</w:t>
      </w:r>
      <w:r w:rsidRPr="00FB1DEA">
        <w:rPr>
          <w:rFonts w:ascii="Arial" w:hAnsi="Arial" w:cs="Arial"/>
          <w:b/>
          <w:bCs/>
          <w:color w:val="000080"/>
          <w:sz w:val="20"/>
          <w:szCs w:val="20"/>
        </w:rPr>
        <w:t xml:space="preserve"> </w:t>
      </w:r>
      <w:r w:rsidRPr="00FB1DEA">
        <w:rPr>
          <w:rFonts w:ascii="Arial" w:hAnsi="Arial" w:cs="Arial"/>
          <w:bCs/>
          <w:sz w:val="20"/>
          <w:szCs w:val="20"/>
        </w:rPr>
        <w:t>Trial registration no. NCT03431350 (ClinicalTrials.gov)</w:t>
      </w:r>
    </w:p>
    <w:p w14:paraId="7664896F" w14:textId="77777777" w:rsidR="007264A8" w:rsidRPr="00FB1DEA" w:rsidRDefault="007264A8" w:rsidP="007264A8">
      <w:pPr>
        <w:ind w:left="720"/>
        <w:jc w:val="both"/>
        <w:rPr>
          <w:rFonts w:ascii="Arial" w:hAnsi="Arial" w:cs="Arial"/>
          <w:b/>
          <w:bCs/>
          <w:color w:val="000080"/>
          <w:sz w:val="20"/>
          <w:szCs w:val="20"/>
        </w:rPr>
      </w:pPr>
    </w:p>
    <w:p w14:paraId="09F963B5" w14:textId="77777777" w:rsidR="007264A8" w:rsidRPr="00FB1DEA" w:rsidRDefault="001A0EA8" w:rsidP="007264A8">
      <w:pPr>
        <w:jc w:val="both"/>
        <w:rPr>
          <w:rFonts w:ascii="Arial" w:hAnsi="Arial" w:cs="Arial"/>
          <w:b/>
          <w:color w:val="FF0000"/>
          <w:sz w:val="20"/>
          <w:szCs w:val="20"/>
        </w:rPr>
      </w:pPr>
      <w:r w:rsidRPr="00FB1DEA">
        <w:rPr>
          <w:rFonts w:ascii="Arial" w:hAnsi="Arial" w:cs="Arial"/>
          <w:bCs/>
          <w:sz w:val="20"/>
          <w:szCs w:val="20"/>
        </w:rPr>
        <w:t>Ensayo que evalúa la seguridad y eficacia de niraparib y otros agentes antineoplásicos. La combinación 2 combinará niraparib con AAP en participantes con CPRCm con DDR</w:t>
      </w:r>
      <w:r w:rsidR="00B93F21">
        <w:rPr>
          <w:rFonts w:ascii="Arial" w:hAnsi="Arial" w:cs="Arial"/>
          <w:bCs/>
          <w:sz w:val="20"/>
          <w:szCs w:val="20"/>
        </w:rPr>
        <w:t>.</w:t>
      </w:r>
    </w:p>
    <w:p w14:paraId="3F72DE50" w14:textId="77777777" w:rsidR="005B64D3" w:rsidRPr="00FB1DEA" w:rsidRDefault="005B64D3" w:rsidP="007264A8">
      <w:pPr>
        <w:jc w:val="both"/>
        <w:rPr>
          <w:rFonts w:ascii="Arial" w:hAnsi="Arial" w:cs="Arial"/>
          <w:b/>
          <w:color w:val="FF0000"/>
          <w:sz w:val="20"/>
          <w:szCs w:val="20"/>
        </w:rPr>
      </w:pPr>
    </w:p>
    <w:p w14:paraId="34C76872" w14:textId="77777777" w:rsidR="007264A8" w:rsidRPr="00B93F21" w:rsidRDefault="007264A8" w:rsidP="007264A8">
      <w:pPr>
        <w:widowControl w:val="0"/>
        <w:numPr>
          <w:ilvl w:val="0"/>
          <w:numId w:val="14"/>
        </w:numPr>
        <w:spacing w:after="120" w:line="280" w:lineRule="exact"/>
        <w:jc w:val="both"/>
        <w:rPr>
          <w:rFonts w:ascii="Arial" w:eastAsia="Arial" w:hAnsi="Arial" w:cs="Arial"/>
          <w:color w:val="000000"/>
          <w:sz w:val="20"/>
          <w:szCs w:val="20"/>
          <w:u w:val="single"/>
        </w:rPr>
      </w:pPr>
      <w:r w:rsidRPr="00B93F21">
        <w:rPr>
          <w:rFonts w:ascii="Arial" w:eastAsia="Arial" w:hAnsi="Arial" w:cs="Arial"/>
          <w:color w:val="000000"/>
          <w:sz w:val="20"/>
          <w:szCs w:val="20"/>
          <w:u w:val="single"/>
        </w:rPr>
        <w:t xml:space="preserve">Nº de pacientes: </w:t>
      </w:r>
      <w:r w:rsidRPr="00B93F21">
        <w:rPr>
          <w:rFonts w:ascii="Arial" w:eastAsia="Arial" w:hAnsi="Arial" w:cs="Arial"/>
          <w:color w:val="000000"/>
          <w:sz w:val="20"/>
          <w:szCs w:val="20"/>
        </w:rPr>
        <w:t xml:space="preserve">24. 23 fueron incluidos </w:t>
      </w:r>
      <w:r w:rsidR="00A524FC" w:rsidRPr="00B93F21">
        <w:rPr>
          <w:rFonts w:ascii="Arial" w:eastAsia="Arial" w:hAnsi="Arial" w:cs="Arial"/>
          <w:color w:val="000000"/>
          <w:sz w:val="20"/>
          <w:szCs w:val="20"/>
        </w:rPr>
        <w:t xml:space="preserve">en un análisis </w:t>
      </w:r>
      <w:r w:rsidRPr="00B93F21">
        <w:rPr>
          <w:rFonts w:ascii="Arial" w:eastAsia="Arial" w:hAnsi="Arial" w:cs="Arial"/>
          <w:color w:val="000000"/>
          <w:sz w:val="20"/>
          <w:szCs w:val="20"/>
        </w:rPr>
        <w:t>por intención de tratar (ITT)</w:t>
      </w:r>
    </w:p>
    <w:p w14:paraId="60FEBEE5" w14:textId="66AC7F9E" w:rsidR="005B64D3" w:rsidRPr="00B93F21" w:rsidRDefault="007264A8" w:rsidP="005B64D3">
      <w:pPr>
        <w:widowControl w:val="0"/>
        <w:numPr>
          <w:ilvl w:val="0"/>
          <w:numId w:val="14"/>
        </w:numPr>
        <w:spacing w:after="120" w:line="280" w:lineRule="exact"/>
        <w:jc w:val="both"/>
        <w:rPr>
          <w:rFonts w:ascii="Arial" w:eastAsia="Arial" w:hAnsi="Arial" w:cs="Arial"/>
          <w:color w:val="000000"/>
          <w:sz w:val="20"/>
          <w:szCs w:val="20"/>
        </w:rPr>
      </w:pPr>
      <w:r w:rsidRPr="00B93F21">
        <w:rPr>
          <w:rFonts w:ascii="Arial" w:eastAsia="Arial" w:hAnsi="Arial" w:cs="Arial"/>
          <w:color w:val="000000"/>
          <w:sz w:val="20"/>
          <w:szCs w:val="20"/>
          <w:u w:val="single"/>
        </w:rPr>
        <w:t>Población de pacientes:</w:t>
      </w:r>
      <w:r w:rsidR="001A0EA8" w:rsidRPr="00FB1DEA">
        <w:rPr>
          <w:rFonts w:ascii="Arial" w:hAnsi="Arial" w:cs="Arial"/>
          <w:sz w:val="20"/>
          <w:szCs w:val="20"/>
        </w:rPr>
        <w:t xml:space="preserve"> P</w:t>
      </w:r>
      <w:r w:rsidRPr="00B93F21">
        <w:rPr>
          <w:rFonts w:ascii="Arial" w:eastAsia="Arial" w:hAnsi="Arial" w:cs="Arial"/>
          <w:color w:val="000000"/>
          <w:sz w:val="20"/>
          <w:szCs w:val="20"/>
        </w:rPr>
        <w:t xml:space="preserve">acientes con CPRCm </w:t>
      </w:r>
      <w:r w:rsidR="005B64D3" w:rsidRPr="00B93F21">
        <w:rPr>
          <w:rFonts w:ascii="Arial" w:eastAsia="Arial" w:hAnsi="Arial" w:cs="Arial"/>
          <w:color w:val="000000"/>
          <w:sz w:val="20"/>
          <w:szCs w:val="20"/>
        </w:rPr>
        <w:t xml:space="preserve">con alteración en genes asociados con HRR </w:t>
      </w:r>
      <w:r w:rsidRPr="00B93F21">
        <w:rPr>
          <w:rFonts w:ascii="Arial" w:eastAsia="Arial" w:hAnsi="Arial" w:cs="Arial"/>
          <w:color w:val="000000"/>
          <w:sz w:val="20"/>
          <w:szCs w:val="20"/>
        </w:rPr>
        <w:t xml:space="preserve">tratados previamente con </w:t>
      </w:r>
      <w:r w:rsidR="005B64D3" w:rsidRPr="00B93F21">
        <w:rPr>
          <w:rFonts w:ascii="Arial" w:eastAsia="Arial" w:hAnsi="Arial" w:cs="Arial"/>
          <w:color w:val="000000"/>
          <w:sz w:val="20"/>
          <w:szCs w:val="20"/>
        </w:rPr>
        <w:t>≥ 1 terapia dirigida al receptor de andrógenos para el CP</w:t>
      </w:r>
      <w:r w:rsidR="00B93F21">
        <w:rPr>
          <w:rFonts w:ascii="Arial" w:eastAsia="Arial" w:hAnsi="Arial" w:cs="Arial"/>
          <w:color w:val="000000"/>
          <w:sz w:val="20"/>
          <w:szCs w:val="20"/>
        </w:rPr>
        <w:t>.</w:t>
      </w:r>
      <w:r w:rsidR="005B64D3" w:rsidRPr="00B93F21">
        <w:rPr>
          <w:rFonts w:ascii="Arial" w:eastAsia="Arial" w:hAnsi="Arial" w:cs="Arial"/>
          <w:color w:val="000000"/>
          <w:sz w:val="20"/>
          <w:szCs w:val="20"/>
        </w:rPr>
        <w:t xml:space="preserve"> </w:t>
      </w:r>
    </w:p>
    <w:p w14:paraId="27EE3D18" w14:textId="77777777" w:rsidR="007264A8" w:rsidRPr="00807DE7" w:rsidRDefault="007264A8" w:rsidP="005B64D3">
      <w:pPr>
        <w:widowControl w:val="0"/>
        <w:numPr>
          <w:ilvl w:val="0"/>
          <w:numId w:val="14"/>
        </w:numPr>
        <w:spacing w:after="120" w:line="280" w:lineRule="exact"/>
        <w:jc w:val="both"/>
        <w:rPr>
          <w:rFonts w:ascii="Arial" w:eastAsia="Arial" w:hAnsi="Arial" w:cs="Arial"/>
          <w:color w:val="000000"/>
          <w:sz w:val="20"/>
          <w:szCs w:val="20"/>
        </w:rPr>
      </w:pPr>
      <w:r w:rsidRPr="00807DE7">
        <w:rPr>
          <w:rFonts w:ascii="Arial" w:eastAsia="Arial" w:hAnsi="Arial" w:cs="Arial"/>
          <w:color w:val="000000"/>
          <w:sz w:val="20"/>
          <w:szCs w:val="20"/>
          <w:u w:val="single"/>
        </w:rPr>
        <w:t>Diseño:</w:t>
      </w:r>
      <w:r w:rsidRPr="00807DE7">
        <w:rPr>
          <w:rFonts w:ascii="Arial" w:eastAsia="Arial" w:hAnsi="Arial" w:cs="Arial"/>
          <w:color w:val="000000"/>
          <w:sz w:val="20"/>
          <w:szCs w:val="20"/>
        </w:rPr>
        <w:t xml:space="preserve"> estudio multicéntrico, abierto, de fase </w:t>
      </w:r>
      <w:r w:rsidR="005B64D3" w:rsidRPr="00807DE7">
        <w:rPr>
          <w:rFonts w:ascii="Arial" w:eastAsia="Arial" w:hAnsi="Arial" w:cs="Arial"/>
          <w:color w:val="000000"/>
          <w:sz w:val="20"/>
          <w:szCs w:val="20"/>
        </w:rPr>
        <w:t>2</w:t>
      </w:r>
      <w:r w:rsidRPr="00807DE7">
        <w:rPr>
          <w:rFonts w:ascii="Arial" w:eastAsia="Arial" w:hAnsi="Arial" w:cs="Arial"/>
          <w:color w:val="000000"/>
          <w:sz w:val="20"/>
          <w:szCs w:val="20"/>
        </w:rPr>
        <w:t>.</w:t>
      </w:r>
    </w:p>
    <w:p w14:paraId="79AA9CC1" w14:textId="02E08830" w:rsidR="00B2135F" w:rsidRDefault="007264A8" w:rsidP="00B2135F">
      <w:pPr>
        <w:widowControl w:val="0"/>
        <w:numPr>
          <w:ilvl w:val="0"/>
          <w:numId w:val="14"/>
        </w:numPr>
        <w:spacing w:after="120" w:line="280" w:lineRule="exact"/>
        <w:jc w:val="both"/>
        <w:rPr>
          <w:rFonts w:ascii="Arial" w:eastAsia="Arial" w:hAnsi="Arial" w:cs="Arial"/>
          <w:color w:val="000000"/>
          <w:sz w:val="20"/>
          <w:szCs w:val="20"/>
        </w:rPr>
      </w:pPr>
      <w:r w:rsidRPr="00003755">
        <w:rPr>
          <w:rFonts w:ascii="Arial" w:eastAsia="Arial" w:hAnsi="Arial" w:cs="Arial"/>
          <w:color w:val="000000"/>
          <w:sz w:val="20"/>
          <w:szCs w:val="20"/>
          <w:u w:val="single"/>
        </w:rPr>
        <w:t>Tratamiento</w:t>
      </w:r>
      <w:r w:rsidRPr="00003755">
        <w:rPr>
          <w:rFonts w:ascii="Arial" w:eastAsia="Arial" w:hAnsi="Arial" w:cs="Arial"/>
          <w:color w:val="000000"/>
          <w:sz w:val="20"/>
          <w:szCs w:val="20"/>
        </w:rPr>
        <w:t xml:space="preserve">: </w:t>
      </w:r>
      <w:r w:rsidR="005B64D3" w:rsidRPr="00E37EF7">
        <w:rPr>
          <w:rFonts w:ascii="Arial" w:eastAsia="Arial" w:hAnsi="Arial" w:cs="Arial"/>
          <w:color w:val="000000"/>
          <w:sz w:val="20"/>
          <w:szCs w:val="20"/>
        </w:rPr>
        <w:t>niraparib 200, AAP 1.000 mg al día, prednisona 5 mg 2 veces al día.</w:t>
      </w:r>
    </w:p>
    <w:p w14:paraId="214C8C8E" w14:textId="522C3123" w:rsidR="00A30422" w:rsidRPr="00470336" w:rsidRDefault="00470336" w:rsidP="0066421B">
      <w:pPr>
        <w:widowControl w:val="0"/>
        <w:numPr>
          <w:ilvl w:val="0"/>
          <w:numId w:val="14"/>
        </w:numPr>
        <w:spacing w:after="120" w:line="280" w:lineRule="exact"/>
        <w:jc w:val="both"/>
        <w:rPr>
          <w:rFonts w:ascii="Arial" w:hAnsi="Arial" w:cs="Arial"/>
          <w:sz w:val="20"/>
          <w:szCs w:val="20"/>
        </w:rPr>
      </w:pPr>
      <w:r>
        <w:rPr>
          <w:rFonts w:ascii="Arial" w:eastAsia="Arial" w:hAnsi="Arial" w:cs="Arial"/>
          <w:color w:val="000000"/>
          <w:sz w:val="20"/>
          <w:szCs w:val="20"/>
          <w:u w:val="single"/>
        </w:rPr>
        <w:t>En este estudio s</w:t>
      </w:r>
      <w:r w:rsidRPr="00470336">
        <w:rPr>
          <w:rFonts w:ascii="Arial" w:eastAsia="Arial" w:hAnsi="Arial" w:cs="Arial"/>
          <w:color w:val="000000"/>
          <w:sz w:val="20"/>
          <w:szCs w:val="20"/>
          <w:u w:val="single"/>
        </w:rPr>
        <w:t>e midió la tasa de respuesta compuesta (TRC)</w:t>
      </w:r>
      <w:r w:rsidRPr="00470336">
        <w:rPr>
          <w:rFonts w:ascii="Arial" w:eastAsia="Arial" w:hAnsi="Arial" w:cs="Arial"/>
          <w:color w:val="000000"/>
          <w:sz w:val="20"/>
          <w:szCs w:val="20"/>
        </w:rPr>
        <w:t xml:space="preserve">: definida como la proporción de pacientes con ≥1 de los siguientes: respuesta radiográfica objetiva en pacientes con enfermedad medible, respuesta global de células tumorales circulantes o reducción de PSA ≥50% (PSA50). </w:t>
      </w:r>
    </w:p>
    <w:tbl>
      <w:tblPr>
        <w:tblW w:w="0" w:type="auto"/>
        <w:jc w:val="center"/>
        <w:tblLayout w:type="fixed"/>
        <w:tblCellMar>
          <w:left w:w="70" w:type="dxa"/>
          <w:right w:w="70" w:type="dxa"/>
        </w:tblCellMar>
        <w:tblLook w:val="0000" w:firstRow="0" w:lastRow="0" w:firstColumn="0" w:lastColumn="0" w:noHBand="0" w:noVBand="0"/>
      </w:tblPr>
      <w:tblGrid>
        <w:gridCol w:w="4396"/>
        <w:gridCol w:w="3401"/>
      </w:tblGrid>
      <w:tr w:rsidR="001308CF" w14:paraId="1FB1C062" w14:textId="77777777" w:rsidTr="00EA5133">
        <w:trPr>
          <w:trHeight w:val="354"/>
          <w:jc w:val="center"/>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CCFFCC"/>
            <w:vAlign w:val="center"/>
          </w:tcPr>
          <w:p w14:paraId="10B8E18E" w14:textId="77777777" w:rsidR="001308CF" w:rsidRDefault="001308CF" w:rsidP="00EA5133">
            <w:pPr>
              <w:widowControl w:val="0"/>
            </w:pPr>
            <w:r w:rsidRPr="00CC2BAC">
              <w:rPr>
                <w:rFonts w:ascii="Arial" w:eastAsia="Arial" w:hAnsi="Arial" w:cs="Arial"/>
                <w:b/>
                <w:bCs/>
                <w:iCs/>
                <w:color w:val="000000"/>
                <w:sz w:val="18"/>
                <w:szCs w:val="18"/>
              </w:rPr>
              <w:t xml:space="preserve">Tabla </w:t>
            </w:r>
            <w:r w:rsidR="00796BDE">
              <w:rPr>
                <w:rFonts w:ascii="Arial" w:eastAsia="Arial" w:hAnsi="Arial" w:cs="Arial"/>
                <w:b/>
                <w:bCs/>
                <w:iCs/>
                <w:color w:val="000000"/>
                <w:sz w:val="18"/>
                <w:szCs w:val="18"/>
              </w:rPr>
              <w:t>3</w:t>
            </w:r>
            <w:r w:rsidRPr="00CC2BAC">
              <w:rPr>
                <w:rFonts w:ascii="Arial" w:eastAsia="Arial" w:hAnsi="Arial" w:cs="Arial"/>
                <w:b/>
                <w:bCs/>
                <w:iCs/>
                <w:color w:val="000000"/>
                <w:sz w:val="18"/>
                <w:szCs w:val="18"/>
              </w:rPr>
              <w:t>.</w:t>
            </w:r>
            <w:r>
              <w:rPr>
                <w:rFonts w:ascii="Arial" w:eastAsia="Arial" w:hAnsi="Arial" w:cs="Arial"/>
                <w:b/>
                <w:bCs/>
                <w:i/>
                <w:iCs/>
                <w:color w:val="000000"/>
                <w:sz w:val="18"/>
                <w:szCs w:val="18"/>
              </w:rPr>
              <w:t xml:space="preserve"> </w:t>
            </w:r>
            <w:r>
              <w:rPr>
                <w:rFonts w:ascii="Arial" w:eastAsia="Arial" w:hAnsi="Arial" w:cs="Arial"/>
                <w:b/>
                <w:bCs/>
                <w:iCs/>
                <w:color w:val="000000"/>
                <w:sz w:val="18"/>
                <w:szCs w:val="18"/>
              </w:rPr>
              <w:t xml:space="preserve">Resultados de eficacia </w:t>
            </w:r>
            <w:r w:rsidRPr="00965615">
              <w:rPr>
                <w:rFonts w:ascii="Arial" w:eastAsia="Arial" w:hAnsi="Arial" w:cs="Arial"/>
                <w:b/>
                <w:bCs/>
                <w:iCs/>
                <w:color w:val="000000"/>
                <w:sz w:val="18"/>
                <w:szCs w:val="18"/>
              </w:rPr>
              <w:t xml:space="preserve">del estudio </w:t>
            </w:r>
            <w:r>
              <w:rPr>
                <w:rFonts w:ascii="Arial" w:hAnsi="Arial" w:cs="Arial"/>
                <w:b/>
                <w:sz w:val="20"/>
                <w:szCs w:val="20"/>
              </w:rPr>
              <w:t>QUEST</w:t>
            </w:r>
          </w:p>
        </w:tc>
      </w:tr>
      <w:tr w:rsidR="001308CF" w:rsidRPr="00CC2BAC" w14:paraId="2FB91A6C" w14:textId="77777777" w:rsidTr="00EA5133">
        <w:trPr>
          <w:trHeight w:val="335"/>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E2122" w14:textId="77777777" w:rsidR="001308CF" w:rsidRPr="00CC2BAC" w:rsidRDefault="001308CF" w:rsidP="00EA5133">
            <w:pPr>
              <w:widowControl w:val="0"/>
              <w:rPr>
                <w:rFonts w:ascii="Arial" w:hAnsi="Arial" w:cs="Arial"/>
                <w:sz w:val="18"/>
                <w:szCs w:val="18"/>
              </w:rPr>
            </w:pPr>
            <w:r w:rsidRPr="00CC2BAC">
              <w:rPr>
                <w:rFonts w:ascii="Arial" w:hAnsi="Arial" w:cs="Arial"/>
                <w:b/>
                <w:bCs/>
                <w:i/>
                <w:iCs/>
                <w:sz w:val="18"/>
                <w:szCs w:val="18"/>
              </w:rPr>
              <w:t>Variable evaluada en el estudio</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9CB4C" w14:textId="02DEC20C" w:rsidR="001308CF" w:rsidRPr="00CC2BAC" w:rsidRDefault="001308CF" w:rsidP="00B93F21">
            <w:pPr>
              <w:widowControl w:val="0"/>
              <w:tabs>
                <w:tab w:val="left" w:pos="1673"/>
              </w:tabs>
              <w:jc w:val="center"/>
              <w:rPr>
                <w:rFonts w:ascii="Arial" w:hAnsi="Arial" w:cs="Arial"/>
                <w:sz w:val="18"/>
                <w:szCs w:val="18"/>
              </w:rPr>
            </w:pPr>
            <w:r>
              <w:rPr>
                <w:rFonts w:ascii="Arial" w:hAnsi="Arial" w:cs="Arial"/>
                <w:b/>
                <w:bCs/>
                <w:i/>
                <w:iCs/>
                <w:sz w:val="18"/>
                <w:szCs w:val="18"/>
                <w:lang w:val="pt-BR"/>
              </w:rPr>
              <w:t>Niraparib/abiraterona 200/1000 mg</w:t>
            </w:r>
            <w:r>
              <w:rPr>
                <w:rFonts w:ascii="Arial" w:hAnsi="Arial" w:cs="Arial"/>
                <w:sz w:val="18"/>
                <w:szCs w:val="18"/>
              </w:rPr>
              <w:t xml:space="preserve">    </w:t>
            </w:r>
            <w:r w:rsidR="00B93F21">
              <w:rPr>
                <w:rFonts w:ascii="Arial" w:hAnsi="Arial" w:cs="Arial"/>
                <w:b/>
                <w:bCs/>
                <w:i/>
                <w:iCs/>
                <w:sz w:val="18"/>
                <w:szCs w:val="18"/>
                <w:lang w:val="pt-BR"/>
              </w:rPr>
              <w:t>N=23</w:t>
            </w:r>
          </w:p>
        </w:tc>
      </w:tr>
      <w:tr w:rsidR="001308CF" w:rsidRPr="00F33D75" w14:paraId="67BEDFF2" w14:textId="77777777" w:rsidTr="00EA5133">
        <w:trPr>
          <w:trHeight w:val="344"/>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7712E" w14:textId="77777777" w:rsidR="001308CF" w:rsidRPr="00F33D75" w:rsidRDefault="001308CF" w:rsidP="00EA5133">
            <w:pPr>
              <w:widowControl w:val="0"/>
              <w:rPr>
                <w:rFonts w:ascii="Arial" w:hAnsi="Arial" w:cs="Arial"/>
                <w:b/>
                <w:i/>
                <w:iCs/>
                <w:sz w:val="18"/>
                <w:szCs w:val="18"/>
              </w:rPr>
            </w:pPr>
            <w:r w:rsidRPr="00F33D75">
              <w:rPr>
                <w:rFonts w:ascii="Arial" w:hAnsi="Arial" w:cs="Arial"/>
                <w:b/>
                <w:i/>
                <w:iCs/>
                <w:sz w:val="18"/>
                <w:szCs w:val="18"/>
              </w:rPr>
              <w:t xml:space="preserve">Tasa de respuesta </w:t>
            </w:r>
            <w:r>
              <w:rPr>
                <w:rFonts w:ascii="Arial" w:hAnsi="Arial" w:cs="Arial"/>
                <w:b/>
                <w:i/>
                <w:iCs/>
                <w:sz w:val="18"/>
                <w:szCs w:val="18"/>
              </w:rPr>
              <w:t>compuesta (TRC)</w:t>
            </w:r>
          </w:p>
        </w:tc>
        <w:tc>
          <w:tcPr>
            <w:tcW w:w="3401" w:type="dxa"/>
            <w:tcBorders>
              <w:top w:val="single" w:sz="4" w:space="0" w:color="000000"/>
              <w:left w:val="single" w:sz="4" w:space="0" w:color="000000"/>
              <w:right w:val="single" w:sz="4" w:space="0" w:color="000000"/>
            </w:tcBorders>
            <w:shd w:val="clear" w:color="auto" w:fill="auto"/>
            <w:vAlign w:val="center"/>
          </w:tcPr>
          <w:p w14:paraId="48FDEAA5" w14:textId="77777777" w:rsidR="001308CF" w:rsidRPr="002615AF" w:rsidRDefault="001308CF" w:rsidP="001308CF">
            <w:pPr>
              <w:widowControl w:val="0"/>
              <w:snapToGrid w:val="0"/>
              <w:jc w:val="center"/>
              <w:rPr>
                <w:rFonts w:ascii="Arial" w:hAnsi="Arial" w:cs="Arial"/>
                <w:bCs/>
                <w:i/>
                <w:iCs/>
                <w:sz w:val="18"/>
                <w:szCs w:val="18"/>
              </w:rPr>
            </w:pPr>
            <w:r>
              <w:rPr>
                <w:rFonts w:ascii="Arial" w:hAnsi="Arial" w:cs="Arial"/>
                <w:bCs/>
                <w:i/>
                <w:iCs/>
                <w:sz w:val="18"/>
                <w:szCs w:val="18"/>
              </w:rPr>
              <w:t>13</w:t>
            </w:r>
            <w:r w:rsidRPr="002615AF">
              <w:rPr>
                <w:rFonts w:ascii="Arial" w:hAnsi="Arial" w:cs="Arial"/>
                <w:bCs/>
                <w:i/>
                <w:iCs/>
                <w:sz w:val="18"/>
                <w:szCs w:val="18"/>
              </w:rPr>
              <w:t xml:space="preserve"> </w:t>
            </w:r>
            <w:r>
              <w:rPr>
                <w:rFonts w:ascii="Arial" w:hAnsi="Arial" w:cs="Arial"/>
                <w:bCs/>
                <w:i/>
                <w:iCs/>
                <w:sz w:val="18"/>
                <w:szCs w:val="18"/>
              </w:rPr>
              <w:t>(56,5%)</w:t>
            </w:r>
          </w:p>
          <w:p w14:paraId="501F9C60" w14:textId="77777777" w:rsidR="001308CF" w:rsidRPr="00F33D75" w:rsidRDefault="001308CF" w:rsidP="001308CF">
            <w:pPr>
              <w:widowControl w:val="0"/>
              <w:jc w:val="center"/>
              <w:rPr>
                <w:rFonts w:ascii="Arial" w:hAnsi="Arial" w:cs="Arial"/>
                <w:i/>
                <w:iCs/>
                <w:sz w:val="18"/>
                <w:szCs w:val="18"/>
                <w:lang w:eastAsia="zh-CN"/>
              </w:rPr>
            </w:pPr>
            <w:r w:rsidRPr="002615AF">
              <w:rPr>
                <w:rFonts w:ascii="Arial" w:hAnsi="Arial" w:cs="Arial"/>
                <w:bCs/>
                <w:i/>
                <w:iCs/>
                <w:sz w:val="18"/>
                <w:szCs w:val="18"/>
              </w:rPr>
              <w:t>(IC 9</w:t>
            </w:r>
            <w:r>
              <w:rPr>
                <w:rFonts w:ascii="Arial" w:hAnsi="Arial" w:cs="Arial"/>
                <w:bCs/>
                <w:i/>
                <w:iCs/>
                <w:sz w:val="18"/>
                <w:szCs w:val="18"/>
              </w:rPr>
              <w:t>0</w:t>
            </w:r>
            <w:r w:rsidRPr="002615AF">
              <w:rPr>
                <w:rFonts w:ascii="Arial" w:hAnsi="Arial" w:cs="Arial"/>
                <w:bCs/>
                <w:i/>
                <w:iCs/>
                <w:sz w:val="18"/>
                <w:szCs w:val="18"/>
              </w:rPr>
              <w:t xml:space="preserve">%: </w:t>
            </w:r>
            <w:r>
              <w:rPr>
                <w:rFonts w:ascii="Arial" w:hAnsi="Arial" w:cs="Arial"/>
                <w:bCs/>
                <w:i/>
                <w:iCs/>
                <w:sz w:val="18"/>
                <w:szCs w:val="18"/>
              </w:rPr>
              <w:t>37,5</w:t>
            </w:r>
            <w:r w:rsidRPr="002615AF">
              <w:rPr>
                <w:rFonts w:ascii="Arial" w:hAnsi="Arial" w:cs="Arial"/>
                <w:bCs/>
                <w:i/>
                <w:iCs/>
                <w:sz w:val="18"/>
                <w:szCs w:val="18"/>
              </w:rPr>
              <w:t>-</w:t>
            </w:r>
            <w:r>
              <w:rPr>
                <w:rFonts w:ascii="Arial" w:hAnsi="Arial" w:cs="Arial"/>
                <w:bCs/>
                <w:i/>
                <w:iCs/>
                <w:sz w:val="18"/>
                <w:szCs w:val="18"/>
              </w:rPr>
              <w:t>74,2</w:t>
            </w:r>
            <w:r w:rsidRPr="002615AF">
              <w:rPr>
                <w:rFonts w:ascii="Arial" w:hAnsi="Arial" w:cs="Arial"/>
                <w:bCs/>
                <w:i/>
                <w:iCs/>
                <w:sz w:val="18"/>
                <w:szCs w:val="18"/>
              </w:rPr>
              <w:t>)</w:t>
            </w:r>
          </w:p>
        </w:tc>
      </w:tr>
      <w:tr w:rsidR="001308CF" w:rsidRPr="00F33D75" w14:paraId="35AF7EEE" w14:textId="77777777" w:rsidTr="00EA5133">
        <w:trPr>
          <w:trHeight w:val="360"/>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23549" w14:textId="77777777" w:rsidR="001308CF" w:rsidRPr="00F33D75" w:rsidRDefault="001308CF" w:rsidP="00EA5133">
            <w:pPr>
              <w:pStyle w:val="Prrafodelista1"/>
              <w:widowControl w:val="0"/>
              <w:ind w:left="0"/>
              <w:rPr>
                <w:rFonts w:ascii="Arial" w:hAnsi="Arial" w:cs="Arial"/>
                <w:b/>
                <w:i/>
                <w:iCs/>
                <w:sz w:val="18"/>
                <w:szCs w:val="18"/>
              </w:rPr>
            </w:pPr>
            <w:r>
              <w:rPr>
                <w:rFonts w:ascii="Arial" w:hAnsi="Arial" w:cs="Arial"/>
                <w:b/>
                <w:i/>
                <w:iCs/>
                <w:sz w:val="18"/>
                <w:szCs w:val="18"/>
              </w:rPr>
              <w:t>Tasa de respuesta objetiva (TRO)</w:t>
            </w:r>
          </w:p>
        </w:tc>
        <w:tc>
          <w:tcPr>
            <w:tcW w:w="3401" w:type="dxa"/>
            <w:tcBorders>
              <w:top w:val="single" w:sz="4" w:space="0" w:color="000000"/>
              <w:left w:val="single" w:sz="4" w:space="0" w:color="000000"/>
              <w:right w:val="single" w:sz="4" w:space="0" w:color="000000"/>
            </w:tcBorders>
            <w:shd w:val="clear" w:color="auto" w:fill="auto"/>
            <w:vAlign w:val="center"/>
          </w:tcPr>
          <w:p w14:paraId="09E2FA5A" w14:textId="77777777" w:rsidR="001308CF" w:rsidRDefault="001308CF" w:rsidP="001308CF">
            <w:pPr>
              <w:widowControl w:val="0"/>
              <w:jc w:val="center"/>
              <w:rPr>
                <w:rFonts w:ascii="Arial" w:hAnsi="Arial" w:cs="Arial"/>
                <w:sz w:val="18"/>
                <w:szCs w:val="18"/>
              </w:rPr>
            </w:pPr>
            <w:r>
              <w:rPr>
                <w:rFonts w:ascii="Arial" w:hAnsi="Arial" w:cs="Arial"/>
                <w:sz w:val="18"/>
                <w:szCs w:val="18"/>
              </w:rPr>
              <w:t>5 (NA)</w:t>
            </w:r>
          </w:p>
          <w:p w14:paraId="63AB1773" w14:textId="77777777" w:rsidR="001308CF" w:rsidRPr="00F33D75" w:rsidRDefault="001308CF" w:rsidP="001308CF">
            <w:pPr>
              <w:widowControl w:val="0"/>
              <w:snapToGrid w:val="0"/>
              <w:jc w:val="center"/>
              <w:rPr>
                <w:rFonts w:ascii="Arial" w:hAnsi="Arial" w:cs="Arial"/>
                <w:bCs/>
                <w:i/>
                <w:iCs/>
                <w:sz w:val="18"/>
                <w:szCs w:val="18"/>
              </w:rPr>
            </w:pPr>
            <w:r>
              <w:rPr>
                <w:rFonts w:ascii="Arial" w:hAnsi="Arial" w:cs="Arial"/>
                <w:sz w:val="18"/>
                <w:szCs w:val="18"/>
              </w:rPr>
              <w:t>(IC 90%: 9,0-40,4)</w:t>
            </w:r>
          </w:p>
        </w:tc>
      </w:tr>
      <w:tr w:rsidR="001308CF" w:rsidRPr="00F33D75" w14:paraId="2F9F812B" w14:textId="77777777" w:rsidTr="00EA5133">
        <w:trPr>
          <w:trHeight w:val="353"/>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365F" w14:textId="77777777" w:rsidR="001308CF" w:rsidRPr="00F33D75" w:rsidRDefault="001308CF" w:rsidP="001308CF">
            <w:pPr>
              <w:pStyle w:val="Prrafodelista1"/>
              <w:widowControl w:val="0"/>
              <w:ind w:left="0"/>
              <w:rPr>
                <w:rFonts w:ascii="Arial" w:hAnsi="Arial" w:cs="Arial"/>
                <w:i/>
                <w:iCs/>
                <w:sz w:val="18"/>
                <w:szCs w:val="18"/>
              </w:rPr>
            </w:pPr>
            <w:r>
              <w:rPr>
                <w:rFonts w:ascii="Arial" w:hAnsi="Arial" w:cs="Arial"/>
                <w:i/>
                <w:iCs/>
                <w:sz w:val="18"/>
                <w:szCs w:val="18"/>
              </w:rPr>
              <w:t xml:space="preserve">    Respuesta completa de células circulantes tumorales</w:t>
            </w:r>
          </w:p>
        </w:tc>
        <w:tc>
          <w:tcPr>
            <w:tcW w:w="3401" w:type="dxa"/>
            <w:tcBorders>
              <w:top w:val="single" w:sz="4" w:space="0" w:color="000000"/>
              <w:left w:val="single" w:sz="4" w:space="0" w:color="000000"/>
              <w:right w:val="single" w:sz="4" w:space="0" w:color="000000"/>
            </w:tcBorders>
            <w:shd w:val="clear" w:color="auto" w:fill="auto"/>
            <w:vAlign w:val="center"/>
          </w:tcPr>
          <w:p w14:paraId="6523A00B" w14:textId="77777777" w:rsidR="001308CF" w:rsidRDefault="001308CF" w:rsidP="00EA5133">
            <w:pPr>
              <w:widowControl w:val="0"/>
              <w:jc w:val="center"/>
              <w:rPr>
                <w:rFonts w:ascii="Arial" w:hAnsi="Arial" w:cs="Arial"/>
                <w:i/>
                <w:iCs/>
                <w:sz w:val="18"/>
                <w:szCs w:val="18"/>
              </w:rPr>
            </w:pPr>
            <w:r>
              <w:rPr>
                <w:rFonts w:ascii="Arial" w:hAnsi="Arial" w:cs="Arial"/>
                <w:i/>
                <w:iCs/>
                <w:sz w:val="18"/>
                <w:szCs w:val="18"/>
              </w:rPr>
              <w:t>6 (26,1%)</w:t>
            </w:r>
          </w:p>
          <w:p w14:paraId="22BFB56B" w14:textId="77777777" w:rsidR="001308CF" w:rsidRPr="00F33D75" w:rsidRDefault="001308CF" w:rsidP="001308CF">
            <w:pPr>
              <w:widowControl w:val="0"/>
              <w:jc w:val="center"/>
              <w:rPr>
                <w:rFonts w:ascii="Arial" w:hAnsi="Arial" w:cs="Arial"/>
                <w:i/>
                <w:iCs/>
                <w:sz w:val="18"/>
                <w:szCs w:val="18"/>
              </w:rPr>
            </w:pPr>
            <w:r>
              <w:rPr>
                <w:rFonts w:ascii="Arial" w:hAnsi="Arial" w:cs="Arial"/>
                <w:i/>
                <w:iCs/>
                <w:sz w:val="18"/>
                <w:szCs w:val="18"/>
              </w:rPr>
              <w:t>(IC 90%; 12 – 45,1)</w:t>
            </w:r>
            <w:r w:rsidRPr="00F33D75">
              <w:rPr>
                <w:rFonts w:ascii="Arial" w:hAnsi="Arial" w:cs="Arial"/>
                <w:i/>
                <w:iCs/>
                <w:sz w:val="18"/>
                <w:szCs w:val="18"/>
              </w:rPr>
              <w:t xml:space="preserve"> </w:t>
            </w:r>
          </w:p>
        </w:tc>
      </w:tr>
      <w:tr w:rsidR="001308CF" w:rsidRPr="00F33D75" w14:paraId="2EA35B2E" w14:textId="77777777" w:rsidTr="00EA5133">
        <w:trPr>
          <w:trHeight w:val="353"/>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B2A69" w14:textId="77777777" w:rsidR="001308CF" w:rsidRDefault="00581BB7" w:rsidP="001308CF">
            <w:pPr>
              <w:pStyle w:val="Prrafodelista1"/>
              <w:widowControl w:val="0"/>
              <w:ind w:left="0"/>
              <w:rPr>
                <w:rFonts w:ascii="Arial" w:hAnsi="Arial" w:cs="Arial"/>
                <w:i/>
                <w:iCs/>
                <w:sz w:val="18"/>
                <w:szCs w:val="18"/>
              </w:rPr>
            </w:pPr>
            <w:r>
              <w:rPr>
                <w:rFonts w:ascii="Arial" w:hAnsi="Arial" w:cs="Arial"/>
                <w:i/>
                <w:iCs/>
                <w:sz w:val="18"/>
                <w:szCs w:val="18"/>
              </w:rPr>
              <w:t>Caída del PSA por encima del 50%</w:t>
            </w:r>
          </w:p>
        </w:tc>
        <w:tc>
          <w:tcPr>
            <w:tcW w:w="3401" w:type="dxa"/>
            <w:tcBorders>
              <w:top w:val="single" w:sz="4" w:space="0" w:color="000000"/>
              <w:left w:val="single" w:sz="4" w:space="0" w:color="000000"/>
              <w:right w:val="single" w:sz="4" w:space="0" w:color="000000"/>
            </w:tcBorders>
            <w:shd w:val="clear" w:color="auto" w:fill="auto"/>
            <w:vAlign w:val="center"/>
          </w:tcPr>
          <w:p w14:paraId="3406C52D" w14:textId="77777777" w:rsidR="001308CF" w:rsidRDefault="00581BB7" w:rsidP="00EA5133">
            <w:pPr>
              <w:widowControl w:val="0"/>
              <w:jc w:val="center"/>
              <w:rPr>
                <w:rFonts w:ascii="Arial" w:hAnsi="Arial" w:cs="Arial"/>
                <w:i/>
                <w:iCs/>
                <w:sz w:val="18"/>
                <w:szCs w:val="18"/>
              </w:rPr>
            </w:pPr>
            <w:r>
              <w:rPr>
                <w:rFonts w:ascii="Arial" w:hAnsi="Arial" w:cs="Arial"/>
                <w:i/>
                <w:iCs/>
                <w:sz w:val="18"/>
                <w:szCs w:val="18"/>
              </w:rPr>
              <w:t>4 (30,8%)</w:t>
            </w:r>
          </w:p>
          <w:p w14:paraId="02C730AF" w14:textId="77777777" w:rsidR="00581BB7" w:rsidRDefault="00581BB7" w:rsidP="00EA5133">
            <w:pPr>
              <w:widowControl w:val="0"/>
              <w:jc w:val="center"/>
              <w:rPr>
                <w:rFonts w:ascii="Arial" w:hAnsi="Arial" w:cs="Arial"/>
                <w:i/>
                <w:iCs/>
                <w:sz w:val="18"/>
                <w:szCs w:val="18"/>
              </w:rPr>
            </w:pPr>
            <w:r>
              <w:rPr>
                <w:rFonts w:ascii="Arial" w:hAnsi="Arial" w:cs="Arial"/>
                <w:i/>
                <w:iCs/>
                <w:sz w:val="18"/>
                <w:szCs w:val="18"/>
              </w:rPr>
              <w:t>(IC 90%; 11,3-57,3)</w:t>
            </w:r>
          </w:p>
        </w:tc>
      </w:tr>
      <w:tr w:rsidR="001308CF" w:rsidRPr="002615AF" w14:paraId="5EC5D815" w14:textId="77777777" w:rsidTr="00EA5133">
        <w:trPr>
          <w:trHeight w:val="348"/>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EDB0A1" w14:textId="77777777" w:rsidR="001308CF" w:rsidRPr="00F33D75" w:rsidRDefault="001308CF" w:rsidP="00EA5133">
            <w:pPr>
              <w:pStyle w:val="Prrafodelista1"/>
              <w:widowControl w:val="0"/>
              <w:ind w:left="0"/>
              <w:rPr>
                <w:rFonts w:ascii="Arial" w:hAnsi="Arial" w:cs="Arial"/>
                <w:b/>
                <w:sz w:val="18"/>
                <w:szCs w:val="18"/>
              </w:rPr>
            </w:pPr>
            <w:r w:rsidRPr="00F33D75">
              <w:rPr>
                <w:rFonts w:ascii="Arial" w:hAnsi="Arial" w:cs="Arial"/>
                <w:b/>
                <w:i/>
                <w:iCs/>
                <w:sz w:val="18"/>
                <w:szCs w:val="18"/>
              </w:rPr>
              <w:t>Duración de la respuesta (mes)</w:t>
            </w:r>
            <w:r>
              <w:rPr>
                <w:rFonts w:ascii="Arial" w:hAnsi="Arial" w:cs="Arial"/>
                <w:b/>
                <w:i/>
                <w:iCs/>
                <w:sz w:val="18"/>
                <w:szCs w:val="18"/>
              </w:rPr>
              <w:t>, rango</w:t>
            </w:r>
          </w:p>
        </w:tc>
        <w:tc>
          <w:tcPr>
            <w:tcW w:w="34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9DF4D0" w14:textId="77777777" w:rsidR="001308CF" w:rsidRPr="002615AF" w:rsidRDefault="001308CF" w:rsidP="00EA5133">
            <w:pPr>
              <w:widowControl w:val="0"/>
              <w:jc w:val="center"/>
              <w:rPr>
                <w:rFonts w:ascii="Arial" w:hAnsi="Arial" w:cs="Arial"/>
                <w:sz w:val="18"/>
                <w:szCs w:val="18"/>
              </w:rPr>
            </w:pPr>
            <w:r>
              <w:rPr>
                <w:rFonts w:ascii="Arial" w:hAnsi="Arial" w:cs="Arial"/>
                <w:sz w:val="18"/>
                <w:szCs w:val="18"/>
              </w:rPr>
              <w:t>4,7 (3,7-8,2)</w:t>
            </w:r>
          </w:p>
        </w:tc>
      </w:tr>
    </w:tbl>
    <w:p w14:paraId="66FF75AB" w14:textId="2583BC78" w:rsidR="001308CF" w:rsidRDefault="00470336" w:rsidP="00A30422">
      <w:pPr>
        <w:widowControl w:val="0"/>
        <w:spacing w:after="120" w:line="280" w:lineRule="exact"/>
        <w:jc w:val="both"/>
        <w:rPr>
          <w:rFonts w:ascii="Arial" w:hAnsi="Arial" w:cs="Arial"/>
          <w:sz w:val="20"/>
          <w:szCs w:val="20"/>
        </w:rPr>
      </w:pPr>
      <w:r>
        <w:rPr>
          <w:rFonts w:ascii="Arial" w:hAnsi="Arial" w:cs="Arial"/>
          <w:sz w:val="20"/>
          <w:szCs w:val="20"/>
        </w:rPr>
        <w:t xml:space="preserve">      </w:t>
      </w:r>
    </w:p>
    <w:p w14:paraId="4BE4CEC2" w14:textId="77777777" w:rsidR="00953910" w:rsidRPr="004B297D" w:rsidRDefault="00A30422" w:rsidP="004B297D">
      <w:pPr>
        <w:pBdr>
          <w:top w:val="single" w:sz="4" w:space="1" w:color="auto"/>
          <w:left w:val="single" w:sz="4" w:space="4" w:color="auto"/>
          <w:bottom w:val="single" w:sz="4" w:space="1" w:color="auto"/>
          <w:right w:val="single" w:sz="4" w:space="4" w:color="auto"/>
        </w:pBdr>
        <w:spacing w:after="120" w:line="280" w:lineRule="exact"/>
        <w:jc w:val="both"/>
        <w:rPr>
          <w:rFonts w:ascii="Arial" w:hAnsi="Arial" w:cs="Arial"/>
          <w:b/>
          <w:bCs/>
          <w:color w:val="000000"/>
          <w:sz w:val="20"/>
          <w:szCs w:val="18"/>
        </w:rPr>
      </w:pPr>
      <w:r w:rsidRPr="00867366">
        <w:rPr>
          <w:rFonts w:ascii="Arial" w:hAnsi="Arial" w:cs="Arial"/>
          <w:b/>
          <w:bCs/>
          <w:color w:val="000000"/>
          <w:sz w:val="20"/>
          <w:szCs w:val="18"/>
        </w:rPr>
        <w:t>Ensayo pivotal.</w:t>
      </w:r>
      <w:r w:rsidR="00B81EB4">
        <w:rPr>
          <w:rFonts w:ascii="Arial" w:hAnsi="Arial" w:cs="Arial"/>
          <w:b/>
          <w:bCs/>
          <w:color w:val="000000"/>
          <w:sz w:val="20"/>
          <w:szCs w:val="18"/>
        </w:rPr>
        <w:t xml:space="preserve"> (</w:t>
      </w:r>
      <w:r w:rsidR="00046C70">
        <w:rPr>
          <w:rFonts w:ascii="Arial" w:hAnsi="Arial" w:cs="Arial"/>
          <w:b/>
          <w:bCs/>
          <w:color w:val="000000"/>
          <w:sz w:val="20"/>
          <w:szCs w:val="18"/>
        </w:rPr>
        <w:t>20</w:t>
      </w:r>
      <w:r w:rsidR="00B81EB4">
        <w:rPr>
          <w:rFonts w:ascii="Arial" w:hAnsi="Arial" w:cs="Arial"/>
          <w:b/>
          <w:bCs/>
          <w:color w:val="000000"/>
          <w:sz w:val="20"/>
          <w:szCs w:val="18"/>
        </w:rPr>
        <w: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9E582E" w:rsidRPr="00966C6E" w14:paraId="588BB605" w14:textId="77777777" w:rsidTr="009E582E">
        <w:tc>
          <w:tcPr>
            <w:tcW w:w="10135" w:type="dxa"/>
            <w:shd w:val="clear" w:color="auto" w:fill="CCFFCC"/>
          </w:tcPr>
          <w:p w14:paraId="23DCB31B" w14:textId="77777777" w:rsidR="009E582E" w:rsidRPr="00117945" w:rsidRDefault="009E582E" w:rsidP="00BC3E8E">
            <w:pPr>
              <w:rPr>
                <w:rFonts w:ascii="Arial" w:hAnsi="Arial" w:cs="Arial"/>
                <w:i/>
                <w:sz w:val="18"/>
                <w:szCs w:val="20"/>
                <w:lang w:val="es-ES_tradnl"/>
              </w:rPr>
            </w:pPr>
            <w:r w:rsidRPr="00117945">
              <w:rPr>
                <w:rFonts w:ascii="Arial" w:hAnsi="Arial" w:cs="Arial"/>
                <w:b/>
                <w:i/>
                <w:sz w:val="18"/>
                <w:szCs w:val="20"/>
                <w:lang w:val="es-ES_tradnl"/>
              </w:rPr>
              <w:t xml:space="preserve">Tabla </w:t>
            </w:r>
            <w:r w:rsidR="00796BDE">
              <w:rPr>
                <w:rFonts w:ascii="Arial" w:hAnsi="Arial" w:cs="Arial"/>
                <w:b/>
                <w:i/>
                <w:sz w:val="18"/>
                <w:szCs w:val="20"/>
                <w:lang w:val="es-ES_tradnl"/>
              </w:rPr>
              <w:t>4</w:t>
            </w:r>
            <w:r w:rsidRPr="00117945">
              <w:rPr>
                <w:rFonts w:ascii="Arial" w:hAnsi="Arial" w:cs="Arial"/>
                <w:b/>
                <w:i/>
                <w:sz w:val="18"/>
                <w:szCs w:val="20"/>
                <w:lang w:val="es-ES_tradnl"/>
              </w:rPr>
              <w:t xml:space="preserve">. </w:t>
            </w:r>
            <w:r>
              <w:rPr>
                <w:rFonts w:ascii="Arial" w:hAnsi="Arial" w:cs="Arial"/>
                <w:b/>
                <w:bCs/>
                <w:sz w:val="18"/>
                <w:szCs w:val="20"/>
              </w:rPr>
              <w:t xml:space="preserve"> Ensayo MAGNITUDE</w:t>
            </w:r>
          </w:p>
          <w:p w14:paraId="64CFE959" w14:textId="7EBB23F9" w:rsidR="009E582E" w:rsidRPr="00966C6E" w:rsidRDefault="009E582E" w:rsidP="00A30422">
            <w:pPr>
              <w:spacing w:after="120" w:line="280" w:lineRule="exact"/>
              <w:jc w:val="both"/>
              <w:rPr>
                <w:rFonts w:ascii="Arial" w:hAnsi="Arial" w:cs="Arial"/>
                <w:sz w:val="20"/>
                <w:szCs w:val="20"/>
                <w:lang w:val="en-GB"/>
              </w:rPr>
            </w:pPr>
            <w:r w:rsidRPr="00B26609">
              <w:rPr>
                <w:rFonts w:ascii="Arial" w:hAnsi="Arial" w:cs="Arial"/>
                <w:b/>
                <w:i/>
                <w:sz w:val="16"/>
                <w:lang w:val="en-GB"/>
              </w:rPr>
              <w:t xml:space="preserve">Referencia: </w:t>
            </w:r>
            <w:r w:rsidRPr="00B26609">
              <w:rPr>
                <w:rFonts w:ascii="Arial" w:hAnsi="Arial" w:cs="Arial"/>
                <w:i/>
                <w:sz w:val="16"/>
                <w:lang w:val="en-GB"/>
              </w:rPr>
              <w:t xml:space="preserve">Chi, K. N., Rathkopf, D., Smith, M. R et al MAGNITUDE Principal Investigators. Niraparib and Abiraterone Acetate for Metastatic Castration-Resistant Prostate Cancer. </w:t>
            </w:r>
            <w:r w:rsidR="00966C6E">
              <w:rPr>
                <w:rFonts w:ascii="Arial" w:hAnsi="Arial" w:cs="Arial"/>
                <w:i/>
                <w:sz w:val="16"/>
                <w:lang w:val="en-GB"/>
              </w:rPr>
              <w:t xml:space="preserve">Journal of </w:t>
            </w:r>
            <w:r w:rsidR="000F4655">
              <w:rPr>
                <w:rFonts w:ascii="Arial" w:hAnsi="Arial" w:cs="Arial"/>
                <w:i/>
                <w:sz w:val="16"/>
                <w:lang w:val="en-GB"/>
              </w:rPr>
              <w:t xml:space="preserve">Clinical Oncology. 2023; </w:t>
            </w:r>
            <w:r w:rsidRPr="00073E29">
              <w:rPr>
                <w:rFonts w:ascii="Arial" w:hAnsi="Arial" w:cs="Arial"/>
                <w:i/>
                <w:sz w:val="16"/>
                <w:lang w:val="en-GB"/>
              </w:rPr>
              <w:t xml:space="preserve"> 41(18), 3339–51. </w:t>
            </w:r>
            <w:hyperlink r:id="rId15" w:history="1">
              <w:r w:rsidRPr="00966C6E">
                <w:rPr>
                  <w:rFonts w:ascii="Arial" w:hAnsi="Arial" w:cs="Arial"/>
                  <w:i/>
                  <w:sz w:val="16"/>
                  <w:lang w:val="en-GB"/>
                </w:rPr>
                <w:t>https://doi.org/10.1200/JCO.22.01649</w:t>
              </w:r>
            </w:hyperlink>
          </w:p>
          <w:p w14:paraId="1737F3AB" w14:textId="77777777" w:rsidR="009E582E" w:rsidRPr="00966C6E" w:rsidRDefault="009E582E" w:rsidP="00BC3E8E">
            <w:pPr>
              <w:jc w:val="both"/>
              <w:rPr>
                <w:rFonts w:ascii="Arial" w:hAnsi="Arial" w:cs="Arial"/>
                <w:b/>
                <w:i/>
                <w:sz w:val="16"/>
                <w:lang w:val="en-GB"/>
              </w:rPr>
            </w:pPr>
          </w:p>
        </w:tc>
      </w:tr>
      <w:tr w:rsidR="009E582E" w:rsidRPr="006F6ABB" w14:paraId="2FF61776" w14:textId="77777777" w:rsidTr="00F03AFA">
        <w:tc>
          <w:tcPr>
            <w:tcW w:w="10135" w:type="dxa"/>
            <w:shd w:val="clear" w:color="auto" w:fill="FFFFFF"/>
          </w:tcPr>
          <w:p w14:paraId="02D2C1ED" w14:textId="77777777" w:rsidR="00BB207A" w:rsidRPr="00FB1DEA" w:rsidRDefault="00BB207A" w:rsidP="00A524FC">
            <w:pPr>
              <w:jc w:val="both"/>
              <w:rPr>
                <w:rFonts w:ascii="Arial" w:hAnsi="Arial"/>
                <w:sz w:val="16"/>
              </w:rPr>
            </w:pPr>
          </w:p>
          <w:p w14:paraId="6A6647FC" w14:textId="77777777" w:rsidR="00F35821" w:rsidRDefault="00F35821" w:rsidP="00A524FC">
            <w:pPr>
              <w:jc w:val="both"/>
              <w:rPr>
                <w:rFonts w:ascii="Arial" w:hAnsi="Arial" w:cs="Arial"/>
                <w:sz w:val="16"/>
              </w:rPr>
            </w:pPr>
            <w:r w:rsidRPr="006F6ABB">
              <w:rPr>
                <w:rFonts w:ascii="Arial" w:hAnsi="Arial" w:cs="Arial"/>
                <w:sz w:val="16"/>
              </w:rPr>
              <w:t>-Nº de pacientes</w:t>
            </w:r>
            <w:r w:rsidR="000F4655">
              <w:rPr>
                <w:rFonts w:ascii="Arial" w:hAnsi="Arial" w:cs="Arial"/>
                <w:sz w:val="16"/>
              </w:rPr>
              <w:t xml:space="preserve"> incluidos</w:t>
            </w:r>
            <w:r w:rsidRPr="006F6ABB">
              <w:rPr>
                <w:rFonts w:ascii="Arial" w:hAnsi="Arial" w:cs="Arial"/>
                <w:sz w:val="16"/>
              </w:rPr>
              <w:t>:</w:t>
            </w:r>
            <w:r>
              <w:rPr>
                <w:rFonts w:ascii="Arial" w:hAnsi="Arial" w:cs="Arial"/>
                <w:sz w:val="16"/>
              </w:rPr>
              <w:t xml:space="preserve"> 765 pacientes</w:t>
            </w:r>
            <w:r w:rsidR="00CF38DA">
              <w:rPr>
                <w:rFonts w:ascii="Arial" w:hAnsi="Arial" w:cs="Arial"/>
                <w:sz w:val="16"/>
              </w:rPr>
              <w:t xml:space="preserve"> </w:t>
            </w:r>
          </w:p>
          <w:p w14:paraId="70E472CD" w14:textId="77777777" w:rsidR="00414A05" w:rsidRPr="006F6ABB" w:rsidRDefault="00414A05" w:rsidP="00A524FC">
            <w:pPr>
              <w:jc w:val="both"/>
              <w:rPr>
                <w:rFonts w:ascii="Arial" w:hAnsi="Arial" w:cs="Arial"/>
                <w:sz w:val="16"/>
              </w:rPr>
            </w:pPr>
          </w:p>
          <w:p w14:paraId="071514AB" w14:textId="063B458D" w:rsidR="00F35821" w:rsidRPr="00191401" w:rsidRDefault="00F35821" w:rsidP="00A524FC">
            <w:pPr>
              <w:jc w:val="both"/>
              <w:rPr>
                <w:rFonts w:ascii="Arial" w:hAnsi="Arial" w:cs="Arial"/>
                <w:sz w:val="16"/>
              </w:rPr>
            </w:pPr>
            <w:r w:rsidRPr="006F6ABB">
              <w:rPr>
                <w:rFonts w:ascii="Arial" w:hAnsi="Arial" w:cs="Arial"/>
                <w:sz w:val="16"/>
              </w:rPr>
              <w:t xml:space="preserve">-Diseño: </w:t>
            </w:r>
            <w:r>
              <w:rPr>
                <w:rFonts w:ascii="Arial" w:hAnsi="Arial" w:cs="Arial"/>
                <w:sz w:val="16"/>
              </w:rPr>
              <w:t xml:space="preserve">Fase 3, controlado </w:t>
            </w:r>
            <w:r w:rsidR="000F4655">
              <w:rPr>
                <w:rFonts w:ascii="Arial" w:hAnsi="Arial" w:cs="Arial"/>
                <w:sz w:val="16"/>
              </w:rPr>
              <w:t xml:space="preserve">con </w:t>
            </w:r>
            <w:r>
              <w:rPr>
                <w:rFonts w:ascii="Arial" w:hAnsi="Arial" w:cs="Arial"/>
                <w:sz w:val="16"/>
              </w:rPr>
              <w:t>placebo, doble ciego, aleatorizado. Multicohorte. L</w:t>
            </w:r>
            <w:r w:rsidRPr="00191401">
              <w:rPr>
                <w:rFonts w:ascii="Arial" w:hAnsi="Arial" w:cs="Arial"/>
                <w:sz w:val="16"/>
              </w:rPr>
              <w:t>os sujetos fueron sometidos a un cribado prospectivo para detectar alteraciones en el gen HRR y, a continuación, fueron incluidos en la Cohorte 1</w:t>
            </w:r>
            <w:r>
              <w:rPr>
                <w:rFonts w:ascii="Arial" w:hAnsi="Arial" w:cs="Arial"/>
                <w:sz w:val="16"/>
              </w:rPr>
              <w:t xml:space="preserve"> </w:t>
            </w:r>
            <w:r w:rsidRPr="00191401">
              <w:rPr>
                <w:rFonts w:ascii="Arial" w:hAnsi="Arial" w:cs="Arial"/>
                <w:sz w:val="16"/>
              </w:rPr>
              <w:t>(presencia de alteraciones del gen HRR) o Cohorte 2 (ausencia de alteraciones del gen HRR).</w:t>
            </w:r>
          </w:p>
          <w:p w14:paraId="4EC690B4" w14:textId="5959A071" w:rsidR="00F35821" w:rsidRPr="00191401" w:rsidRDefault="00F35821" w:rsidP="00A524FC">
            <w:pPr>
              <w:jc w:val="both"/>
              <w:rPr>
                <w:rFonts w:ascii="Arial" w:hAnsi="Arial" w:cs="Arial"/>
                <w:sz w:val="16"/>
              </w:rPr>
            </w:pPr>
            <w:r w:rsidRPr="00191401">
              <w:rPr>
                <w:rFonts w:ascii="Arial" w:hAnsi="Arial" w:cs="Arial"/>
                <w:sz w:val="16"/>
              </w:rPr>
              <w:t xml:space="preserve">Tras completar el reclutamiento en las cohortes 1 y 2, se reclutó una cohorte abierta separada (cohorte 3) para sujetos con alteraciones del gen HRR para obtener experiencia clínica con la formulación </w:t>
            </w:r>
            <w:r w:rsidR="00E24794">
              <w:rPr>
                <w:rFonts w:ascii="Arial" w:hAnsi="Arial" w:cs="Arial"/>
                <w:sz w:val="16"/>
              </w:rPr>
              <w:t>combinada en un comprimido d</w:t>
            </w:r>
            <w:r w:rsidRPr="00191401">
              <w:rPr>
                <w:rFonts w:ascii="Arial" w:hAnsi="Arial" w:cs="Arial"/>
                <w:sz w:val="16"/>
              </w:rPr>
              <w:t>e niraparib y AA</w:t>
            </w:r>
            <w:r w:rsidR="000F4655">
              <w:rPr>
                <w:rFonts w:ascii="Arial" w:hAnsi="Arial" w:cs="Arial"/>
                <w:sz w:val="16"/>
              </w:rPr>
              <w:t xml:space="preserve"> </w:t>
            </w:r>
          </w:p>
          <w:p w14:paraId="32AA2627" w14:textId="2B49F1A8" w:rsidR="00F35821" w:rsidRDefault="00F35821" w:rsidP="00A524FC">
            <w:pPr>
              <w:jc w:val="both"/>
              <w:rPr>
                <w:rFonts w:ascii="Arial" w:hAnsi="Arial" w:cs="Arial"/>
                <w:sz w:val="16"/>
              </w:rPr>
            </w:pPr>
            <w:r w:rsidRPr="00191401">
              <w:rPr>
                <w:rFonts w:ascii="Arial" w:hAnsi="Arial" w:cs="Arial"/>
                <w:sz w:val="16"/>
              </w:rPr>
              <w:t xml:space="preserve">Los sujetos de la Cohorte 3 se </w:t>
            </w:r>
            <w:r w:rsidR="00954740">
              <w:rPr>
                <w:rFonts w:ascii="Arial" w:hAnsi="Arial" w:cs="Arial"/>
                <w:sz w:val="16"/>
              </w:rPr>
              <w:t>r</w:t>
            </w:r>
            <w:r w:rsidR="00E24794">
              <w:rPr>
                <w:rFonts w:ascii="Arial" w:hAnsi="Arial" w:cs="Arial"/>
                <w:sz w:val="16"/>
              </w:rPr>
              <w:t>eclutaron</w:t>
            </w:r>
            <w:r w:rsidR="00954740" w:rsidRPr="00191401">
              <w:rPr>
                <w:rFonts w:ascii="Arial" w:hAnsi="Arial" w:cs="Arial"/>
                <w:sz w:val="16"/>
              </w:rPr>
              <w:t xml:space="preserve"> </w:t>
            </w:r>
            <w:r w:rsidRPr="00191401">
              <w:rPr>
                <w:rFonts w:ascii="Arial" w:hAnsi="Arial" w:cs="Arial"/>
                <w:sz w:val="16"/>
              </w:rPr>
              <w:t>con los mismos criterios de inclusión/exclusión y se sometieron a los mismos procedimientos de estudio que los de la Cohorte 1, salvo que los sujetos de la Cohorte 3 recibieron niraparib/AA</w:t>
            </w:r>
            <w:r w:rsidR="006656C4">
              <w:rPr>
                <w:rFonts w:ascii="Arial" w:hAnsi="Arial" w:cs="Arial"/>
                <w:sz w:val="16"/>
              </w:rPr>
              <w:t xml:space="preserve"> </w:t>
            </w:r>
            <w:r w:rsidRPr="00191401">
              <w:rPr>
                <w:rFonts w:ascii="Arial" w:hAnsi="Arial" w:cs="Arial"/>
                <w:sz w:val="16"/>
              </w:rPr>
              <w:t xml:space="preserve">como comprimido </w:t>
            </w:r>
            <w:r>
              <w:rPr>
                <w:rFonts w:ascii="Arial" w:hAnsi="Arial" w:cs="Arial"/>
                <w:sz w:val="16"/>
              </w:rPr>
              <w:t>en forma farmacéutica combinada</w:t>
            </w:r>
            <w:r w:rsidRPr="00191401">
              <w:rPr>
                <w:rFonts w:ascii="Arial" w:hAnsi="Arial" w:cs="Arial"/>
                <w:sz w:val="16"/>
              </w:rPr>
              <w:t xml:space="preserve"> más prednisona en lugar de niraparib, AA y prednisona como agentes únicos.</w:t>
            </w:r>
          </w:p>
          <w:p w14:paraId="44867B10" w14:textId="77777777" w:rsidR="00F35821" w:rsidRDefault="00F35821" w:rsidP="00A524FC">
            <w:pPr>
              <w:jc w:val="both"/>
              <w:rPr>
                <w:rFonts w:ascii="Arial" w:hAnsi="Arial" w:cs="Arial"/>
                <w:sz w:val="16"/>
              </w:rPr>
            </w:pPr>
          </w:p>
          <w:p w14:paraId="762BE6EE" w14:textId="7783C5BA" w:rsidR="00F35821" w:rsidRPr="00BE7FF3" w:rsidRDefault="000F4655" w:rsidP="00A524FC">
            <w:pPr>
              <w:snapToGrid w:val="0"/>
              <w:jc w:val="both"/>
              <w:rPr>
                <w:rFonts w:ascii="Arial" w:hAnsi="Arial" w:cs="Arial"/>
                <w:sz w:val="16"/>
              </w:rPr>
            </w:pPr>
            <w:r>
              <w:rPr>
                <w:rFonts w:ascii="Arial" w:hAnsi="Arial" w:cs="Arial"/>
                <w:sz w:val="16"/>
              </w:rPr>
              <w:t xml:space="preserve">- Variables analizadas: </w:t>
            </w:r>
            <w:r w:rsidR="00F35821" w:rsidRPr="00BE7FF3">
              <w:rPr>
                <w:rFonts w:ascii="Arial" w:hAnsi="Arial" w:cs="Arial"/>
                <w:sz w:val="16"/>
              </w:rPr>
              <w:t>El ensayo pivotal se basó en el análisis final de la variable principal (SLPr), que coincidió con el primer análisis intermedio de las variables secundarias.</w:t>
            </w:r>
          </w:p>
          <w:p w14:paraId="0D473BAA" w14:textId="77777777" w:rsidR="00F35821" w:rsidRPr="00BE7FF3" w:rsidRDefault="00F35821" w:rsidP="00A524FC">
            <w:pPr>
              <w:snapToGrid w:val="0"/>
              <w:jc w:val="both"/>
              <w:rPr>
                <w:rFonts w:ascii="Arial" w:hAnsi="Arial" w:cs="Arial"/>
                <w:sz w:val="16"/>
              </w:rPr>
            </w:pPr>
            <w:r w:rsidRPr="00BE7FF3">
              <w:rPr>
                <w:rFonts w:ascii="Arial" w:hAnsi="Arial" w:cs="Arial"/>
                <w:sz w:val="16"/>
              </w:rPr>
              <w:t>Desde la presentación inicial, el estudio MAGNITUDE acumuló el número necesario de eventos para desencadenar el segundo análisis provisional preespecificado para las variables secundarias.</w:t>
            </w:r>
          </w:p>
          <w:p w14:paraId="00C89E56" w14:textId="77777777" w:rsidR="00F35821" w:rsidRDefault="00F35821" w:rsidP="00A524FC">
            <w:pPr>
              <w:snapToGrid w:val="0"/>
              <w:jc w:val="both"/>
              <w:rPr>
                <w:rFonts w:ascii="Arial" w:hAnsi="Arial" w:cs="Arial"/>
                <w:sz w:val="16"/>
              </w:rPr>
            </w:pPr>
            <w:r w:rsidRPr="00BE7FF3">
              <w:rPr>
                <w:rFonts w:ascii="Arial" w:hAnsi="Arial" w:cs="Arial"/>
                <w:sz w:val="16"/>
              </w:rPr>
              <w:t>To</w:t>
            </w:r>
            <w:r w:rsidR="00A524FC">
              <w:rPr>
                <w:rFonts w:ascii="Arial" w:hAnsi="Arial" w:cs="Arial"/>
                <w:sz w:val="16"/>
              </w:rPr>
              <w:t>d</w:t>
            </w:r>
            <w:r w:rsidR="00414A05">
              <w:rPr>
                <w:rFonts w:ascii="Arial" w:hAnsi="Arial" w:cs="Arial"/>
                <w:sz w:val="16"/>
              </w:rPr>
              <w:t>as</w:t>
            </w:r>
            <w:r w:rsidR="00A524FC">
              <w:rPr>
                <w:rFonts w:ascii="Arial" w:hAnsi="Arial" w:cs="Arial"/>
                <w:sz w:val="16"/>
              </w:rPr>
              <w:t xml:space="preserve"> las</w:t>
            </w:r>
            <w:r w:rsidR="00414A05">
              <w:rPr>
                <w:rFonts w:ascii="Arial" w:hAnsi="Arial" w:cs="Arial"/>
                <w:sz w:val="16"/>
              </w:rPr>
              <w:t xml:space="preserve"> variables secundarias </w:t>
            </w:r>
            <w:r w:rsidRPr="00BE7FF3">
              <w:rPr>
                <w:rFonts w:ascii="Arial" w:hAnsi="Arial" w:cs="Arial"/>
                <w:sz w:val="16"/>
              </w:rPr>
              <w:t xml:space="preserve">(TIQ, TPS y SG) se evaluaron formalmente desde el punto de vista estadístico en el segundo análisis intermedio. </w:t>
            </w:r>
            <w:r>
              <w:rPr>
                <w:rFonts w:ascii="Arial" w:hAnsi="Arial" w:cs="Arial"/>
                <w:sz w:val="16"/>
              </w:rPr>
              <w:t xml:space="preserve">Fecha de corte del segundo análisis intermedio: </w:t>
            </w:r>
            <w:r w:rsidRPr="00BE7FF3">
              <w:rPr>
                <w:rFonts w:ascii="Arial" w:hAnsi="Arial" w:cs="Arial"/>
                <w:sz w:val="16"/>
              </w:rPr>
              <w:t>17 de junio de 2022</w:t>
            </w:r>
            <w:r>
              <w:rPr>
                <w:rFonts w:ascii="Arial" w:hAnsi="Arial" w:cs="Arial"/>
                <w:sz w:val="16"/>
              </w:rPr>
              <w:t>.</w:t>
            </w:r>
          </w:p>
          <w:p w14:paraId="2B6EF7D9" w14:textId="77777777" w:rsidR="00414A05" w:rsidRDefault="00414A05" w:rsidP="00A524FC">
            <w:pPr>
              <w:snapToGrid w:val="0"/>
              <w:jc w:val="both"/>
              <w:rPr>
                <w:rFonts w:ascii="Arial" w:hAnsi="Arial" w:cs="Arial"/>
                <w:sz w:val="16"/>
              </w:rPr>
            </w:pPr>
            <w:r>
              <w:rPr>
                <w:rFonts w:ascii="Arial" w:hAnsi="Arial" w:cs="Arial"/>
                <w:sz w:val="16"/>
              </w:rPr>
              <w:t xml:space="preserve">Del resto de variables del estudio, sólo el tiempo de progresión del PSA, la SLP y el TPD fueron analizados en el segundo análisis intermedio, </w:t>
            </w:r>
            <w:r w:rsidR="00CD15A8">
              <w:rPr>
                <w:rFonts w:ascii="Arial" w:hAnsi="Arial" w:cs="Arial"/>
                <w:sz w:val="16"/>
              </w:rPr>
              <w:t>el resultado del resto de variables se presentó</w:t>
            </w:r>
            <w:r>
              <w:rPr>
                <w:rFonts w:ascii="Arial" w:hAnsi="Arial" w:cs="Arial"/>
                <w:sz w:val="16"/>
              </w:rPr>
              <w:t xml:space="preserve"> en el primer análisis intermedio. (tiempo hasta inicio de la siguiente terapia, TRO, duración de la respuesta y tasa de respuesta en la reducción del PSA)</w:t>
            </w:r>
          </w:p>
          <w:p w14:paraId="5B2718EC" w14:textId="77777777" w:rsidR="00F35821" w:rsidRDefault="00F35821" w:rsidP="00A524FC">
            <w:pPr>
              <w:jc w:val="both"/>
              <w:rPr>
                <w:rFonts w:ascii="Arial" w:hAnsi="Arial" w:cs="Arial"/>
                <w:sz w:val="16"/>
              </w:rPr>
            </w:pPr>
          </w:p>
          <w:p w14:paraId="05F3F9F4" w14:textId="78CB0470" w:rsidR="00F35821" w:rsidRDefault="00F35821" w:rsidP="00A524FC">
            <w:pPr>
              <w:jc w:val="both"/>
              <w:rPr>
                <w:rFonts w:ascii="Arial" w:hAnsi="Arial" w:cs="Arial"/>
                <w:sz w:val="16"/>
              </w:rPr>
            </w:pPr>
            <w:r w:rsidRPr="006F6ABB">
              <w:rPr>
                <w:rFonts w:ascii="Arial" w:hAnsi="Arial" w:cs="Arial"/>
                <w:sz w:val="16"/>
              </w:rPr>
              <w:t>-Tratamiento grupo activo</w:t>
            </w:r>
            <w:r>
              <w:rPr>
                <w:rFonts w:ascii="Arial" w:hAnsi="Arial" w:cs="Arial"/>
                <w:sz w:val="16"/>
              </w:rPr>
              <w:t>: Niraparib 200 mg + AA 1.000 mg + prednisona 10 mg</w:t>
            </w:r>
          </w:p>
          <w:p w14:paraId="7BC8CA1F" w14:textId="367CBCB1" w:rsidR="00F35821" w:rsidRPr="006F6ABB" w:rsidRDefault="00F35821" w:rsidP="00A524FC">
            <w:pPr>
              <w:jc w:val="both"/>
              <w:rPr>
                <w:rFonts w:ascii="Arial" w:hAnsi="Arial" w:cs="Arial"/>
                <w:sz w:val="16"/>
              </w:rPr>
            </w:pPr>
            <w:r>
              <w:rPr>
                <w:rFonts w:ascii="Arial" w:hAnsi="Arial" w:cs="Arial"/>
                <w:sz w:val="16"/>
              </w:rPr>
              <w:t>-T</w:t>
            </w:r>
            <w:r w:rsidRPr="006F6ABB">
              <w:rPr>
                <w:rFonts w:ascii="Arial" w:hAnsi="Arial" w:cs="Arial"/>
                <w:sz w:val="16"/>
              </w:rPr>
              <w:t xml:space="preserve">ratamiento grupo control:  </w:t>
            </w:r>
            <w:r>
              <w:rPr>
                <w:rFonts w:ascii="Arial" w:hAnsi="Arial" w:cs="Arial"/>
                <w:sz w:val="16"/>
              </w:rPr>
              <w:t>AA 1000 mg + prednisona 10 mg</w:t>
            </w:r>
          </w:p>
          <w:p w14:paraId="60FF0836" w14:textId="77777777" w:rsidR="00F35821" w:rsidRDefault="00F35821" w:rsidP="00A524FC">
            <w:pPr>
              <w:jc w:val="both"/>
              <w:rPr>
                <w:rFonts w:ascii="Arial" w:hAnsi="Arial" w:cs="Arial"/>
                <w:sz w:val="16"/>
              </w:rPr>
            </w:pPr>
            <w:r w:rsidRPr="006F6ABB">
              <w:rPr>
                <w:rFonts w:ascii="Arial" w:hAnsi="Arial" w:cs="Arial"/>
                <w:sz w:val="16"/>
              </w:rPr>
              <w:t xml:space="preserve">-Criterios de inclusión: </w:t>
            </w:r>
          </w:p>
          <w:p w14:paraId="32EAF0AF" w14:textId="77777777" w:rsidR="00F35821" w:rsidRDefault="00F35821" w:rsidP="00A524FC">
            <w:pPr>
              <w:numPr>
                <w:ilvl w:val="1"/>
                <w:numId w:val="13"/>
              </w:numPr>
              <w:tabs>
                <w:tab w:val="left" w:pos="1515"/>
              </w:tabs>
              <w:jc w:val="both"/>
              <w:rPr>
                <w:rFonts w:ascii="Arial" w:hAnsi="Arial" w:cs="Arial"/>
                <w:sz w:val="16"/>
              </w:rPr>
            </w:pPr>
            <w:r>
              <w:rPr>
                <w:rFonts w:ascii="Arial" w:hAnsi="Arial" w:cs="Arial"/>
                <w:sz w:val="16"/>
              </w:rPr>
              <w:t>&gt;= 18 años</w:t>
            </w:r>
          </w:p>
          <w:p w14:paraId="7A204715" w14:textId="77777777" w:rsidR="00F35821" w:rsidRDefault="00F35821" w:rsidP="00A524FC">
            <w:pPr>
              <w:numPr>
                <w:ilvl w:val="1"/>
                <w:numId w:val="13"/>
              </w:numPr>
              <w:tabs>
                <w:tab w:val="left" w:pos="1515"/>
              </w:tabs>
              <w:jc w:val="both"/>
              <w:rPr>
                <w:rFonts w:ascii="Arial" w:hAnsi="Arial" w:cs="Arial"/>
                <w:sz w:val="16"/>
              </w:rPr>
            </w:pPr>
            <w:r>
              <w:rPr>
                <w:rFonts w:ascii="Arial" w:hAnsi="Arial" w:cs="Arial"/>
                <w:sz w:val="16"/>
              </w:rPr>
              <w:t>CPRCm</w:t>
            </w:r>
          </w:p>
          <w:p w14:paraId="4353E4D8" w14:textId="77777777" w:rsidR="00F35821" w:rsidRDefault="00F35821" w:rsidP="00A524FC">
            <w:pPr>
              <w:numPr>
                <w:ilvl w:val="1"/>
                <w:numId w:val="13"/>
              </w:numPr>
              <w:tabs>
                <w:tab w:val="left" w:pos="1515"/>
              </w:tabs>
              <w:jc w:val="both"/>
              <w:rPr>
                <w:rFonts w:ascii="Arial" w:hAnsi="Arial" w:cs="Arial"/>
                <w:sz w:val="16"/>
              </w:rPr>
            </w:pPr>
            <w:r>
              <w:rPr>
                <w:rFonts w:ascii="Arial" w:hAnsi="Arial" w:cs="Arial"/>
                <w:sz w:val="16"/>
              </w:rPr>
              <w:t>ECOG 0-1</w:t>
            </w:r>
          </w:p>
          <w:p w14:paraId="047F01D2" w14:textId="6C77EB91" w:rsidR="00F35821" w:rsidRPr="00F95596" w:rsidRDefault="000F4655" w:rsidP="00A524FC">
            <w:pPr>
              <w:numPr>
                <w:ilvl w:val="1"/>
                <w:numId w:val="13"/>
              </w:numPr>
              <w:tabs>
                <w:tab w:val="left" w:pos="1515"/>
              </w:tabs>
              <w:jc w:val="both"/>
              <w:rPr>
                <w:rFonts w:ascii="Arial" w:hAnsi="Arial" w:cs="Arial"/>
                <w:sz w:val="16"/>
              </w:rPr>
            </w:pPr>
            <w:r>
              <w:rPr>
                <w:rFonts w:ascii="Arial" w:hAnsi="Arial" w:cs="Arial"/>
                <w:sz w:val="16"/>
              </w:rPr>
              <w:t xml:space="preserve">Alteración </w:t>
            </w:r>
            <w:r w:rsidR="00F35821">
              <w:rPr>
                <w:rFonts w:ascii="Arial" w:hAnsi="Arial" w:cs="Arial"/>
                <w:sz w:val="16"/>
              </w:rPr>
              <w:t>de genes HRR (cohorte 1 y 3: HRR+, cohorte 2 HRR</w:t>
            </w:r>
            <w:r w:rsidR="00F35821" w:rsidRPr="00F95596">
              <w:rPr>
                <w:rFonts w:ascii="Arial" w:hAnsi="Arial" w:cs="Arial"/>
                <w:sz w:val="16"/>
              </w:rPr>
              <w:t>-</w:t>
            </w:r>
            <w:r w:rsidR="00F35821">
              <w:rPr>
                <w:rFonts w:ascii="Arial" w:hAnsi="Arial" w:cs="Arial"/>
                <w:sz w:val="16"/>
              </w:rPr>
              <w:t>)</w:t>
            </w:r>
          </w:p>
          <w:p w14:paraId="1775967B" w14:textId="77777777" w:rsidR="00F35821" w:rsidRDefault="00F35821" w:rsidP="00A524FC">
            <w:pPr>
              <w:numPr>
                <w:ilvl w:val="1"/>
                <w:numId w:val="13"/>
              </w:numPr>
              <w:tabs>
                <w:tab w:val="left" w:pos="1515"/>
              </w:tabs>
              <w:jc w:val="both"/>
              <w:rPr>
                <w:rFonts w:ascii="Arial" w:hAnsi="Arial" w:cs="Arial"/>
                <w:sz w:val="16"/>
              </w:rPr>
            </w:pPr>
            <w:r>
              <w:rPr>
                <w:rFonts w:ascii="Arial" w:hAnsi="Arial" w:cs="Arial"/>
                <w:sz w:val="16"/>
              </w:rPr>
              <w:t>Enfermedad metastásica confirmada.</w:t>
            </w:r>
          </w:p>
          <w:p w14:paraId="151AA136" w14:textId="288F8BF7" w:rsidR="00F35821" w:rsidRDefault="00F35821" w:rsidP="00A524FC">
            <w:pPr>
              <w:numPr>
                <w:ilvl w:val="1"/>
                <w:numId w:val="13"/>
              </w:numPr>
              <w:tabs>
                <w:tab w:val="left" w:pos="1515"/>
              </w:tabs>
              <w:jc w:val="both"/>
              <w:rPr>
                <w:rFonts w:ascii="Arial" w:hAnsi="Arial" w:cs="Arial"/>
                <w:sz w:val="16"/>
              </w:rPr>
            </w:pPr>
            <w:r>
              <w:rPr>
                <w:rFonts w:ascii="Arial" w:hAnsi="Arial" w:cs="Arial"/>
                <w:sz w:val="16"/>
              </w:rPr>
              <w:t>CPm</w:t>
            </w:r>
            <w:r w:rsidRPr="002F7564">
              <w:rPr>
                <w:rFonts w:ascii="Arial" w:hAnsi="Arial" w:cs="Arial"/>
                <w:sz w:val="16"/>
              </w:rPr>
              <w:t xml:space="preserve"> en el contexto de niveles castrados de testosterona &lt;= 50 ng/dL con un análogo GnRH u orquiectomía bilateral.</w:t>
            </w:r>
          </w:p>
          <w:p w14:paraId="39A754C2" w14:textId="77777777" w:rsidR="00F35821" w:rsidRPr="006F6ABB" w:rsidRDefault="00F35821" w:rsidP="00A524FC">
            <w:pPr>
              <w:tabs>
                <w:tab w:val="left" w:pos="1515"/>
              </w:tabs>
              <w:jc w:val="both"/>
              <w:rPr>
                <w:rFonts w:ascii="Arial" w:hAnsi="Arial" w:cs="Arial"/>
                <w:sz w:val="16"/>
              </w:rPr>
            </w:pPr>
          </w:p>
          <w:p w14:paraId="636B5C88" w14:textId="77777777" w:rsidR="00F35821" w:rsidRDefault="00F35821" w:rsidP="00A524FC">
            <w:pPr>
              <w:jc w:val="both"/>
              <w:rPr>
                <w:rFonts w:ascii="Arial" w:hAnsi="Arial" w:cs="Arial"/>
                <w:sz w:val="16"/>
              </w:rPr>
            </w:pPr>
            <w:r w:rsidRPr="006F6ABB">
              <w:rPr>
                <w:rFonts w:ascii="Arial" w:hAnsi="Arial" w:cs="Arial"/>
                <w:sz w:val="16"/>
              </w:rPr>
              <w:t>-Criterios de exclusión:</w:t>
            </w:r>
          </w:p>
          <w:p w14:paraId="28C9C73E" w14:textId="77777777" w:rsidR="00F35821" w:rsidRDefault="00F35821" w:rsidP="00A524FC">
            <w:pPr>
              <w:numPr>
                <w:ilvl w:val="1"/>
                <w:numId w:val="13"/>
              </w:numPr>
              <w:jc w:val="both"/>
              <w:rPr>
                <w:rFonts w:ascii="Arial" w:hAnsi="Arial" w:cs="Arial"/>
                <w:sz w:val="16"/>
              </w:rPr>
            </w:pPr>
            <w:r w:rsidRPr="002F7564">
              <w:rPr>
                <w:rFonts w:ascii="Arial" w:hAnsi="Arial" w:cs="Arial"/>
                <w:sz w:val="16"/>
              </w:rPr>
              <w:t xml:space="preserve">Tratamiento previo con un </w:t>
            </w:r>
            <w:r>
              <w:rPr>
                <w:rFonts w:ascii="Arial" w:hAnsi="Arial" w:cs="Arial"/>
                <w:sz w:val="16"/>
              </w:rPr>
              <w:t>iPARP</w:t>
            </w:r>
          </w:p>
          <w:p w14:paraId="5FED5656" w14:textId="77777777" w:rsidR="00F35821" w:rsidRDefault="00F35821" w:rsidP="00A524FC">
            <w:pPr>
              <w:numPr>
                <w:ilvl w:val="1"/>
                <w:numId w:val="13"/>
              </w:numPr>
              <w:jc w:val="both"/>
              <w:rPr>
                <w:rFonts w:ascii="Arial" w:hAnsi="Arial" w:cs="Arial"/>
                <w:sz w:val="16"/>
              </w:rPr>
            </w:pPr>
            <w:r w:rsidRPr="002F7564">
              <w:rPr>
                <w:rFonts w:ascii="Arial" w:hAnsi="Arial" w:cs="Arial"/>
                <w:sz w:val="16"/>
              </w:rPr>
              <w:t xml:space="preserve">Terapia sistémica (es decir, nueva terapia de segunda generación dirigida al </w:t>
            </w:r>
            <w:r>
              <w:rPr>
                <w:rFonts w:ascii="Arial" w:hAnsi="Arial" w:cs="Arial"/>
                <w:sz w:val="16"/>
              </w:rPr>
              <w:t>receptor androgénico</w:t>
            </w:r>
            <w:r w:rsidRPr="002F7564">
              <w:rPr>
                <w:rFonts w:ascii="Arial" w:hAnsi="Arial" w:cs="Arial"/>
                <w:sz w:val="16"/>
              </w:rPr>
              <w:t xml:space="preserve"> como enzalutamida, apalutamida o darolutamida; </w:t>
            </w:r>
            <w:r>
              <w:rPr>
                <w:rFonts w:ascii="Arial" w:hAnsi="Arial" w:cs="Arial"/>
                <w:sz w:val="16"/>
              </w:rPr>
              <w:t>QT</w:t>
            </w:r>
            <w:r w:rsidRPr="002F7564">
              <w:rPr>
                <w:rFonts w:ascii="Arial" w:hAnsi="Arial" w:cs="Arial"/>
                <w:sz w:val="16"/>
              </w:rPr>
              <w:t xml:space="preserve"> basada en taxanos o más de 4 meses de</w:t>
            </w:r>
            <w:r>
              <w:rPr>
                <w:rFonts w:ascii="Arial" w:hAnsi="Arial" w:cs="Arial"/>
                <w:sz w:val="16"/>
              </w:rPr>
              <w:t xml:space="preserve"> </w:t>
            </w:r>
            <w:r w:rsidRPr="002F7564">
              <w:rPr>
                <w:rFonts w:ascii="Arial" w:hAnsi="Arial" w:cs="Arial"/>
                <w:sz w:val="16"/>
              </w:rPr>
              <w:t>AAP antes de la aleatorización) en el contexto del CPRCm; o AAP fuera del contexto del CPRCm.</w:t>
            </w:r>
          </w:p>
          <w:p w14:paraId="2F15FFA7" w14:textId="77777777" w:rsidR="00F35821" w:rsidRDefault="00F35821" w:rsidP="00A524FC">
            <w:pPr>
              <w:numPr>
                <w:ilvl w:val="1"/>
                <w:numId w:val="13"/>
              </w:numPr>
              <w:jc w:val="both"/>
              <w:rPr>
                <w:rFonts w:ascii="Arial" w:hAnsi="Arial" w:cs="Arial"/>
                <w:sz w:val="16"/>
              </w:rPr>
            </w:pPr>
            <w:r>
              <w:rPr>
                <w:rFonts w:ascii="Arial" w:hAnsi="Arial" w:cs="Arial"/>
                <w:sz w:val="16"/>
              </w:rPr>
              <w:t>Metástasis cerebral sintomática</w:t>
            </w:r>
          </w:p>
          <w:p w14:paraId="79FD7E69" w14:textId="77777777" w:rsidR="00F35821" w:rsidRDefault="00F35821" w:rsidP="00A524FC">
            <w:pPr>
              <w:numPr>
                <w:ilvl w:val="1"/>
                <w:numId w:val="13"/>
              </w:numPr>
              <w:jc w:val="both"/>
              <w:rPr>
                <w:rFonts w:ascii="Arial" w:hAnsi="Arial" w:cs="Arial"/>
                <w:sz w:val="16"/>
              </w:rPr>
            </w:pPr>
            <w:r>
              <w:rPr>
                <w:rFonts w:ascii="Arial" w:hAnsi="Arial" w:cs="Arial"/>
                <w:sz w:val="16"/>
              </w:rPr>
              <w:t>Antecedente o historia actual de síndrome mielodisplásico o leucemia mieloide aguda.</w:t>
            </w:r>
          </w:p>
          <w:p w14:paraId="0CE76CB2" w14:textId="77777777" w:rsidR="00F35821" w:rsidRDefault="00F35821" w:rsidP="00A524FC">
            <w:pPr>
              <w:numPr>
                <w:ilvl w:val="1"/>
                <w:numId w:val="13"/>
              </w:numPr>
              <w:jc w:val="both"/>
              <w:rPr>
                <w:rFonts w:ascii="Arial" w:hAnsi="Arial" w:cs="Arial"/>
                <w:sz w:val="16"/>
              </w:rPr>
            </w:pPr>
            <w:r w:rsidRPr="002F7564">
              <w:rPr>
                <w:rFonts w:ascii="Arial" w:hAnsi="Arial" w:cs="Arial"/>
                <w:sz w:val="16"/>
              </w:rPr>
              <w:t>Otra neoplasia maligna previa (excepciones: cáncer de piel de células basales o escamosas adecuadamente tratado, cáncer superficial de vejiga o cualquier otro cáncer in situ actualmente en remisión completa) &lt;= 2 años antes de la aleatorización, o neoplasia maligna que actualmente requiera tratamiento sistémico activo.</w:t>
            </w:r>
          </w:p>
          <w:p w14:paraId="2541A788" w14:textId="77777777" w:rsidR="00F35821" w:rsidRPr="006F6ABB" w:rsidRDefault="00F35821" w:rsidP="00A524FC">
            <w:pPr>
              <w:jc w:val="both"/>
              <w:rPr>
                <w:rFonts w:ascii="Arial" w:hAnsi="Arial" w:cs="Arial"/>
                <w:sz w:val="16"/>
              </w:rPr>
            </w:pPr>
          </w:p>
          <w:p w14:paraId="62C4CF17" w14:textId="77777777" w:rsidR="00F35821" w:rsidRPr="00F95596" w:rsidRDefault="00F35821" w:rsidP="00A524FC">
            <w:pPr>
              <w:jc w:val="both"/>
              <w:rPr>
                <w:rFonts w:ascii="Arial" w:hAnsi="Arial" w:cs="Arial"/>
                <w:sz w:val="16"/>
              </w:rPr>
            </w:pPr>
            <w:r w:rsidRPr="006F6ABB">
              <w:rPr>
                <w:rFonts w:ascii="Arial" w:hAnsi="Arial" w:cs="Arial"/>
                <w:sz w:val="16"/>
              </w:rPr>
              <w:t>-Pérdidas:</w:t>
            </w:r>
            <w:r>
              <w:rPr>
                <w:rFonts w:ascii="Arial" w:hAnsi="Arial" w:cs="Arial"/>
                <w:sz w:val="16"/>
              </w:rPr>
              <w:t xml:space="preserve"> </w:t>
            </w:r>
            <w:r w:rsidRPr="00F95596">
              <w:rPr>
                <w:rFonts w:ascii="Arial" w:hAnsi="Arial" w:cs="Arial"/>
                <w:sz w:val="16"/>
              </w:rPr>
              <w:t>Un total de 3.283 sujetos fueron preseleccionados para participar en el estudio MAGNITUDE.</w:t>
            </w:r>
          </w:p>
          <w:p w14:paraId="33499885" w14:textId="77777777" w:rsidR="00F35821" w:rsidRPr="00F95596" w:rsidRDefault="00F35821" w:rsidP="00A524FC">
            <w:pPr>
              <w:jc w:val="both"/>
              <w:rPr>
                <w:rFonts w:ascii="Arial" w:hAnsi="Arial" w:cs="Arial"/>
                <w:sz w:val="16"/>
              </w:rPr>
            </w:pPr>
            <w:r w:rsidRPr="00F95596">
              <w:rPr>
                <w:rFonts w:ascii="Arial" w:hAnsi="Arial" w:cs="Arial"/>
                <w:sz w:val="16"/>
              </w:rPr>
              <w:t>Durante el proceso de preselección, 2.337 sujetos no superaron la preselección y no pasaron a la selección del estudio.</w:t>
            </w:r>
          </w:p>
          <w:p w14:paraId="296D0720" w14:textId="77777777" w:rsidR="00F35821" w:rsidRPr="00F95596" w:rsidRDefault="00F35821" w:rsidP="00A524FC">
            <w:pPr>
              <w:jc w:val="both"/>
              <w:rPr>
                <w:rFonts w:ascii="Arial" w:hAnsi="Arial" w:cs="Arial"/>
                <w:sz w:val="16"/>
              </w:rPr>
            </w:pPr>
            <w:r w:rsidRPr="00F95596">
              <w:rPr>
                <w:rFonts w:ascii="Arial" w:hAnsi="Arial" w:cs="Arial"/>
                <w:sz w:val="16"/>
              </w:rPr>
              <w:t>La razón principal del fracaso de la preselección fue que los sujetos dieron negativo en las pruebas de alteraciones del gen HRR</w:t>
            </w:r>
            <w:r>
              <w:rPr>
                <w:rFonts w:ascii="Arial" w:hAnsi="Arial" w:cs="Arial"/>
                <w:sz w:val="16"/>
              </w:rPr>
              <w:t xml:space="preserve"> </w:t>
            </w:r>
            <w:r w:rsidRPr="00F95596">
              <w:rPr>
                <w:rFonts w:ascii="Arial" w:hAnsi="Arial" w:cs="Arial"/>
                <w:sz w:val="16"/>
              </w:rPr>
              <w:t>después de que se cerrara el reclutamiento de la Cohorte 2 (HRR</w:t>
            </w:r>
            <w:r>
              <w:rPr>
                <w:rFonts w:ascii="Arial" w:hAnsi="Arial" w:cs="Arial"/>
                <w:sz w:val="16"/>
              </w:rPr>
              <w:t>-</w:t>
            </w:r>
            <w:r w:rsidRPr="00F95596">
              <w:rPr>
                <w:rFonts w:ascii="Arial" w:hAnsi="Arial" w:cs="Arial"/>
                <w:sz w:val="16"/>
              </w:rPr>
              <w:t>). De los 946 sujetos que entraron en</w:t>
            </w:r>
          </w:p>
          <w:p w14:paraId="56B7242D" w14:textId="77777777" w:rsidR="00F35821" w:rsidRPr="00F95596" w:rsidRDefault="00F35821" w:rsidP="00A524FC">
            <w:pPr>
              <w:jc w:val="both"/>
              <w:rPr>
                <w:rFonts w:ascii="Arial" w:hAnsi="Arial" w:cs="Arial"/>
                <w:sz w:val="16"/>
              </w:rPr>
            </w:pPr>
            <w:r w:rsidRPr="00F95596">
              <w:rPr>
                <w:rFonts w:ascii="Arial" w:hAnsi="Arial" w:cs="Arial"/>
                <w:sz w:val="16"/>
              </w:rPr>
              <w:t>cribado, 765 sujetos se inscribieron en el estudio: 423 sujetos en la Cohorte 1, 95 sujetos en la Cohorte 3</w:t>
            </w:r>
          </w:p>
          <w:p w14:paraId="4AF3AC1D" w14:textId="77777777" w:rsidR="00F35821" w:rsidRDefault="00F35821" w:rsidP="00A524FC">
            <w:pPr>
              <w:jc w:val="both"/>
              <w:rPr>
                <w:rFonts w:ascii="Arial" w:hAnsi="Arial" w:cs="Arial"/>
                <w:sz w:val="16"/>
              </w:rPr>
            </w:pPr>
            <w:r w:rsidRPr="00F95596">
              <w:rPr>
                <w:rFonts w:ascii="Arial" w:hAnsi="Arial" w:cs="Arial"/>
                <w:sz w:val="16"/>
              </w:rPr>
              <w:t>y 247 sujetos en la Cohorte 2.</w:t>
            </w:r>
          </w:p>
          <w:p w14:paraId="011E9F3E" w14:textId="77777777" w:rsidR="00F35821" w:rsidRPr="00F95596" w:rsidRDefault="00F35821" w:rsidP="00A524FC">
            <w:pPr>
              <w:jc w:val="both"/>
              <w:rPr>
                <w:rFonts w:ascii="Arial" w:hAnsi="Arial" w:cs="Arial"/>
                <w:sz w:val="16"/>
              </w:rPr>
            </w:pPr>
          </w:p>
          <w:p w14:paraId="0ECFC4AD" w14:textId="77777777" w:rsidR="00F35821" w:rsidRPr="00F95596" w:rsidRDefault="00F35821" w:rsidP="00A524FC">
            <w:pPr>
              <w:jc w:val="both"/>
              <w:rPr>
                <w:rFonts w:ascii="Arial" w:hAnsi="Arial" w:cs="Arial"/>
                <w:sz w:val="16"/>
              </w:rPr>
            </w:pPr>
            <w:r w:rsidRPr="00F95596">
              <w:rPr>
                <w:rFonts w:ascii="Arial" w:hAnsi="Arial" w:cs="Arial"/>
                <w:sz w:val="16"/>
              </w:rPr>
              <w:t>Un total de 423 sujetos con alteraciones del gen HRR fueron asignados aleatoriamente a la Cohorte 1: 212 al grupo de</w:t>
            </w:r>
          </w:p>
          <w:p w14:paraId="53B8C856" w14:textId="77777777" w:rsidR="00F35821" w:rsidRPr="00F95596" w:rsidRDefault="00F35821" w:rsidP="00A524FC">
            <w:pPr>
              <w:jc w:val="both"/>
              <w:rPr>
                <w:rFonts w:ascii="Arial" w:hAnsi="Arial" w:cs="Arial"/>
                <w:sz w:val="16"/>
              </w:rPr>
            </w:pPr>
            <w:r w:rsidRPr="00F95596">
              <w:rPr>
                <w:rFonts w:ascii="Arial" w:hAnsi="Arial" w:cs="Arial"/>
                <w:sz w:val="16"/>
              </w:rPr>
              <w:t>nira</w:t>
            </w:r>
            <w:r>
              <w:rPr>
                <w:rFonts w:ascii="Arial" w:hAnsi="Arial" w:cs="Arial"/>
                <w:sz w:val="16"/>
              </w:rPr>
              <w:t>parib</w:t>
            </w:r>
            <w:r w:rsidRPr="00F95596">
              <w:rPr>
                <w:rFonts w:ascii="Arial" w:hAnsi="Arial" w:cs="Arial"/>
                <w:sz w:val="16"/>
              </w:rPr>
              <w:t xml:space="preserve">+AAP y 211 al grupo </w:t>
            </w:r>
            <w:r>
              <w:rPr>
                <w:rFonts w:ascii="Arial" w:hAnsi="Arial" w:cs="Arial"/>
                <w:sz w:val="16"/>
              </w:rPr>
              <w:t>placebo</w:t>
            </w:r>
            <w:r w:rsidRPr="00F95596">
              <w:rPr>
                <w:rFonts w:ascii="Arial" w:hAnsi="Arial" w:cs="Arial"/>
                <w:sz w:val="16"/>
              </w:rPr>
              <w:t>+AAP. Todos los sujetos recibieron al menos 1 dosis del fármaco del estudio</w:t>
            </w:r>
          </w:p>
          <w:p w14:paraId="72EA6604" w14:textId="77777777" w:rsidR="00F35821" w:rsidRPr="00F95596" w:rsidRDefault="00F35821" w:rsidP="00A524FC">
            <w:pPr>
              <w:jc w:val="both"/>
              <w:rPr>
                <w:rFonts w:ascii="Arial" w:hAnsi="Arial" w:cs="Arial"/>
                <w:sz w:val="16"/>
              </w:rPr>
            </w:pPr>
            <w:r w:rsidRPr="00F95596">
              <w:rPr>
                <w:rFonts w:ascii="Arial" w:hAnsi="Arial" w:cs="Arial"/>
                <w:sz w:val="16"/>
              </w:rPr>
              <w:t>y se incluyeron en el conjunto de análisis de seguridad.</w:t>
            </w:r>
          </w:p>
          <w:p w14:paraId="255896A6" w14:textId="77777777" w:rsidR="00F35821" w:rsidRPr="00F95596" w:rsidRDefault="00F35821" w:rsidP="00A524FC">
            <w:pPr>
              <w:jc w:val="both"/>
              <w:rPr>
                <w:rFonts w:ascii="Arial" w:hAnsi="Arial" w:cs="Arial"/>
                <w:sz w:val="16"/>
              </w:rPr>
            </w:pPr>
          </w:p>
          <w:p w14:paraId="5298270F" w14:textId="77777777" w:rsidR="00F35821" w:rsidRDefault="00F35821" w:rsidP="00A524FC">
            <w:pPr>
              <w:jc w:val="both"/>
              <w:rPr>
                <w:rFonts w:ascii="Arial" w:hAnsi="Arial" w:cs="Arial"/>
                <w:sz w:val="16"/>
              </w:rPr>
            </w:pPr>
            <w:r w:rsidRPr="00F95596">
              <w:rPr>
                <w:rFonts w:ascii="Arial" w:hAnsi="Arial" w:cs="Arial"/>
                <w:sz w:val="16"/>
              </w:rPr>
              <w:t>Un total de 95 sujetos se inscribieron en la cohorte 3, todos los cuales recibieron al menos 1 dosis del fármaco del estudio y se incluyeron en el conjunto de análisis de seguridad.</w:t>
            </w:r>
          </w:p>
          <w:p w14:paraId="321F529A" w14:textId="77777777" w:rsidR="00F35821" w:rsidRPr="00F95596" w:rsidRDefault="00F35821" w:rsidP="00A524FC">
            <w:pPr>
              <w:jc w:val="both"/>
              <w:rPr>
                <w:rFonts w:ascii="Arial" w:hAnsi="Arial" w:cs="Arial"/>
                <w:sz w:val="16"/>
              </w:rPr>
            </w:pPr>
          </w:p>
          <w:p w14:paraId="76B0A3DA" w14:textId="631CA1EE" w:rsidR="00F35821" w:rsidRDefault="00F35821" w:rsidP="00A524FC">
            <w:pPr>
              <w:jc w:val="both"/>
              <w:rPr>
                <w:rFonts w:ascii="Arial" w:hAnsi="Arial" w:cs="Arial"/>
                <w:sz w:val="16"/>
              </w:rPr>
            </w:pPr>
            <w:r w:rsidRPr="006F6ABB">
              <w:rPr>
                <w:rFonts w:ascii="Arial" w:hAnsi="Arial" w:cs="Arial"/>
                <w:sz w:val="16"/>
              </w:rPr>
              <w:t>-</w:t>
            </w:r>
            <w:r>
              <w:rPr>
                <w:rFonts w:ascii="Arial" w:hAnsi="Arial" w:cs="Arial"/>
                <w:sz w:val="16"/>
              </w:rPr>
              <w:t xml:space="preserve"> </w:t>
            </w:r>
            <w:r w:rsidRPr="006F6ABB">
              <w:rPr>
                <w:rFonts w:ascii="Arial" w:hAnsi="Arial" w:cs="Arial"/>
                <w:sz w:val="16"/>
              </w:rPr>
              <w:t>Tipo de análisis:</w:t>
            </w:r>
            <w:r>
              <w:rPr>
                <w:rFonts w:ascii="Arial" w:hAnsi="Arial" w:cs="Arial"/>
                <w:sz w:val="16"/>
              </w:rPr>
              <w:t xml:space="preserve"> </w:t>
            </w:r>
            <w:r w:rsidR="00A524FC">
              <w:rPr>
                <w:rFonts w:ascii="Arial" w:hAnsi="Arial" w:cs="Arial"/>
                <w:sz w:val="16"/>
              </w:rPr>
              <w:t>ITT</w:t>
            </w:r>
            <w:r>
              <w:rPr>
                <w:rFonts w:ascii="Arial" w:hAnsi="Arial" w:cs="Arial"/>
                <w:sz w:val="16"/>
              </w:rPr>
              <w:t xml:space="preserve"> y análisis de futilidad para la cohorte 2 (HRR-). </w:t>
            </w:r>
            <w:r w:rsidR="00672A6F">
              <w:rPr>
                <w:rFonts w:ascii="Arial" w:hAnsi="Arial" w:cs="Arial"/>
                <w:sz w:val="16"/>
              </w:rPr>
              <w:t>Se planificó análisis de futilidad en la población de la cohorte 2. Se consideraría que el tratamiento en esta población HRR- sería fútil si el HR observada para el tiempo transcurrido hasta los eventos de progresión combinados ≥ 1.</w:t>
            </w:r>
          </w:p>
          <w:p w14:paraId="718ACE17" w14:textId="1DA68D06" w:rsidR="00F35821" w:rsidRPr="006F6ABB" w:rsidRDefault="00F35821" w:rsidP="00A524FC">
            <w:pPr>
              <w:jc w:val="both"/>
              <w:rPr>
                <w:rFonts w:ascii="Arial" w:hAnsi="Arial" w:cs="Arial"/>
                <w:sz w:val="16"/>
              </w:rPr>
            </w:pPr>
          </w:p>
          <w:p w14:paraId="751137C5" w14:textId="77777777" w:rsidR="00F35821" w:rsidRDefault="00F35821" w:rsidP="00A524FC">
            <w:pPr>
              <w:jc w:val="both"/>
              <w:rPr>
                <w:rFonts w:ascii="Arial" w:hAnsi="Arial" w:cs="Arial"/>
                <w:sz w:val="16"/>
              </w:rPr>
            </w:pPr>
            <w:r w:rsidRPr="006F6ABB">
              <w:rPr>
                <w:rFonts w:ascii="Arial" w:hAnsi="Arial" w:cs="Arial"/>
                <w:sz w:val="16"/>
              </w:rPr>
              <w:t>- Cálculo de tamaño muestral:</w:t>
            </w:r>
            <w:r>
              <w:rPr>
                <w:rFonts w:ascii="Arial" w:hAnsi="Arial" w:cs="Arial"/>
                <w:sz w:val="16"/>
              </w:rPr>
              <w:t xml:space="preserve"> </w:t>
            </w:r>
          </w:p>
          <w:p w14:paraId="309584AB" w14:textId="77777777" w:rsidR="00F35821" w:rsidRDefault="00F35821" w:rsidP="00A524FC">
            <w:pPr>
              <w:numPr>
                <w:ilvl w:val="0"/>
                <w:numId w:val="18"/>
              </w:numPr>
              <w:jc w:val="both"/>
              <w:rPr>
                <w:rFonts w:ascii="Arial" w:hAnsi="Arial" w:cs="Arial"/>
                <w:sz w:val="16"/>
              </w:rPr>
            </w:pPr>
            <w:r w:rsidRPr="00BE001B">
              <w:rPr>
                <w:rFonts w:ascii="Arial" w:hAnsi="Arial" w:cs="Arial"/>
                <w:sz w:val="16"/>
              </w:rPr>
              <w:t>Cohorte 1: Aproximadamente 400 sujetos con CPRCm y alteraciones del gen HRR iban a ser aleatorizados</w:t>
            </w:r>
            <w:r>
              <w:rPr>
                <w:rFonts w:ascii="Arial" w:hAnsi="Arial" w:cs="Arial"/>
                <w:sz w:val="16"/>
              </w:rPr>
              <w:t xml:space="preserve"> </w:t>
            </w:r>
            <w:r w:rsidRPr="00BE001B">
              <w:rPr>
                <w:rFonts w:ascii="Arial" w:hAnsi="Arial" w:cs="Arial"/>
                <w:sz w:val="16"/>
              </w:rPr>
              <w:t>1:1 a recibir nira</w:t>
            </w:r>
            <w:r>
              <w:rPr>
                <w:rFonts w:ascii="Arial" w:hAnsi="Arial" w:cs="Arial"/>
                <w:sz w:val="16"/>
              </w:rPr>
              <w:t>parib</w:t>
            </w:r>
            <w:r w:rsidRPr="00BE001B">
              <w:rPr>
                <w:rFonts w:ascii="Arial" w:hAnsi="Arial" w:cs="Arial"/>
                <w:sz w:val="16"/>
              </w:rPr>
              <w:t xml:space="preserve">+AAP o </w:t>
            </w:r>
            <w:r>
              <w:rPr>
                <w:rFonts w:ascii="Arial" w:hAnsi="Arial" w:cs="Arial"/>
                <w:sz w:val="16"/>
              </w:rPr>
              <w:t>placebo</w:t>
            </w:r>
            <w:r w:rsidRPr="00BE001B">
              <w:rPr>
                <w:rFonts w:ascii="Arial" w:hAnsi="Arial" w:cs="Arial"/>
                <w:sz w:val="16"/>
              </w:rPr>
              <w:t xml:space="preserve">+AAP para proporcionar una potencia del 87% en la detección de un </w:t>
            </w:r>
            <w:r>
              <w:rPr>
                <w:rFonts w:ascii="Arial" w:hAnsi="Arial" w:cs="Arial"/>
                <w:sz w:val="16"/>
              </w:rPr>
              <w:t>Hazard ratio (HR)</w:t>
            </w:r>
            <w:r w:rsidRPr="00BE001B">
              <w:rPr>
                <w:rFonts w:ascii="Arial" w:hAnsi="Arial" w:cs="Arial"/>
                <w:sz w:val="16"/>
              </w:rPr>
              <w:t xml:space="preserve"> de 0,65 en sujetos con</w:t>
            </w:r>
            <w:r>
              <w:rPr>
                <w:rFonts w:ascii="Arial" w:hAnsi="Arial" w:cs="Arial"/>
                <w:sz w:val="16"/>
              </w:rPr>
              <w:t xml:space="preserve"> CP</w:t>
            </w:r>
            <w:r w:rsidRPr="00BE001B">
              <w:rPr>
                <w:rFonts w:ascii="Arial" w:hAnsi="Arial" w:cs="Arial"/>
                <w:sz w:val="16"/>
              </w:rPr>
              <w:t xml:space="preserve">RCm y alteraciones del gen HRR </w:t>
            </w:r>
            <w:r>
              <w:rPr>
                <w:rFonts w:ascii="Arial" w:hAnsi="Arial" w:cs="Arial"/>
                <w:sz w:val="16"/>
              </w:rPr>
              <w:t>con</w:t>
            </w:r>
            <w:r w:rsidRPr="00BE001B">
              <w:rPr>
                <w:rFonts w:ascii="Arial" w:hAnsi="Arial" w:cs="Arial"/>
                <w:sz w:val="16"/>
              </w:rPr>
              <w:t xml:space="preserve"> un nivel de significación de 2 colas de 0,05. Suponiendo que aproximadamente el</w:t>
            </w:r>
            <w:r>
              <w:rPr>
                <w:rFonts w:ascii="Arial" w:hAnsi="Arial" w:cs="Arial"/>
                <w:sz w:val="16"/>
              </w:rPr>
              <w:t xml:space="preserve"> </w:t>
            </w:r>
            <w:r w:rsidRPr="00BE001B">
              <w:rPr>
                <w:rFonts w:ascii="Arial" w:hAnsi="Arial" w:cs="Arial"/>
                <w:sz w:val="16"/>
              </w:rPr>
              <w:t>50% de los sujetos de la Cohorte 1 pertenecen al subgrupo BRCA, con el tamaño de muestra propuesto</w:t>
            </w:r>
            <w:r>
              <w:rPr>
                <w:rFonts w:ascii="Arial" w:hAnsi="Arial" w:cs="Arial"/>
                <w:sz w:val="16"/>
              </w:rPr>
              <w:t xml:space="preserve"> </w:t>
            </w:r>
            <w:r w:rsidRPr="00BE001B">
              <w:rPr>
                <w:rFonts w:ascii="Arial" w:hAnsi="Arial" w:cs="Arial"/>
                <w:sz w:val="16"/>
              </w:rPr>
              <w:t xml:space="preserve">se prevé observar aproximadamente 102 eventos de SLPr en el subgrupo BRCA para proporcionar una potencia del 93% para detectar un </w:t>
            </w:r>
            <w:r>
              <w:rPr>
                <w:rFonts w:ascii="Arial" w:hAnsi="Arial" w:cs="Arial"/>
                <w:sz w:val="16"/>
              </w:rPr>
              <w:t>HR</w:t>
            </w:r>
            <w:r w:rsidRPr="00BE001B">
              <w:rPr>
                <w:rFonts w:ascii="Arial" w:hAnsi="Arial" w:cs="Arial"/>
                <w:sz w:val="16"/>
              </w:rPr>
              <w:t xml:space="preserve"> de 0,5 a un nivel de significación de 2 colas de 0,05.</w:t>
            </w:r>
          </w:p>
          <w:p w14:paraId="730F5096" w14:textId="77777777" w:rsidR="00F35821" w:rsidRDefault="00F35821" w:rsidP="00A524FC">
            <w:pPr>
              <w:jc w:val="both"/>
              <w:rPr>
                <w:rFonts w:ascii="Arial" w:hAnsi="Arial" w:cs="Arial"/>
                <w:sz w:val="16"/>
              </w:rPr>
            </w:pPr>
          </w:p>
          <w:p w14:paraId="2D937ABC" w14:textId="77777777" w:rsidR="00F35821" w:rsidRDefault="00F35821" w:rsidP="00A524FC">
            <w:pPr>
              <w:numPr>
                <w:ilvl w:val="0"/>
                <w:numId w:val="18"/>
              </w:numPr>
              <w:jc w:val="both"/>
              <w:rPr>
                <w:rFonts w:ascii="Arial" w:hAnsi="Arial" w:cs="Arial"/>
                <w:sz w:val="16"/>
              </w:rPr>
            </w:pPr>
            <w:r w:rsidRPr="00BE001B">
              <w:rPr>
                <w:rFonts w:ascii="Arial" w:hAnsi="Arial" w:cs="Arial"/>
                <w:sz w:val="16"/>
              </w:rPr>
              <w:t>Cohorte 2: Aproximadamente 600 sujetos con CPRCm y sin alteración del gen HRR iban a ser aleatorizados</w:t>
            </w:r>
            <w:r>
              <w:rPr>
                <w:rFonts w:ascii="Arial" w:hAnsi="Arial" w:cs="Arial"/>
                <w:sz w:val="16"/>
              </w:rPr>
              <w:t xml:space="preserve"> </w:t>
            </w:r>
            <w:r w:rsidRPr="00BE001B">
              <w:rPr>
                <w:rFonts w:ascii="Arial" w:hAnsi="Arial" w:cs="Arial"/>
                <w:sz w:val="16"/>
              </w:rPr>
              <w:t>1:1 para recibir nira</w:t>
            </w:r>
            <w:r>
              <w:rPr>
                <w:rFonts w:ascii="Arial" w:hAnsi="Arial" w:cs="Arial"/>
                <w:sz w:val="16"/>
              </w:rPr>
              <w:t>parib</w:t>
            </w:r>
            <w:r w:rsidRPr="00BE001B">
              <w:rPr>
                <w:rFonts w:ascii="Arial" w:hAnsi="Arial" w:cs="Arial"/>
                <w:sz w:val="16"/>
              </w:rPr>
              <w:t xml:space="preserve">+AAP o </w:t>
            </w:r>
            <w:r>
              <w:rPr>
                <w:rFonts w:ascii="Arial" w:hAnsi="Arial" w:cs="Arial"/>
                <w:sz w:val="16"/>
              </w:rPr>
              <w:t>placebo</w:t>
            </w:r>
            <w:r w:rsidRPr="00BE001B">
              <w:rPr>
                <w:rFonts w:ascii="Arial" w:hAnsi="Arial" w:cs="Arial"/>
                <w:sz w:val="16"/>
              </w:rPr>
              <w:t>+AAP si no se cumplía el criterio de futilidad.</w:t>
            </w:r>
          </w:p>
          <w:p w14:paraId="0DD85C09" w14:textId="77777777" w:rsidR="00F35821" w:rsidRPr="00BE001B" w:rsidRDefault="00F35821" w:rsidP="00A524FC">
            <w:pPr>
              <w:jc w:val="both"/>
              <w:rPr>
                <w:rFonts w:ascii="Arial" w:hAnsi="Arial" w:cs="Arial"/>
                <w:sz w:val="16"/>
              </w:rPr>
            </w:pPr>
          </w:p>
          <w:p w14:paraId="404F81A9" w14:textId="77777777" w:rsidR="00F35821" w:rsidRPr="00BE001B" w:rsidRDefault="00F35821" w:rsidP="00A524FC">
            <w:pPr>
              <w:numPr>
                <w:ilvl w:val="0"/>
                <w:numId w:val="18"/>
              </w:numPr>
              <w:jc w:val="both"/>
              <w:rPr>
                <w:rFonts w:ascii="Arial" w:hAnsi="Arial" w:cs="Arial"/>
                <w:sz w:val="16"/>
              </w:rPr>
            </w:pPr>
            <w:r w:rsidRPr="00BE001B">
              <w:rPr>
                <w:rFonts w:ascii="Arial" w:hAnsi="Arial" w:cs="Arial"/>
                <w:sz w:val="16"/>
              </w:rPr>
              <w:t>Cohorte 3: Aproximadamente 100 sujetos con alteraciones en el gen HRR iban a ser reclutados en la Cohorte 3. El 50% de ellos tenían alteraciones en el gen BRCA,</w:t>
            </w:r>
            <w:r>
              <w:rPr>
                <w:rFonts w:ascii="Arial" w:hAnsi="Arial" w:cs="Arial"/>
                <w:sz w:val="16"/>
              </w:rPr>
              <w:t xml:space="preserve"> </w:t>
            </w:r>
            <w:r w:rsidRPr="00BE001B">
              <w:rPr>
                <w:rFonts w:ascii="Arial" w:hAnsi="Arial" w:cs="Arial"/>
                <w:sz w:val="16"/>
              </w:rPr>
              <w:t>50% de los cuales tenían alteraciones BRCA.</w:t>
            </w:r>
          </w:p>
          <w:p w14:paraId="452E19AB" w14:textId="77777777" w:rsidR="00F35821" w:rsidRPr="00BE001B" w:rsidRDefault="00F35821" w:rsidP="00F35821">
            <w:pPr>
              <w:jc w:val="both"/>
              <w:rPr>
                <w:rFonts w:ascii="Arial" w:hAnsi="Arial" w:cs="Arial"/>
                <w:sz w:val="16"/>
              </w:rPr>
            </w:pPr>
          </w:p>
          <w:p w14:paraId="149B96D5" w14:textId="77777777" w:rsidR="009E582E" w:rsidRPr="00117945" w:rsidRDefault="009E582E" w:rsidP="00BC3E8E">
            <w:pPr>
              <w:rPr>
                <w:rFonts w:ascii="Arial" w:hAnsi="Arial" w:cs="Arial"/>
                <w:b/>
                <w:i/>
                <w:sz w:val="18"/>
                <w:szCs w:val="20"/>
                <w:lang w:val="es-ES_tradnl"/>
              </w:rPr>
            </w:pPr>
          </w:p>
        </w:tc>
      </w:tr>
    </w:tbl>
    <w:p w14:paraId="0EEED88C" w14:textId="77777777" w:rsidR="00392891" w:rsidRDefault="00392891"/>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3"/>
        <w:gridCol w:w="2469"/>
        <w:gridCol w:w="993"/>
        <w:gridCol w:w="992"/>
        <w:gridCol w:w="1417"/>
        <w:gridCol w:w="709"/>
        <w:gridCol w:w="1276"/>
      </w:tblGrid>
      <w:tr w:rsidR="009E582E" w:rsidRPr="00801BBF" w14:paraId="2B915548" w14:textId="77777777" w:rsidTr="00F35821">
        <w:tc>
          <w:tcPr>
            <w:tcW w:w="8859" w:type="dxa"/>
            <w:gridSpan w:val="7"/>
          </w:tcPr>
          <w:p w14:paraId="7BF61BB1" w14:textId="77777777" w:rsidR="009E582E" w:rsidRPr="00FB1DEA" w:rsidRDefault="009E582E" w:rsidP="009E582E">
            <w:pPr>
              <w:keepNext/>
              <w:jc w:val="both"/>
              <w:outlineLvl w:val="2"/>
              <w:rPr>
                <w:rFonts w:ascii="Arial" w:hAnsi="Arial"/>
                <w:b/>
                <w:sz w:val="16"/>
              </w:rPr>
            </w:pPr>
          </w:p>
        </w:tc>
      </w:tr>
      <w:tr w:rsidR="00A62371" w:rsidRPr="00801BBF" w14:paraId="5C7CAE7C" w14:textId="77777777" w:rsidTr="00F35821">
        <w:trPr>
          <w:cantSplit/>
          <w:trHeight w:val="230"/>
        </w:trPr>
        <w:tc>
          <w:tcPr>
            <w:tcW w:w="8859" w:type="dxa"/>
            <w:gridSpan w:val="7"/>
            <w:shd w:val="clear" w:color="auto" w:fill="CCFFCC"/>
          </w:tcPr>
          <w:p w14:paraId="018167ED" w14:textId="77777777" w:rsidR="00A62371" w:rsidRPr="00FB1DEA" w:rsidRDefault="001A0EA8" w:rsidP="00A62371">
            <w:pPr>
              <w:jc w:val="both"/>
              <w:rPr>
                <w:rFonts w:ascii="Arial" w:hAnsi="Arial"/>
                <w:b/>
                <w:i/>
                <w:sz w:val="16"/>
              </w:rPr>
            </w:pPr>
            <w:r w:rsidRPr="00FB1DEA">
              <w:rPr>
                <w:rFonts w:ascii="Arial" w:hAnsi="Arial"/>
                <w:b/>
                <w:i/>
                <w:sz w:val="16"/>
              </w:rPr>
              <w:t>Tabla 5. Análisis FINAL para la variable principal y PRIMER análisis intermedio para las variables secundarias.</w:t>
            </w:r>
          </w:p>
        </w:tc>
      </w:tr>
      <w:tr w:rsidR="00A62371" w:rsidRPr="006F6ABB" w14:paraId="5571CDF8" w14:textId="77777777" w:rsidTr="00F35821">
        <w:trPr>
          <w:trHeight w:val="230"/>
        </w:trPr>
        <w:tc>
          <w:tcPr>
            <w:tcW w:w="3472" w:type="dxa"/>
            <w:gridSpan w:val="2"/>
          </w:tcPr>
          <w:p w14:paraId="363EBE83" w14:textId="77777777" w:rsidR="00A62371" w:rsidRDefault="00966C6E" w:rsidP="00A62371">
            <w:pPr>
              <w:jc w:val="both"/>
              <w:rPr>
                <w:rFonts w:ascii="Arial" w:hAnsi="Arial" w:cs="Arial"/>
                <w:b/>
                <w:i/>
                <w:sz w:val="16"/>
              </w:rPr>
            </w:pPr>
            <w:r w:rsidRPr="006F6ABB">
              <w:rPr>
                <w:rFonts w:ascii="Arial" w:hAnsi="Arial" w:cs="Arial"/>
                <w:b/>
                <w:i/>
                <w:sz w:val="16"/>
              </w:rPr>
              <w:t>Variable evaluada</w:t>
            </w:r>
            <w:r w:rsidR="00A62371" w:rsidRPr="006F6ABB">
              <w:rPr>
                <w:rFonts w:ascii="Arial" w:hAnsi="Arial" w:cs="Arial"/>
                <w:b/>
                <w:i/>
                <w:sz w:val="16"/>
              </w:rPr>
              <w:t xml:space="preserve"> en el estudio</w:t>
            </w:r>
          </w:p>
          <w:p w14:paraId="201F8960" w14:textId="77777777" w:rsidR="00A62371" w:rsidRPr="00067BBA" w:rsidRDefault="00A62371" w:rsidP="00A62371">
            <w:pPr>
              <w:jc w:val="both"/>
              <w:rPr>
                <w:rFonts w:ascii="Arial" w:hAnsi="Arial" w:cs="Arial"/>
                <w:b/>
                <w:i/>
                <w:color w:val="FF0000"/>
                <w:sz w:val="16"/>
              </w:rPr>
            </w:pPr>
            <w:r w:rsidRPr="00067BBA">
              <w:rPr>
                <w:rFonts w:ascii="Arial" w:hAnsi="Arial" w:cs="Arial"/>
                <w:b/>
                <w:i/>
                <w:color w:val="FF0000"/>
                <w:sz w:val="16"/>
              </w:rPr>
              <w:t>Por comité</w:t>
            </w:r>
            <w:r>
              <w:rPr>
                <w:rFonts w:ascii="Arial" w:hAnsi="Arial" w:cs="Arial"/>
                <w:b/>
                <w:i/>
                <w:color w:val="FF0000"/>
                <w:sz w:val="16"/>
              </w:rPr>
              <w:t xml:space="preserve"> revisor</w:t>
            </w:r>
            <w:r w:rsidRPr="00067BBA">
              <w:rPr>
                <w:rFonts w:ascii="Arial" w:hAnsi="Arial" w:cs="Arial"/>
                <w:b/>
                <w:i/>
                <w:color w:val="FF0000"/>
                <w:sz w:val="16"/>
              </w:rPr>
              <w:t xml:space="preserve"> independiente</w:t>
            </w:r>
          </w:p>
        </w:tc>
        <w:tc>
          <w:tcPr>
            <w:tcW w:w="993" w:type="dxa"/>
          </w:tcPr>
          <w:p w14:paraId="74E5DCEC" w14:textId="77777777" w:rsidR="00A62371" w:rsidRPr="006F6ABB" w:rsidRDefault="00A62371" w:rsidP="00A62371">
            <w:pPr>
              <w:tabs>
                <w:tab w:val="left" w:pos="1673"/>
              </w:tabs>
              <w:rPr>
                <w:rFonts w:ascii="Arial" w:hAnsi="Arial" w:cs="Arial"/>
                <w:b/>
                <w:i/>
                <w:sz w:val="16"/>
                <w:lang w:val="pt-BR"/>
              </w:rPr>
            </w:pPr>
            <w:r>
              <w:rPr>
                <w:rFonts w:ascii="Arial" w:hAnsi="Arial" w:cs="Arial"/>
                <w:b/>
                <w:i/>
                <w:sz w:val="16"/>
                <w:lang w:val="pt-BR"/>
              </w:rPr>
              <w:t>Niraparib + AAP</w:t>
            </w:r>
          </w:p>
          <w:p w14:paraId="31593AA7" w14:textId="77777777" w:rsidR="00A62371" w:rsidRPr="006F6ABB" w:rsidRDefault="00A62371" w:rsidP="00A62371">
            <w:pPr>
              <w:tabs>
                <w:tab w:val="left" w:pos="1673"/>
              </w:tabs>
              <w:rPr>
                <w:rFonts w:ascii="Arial" w:hAnsi="Arial" w:cs="Arial"/>
                <w:b/>
                <w:i/>
                <w:sz w:val="16"/>
                <w:lang w:val="pt-BR"/>
              </w:rPr>
            </w:pPr>
          </w:p>
        </w:tc>
        <w:tc>
          <w:tcPr>
            <w:tcW w:w="992" w:type="dxa"/>
          </w:tcPr>
          <w:p w14:paraId="472BE851" w14:textId="77777777" w:rsidR="00A62371" w:rsidRPr="006F6ABB" w:rsidRDefault="00A62371" w:rsidP="00A62371">
            <w:pPr>
              <w:tabs>
                <w:tab w:val="left" w:pos="1673"/>
              </w:tabs>
              <w:rPr>
                <w:rFonts w:ascii="Arial" w:hAnsi="Arial" w:cs="Arial"/>
                <w:b/>
                <w:i/>
                <w:sz w:val="16"/>
                <w:lang w:val="pt-BR"/>
              </w:rPr>
            </w:pPr>
            <w:r>
              <w:rPr>
                <w:rFonts w:ascii="Arial" w:hAnsi="Arial" w:cs="Arial"/>
                <w:b/>
                <w:i/>
                <w:sz w:val="16"/>
                <w:lang w:val="pt-BR"/>
              </w:rPr>
              <w:t>Placebo + AAP</w:t>
            </w:r>
          </w:p>
          <w:p w14:paraId="7A7C487C" w14:textId="77777777" w:rsidR="00A62371" w:rsidRPr="006F6ABB" w:rsidRDefault="00A62371" w:rsidP="00A62371">
            <w:pPr>
              <w:tabs>
                <w:tab w:val="left" w:pos="1673"/>
              </w:tabs>
              <w:rPr>
                <w:rFonts w:ascii="Arial" w:hAnsi="Arial" w:cs="Arial"/>
                <w:b/>
                <w:i/>
                <w:sz w:val="16"/>
                <w:lang w:val="pt-BR"/>
              </w:rPr>
            </w:pPr>
          </w:p>
        </w:tc>
        <w:tc>
          <w:tcPr>
            <w:tcW w:w="1417" w:type="dxa"/>
            <w:vAlign w:val="center"/>
          </w:tcPr>
          <w:p w14:paraId="0CF5ADD1" w14:textId="77777777" w:rsidR="00A62371" w:rsidRPr="006F6ABB" w:rsidRDefault="00A62371" w:rsidP="00A62371">
            <w:pPr>
              <w:tabs>
                <w:tab w:val="left" w:pos="1673"/>
              </w:tabs>
              <w:jc w:val="center"/>
              <w:rPr>
                <w:rFonts w:ascii="Arial" w:hAnsi="Arial" w:cs="Arial"/>
                <w:b/>
                <w:i/>
                <w:sz w:val="16"/>
                <w:lang w:val="pt-BR"/>
              </w:rPr>
            </w:pPr>
            <w:r>
              <w:rPr>
                <w:rFonts w:ascii="Arial" w:hAnsi="Arial" w:cs="Arial"/>
                <w:b/>
                <w:i/>
                <w:sz w:val="16"/>
                <w:lang w:val="pt-BR"/>
              </w:rPr>
              <w:t>HR (IC95%)</w:t>
            </w:r>
          </w:p>
        </w:tc>
        <w:tc>
          <w:tcPr>
            <w:tcW w:w="709" w:type="dxa"/>
            <w:vAlign w:val="center"/>
          </w:tcPr>
          <w:p w14:paraId="4819ECA3" w14:textId="77777777" w:rsidR="00A62371" w:rsidRPr="006F6ABB" w:rsidRDefault="00A62371" w:rsidP="00A62371">
            <w:pPr>
              <w:tabs>
                <w:tab w:val="left" w:pos="1673"/>
              </w:tabs>
              <w:jc w:val="center"/>
              <w:rPr>
                <w:rFonts w:ascii="Arial" w:hAnsi="Arial" w:cs="Arial"/>
                <w:b/>
                <w:i/>
                <w:sz w:val="16"/>
                <w:lang w:val="pt-BR"/>
              </w:rPr>
            </w:pPr>
            <w:r>
              <w:rPr>
                <w:rFonts w:ascii="Arial" w:hAnsi="Arial" w:cs="Arial"/>
                <w:b/>
                <w:i/>
                <w:sz w:val="16"/>
                <w:lang w:val="pt-BR"/>
              </w:rPr>
              <w:t>p</w:t>
            </w:r>
          </w:p>
        </w:tc>
        <w:tc>
          <w:tcPr>
            <w:tcW w:w="1276" w:type="dxa"/>
          </w:tcPr>
          <w:p w14:paraId="25980E85" w14:textId="77777777" w:rsidR="00A62371" w:rsidRPr="006F6ABB" w:rsidRDefault="00A62371" w:rsidP="00A62371">
            <w:pPr>
              <w:jc w:val="both"/>
              <w:rPr>
                <w:rFonts w:ascii="Arial" w:hAnsi="Arial" w:cs="Arial"/>
                <w:b/>
                <w:i/>
                <w:sz w:val="16"/>
                <w:lang w:val="pt-BR"/>
              </w:rPr>
            </w:pPr>
            <w:r>
              <w:rPr>
                <w:rFonts w:ascii="Arial" w:hAnsi="Arial" w:cs="Arial"/>
                <w:b/>
                <w:i/>
                <w:sz w:val="16"/>
                <w:lang w:val="pt-BR"/>
              </w:rPr>
              <w:t>Tiempo de seguimento, meses (rango)</w:t>
            </w:r>
          </w:p>
        </w:tc>
      </w:tr>
      <w:tr w:rsidR="00A62371" w:rsidRPr="006F6ABB" w14:paraId="1E0F2849" w14:textId="77777777" w:rsidTr="00F03AFA">
        <w:trPr>
          <w:trHeight w:val="290"/>
        </w:trPr>
        <w:tc>
          <w:tcPr>
            <w:tcW w:w="3472" w:type="dxa"/>
            <w:gridSpan w:val="2"/>
          </w:tcPr>
          <w:p w14:paraId="09F79224" w14:textId="77777777" w:rsidR="00A62371" w:rsidRPr="006F6ABB" w:rsidRDefault="00A62371" w:rsidP="00A62371">
            <w:pPr>
              <w:snapToGrid w:val="0"/>
              <w:jc w:val="center"/>
              <w:rPr>
                <w:rFonts w:ascii="Arial" w:hAnsi="Arial" w:cs="Arial"/>
                <w:i/>
                <w:sz w:val="16"/>
              </w:rPr>
            </w:pPr>
            <w:r w:rsidRPr="006252F1">
              <w:rPr>
                <w:rFonts w:ascii="Arial" w:hAnsi="Arial" w:cs="Arial"/>
                <w:i/>
                <w:sz w:val="16"/>
              </w:rPr>
              <w:t>Número de pacientes</w:t>
            </w:r>
          </w:p>
        </w:tc>
        <w:tc>
          <w:tcPr>
            <w:tcW w:w="993" w:type="dxa"/>
            <w:shd w:val="clear" w:color="auto" w:fill="D9D9D9"/>
          </w:tcPr>
          <w:p w14:paraId="79AE29E5" w14:textId="05B2BEE1" w:rsidR="00A62371" w:rsidRPr="009E582E" w:rsidRDefault="008B2E57" w:rsidP="008B2E57">
            <w:pPr>
              <w:snapToGrid w:val="0"/>
              <w:jc w:val="center"/>
              <w:rPr>
                <w:rFonts w:ascii="Arial" w:hAnsi="Arial" w:cs="Arial"/>
                <w:i/>
                <w:sz w:val="16"/>
              </w:rPr>
            </w:pPr>
            <w:r>
              <w:rPr>
                <w:rFonts w:ascii="Arial" w:hAnsi="Arial" w:cs="Arial"/>
                <w:i/>
                <w:sz w:val="16"/>
                <w:lang w:val="pt-BR"/>
              </w:rPr>
              <w:t>N=212</w:t>
            </w:r>
          </w:p>
        </w:tc>
        <w:tc>
          <w:tcPr>
            <w:tcW w:w="992" w:type="dxa"/>
            <w:shd w:val="clear" w:color="auto" w:fill="D9D9D9"/>
          </w:tcPr>
          <w:p w14:paraId="298A2696" w14:textId="08FDC888" w:rsidR="00A62371" w:rsidRPr="009E582E" w:rsidRDefault="008B2E57" w:rsidP="00A62371">
            <w:pPr>
              <w:jc w:val="center"/>
              <w:rPr>
                <w:rFonts w:ascii="Arial" w:hAnsi="Arial" w:cs="Arial"/>
                <w:i/>
                <w:sz w:val="16"/>
              </w:rPr>
            </w:pPr>
            <w:r>
              <w:rPr>
                <w:rFonts w:ascii="Arial" w:hAnsi="Arial" w:cs="Arial"/>
                <w:i/>
                <w:sz w:val="16"/>
                <w:lang w:val="pt-BR"/>
              </w:rPr>
              <w:t>N=211</w:t>
            </w:r>
          </w:p>
        </w:tc>
        <w:tc>
          <w:tcPr>
            <w:tcW w:w="1417" w:type="dxa"/>
            <w:vMerge w:val="restart"/>
          </w:tcPr>
          <w:p w14:paraId="33F70DA7" w14:textId="77777777" w:rsidR="00A62371" w:rsidRDefault="00A62371" w:rsidP="00A62371">
            <w:pPr>
              <w:jc w:val="center"/>
              <w:rPr>
                <w:rFonts w:ascii="Arial" w:hAnsi="Arial" w:cs="Arial"/>
                <w:i/>
                <w:sz w:val="16"/>
              </w:rPr>
            </w:pPr>
          </w:p>
          <w:p w14:paraId="27D38C3F" w14:textId="77777777" w:rsidR="00A62371" w:rsidRDefault="00A62371" w:rsidP="00A62371">
            <w:pPr>
              <w:jc w:val="center"/>
              <w:rPr>
                <w:rFonts w:ascii="Arial" w:hAnsi="Arial" w:cs="Arial"/>
                <w:i/>
                <w:sz w:val="16"/>
              </w:rPr>
            </w:pPr>
          </w:p>
          <w:p w14:paraId="79B818C9" w14:textId="77777777" w:rsidR="00A62371" w:rsidRDefault="00A62371" w:rsidP="00A62371">
            <w:pPr>
              <w:jc w:val="center"/>
              <w:rPr>
                <w:rFonts w:ascii="Arial" w:hAnsi="Arial" w:cs="Arial"/>
                <w:i/>
                <w:sz w:val="16"/>
              </w:rPr>
            </w:pPr>
          </w:p>
          <w:p w14:paraId="269BD74C" w14:textId="19E88D4C" w:rsidR="00A62371" w:rsidRDefault="00A62371" w:rsidP="00A62371">
            <w:pPr>
              <w:jc w:val="center"/>
              <w:rPr>
                <w:rFonts w:ascii="Arial" w:hAnsi="Arial" w:cs="Arial"/>
                <w:i/>
                <w:sz w:val="16"/>
              </w:rPr>
            </w:pPr>
            <w:r>
              <w:rPr>
                <w:rFonts w:ascii="Arial" w:hAnsi="Arial" w:cs="Arial"/>
                <w:i/>
                <w:sz w:val="16"/>
              </w:rPr>
              <w:t>0,73 (</w:t>
            </w:r>
            <w:r w:rsidR="008B2E57">
              <w:rPr>
                <w:rFonts w:ascii="Arial" w:hAnsi="Arial" w:cs="Arial"/>
                <w:i/>
                <w:sz w:val="16"/>
              </w:rPr>
              <w:t>0,56-0,96</w:t>
            </w:r>
            <w:r>
              <w:rPr>
                <w:rFonts w:ascii="Arial" w:hAnsi="Arial" w:cs="Arial"/>
                <w:i/>
                <w:sz w:val="16"/>
              </w:rPr>
              <w:t>)</w:t>
            </w:r>
          </w:p>
          <w:p w14:paraId="439F5740" w14:textId="77777777" w:rsidR="00A62371" w:rsidRDefault="00A62371" w:rsidP="00A62371">
            <w:pPr>
              <w:jc w:val="center"/>
              <w:rPr>
                <w:rFonts w:ascii="Arial" w:hAnsi="Arial" w:cs="Arial"/>
                <w:i/>
                <w:sz w:val="16"/>
              </w:rPr>
            </w:pPr>
          </w:p>
          <w:p w14:paraId="52E30784" w14:textId="77777777" w:rsidR="00A62371" w:rsidRDefault="00A62371" w:rsidP="00A62371">
            <w:pPr>
              <w:jc w:val="center"/>
              <w:rPr>
                <w:rFonts w:ascii="Arial" w:hAnsi="Arial" w:cs="Arial"/>
                <w:i/>
                <w:sz w:val="16"/>
              </w:rPr>
            </w:pPr>
          </w:p>
          <w:p w14:paraId="6AA447EA" w14:textId="77777777" w:rsidR="00A62371" w:rsidRDefault="00A62371" w:rsidP="00A62371">
            <w:pPr>
              <w:jc w:val="center"/>
              <w:rPr>
                <w:rFonts w:ascii="Arial" w:hAnsi="Arial" w:cs="Arial"/>
                <w:i/>
                <w:sz w:val="16"/>
              </w:rPr>
            </w:pPr>
          </w:p>
          <w:p w14:paraId="3B67CA9A" w14:textId="77777777" w:rsidR="00A62371" w:rsidRDefault="00A62371" w:rsidP="00A62371">
            <w:pPr>
              <w:jc w:val="center"/>
              <w:rPr>
                <w:rFonts w:ascii="Arial" w:hAnsi="Arial" w:cs="Arial"/>
                <w:i/>
                <w:sz w:val="16"/>
              </w:rPr>
            </w:pPr>
          </w:p>
          <w:p w14:paraId="17D453AF" w14:textId="77777777" w:rsidR="00A62371" w:rsidRDefault="00A62371" w:rsidP="00A62371">
            <w:pPr>
              <w:jc w:val="center"/>
              <w:rPr>
                <w:rFonts w:ascii="Arial" w:hAnsi="Arial" w:cs="Arial"/>
                <w:i/>
                <w:sz w:val="16"/>
              </w:rPr>
            </w:pPr>
          </w:p>
          <w:p w14:paraId="479B1CF7" w14:textId="77777777" w:rsidR="00A62371" w:rsidRDefault="00A62371" w:rsidP="00A62371">
            <w:pPr>
              <w:jc w:val="center"/>
              <w:rPr>
                <w:rFonts w:ascii="Arial" w:hAnsi="Arial" w:cs="Arial"/>
                <w:i/>
                <w:sz w:val="16"/>
              </w:rPr>
            </w:pPr>
          </w:p>
          <w:p w14:paraId="24B31902" w14:textId="1B35CFC6" w:rsidR="00A62371" w:rsidRDefault="00A62371" w:rsidP="00A62371">
            <w:pPr>
              <w:jc w:val="center"/>
              <w:rPr>
                <w:rFonts w:ascii="Arial" w:hAnsi="Arial" w:cs="Arial"/>
                <w:i/>
                <w:sz w:val="16"/>
              </w:rPr>
            </w:pPr>
            <w:r w:rsidRPr="000D658A">
              <w:rPr>
                <w:rFonts w:ascii="Arial" w:hAnsi="Arial" w:cs="Arial"/>
                <w:i/>
                <w:sz w:val="16"/>
              </w:rPr>
              <w:t xml:space="preserve">0.53 </w:t>
            </w:r>
            <w:r>
              <w:rPr>
                <w:rFonts w:ascii="Arial" w:hAnsi="Arial" w:cs="Arial"/>
                <w:i/>
                <w:sz w:val="16"/>
              </w:rPr>
              <w:t>(</w:t>
            </w:r>
            <w:r w:rsidR="008B2E57">
              <w:rPr>
                <w:rFonts w:ascii="Arial" w:hAnsi="Arial" w:cs="Arial"/>
                <w:i/>
                <w:sz w:val="16"/>
              </w:rPr>
              <w:t>0,36-0,79</w:t>
            </w:r>
            <w:r w:rsidRPr="000D658A">
              <w:rPr>
                <w:rFonts w:ascii="Arial" w:hAnsi="Arial" w:cs="Arial"/>
                <w:i/>
                <w:sz w:val="16"/>
              </w:rPr>
              <w:t>)</w:t>
            </w:r>
          </w:p>
          <w:p w14:paraId="05D31D13" w14:textId="77777777" w:rsidR="00A62371" w:rsidRPr="000D658A" w:rsidRDefault="00A62371" w:rsidP="00A62371">
            <w:pPr>
              <w:jc w:val="center"/>
              <w:rPr>
                <w:rFonts w:ascii="Arial" w:hAnsi="Arial" w:cs="Arial"/>
                <w:i/>
                <w:sz w:val="16"/>
              </w:rPr>
            </w:pPr>
          </w:p>
        </w:tc>
        <w:tc>
          <w:tcPr>
            <w:tcW w:w="709" w:type="dxa"/>
            <w:vMerge w:val="restart"/>
          </w:tcPr>
          <w:p w14:paraId="0F0F0FFD" w14:textId="77777777" w:rsidR="00A62371" w:rsidRDefault="00A62371" w:rsidP="00A62371">
            <w:pPr>
              <w:jc w:val="center"/>
              <w:rPr>
                <w:rFonts w:ascii="Arial" w:hAnsi="Arial" w:cs="Arial"/>
                <w:i/>
                <w:sz w:val="16"/>
              </w:rPr>
            </w:pPr>
          </w:p>
          <w:p w14:paraId="4FE50539" w14:textId="77777777" w:rsidR="00A62371" w:rsidRDefault="00A62371" w:rsidP="00A62371">
            <w:pPr>
              <w:jc w:val="center"/>
              <w:rPr>
                <w:rFonts w:ascii="Arial" w:hAnsi="Arial" w:cs="Arial"/>
                <w:i/>
                <w:sz w:val="16"/>
              </w:rPr>
            </w:pPr>
          </w:p>
          <w:p w14:paraId="20062AE9" w14:textId="77777777" w:rsidR="00A62371" w:rsidRDefault="00A62371" w:rsidP="00A62371">
            <w:pPr>
              <w:jc w:val="center"/>
              <w:rPr>
                <w:rFonts w:ascii="Arial" w:hAnsi="Arial" w:cs="Arial"/>
                <w:i/>
                <w:sz w:val="16"/>
              </w:rPr>
            </w:pPr>
          </w:p>
          <w:p w14:paraId="27A8DFE6" w14:textId="77777777" w:rsidR="00A62371" w:rsidRDefault="00A62371" w:rsidP="00A62371">
            <w:pPr>
              <w:jc w:val="center"/>
              <w:rPr>
                <w:rFonts w:ascii="Arial" w:hAnsi="Arial" w:cs="Arial"/>
                <w:i/>
                <w:sz w:val="16"/>
              </w:rPr>
            </w:pPr>
            <w:r>
              <w:rPr>
                <w:rFonts w:ascii="Arial" w:hAnsi="Arial" w:cs="Arial"/>
                <w:i/>
                <w:sz w:val="16"/>
              </w:rPr>
              <w:t>0,022</w:t>
            </w:r>
          </w:p>
          <w:p w14:paraId="14A23753" w14:textId="77777777" w:rsidR="00A62371" w:rsidRDefault="00A62371" w:rsidP="00A62371">
            <w:pPr>
              <w:jc w:val="center"/>
              <w:rPr>
                <w:rFonts w:ascii="Arial" w:hAnsi="Arial" w:cs="Arial"/>
                <w:i/>
                <w:sz w:val="16"/>
              </w:rPr>
            </w:pPr>
          </w:p>
          <w:p w14:paraId="2E312A8B" w14:textId="77777777" w:rsidR="00A62371" w:rsidRDefault="00A62371" w:rsidP="00A62371">
            <w:pPr>
              <w:jc w:val="center"/>
              <w:rPr>
                <w:rFonts w:ascii="Arial" w:hAnsi="Arial" w:cs="Arial"/>
                <w:i/>
                <w:sz w:val="16"/>
              </w:rPr>
            </w:pPr>
          </w:p>
          <w:p w14:paraId="2F39E399" w14:textId="77777777" w:rsidR="00A62371" w:rsidRDefault="00A62371" w:rsidP="00A62371">
            <w:pPr>
              <w:jc w:val="center"/>
              <w:rPr>
                <w:rFonts w:ascii="Arial" w:hAnsi="Arial" w:cs="Arial"/>
                <w:i/>
                <w:sz w:val="16"/>
              </w:rPr>
            </w:pPr>
          </w:p>
          <w:p w14:paraId="5ADD3AE6" w14:textId="77777777" w:rsidR="00A62371" w:rsidRDefault="00A62371" w:rsidP="00A62371">
            <w:pPr>
              <w:jc w:val="center"/>
              <w:rPr>
                <w:rFonts w:ascii="Arial" w:hAnsi="Arial" w:cs="Arial"/>
                <w:i/>
                <w:sz w:val="16"/>
              </w:rPr>
            </w:pPr>
          </w:p>
          <w:p w14:paraId="74296CFB" w14:textId="77777777" w:rsidR="00A62371" w:rsidRDefault="00A62371" w:rsidP="00A62371">
            <w:pPr>
              <w:jc w:val="center"/>
              <w:rPr>
                <w:rFonts w:ascii="Arial" w:hAnsi="Arial" w:cs="Arial"/>
                <w:i/>
                <w:sz w:val="16"/>
              </w:rPr>
            </w:pPr>
          </w:p>
          <w:p w14:paraId="7446DACF" w14:textId="77777777" w:rsidR="00A62371" w:rsidRDefault="00A62371" w:rsidP="00A62371">
            <w:pPr>
              <w:jc w:val="center"/>
              <w:rPr>
                <w:rFonts w:ascii="Arial" w:hAnsi="Arial" w:cs="Arial"/>
                <w:i/>
                <w:sz w:val="16"/>
              </w:rPr>
            </w:pPr>
          </w:p>
          <w:p w14:paraId="5D451A54" w14:textId="77777777" w:rsidR="00A62371" w:rsidRDefault="00A62371" w:rsidP="00A62371">
            <w:pPr>
              <w:jc w:val="center"/>
              <w:rPr>
                <w:rFonts w:ascii="Arial" w:hAnsi="Arial" w:cs="Arial"/>
                <w:i/>
                <w:sz w:val="16"/>
              </w:rPr>
            </w:pPr>
            <w:r>
              <w:rPr>
                <w:rFonts w:ascii="Arial" w:hAnsi="Arial" w:cs="Arial"/>
                <w:i/>
                <w:sz w:val="16"/>
              </w:rPr>
              <w:t>0,001</w:t>
            </w:r>
          </w:p>
          <w:p w14:paraId="3F0FEE58" w14:textId="77777777" w:rsidR="00A62371" w:rsidRPr="006F6ABB" w:rsidRDefault="00A62371" w:rsidP="00A62371">
            <w:pPr>
              <w:jc w:val="center"/>
              <w:rPr>
                <w:rFonts w:ascii="Arial" w:hAnsi="Arial" w:cs="Arial"/>
                <w:i/>
                <w:sz w:val="16"/>
              </w:rPr>
            </w:pPr>
          </w:p>
        </w:tc>
        <w:tc>
          <w:tcPr>
            <w:tcW w:w="1276" w:type="dxa"/>
            <w:vMerge w:val="restart"/>
            <w:vAlign w:val="center"/>
          </w:tcPr>
          <w:p w14:paraId="61377A09" w14:textId="77777777" w:rsidR="00A62371" w:rsidRDefault="00A62371" w:rsidP="00A62371">
            <w:pPr>
              <w:jc w:val="center"/>
              <w:rPr>
                <w:rFonts w:ascii="Arial" w:hAnsi="Arial" w:cs="Arial"/>
                <w:i/>
                <w:sz w:val="16"/>
                <w:lang w:val="es-ES_tradnl"/>
              </w:rPr>
            </w:pPr>
          </w:p>
          <w:p w14:paraId="2851A3D5" w14:textId="77777777" w:rsidR="00A62371" w:rsidRDefault="00A62371" w:rsidP="00A62371">
            <w:pPr>
              <w:jc w:val="center"/>
              <w:rPr>
                <w:rFonts w:ascii="Arial" w:hAnsi="Arial" w:cs="Arial"/>
                <w:i/>
                <w:sz w:val="16"/>
                <w:lang w:val="es-ES_tradnl"/>
              </w:rPr>
            </w:pPr>
          </w:p>
          <w:p w14:paraId="5F06DFD2" w14:textId="77777777" w:rsidR="00A62371" w:rsidRDefault="00A62371" w:rsidP="00A62371">
            <w:pPr>
              <w:jc w:val="center"/>
              <w:rPr>
                <w:rFonts w:ascii="Arial" w:hAnsi="Arial" w:cs="Arial"/>
                <w:i/>
                <w:sz w:val="16"/>
                <w:lang w:val="es-ES_tradnl"/>
              </w:rPr>
            </w:pPr>
          </w:p>
          <w:p w14:paraId="25C55308" w14:textId="77777777" w:rsidR="00A62371" w:rsidRPr="006F6ABB" w:rsidRDefault="00A62371" w:rsidP="00A62371">
            <w:pPr>
              <w:jc w:val="center"/>
              <w:rPr>
                <w:rFonts w:ascii="Arial" w:hAnsi="Arial" w:cs="Arial"/>
                <w:i/>
                <w:sz w:val="16"/>
                <w:lang w:val="es-ES_tradnl"/>
              </w:rPr>
            </w:pPr>
            <w:r>
              <w:rPr>
                <w:rFonts w:ascii="Arial" w:hAnsi="Arial" w:cs="Arial"/>
                <w:i/>
                <w:sz w:val="16"/>
                <w:lang w:val="es-ES_tradnl"/>
              </w:rPr>
              <w:t>18,6 (0,3 a 29)</w:t>
            </w:r>
          </w:p>
        </w:tc>
      </w:tr>
      <w:tr w:rsidR="00A62371" w:rsidRPr="006F6ABB" w14:paraId="6C892DF0" w14:textId="77777777" w:rsidTr="00F35821">
        <w:trPr>
          <w:trHeight w:val="698"/>
        </w:trPr>
        <w:tc>
          <w:tcPr>
            <w:tcW w:w="1003" w:type="dxa"/>
            <w:vMerge w:val="restart"/>
            <w:vAlign w:val="center"/>
          </w:tcPr>
          <w:p w14:paraId="46892BD8" w14:textId="77777777" w:rsidR="00A62371" w:rsidRDefault="00A62371" w:rsidP="00A62371">
            <w:pPr>
              <w:snapToGrid w:val="0"/>
              <w:jc w:val="center"/>
              <w:rPr>
                <w:rFonts w:ascii="Arial" w:hAnsi="Arial" w:cs="Arial"/>
                <w:b/>
                <w:i/>
                <w:sz w:val="16"/>
              </w:rPr>
            </w:pPr>
            <w:r>
              <w:rPr>
                <w:rFonts w:ascii="Arial" w:hAnsi="Arial" w:cs="Arial"/>
                <w:b/>
                <w:i/>
                <w:sz w:val="16"/>
              </w:rPr>
              <w:t>Variable</w:t>
            </w:r>
          </w:p>
          <w:p w14:paraId="1763E792" w14:textId="77777777" w:rsidR="00A62371" w:rsidRDefault="00A62371" w:rsidP="00A62371">
            <w:pPr>
              <w:snapToGrid w:val="0"/>
              <w:jc w:val="center"/>
              <w:rPr>
                <w:rFonts w:ascii="Arial" w:hAnsi="Arial" w:cs="Arial"/>
                <w:b/>
                <w:i/>
                <w:sz w:val="16"/>
              </w:rPr>
            </w:pPr>
            <w:r>
              <w:rPr>
                <w:rFonts w:ascii="Arial" w:hAnsi="Arial" w:cs="Arial"/>
                <w:b/>
                <w:i/>
                <w:sz w:val="16"/>
              </w:rPr>
              <w:t>principal</w:t>
            </w:r>
          </w:p>
        </w:tc>
        <w:tc>
          <w:tcPr>
            <w:tcW w:w="2469" w:type="dxa"/>
          </w:tcPr>
          <w:p w14:paraId="6EB7874E" w14:textId="77777777" w:rsidR="00A62371" w:rsidRDefault="00A62371" w:rsidP="00A62371">
            <w:pPr>
              <w:snapToGrid w:val="0"/>
              <w:jc w:val="both"/>
              <w:rPr>
                <w:rFonts w:ascii="Arial" w:hAnsi="Arial" w:cs="Arial"/>
                <w:b/>
                <w:i/>
                <w:sz w:val="16"/>
              </w:rPr>
            </w:pPr>
          </w:p>
          <w:p w14:paraId="11CEAF2E" w14:textId="77777777" w:rsidR="00A62371" w:rsidRPr="000D658A" w:rsidRDefault="00A62371" w:rsidP="00A62371">
            <w:pPr>
              <w:snapToGrid w:val="0"/>
              <w:jc w:val="both"/>
              <w:rPr>
                <w:rFonts w:ascii="Arial" w:hAnsi="Arial" w:cs="Arial"/>
                <w:b/>
                <w:i/>
                <w:sz w:val="16"/>
              </w:rPr>
            </w:pPr>
            <w:r>
              <w:rPr>
                <w:rFonts w:ascii="Arial" w:hAnsi="Arial" w:cs="Arial"/>
                <w:b/>
                <w:i/>
                <w:sz w:val="16"/>
              </w:rPr>
              <w:t>Pacientes HRR+</w:t>
            </w:r>
          </w:p>
          <w:p w14:paraId="4123244B" w14:textId="77777777" w:rsidR="00A62371" w:rsidRDefault="00A62371" w:rsidP="00A62371">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 xml:space="preserve">SLPr (meses), mediana </w:t>
            </w:r>
          </w:p>
          <w:p w14:paraId="7C342E01" w14:textId="77777777" w:rsidR="00A62371" w:rsidRDefault="00A62371" w:rsidP="00A62371">
            <w:pPr>
              <w:snapToGrid w:val="0"/>
              <w:jc w:val="both"/>
              <w:rPr>
                <w:rFonts w:ascii="Arial" w:hAnsi="Arial" w:cs="Arial"/>
                <w:b/>
                <w:i/>
                <w:sz w:val="16"/>
              </w:rPr>
            </w:pPr>
            <w:r>
              <w:rPr>
                <w:rFonts w:ascii="Arial" w:hAnsi="Arial" w:cs="Arial"/>
                <w:i/>
                <w:sz w:val="16"/>
              </w:rPr>
              <w:t xml:space="preserve">           </w:t>
            </w:r>
          </w:p>
        </w:tc>
        <w:tc>
          <w:tcPr>
            <w:tcW w:w="993" w:type="dxa"/>
          </w:tcPr>
          <w:p w14:paraId="78D5D79E" w14:textId="77777777" w:rsidR="00A62371" w:rsidRDefault="00A62371" w:rsidP="00A62371">
            <w:pPr>
              <w:snapToGrid w:val="0"/>
              <w:jc w:val="center"/>
              <w:rPr>
                <w:rFonts w:ascii="Arial" w:hAnsi="Arial" w:cs="Arial"/>
                <w:i/>
                <w:sz w:val="16"/>
              </w:rPr>
            </w:pPr>
          </w:p>
          <w:p w14:paraId="3EBDC0F5" w14:textId="77777777" w:rsidR="00A62371" w:rsidRDefault="00A62371" w:rsidP="00A62371">
            <w:pPr>
              <w:snapToGrid w:val="0"/>
              <w:jc w:val="center"/>
              <w:rPr>
                <w:rFonts w:ascii="Arial" w:hAnsi="Arial" w:cs="Arial"/>
                <w:i/>
                <w:sz w:val="16"/>
              </w:rPr>
            </w:pPr>
            <w:r>
              <w:rPr>
                <w:rFonts w:ascii="Arial" w:hAnsi="Arial" w:cs="Arial"/>
                <w:i/>
                <w:sz w:val="16"/>
              </w:rPr>
              <w:t>16,46</w:t>
            </w:r>
          </w:p>
          <w:p w14:paraId="10A05AE3" w14:textId="77777777" w:rsidR="00A62371" w:rsidRDefault="00A62371" w:rsidP="00A62371">
            <w:pPr>
              <w:snapToGrid w:val="0"/>
              <w:jc w:val="center"/>
              <w:rPr>
                <w:rFonts w:ascii="Arial" w:hAnsi="Arial" w:cs="Arial"/>
                <w:i/>
                <w:sz w:val="16"/>
              </w:rPr>
            </w:pPr>
          </w:p>
          <w:p w14:paraId="72CB6ECF" w14:textId="77777777" w:rsidR="00A62371" w:rsidRDefault="00A62371" w:rsidP="00A62371">
            <w:pPr>
              <w:snapToGrid w:val="0"/>
              <w:jc w:val="center"/>
              <w:rPr>
                <w:rFonts w:ascii="Arial" w:hAnsi="Arial" w:cs="Arial"/>
                <w:i/>
                <w:sz w:val="16"/>
              </w:rPr>
            </w:pPr>
          </w:p>
        </w:tc>
        <w:tc>
          <w:tcPr>
            <w:tcW w:w="992" w:type="dxa"/>
          </w:tcPr>
          <w:p w14:paraId="0166EBD2" w14:textId="77777777" w:rsidR="00A62371" w:rsidRDefault="00A62371" w:rsidP="00A62371">
            <w:pPr>
              <w:jc w:val="center"/>
              <w:rPr>
                <w:rFonts w:ascii="Arial" w:hAnsi="Arial" w:cs="Arial"/>
                <w:i/>
                <w:sz w:val="16"/>
              </w:rPr>
            </w:pPr>
          </w:p>
          <w:p w14:paraId="64718B10" w14:textId="77777777" w:rsidR="00A62371" w:rsidRDefault="00A62371" w:rsidP="00A62371">
            <w:pPr>
              <w:jc w:val="center"/>
              <w:rPr>
                <w:rFonts w:ascii="Arial" w:hAnsi="Arial" w:cs="Arial"/>
                <w:i/>
                <w:sz w:val="16"/>
              </w:rPr>
            </w:pPr>
            <w:r>
              <w:rPr>
                <w:rFonts w:ascii="Arial" w:hAnsi="Arial" w:cs="Arial"/>
                <w:i/>
                <w:sz w:val="16"/>
              </w:rPr>
              <w:t>13,70</w:t>
            </w:r>
          </w:p>
          <w:p w14:paraId="72F0D25B" w14:textId="77777777" w:rsidR="00A62371" w:rsidRDefault="00A62371" w:rsidP="00A62371">
            <w:pPr>
              <w:jc w:val="center"/>
              <w:rPr>
                <w:rFonts w:ascii="Arial" w:hAnsi="Arial" w:cs="Arial"/>
                <w:i/>
                <w:sz w:val="16"/>
              </w:rPr>
            </w:pPr>
          </w:p>
          <w:p w14:paraId="1BC2E7CB" w14:textId="77777777" w:rsidR="00A62371" w:rsidRDefault="00A62371" w:rsidP="00A62371">
            <w:pPr>
              <w:jc w:val="center"/>
              <w:rPr>
                <w:rFonts w:ascii="Arial" w:hAnsi="Arial" w:cs="Arial"/>
                <w:i/>
                <w:sz w:val="16"/>
              </w:rPr>
            </w:pPr>
          </w:p>
        </w:tc>
        <w:tc>
          <w:tcPr>
            <w:tcW w:w="1417" w:type="dxa"/>
            <w:vMerge/>
          </w:tcPr>
          <w:p w14:paraId="1F431E9B" w14:textId="77777777" w:rsidR="00A62371" w:rsidRDefault="00A62371" w:rsidP="00A62371">
            <w:pPr>
              <w:jc w:val="center"/>
              <w:rPr>
                <w:rFonts w:ascii="Arial" w:hAnsi="Arial" w:cs="Arial"/>
                <w:i/>
                <w:sz w:val="16"/>
              </w:rPr>
            </w:pPr>
          </w:p>
        </w:tc>
        <w:tc>
          <w:tcPr>
            <w:tcW w:w="709" w:type="dxa"/>
            <w:vMerge/>
          </w:tcPr>
          <w:p w14:paraId="6CF9DB33" w14:textId="77777777" w:rsidR="00A62371" w:rsidRDefault="00A62371" w:rsidP="00A62371">
            <w:pPr>
              <w:jc w:val="center"/>
              <w:rPr>
                <w:rFonts w:ascii="Arial" w:hAnsi="Arial" w:cs="Arial"/>
                <w:i/>
                <w:sz w:val="16"/>
              </w:rPr>
            </w:pPr>
          </w:p>
        </w:tc>
        <w:tc>
          <w:tcPr>
            <w:tcW w:w="1276" w:type="dxa"/>
            <w:vMerge/>
            <w:vAlign w:val="center"/>
          </w:tcPr>
          <w:p w14:paraId="485B2AE3" w14:textId="77777777" w:rsidR="00A62371" w:rsidRDefault="00A62371" w:rsidP="00A62371">
            <w:pPr>
              <w:jc w:val="center"/>
              <w:rPr>
                <w:rFonts w:ascii="Arial" w:hAnsi="Arial" w:cs="Arial"/>
                <w:i/>
                <w:sz w:val="16"/>
                <w:lang w:val="es-ES_tradnl"/>
              </w:rPr>
            </w:pPr>
          </w:p>
        </w:tc>
      </w:tr>
      <w:tr w:rsidR="00A62371" w:rsidRPr="006F6ABB" w14:paraId="79E5CA75" w14:textId="77777777" w:rsidTr="00F03AFA">
        <w:trPr>
          <w:trHeight w:val="211"/>
        </w:trPr>
        <w:tc>
          <w:tcPr>
            <w:tcW w:w="1003" w:type="dxa"/>
            <w:vMerge/>
          </w:tcPr>
          <w:p w14:paraId="65B44A78" w14:textId="77777777" w:rsidR="00A62371" w:rsidRDefault="00A62371" w:rsidP="00A62371">
            <w:pPr>
              <w:snapToGrid w:val="0"/>
              <w:jc w:val="both"/>
              <w:rPr>
                <w:rFonts w:ascii="Arial" w:hAnsi="Arial" w:cs="Arial"/>
                <w:i/>
                <w:sz w:val="16"/>
              </w:rPr>
            </w:pPr>
          </w:p>
        </w:tc>
        <w:tc>
          <w:tcPr>
            <w:tcW w:w="2469" w:type="dxa"/>
            <w:vMerge w:val="restart"/>
          </w:tcPr>
          <w:p w14:paraId="5099C837" w14:textId="77777777" w:rsidR="00A62371" w:rsidRDefault="00A62371" w:rsidP="00A62371">
            <w:pPr>
              <w:snapToGrid w:val="0"/>
              <w:jc w:val="both"/>
              <w:rPr>
                <w:rFonts w:ascii="Arial" w:hAnsi="Arial" w:cs="Arial"/>
                <w:i/>
                <w:sz w:val="16"/>
              </w:rPr>
            </w:pPr>
          </w:p>
          <w:p w14:paraId="36A2D207" w14:textId="77777777" w:rsidR="00A62371" w:rsidRDefault="00A62371" w:rsidP="00A62371">
            <w:pPr>
              <w:snapToGrid w:val="0"/>
              <w:jc w:val="both"/>
              <w:rPr>
                <w:rFonts w:ascii="Arial" w:hAnsi="Arial" w:cs="Arial"/>
                <w:i/>
                <w:sz w:val="16"/>
              </w:rPr>
            </w:pPr>
          </w:p>
          <w:p w14:paraId="1F602D89" w14:textId="77777777" w:rsidR="00A62371" w:rsidRDefault="00A62371" w:rsidP="00A62371">
            <w:pPr>
              <w:snapToGrid w:val="0"/>
              <w:jc w:val="both"/>
              <w:rPr>
                <w:rFonts w:ascii="Arial" w:hAnsi="Arial" w:cs="Arial"/>
                <w:i/>
                <w:sz w:val="16"/>
              </w:rPr>
            </w:pPr>
          </w:p>
          <w:p w14:paraId="47BFB630" w14:textId="77777777" w:rsidR="00A62371" w:rsidRPr="009E582E" w:rsidRDefault="00A62371" w:rsidP="00A62371">
            <w:pPr>
              <w:snapToGrid w:val="0"/>
              <w:jc w:val="both"/>
              <w:rPr>
                <w:rFonts w:ascii="Arial" w:hAnsi="Arial" w:cs="Arial"/>
                <w:b/>
                <w:i/>
                <w:sz w:val="16"/>
              </w:rPr>
            </w:pPr>
            <w:r w:rsidRPr="009E582E">
              <w:rPr>
                <w:rFonts w:ascii="Arial" w:hAnsi="Arial" w:cs="Arial"/>
                <w:b/>
                <w:i/>
                <w:sz w:val="16"/>
                <w:u w:val="single"/>
              </w:rPr>
              <w:t>Subgrupo BRCA1/2</w:t>
            </w:r>
          </w:p>
          <w:p w14:paraId="20BD2BFA" w14:textId="77777777" w:rsidR="00A62371" w:rsidRDefault="00A62371" w:rsidP="00A62371">
            <w:pPr>
              <w:snapToGrid w:val="0"/>
              <w:jc w:val="both"/>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 xml:space="preserve">SLPr  (meses), mediana </w:t>
            </w:r>
          </w:p>
          <w:p w14:paraId="144CD5D0" w14:textId="77777777" w:rsidR="00A62371" w:rsidRDefault="00A62371" w:rsidP="00A62371">
            <w:pPr>
              <w:snapToGrid w:val="0"/>
              <w:jc w:val="both"/>
              <w:rPr>
                <w:rFonts w:ascii="Arial" w:hAnsi="Arial" w:cs="Arial"/>
                <w:b/>
                <w:i/>
                <w:sz w:val="16"/>
              </w:rPr>
            </w:pPr>
            <w:r>
              <w:rPr>
                <w:rFonts w:ascii="Arial" w:hAnsi="Arial" w:cs="Arial"/>
                <w:i/>
                <w:sz w:val="16"/>
              </w:rPr>
              <w:t xml:space="preserve">          </w:t>
            </w:r>
          </w:p>
        </w:tc>
        <w:tc>
          <w:tcPr>
            <w:tcW w:w="993" w:type="dxa"/>
            <w:shd w:val="clear" w:color="auto" w:fill="D9D9D9"/>
          </w:tcPr>
          <w:p w14:paraId="62B344AF" w14:textId="76CC0CBC" w:rsidR="00A62371" w:rsidRDefault="008B2E57" w:rsidP="00A62371">
            <w:pPr>
              <w:snapToGrid w:val="0"/>
              <w:jc w:val="center"/>
              <w:rPr>
                <w:rFonts w:ascii="Arial" w:hAnsi="Arial" w:cs="Arial"/>
                <w:i/>
                <w:sz w:val="16"/>
              </w:rPr>
            </w:pPr>
            <w:r>
              <w:rPr>
                <w:rFonts w:ascii="Arial" w:hAnsi="Arial" w:cs="Arial"/>
                <w:i/>
                <w:sz w:val="16"/>
              </w:rPr>
              <w:t>N=113</w:t>
            </w:r>
          </w:p>
        </w:tc>
        <w:tc>
          <w:tcPr>
            <w:tcW w:w="992" w:type="dxa"/>
            <w:shd w:val="clear" w:color="auto" w:fill="D9D9D9"/>
          </w:tcPr>
          <w:p w14:paraId="125EC94A" w14:textId="178106D8" w:rsidR="00A62371" w:rsidRDefault="008B2E57" w:rsidP="00A62371">
            <w:pPr>
              <w:jc w:val="center"/>
              <w:rPr>
                <w:rFonts w:ascii="Arial" w:hAnsi="Arial" w:cs="Arial"/>
                <w:i/>
                <w:sz w:val="16"/>
              </w:rPr>
            </w:pPr>
            <w:r>
              <w:rPr>
                <w:rFonts w:ascii="Arial" w:hAnsi="Arial" w:cs="Arial"/>
                <w:i/>
                <w:sz w:val="16"/>
              </w:rPr>
              <w:t>N=112</w:t>
            </w:r>
          </w:p>
        </w:tc>
        <w:tc>
          <w:tcPr>
            <w:tcW w:w="1417" w:type="dxa"/>
            <w:vMerge/>
          </w:tcPr>
          <w:p w14:paraId="595CDBF2" w14:textId="77777777" w:rsidR="00A62371" w:rsidRDefault="00A62371" w:rsidP="00A62371">
            <w:pPr>
              <w:jc w:val="center"/>
              <w:rPr>
                <w:rFonts w:ascii="Arial" w:hAnsi="Arial" w:cs="Arial"/>
                <w:i/>
                <w:sz w:val="16"/>
              </w:rPr>
            </w:pPr>
          </w:p>
        </w:tc>
        <w:tc>
          <w:tcPr>
            <w:tcW w:w="709" w:type="dxa"/>
            <w:vMerge/>
          </w:tcPr>
          <w:p w14:paraId="5A6EB85E" w14:textId="77777777" w:rsidR="00A62371" w:rsidRDefault="00A62371" w:rsidP="00A62371">
            <w:pPr>
              <w:jc w:val="center"/>
              <w:rPr>
                <w:rFonts w:ascii="Arial" w:hAnsi="Arial" w:cs="Arial"/>
                <w:i/>
                <w:sz w:val="16"/>
              </w:rPr>
            </w:pPr>
          </w:p>
        </w:tc>
        <w:tc>
          <w:tcPr>
            <w:tcW w:w="1276" w:type="dxa"/>
            <w:vMerge/>
            <w:vAlign w:val="center"/>
          </w:tcPr>
          <w:p w14:paraId="64A3C5BD" w14:textId="77777777" w:rsidR="00A62371" w:rsidRDefault="00A62371" w:rsidP="00A62371">
            <w:pPr>
              <w:jc w:val="center"/>
              <w:rPr>
                <w:rFonts w:ascii="Arial" w:hAnsi="Arial" w:cs="Arial"/>
                <w:i/>
                <w:sz w:val="16"/>
                <w:lang w:val="es-ES_tradnl"/>
              </w:rPr>
            </w:pPr>
          </w:p>
        </w:tc>
      </w:tr>
      <w:tr w:rsidR="00A62371" w:rsidRPr="006F6ABB" w14:paraId="7916B81B" w14:textId="77777777" w:rsidTr="00F35821">
        <w:trPr>
          <w:trHeight w:val="1096"/>
        </w:trPr>
        <w:tc>
          <w:tcPr>
            <w:tcW w:w="1003" w:type="dxa"/>
            <w:vMerge/>
          </w:tcPr>
          <w:p w14:paraId="7F94F2CB" w14:textId="77777777" w:rsidR="00A62371" w:rsidRDefault="00A62371" w:rsidP="00A62371">
            <w:pPr>
              <w:snapToGrid w:val="0"/>
              <w:jc w:val="both"/>
              <w:rPr>
                <w:rFonts w:ascii="Arial" w:hAnsi="Arial" w:cs="Arial"/>
                <w:b/>
                <w:i/>
                <w:sz w:val="16"/>
              </w:rPr>
            </w:pPr>
          </w:p>
        </w:tc>
        <w:tc>
          <w:tcPr>
            <w:tcW w:w="2469" w:type="dxa"/>
            <w:vMerge/>
          </w:tcPr>
          <w:p w14:paraId="10336589" w14:textId="77777777" w:rsidR="00A62371" w:rsidRDefault="00A62371" w:rsidP="00A62371">
            <w:pPr>
              <w:snapToGrid w:val="0"/>
              <w:jc w:val="both"/>
              <w:rPr>
                <w:rFonts w:ascii="Arial" w:hAnsi="Arial" w:cs="Arial"/>
                <w:b/>
                <w:i/>
                <w:sz w:val="16"/>
              </w:rPr>
            </w:pPr>
          </w:p>
        </w:tc>
        <w:tc>
          <w:tcPr>
            <w:tcW w:w="993" w:type="dxa"/>
          </w:tcPr>
          <w:p w14:paraId="1ECB0220" w14:textId="77777777" w:rsidR="00A62371" w:rsidRDefault="00A62371" w:rsidP="00A62371">
            <w:pPr>
              <w:snapToGrid w:val="0"/>
              <w:jc w:val="center"/>
              <w:rPr>
                <w:rFonts w:ascii="Arial" w:hAnsi="Arial" w:cs="Arial"/>
                <w:i/>
                <w:sz w:val="16"/>
              </w:rPr>
            </w:pPr>
          </w:p>
          <w:p w14:paraId="6D1D58CB" w14:textId="77777777" w:rsidR="00A62371" w:rsidRDefault="00A62371" w:rsidP="00A62371">
            <w:pPr>
              <w:snapToGrid w:val="0"/>
              <w:jc w:val="center"/>
              <w:rPr>
                <w:rFonts w:ascii="Arial" w:hAnsi="Arial" w:cs="Arial"/>
                <w:i/>
                <w:sz w:val="16"/>
              </w:rPr>
            </w:pPr>
          </w:p>
          <w:p w14:paraId="19E4556A" w14:textId="77777777" w:rsidR="00A62371" w:rsidRDefault="00A62371" w:rsidP="00A62371">
            <w:pPr>
              <w:snapToGrid w:val="0"/>
              <w:jc w:val="center"/>
              <w:rPr>
                <w:rFonts w:ascii="Arial" w:hAnsi="Arial" w:cs="Arial"/>
                <w:i/>
                <w:sz w:val="16"/>
              </w:rPr>
            </w:pPr>
          </w:p>
          <w:p w14:paraId="67AD8C1C" w14:textId="77777777" w:rsidR="00A62371" w:rsidRDefault="00A62371" w:rsidP="00A62371">
            <w:pPr>
              <w:snapToGrid w:val="0"/>
              <w:jc w:val="center"/>
              <w:rPr>
                <w:rFonts w:ascii="Arial" w:hAnsi="Arial" w:cs="Arial"/>
                <w:i/>
                <w:sz w:val="16"/>
              </w:rPr>
            </w:pPr>
            <w:r>
              <w:rPr>
                <w:rFonts w:ascii="Arial" w:hAnsi="Arial" w:cs="Arial"/>
                <w:i/>
                <w:sz w:val="16"/>
              </w:rPr>
              <w:t>16,56</w:t>
            </w:r>
          </w:p>
          <w:p w14:paraId="07E50EC1" w14:textId="77777777" w:rsidR="00A62371" w:rsidRDefault="00A62371" w:rsidP="00A62371">
            <w:pPr>
              <w:snapToGrid w:val="0"/>
              <w:jc w:val="center"/>
              <w:rPr>
                <w:rFonts w:ascii="Arial" w:hAnsi="Arial" w:cs="Arial"/>
                <w:i/>
                <w:sz w:val="16"/>
              </w:rPr>
            </w:pPr>
          </w:p>
        </w:tc>
        <w:tc>
          <w:tcPr>
            <w:tcW w:w="992" w:type="dxa"/>
          </w:tcPr>
          <w:p w14:paraId="7973A9E6" w14:textId="77777777" w:rsidR="00A62371" w:rsidRDefault="00A62371" w:rsidP="00A62371">
            <w:pPr>
              <w:jc w:val="center"/>
              <w:rPr>
                <w:rFonts w:ascii="Arial" w:hAnsi="Arial" w:cs="Arial"/>
                <w:i/>
                <w:sz w:val="16"/>
              </w:rPr>
            </w:pPr>
          </w:p>
          <w:p w14:paraId="6549C7B3" w14:textId="77777777" w:rsidR="00A62371" w:rsidRDefault="00A62371" w:rsidP="00A62371">
            <w:pPr>
              <w:jc w:val="center"/>
              <w:rPr>
                <w:rFonts w:ascii="Arial" w:hAnsi="Arial" w:cs="Arial"/>
                <w:i/>
                <w:sz w:val="16"/>
              </w:rPr>
            </w:pPr>
          </w:p>
          <w:p w14:paraId="5A7F14A3" w14:textId="77777777" w:rsidR="00A62371" w:rsidRDefault="00A62371" w:rsidP="00A62371">
            <w:pPr>
              <w:jc w:val="center"/>
              <w:rPr>
                <w:rFonts w:ascii="Arial" w:hAnsi="Arial" w:cs="Arial"/>
                <w:i/>
                <w:sz w:val="16"/>
              </w:rPr>
            </w:pPr>
          </w:p>
          <w:p w14:paraId="58479FA8" w14:textId="77777777" w:rsidR="00A62371" w:rsidRDefault="00A62371" w:rsidP="00A62371">
            <w:pPr>
              <w:jc w:val="center"/>
              <w:rPr>
                <w:rFonts w:ascii="Arial" w:hAnsi="Arial" w:cs="Arial"/>
                <w:i/>
                <w:sz w:val="16"/>
              </w:rPr>
            </w:pPr>
            <w:r>
              <w:rPr>
                <w:rFonts w:ascii="Arial" w:hAnsi="Arial" w:cs="Arial"/>
                <w:i/>
                <w:sz w:val="16"/>
              </w:rPr>
              <w:t>10,87</w:t>
            </w:r>
          </w:p>
          <w:p w14:paraId="4EC4E631" w14:textId="77777777" w:rsidR="00A62371" w:rsidRDefault="00A62371" w:rsidP="00A62371">
            <w:pPr>
              <w:jc w:val="center"/>
              <w:rPr>
                <w:rFonts w:ascii="Arial" w:hAnsi="Arial" w:cs="Arial"/>
                <w:i/>
                <w:sz w:val="16"/>
              </w:rPr>
            </w:pPr>
          </w:p>
        </w:tc>
        <w:tc>
          <w:tcPr>
            <w:tcW w:w="1417" w:type="dxa"/>
            <w:vMerge/>
          </w:tcPr>
          <w:p w14:paraId="72BFD0CC" w14:textId="77777777" w:rsidR="00A62371" w:rsidRDefault="00A62371" w:rsidP="00A62371">
            <w:pPr>
              <w:jc w:val="center"/>
              <w:rPr>
                <w:rFonts w:ascii="Arial" w:hAnsi="Arial" w:cs="Arial"/>
                <w:i/>
                <w:sz w:val="16"/>
              </w:rPr>
            </w:pPr>
          </w:p>
        </w:tc>
        <w:tc>
          <w:tcPr>
            <w:tcW w:w="709" w:type="dxa"/>
            <w:vMerge/>
          </w:tcPr>
          <w:p w14:paraId="43BA0AA2" w14:textId="77777777" w:rsidR="00A62371" w:rsidRDefault="00A62371" w:rsidP="00A62371">
            <w:pPr>
              <w:jc w:val="center"/>
              <w:rPr>
                <w:rFonts w:ascii="Arial" w:hAnsi="Arial" w:cs="Arial"/>
                <w:i/>
                <w:sz w:val="16"/>
              </w:rPr>
            </w:pPr>
          </w:p>
        </w:tc>
        <w:tc>
          <w:tcPr>
            <w:tcW w:w="1276" w:type="dxa"/>
            <w:vMerge/>
            <w:vAlign w:val="center"/>
          </w:tcPr>
          <w:p w14:paraId="5336D1AD" w14:textId="77777777" w:rsidR="00A62371" w:rsidRDefault="00A62371" w:rsidP="00A62371">
            <w:pPr>
              <w:jc w:val="center"/>
              <w:rPr>
                <w:rFonts w:ascii="Arial" w:hAnsi="Arial" w:cs="Arial"/>
                <w:i/>
                <w:sz w:val="16"/>
                <w:lang w:val="es-ES_tradnl"/>
              </w:rPr>
            </w:pPr>
          </w:p>
        </w:tc>
      </w:tr>
      <w:tr w:rsidR="00A62371" w:rsidRPr="006F6ABB" w14:paraId="33EF4FDE" w14:textId="77777777" w:rsidTr="00F03AFA">
        <w:trPr>
          <w:trHeight w:val="240"/>
        </w:trPr>
        <w:tc>
          <w:tcPr>
            <w:tcW w:w="1003" w:type="dxa"/>
            <w:vMerge w:val="restart"/>
            <w:vAlign w:val="center"/>
          </w:tcPr>
          <w:p w14:paraId="77A1D0FA" w14:textId="77777777" w:rsidR="00A62371" w:rsidRDefault="00A62371" w:rsidP="00A62371">
            <w:pPr>
              <w:snapToGrid w:val="0"/>
              <w:jc w:val="center"/>
              <w:rPr>
                <w:rFonts w:ascii="Arial" w:hAnsi="Arial" w:cs="Arial"/>
                <w:i/>
                <w:sz w:val="16"/>
              </w:rPr>
            </w:pPr>
            <w:r>
              <w:rPr>
                <w:rFonts w:ascii="Arial" w:hAnsi="Arial" w:cs="Arial"/>
                <w:i/>
                <w:sz w:val="16"/>
              </w:rPr>
              <w:t>Variables secundarias</w:t>
            </w:r>
          </w:p>
        </w:tc>
        <w:tc>
          <w:tcPr>
            <w:tcW w:w="2469" w:type="dxa"/>
            <w:vMerge w:val="restart"/>
          </w:tcPr>
          <w:p w14:paraId="15DAF9B0" w14:textId="77777777" w:rsidR="00A62371" w:rsidRDefault="00A62371" w:rsidP="00A62371">
            <w:pPr>
              <w:snapToGrid w:val="0"/>
              <w:jc w:val="both"/>
              <w:rPr>
                <w:rFonts w:ascii="Arial" w:hAnsi="Arial" w:cs="Arial"/>
                <w:i/>
                <w:sz w:val="16"/>
              </w:rPr>
            </w:pPr>
          </w:p>
          <w:p w14:paraId="0CA999F3" w14:textId="77777777" w:rsidR="00A62371" w:rsidRDefault="00A62371" w:rsidP="00A62371">
            <w:pPr>
              <w:snapToGrid w:val="0"/>
              <w:jc w:val="both"/>
              <w:rPr>
                <w:rFonts w:ascii="Arial" w:hAnsi="Arial" w:cs="Arial"/>
                <w:i/>
                <w:sz w:val="16"/>
              </w:rPr>
            </w:pPr>
          </w:p>
          <w:p w14:paraId="6183BDEA" w14:textId="77777777" w:rsidR="00A62371" w:rsidRDefault="00A62371" w:rsidP="00A62371">
            <w:pPr>
              <w:snapToGrid w:val="0"/>
              <w:jc w:val="both"/>
              <w:rPr>
                <w:rFonts w:ascii="Arial" w:hAnsi="Arial" w:cs="Arial"/>
                <w:i/>
                <w:sz w:val="16"/>
              </w:rPr>
            </w:pPr>
          </w:p>
          <w:p w14:paraId="1619B485" w14:textId="77777777" w:rsidR="00A62371" w:rsidRPr="006F6ABB" w:rsidRDefault="00A62371" w:rsidP="00A62371">
            <w:pPr>
              <w:snapToGrid w:val="0"/>
              <w:jc w:val="both"/>
              <w:rPr>
                <w:rFonts w:ascii="Arial" w:hAnsi="Arial" w:cs="Arial"/>
                <w:i/>
                <w:sz w:val="16"/>
              </w:rPr>
            </w:pPr>
            <w:r>
              <w:rPr>
                <w:rFonts w:ascii="Arial" w:hAnsi="Arial" w:cs="Arial"/>
                <w:b/>
                <w:i/>
                <w:sz w:val="16"/>
              </w:rPr>
              <w:t>Pacientes HRR+</w:t>
            </w:r>
          </w:p>
          <w:p w14:paraId="732F051D" w14:textId="77777777" w:rsidR="00A62371" w:rsidRDefault="00A62371" w:rsidP="00A62371">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Tiempo hasta inicio de tratamiento citotóxico quimioterápico (TIQ) (meses), mediana</w:t>
            </w:r>
          </w:p>
          <w:p w14:paraId="6DE42F94" w14:textId="77777777" w:rsidR="00A62371" w:rsidRPr="006F6ABB" w:rsidRDefault="00A62371" w:rsidP="00A62371">
            <w:pPr>
              <w:snapToGrid w:val="0"/>
              <w:jc w:val="both"/>
              <w:rPr>
                <w:rFonts w:ascii="Arial" w:hAnsi="Arial" w:cs="Arial"/>
                <w:i/>
                <w:sz w:val="16"/>
              </w:rPr>
            </w:pPr>
          </w:p>
          <w:p w14:paraId="66023F51" w14:textId="77777777" w:rsidR="00A62371" w:rsidRDefault="00A62371" w:rsidP="00A62371">
            <w:pPr>
              <w:snapToGrid w:val="0"/>
              <w:jc w:val="both"/>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SG (meses), mediana</w:t>
            </w:r>
          </w:p>
          <w:p w14:paraId="7F43FEAF" w14:textId="77777777" w:rsidR="00A62371" w:rsidRDefault="00A62371" w:rsidP="00A62371">
            <w:pPr>
              <w:snapToGrid w:val="0"/>
              <w:jc w:val="both"/>
              <w:rPr>
                <w:rFonts w:ascii="Arial" w:hAnsi="Arial" w:cs="Arial"/>
                <w:i/>
                <w:sz w:val="16"/>
              </w:rPr>
            </w:pPr>
          </w:p>
          <w:p w14:paraId="6E8E6DDE" w14:textId="77777777" w:rsidR="00A62371" w:rsidRDefault="00A62371" w:rsidP="00A62371">
            <w:pPr>
              <w:snapToGrid w:val="0"/>
              <w:jc w:val="both"/>
              <w:rPr>
                <w:rFonts w:ascii="Arial" w:hAnsi="Arial" w:cs="Arial"/>
                <w:i/>
                <w:sz w:val="16"/>
              </w:rPr>
            </w:pPr>
            <w:r>
              <w:rPr>
                <w:rFonts w:ascii="Arial" w:hAnsi="Arial" w:cs="Arial"/>
                <w:i/>
                <w:sz w:val="16"/>
              </w:rPr>
              <w:t xml:space="preserve">          -Tiempo hasta progresión sintomática (TPS) (meses), mediana</w:t>
            </w:r>
          </w:p>
          <w:p w14:paraId="6919C5DF" w14:textId="77777777" w:rsidR="00A62371" w:rsidRPr="006F6ABB" w:rsidRDefault="00A62371" w:rsidP="00A62371">
            <w:pPr>
              <w:snapToGrid w:val="0"/>
              <w:jc w:val="both"/>
              <w:rPr>
                <w:rFonts w:ascii="Arial" w:hAnsi="Arial" w:cs="Arial"/>
                <w:i/>
                <w:sz w:val="16"/>
              </w:rPr>
            </w:pPr>
            <w:r>
              <w:rPr>
                <w:rFonts w:ascii="Arial" w:hAnsi="Arial" w:cs="Arial"/>
                <w:i/>
                <w:sz w:val="16"/>
              </w:rPr>
              <w:t xml:space="preserve">         </w:t>
            </w:r>
          </w:p>
        </w:tc>
        <w:tc>
          <w:tcPr>
            <w:tcW w:w="993" w:type="dxa"/>
            <w:shd w:val="clear" w:color="auto" w:fill="D9D9D9"/>
          </w:tcPr>
          <w:p w14:paraId="1CC8EF54" w14:textId="7E68F783" w:rsidR="00A62371" w:rsidRPr="006F6ABB" w:rsidRDefault="008B2E57" w:rsidP="00A62371">
            <w:pPr>
              <w:snapToGrid w:val="0"/>
              <w:jc w:val="center"/>
              <w:rPr>
                <w:rFonts w:ascii="Arial" w:hAnsi="Arial" w:cs="Arial"/>
                <w:i/>
                <w:sz w:val="16"/>
              </w:rPr>
            </w:pPr>
            <w:r>
              <w:rPr>
                <w:rFonts w:ascii="Arial" w:hAnsi="Arial" w:cs="Arial"/>
                <w:i/>
                <w:sz w:val="16"/>
              </w:rPr>
              <w:t>N=212</w:t>
            </w:r>
          </w:p>
        </w:tc>
        <w:tc>
          <w:tcPr>
            <w:tcW w:w="992" w:type="dxa"/>
            <w:shd w:val="clear" w:color="auto" w:fill="D9D9D9"/>
          </w:tcPr>
          <w:p w14:paraId="639231E5" w14:textId="20FD0475" w:rsidR="00A62371" w:rsidRPr="006F6ABB" w:rsidRDefault="008B2E57" w:rsidP="00A62371">
            <w:pPr>
              <w:jc w:val="center"/>
              <w:rPr>
                <w:rFonts w:ascii="Arial" w:hAnsi="Arial" w:cs="Arial"/>
                <w:i/>
                <w:sz w:val="16"/>
              </w:rPr>
            </w:pPr>
            <w:r>
              <w:rPr>
                <w:rFonts w:ascii="Arial" w:hAnsi="Arial" w:cs="Arial"/>
                <w:i/>
                <w:sz w:val="16"/>
              </w:rPr>
              <w:t>N=211</w:t>
            </w:r>
          </w:p>
        </w:tc>
        <w:tc>
          <w:tcPr>
            <w:tcW w:w="1417" w:type="dxa"/>
            <w:vMerge w:val="restart"/>
          </w:tcPr>
          <w:p w14:paraId="7A9109DC" w14:textId="77777777" w:rsidR="00A62371" w:rsidRDefault="00A62371" w:rsidP="00A62371">
            <w:pPr>
              <w:jc w:val="center"/>
              <w:rPr>
                <w:rFonts w:ascii="Arial" w:hAnsi="Arial" w:cs="Arial"/>
                <w:i/>
                <w:sz w:val="16"/>
              </w:rPr>
            </w:pPr>
          </w:p>
          <w:p w14:paraId="29343DCD" w14:textId="77777777" w:rsidR="00A62371" w:rsidRDefault="00A62371" w:rsidP="00A62371">
            <w:pPr>
              <w:jc w:val="center"/>
              <w:rPr>
                <w:rFonts w:ascii="Arial" w:hAnsi="Arial" w:cs="Arial"/>
                <w:i/>
                <w:sz w:val="16"/>
              </w:rPr>
            </w:pPr>
          </w:p>
          <w:p w14:paraId="5433A522" w14:textId="77777777" w:rsidR="00A62371" w:rsidRDefault="00A62371" w:rsidP="00A62371">
            <w:pPr>
              <w:jc w:val="center"/>
              <w:rPr>
                <w:rFonts w:ascii="Arial" w:hAnsi="Arial" w:cs="Arial"/>
                <w:i/>
                <w:sz w:val="16"/>
              </w:rPr>
            </w:pPr>
          </w:p>
          <w:p w14:paraId="5C52E403" w14:textId="77777777" w:rsidR="00A62371" w:rsidRDefault="00A62371" w:rsidP="00A62371">
            <w:pPr>
              <w:jc w:val="center"/>
              <w:rPr>
                <w:rFonts w:ascii="Arial" w:hAnsi="Arial" w:cs="Arial"/>
                <w:i/>
                <w:sz w:val="16"/>
              </w:rPr>
            </w:pPr>
          </w:p>
          <w:p w14:paraId="73023F0C" w14:textId="13DFF2C2" w:rsidR="00A62371" w:rsidRDefault="00A62371" w:rsidP="00A62371">
            <w:pPr>
              <w:jc w:val="center"/>
              <w:rPr>
                <w:rFonts w:ascii="Arial" w:hAnsi="Arial" w:cs="Arial"/>
                <w:i/>
                <w:sz w:val="16"/>
              </w:rPr>
            </w:pPr>
            <w:r>
              <w:rPr>
                <w:rFonts w:ascii="Arial" w:hAnsi="Arial" w:cs="Arial"/>
                <w:i/>
                <w:sz w:val="16"/>
              </w:rPr>
              <w:t>0,59 (</w:t>
            </w:r>
            <w:r w:rsidR="008B2E57">
              <w:rPr>
                <w:rFonts w:ascii="Arial" w:hAnsi="Arial" w:cs="Arial"/>
                <w:i/>
                <w:sz w:val="16"/>
              </w:rPr>
              <w:t>0,39-0,89</w:t>
            </w:r>
            <w:r>
              <w:rPr>
                <w:rFonts w:ascii="Arial" w:hAnsi="Arial" w:cs="Arial"/>
                <w:i/>
                <w:sz w:val="16"/>
              </w:rPr>
              <w:t>)</w:t>
            </w:r>
          </w:p>
          <w:p w14:paraId="3839A825" w14:textId="77777777" w:rsidR="00A62371" w:rsidRDefault="00A62371" w:rsidP="00A62371">
            <w:pPr>
              <w:jc w:val="center"/>
              <w:rPr>
                <w:rFonts w:ascii="Arial" w:hAnsi="Arial" w:cs="Arial"/>
                <w:i/>
                <w:sz w:val="16"/>
              </w:rPr>
            </w:pPr>
          </w:p>
          <w:p w14:paraId="16F465CA" w14:textId="77777777" w:rsidR="00A62371" w:rsidRDefault="00A62371" w:rsidP="00A62371">
            <w:pPr>
              <w:jc w:val="center"/>
              <w:rPr>
                <w:rFonts w:ascii="Arial" w:hAnsi="Arial" w:cs="Arial"/>
                <w:i/>
                <w:sz w:val="16"/>
              </w:rPr>
            </w:pPr>
          </w:p>
          <w:p w14:paraId="38F1C1C3" w14:textId="77777777" w:rsidR="00A62371" w:rsidRDefault="00A62371" w:rsidP="00A62371">
            <w:pPr>
              <w:jc w:val="center"/>
              <w:rPr>
                <w:rFonts w:ascii="Arial" w:hAnsi="Arial" w:cs="Arial"/>
                <w:i/>
                <w:sz w:val="16"/>
              </w:rPr>
            </w:pPr>
          </w:p>
          <w:p w14:paraId="2DA32557" w14:textId="77777777" w:rsidR="00A62371" w:rsidRDefault="00A62371" w:rsidP="00A62371">
            <w:pPr>
              <w:jc w:val="center"/>
              <w:rPr>
                <w:rFonts w:ascii="Arial" w:hAnsi="Arial" w:cs="Arial"/>
                <w:i/>
                <w:sz w:val="16"/>
              </w:rPr>
            </w:pPr>
          </w:p>
          <w:p w14:paraId="66DC49BA" w14:textId="68A48CF5" w:rsidR="00A62371" w:rsidRDefault="00A62371" w:rsidP="00A62371">
            <w:pPr>
              <w:jc w:val="center"/>
              <w:rPr>
                <w:rFonts w:ascii="Arial" w:hAnsi="Arial" w:cs="Arial"/>
                <w:i/>
                <w:sz w:val="16"/>
              </w:rPr>
            </w:pPr>
            <w:r>
              <w:rPr>
                <w:rFonts w:ascii="Arial" w:hAnsi="Arial" w:cs="Arial"/>
                <w:i/>
                <w:sz w:val="16"/>
              </w:rPr>
              <w:t>0,94 (0,65</w:t>
            </w:r>
            <w:r w:rsidR="008B2E57">
              <w:rPr>
                <w:rFonts w:ascii="Arial" w:hAnsi="Arial" w:cs="Arial"/>
                <w:i/>
                <w:sz w:val="16"/>
              </w:rPr>
              <w:t>-</w:t>
            </w:r>
            <w:r>
              <w:rPr>
                <w:rFonts w:ascii="Arial" w:hAnsi="Arial" w:cs="Arial"/>
                <w:i/>
                <w:sz w:val="16"/>
              </w:rPr>
              <w:t>1,36)</w:t>
            </w:r>
          </w:p>
          <w:p w14:paraId="2C055D95" w14:textId="77777777" w:rsidR="00A62371" w:rsidRDefault="00A62371" w:rsidP="00A62371">
            <w:pPr>
              <w:jc w:val="center"/>
              <w:rPr>
                <w:rFonts w:ascii="Arial" w:hAnsi="Arial" w:cs="Arial"/>
                <w:i/>
                <w:sz w:val="16"/>
              </w:rPr>
            </w:pPr>
          </w:p>
          <w:p w14:paraId="64E3DE04" w14:textId="5B6D31C5" w:rsidR="00A62371" w:rsidRDefault="00A62371" w:rsidP="00A62371">
            <w:pPr>
              <w:jc w:val="center"/>
              <w:rPr>
                <w:rFonts w:ascii="Arial" w:hAnsi="Arial" w:cs="Arial"/>
                <w:i/>
                <w:sz w:val="16"/>
              </w:rPr>
            </w:pPr>
            <w:r>
              <w:rPr>
                <w:rFonts w:ascii="Arial" w:hAnsi="Arial" w:cs="Arial"/>
                <w:i/>
                <w:sz w:val="16"/>
              </w:rPr>
              <w:t>0,69 (0,47</w:t>
            </w:r>
            <w:r w:rsidR="008B2E57">
              <w:rPr>
                <w:rFonts w:ascii="Arial" w:hAnsi="Arial" w:cs="Arial"/>
                <w:i/>
                <w:sz w:val="16"/>
              </w:rPr>
              <w:t>-</w:t>
            </w:r>
            <w:r>
              <w:rPr>
                <w:rFonts w:ascii="Arial" w:hAnsi="Arial" w:cs="Arial"/>
                <w:i/>
                <w:sz w:val="16"/>
              </w:rPr>
              <w:t>0,99)</w:t>
            </w:r>
          </w:p>
          <w:p w14:paraId="14C924D6" w14:textId="77777777" w:rsidR="00A62371" w:rsidRDefault="00A62371" w:rsidP="00A62371">
            <w:pPr>
              <w:jc w:val="center"/>
              <w:rPr>
                <w:rFonts w:ascii="Arial" w:hAnsi="Arial" w:cs="Arial"/>
                <w:i/>
                <w:sz w:val="16"/>
              </w:rPr>
            </w:pPr>
          </w:p>
          <w:p w14:paraId="0396D001" w14:textId="77777777" w:rsidR="00A62371" w:rsidRDefault="00A62371" w:rsidP="00A62371">
            <w:pPr>
              <w:jc w:val="center"/>
              <w:rPr>
                <w:rFonts w:ascii="Arial" w:hAnsi="Arial" w:cs="Arial"/>
                <w:i/>
                <w:sz w:val="16"/>
              </w:rPr>
            </w:pPr>
          </w:p>
          <w:p w14:paraId="4BB67AEC" w14:textId="77777777" w:rsidR="00A62371" w:rsidRDefault="00A62371" w:rsidP="00A62371">
            <w:pPr>
              <w:jc w:val="center"/>
              <w:rPr>
                <w:rFonts w:ascii="Arial" w:hAnsi="Arial" w:cs="Arial"/>
                <w:i/>
                <w:sz w:val="16"/>
              </w:rPr>
            </w:pPr>
          </w:p>
          <w:p w14:paraId="3296914B" w14:textId="77777777" w:rsidR="00A62371" w:rsidRDefault="00A62371" w:rsidP="00A62371">
            <w:pPr>
              <w:jc w:val="center"/>
              <w:rPr>
                <w:rFonts w:ascii="Arial" w:hAnsi="Arial" w:cs="Arial"/>
                <w:i/>
                <w:sz w:val="16"/>
              </w:rPr>
            </w:pPr>
          </w:p>
          <w:p w14:paraId="5550B0C1" w14:textId="77777777" w:rsidR="00A62371" w:rsidRDefault="00A62371" w:rsidP="00A62371">
            <w:pPr>
              <w:jc w:val="center"/>
              <w:rPr>
                <w:rFonts w:ascii="Arial" w:hAnsi="Arial" w:cs="Arial"/>
                <w:i/>
                <w:sz w:val="16"/>
              </w:rPr>
            </w:pPr>
          </w:p>
          <w:p w14:paraId="1399B308" w14:textId="77777777" w:rsidR="00A62371" w:rsidRDefault="00A62371" w:rsidP="00A62371">
            <w:pPr>
              <w:jc w:val="center"/>
              <w:rPr>
                <w:rFonts w:ascii="Arial" w:hAnsi="Arial" w:cs="Arial"/>
                <w:i/>
                <w:sz w:val="16"/>
              </w:rPr>
            </w:pPr>
          </w:p>
          <w:p w14:paraId="0A76085C" w14:textId="77777777" w:rsidR="00A62371" w:rsidRDefault="00A62371" w:rsidP="00A62371">
            <w:pPr>
              <w:jc w:val="center"/>
              <w:rPr>
                <w:rFonts w:ascii="Arial" w:hAnsi="Arial" w:cs="Arial"/>
                <w:i/>
                <w:sz w:val="16"/>
              </w:rPr>
            </w:pPr>
          </w:p>
          <w:p w14:paraId="6D2B6BB7" w14:textId="5784799A" w:rsidR="00A62371" w:rsidRDefault="00A62371" w:rsidP="00A62371">
            <w:pPr>
              <w:jc w:val="center"/>
              <w:rPr>
                <w:rFonts w:ascii="Arial" w:hAnsi="Arial" w:cs="Arial"/>
                <w:i/>
                <w:sz w:val="16"/>
              </w:rPr>
            </w:pPr>
            <w:r>
              <w:rPr>
                <w:rFonts w:ascii="Arial" w:hAnsi="Arial" w:cs="Arial"/>
                <w:i/>
                <w:sz w:val="16"/>
              </w:rPr>
              <w:t>0,58 (0,33</w:t>
            </w:r>
            <w:r w:rsidR="008B2E57">
              <w:rPr>
                <w:rFonts w:ascii="Arial" w:hAnsi="Arial" w:cs="Arial"/>
                <w:i/>
                <w:sz w:val="16"/>
              </w:rPr>
              <w:t>-</w:t>
            </w:r>
            <w:r>
              <w:rPr>
                <w:rFonts w:ascii="Arial" w:hAnsi="Arial" w:cs="Arial"/>
                <w:i/>
                <w:sz w:val="16"/>
              </w:rPr>
              <w:t>1,01)</w:t>
            </w:r>
          </w:p>
          <w:p w14:paraId="35D03175" w14:textId="77777777" w:rsidR="00A62371" w:rsidRDefault="00A62371" w:rsidP="00A62371">
            <w:pPr>
              <w:jc w:val="center"/>
              <w:rPr>
                <w:rFonts w:ascii="Arial" w:hAnsi="Arial" w:cs="Arial"/>
                <w:i/>
                <w:sz w:val="16"/>
              </w:rPr>
            </w:pPr>
          </w:p>
          <w:p w14:paraId="0F063797" w14:textId="1F0EFC25" w:rsidR="00A62371" w:rsidRDefault="00A62371" w:rsidP="00A62371">
            <w:pPr>
              <w:jc w:val="center"/>
              <w:rPr>
                <w:rFonts w:ascii="Arial" w:hAnsi="Arial" w:cs="Arial"/>
                <w:i/>
                <w:sz w:val="16"/>
              </w:rPr>
            </w:pPr>
            <w:r>
              <w:rPr>
                <w:rFonts w:ascii="Arial" w:hAnsi="Arial" w:cs="Arial"/>
                <w:i/>
                <w:sz w:val="16"/>
              </w:rPr>
              <w:t>0,68 (0,42</w:t>
            </w:r>
            <w:r w:rsidR="008B2E57">
              <w:rPr>
                <w:rFonts w:ascii="Arial" w:hAnsi="Arial" w:cs="Arial"/>
                <w:i/>
                <w:sz w:val="16"/>
              </w:rPr>
              <w:t>-</w:t>
            </w:r>
            <w:r>
              <w:rPr>
                <w:rFonts w:ascii="Arial" w:hAnsi="Arial" w:cs="Arial"/>
                <w:i/>
                <w:sz w:val="16"/>
              </w:rPr>
              <w:t>1,11)</w:t>
            </w:r>
          </w:p>
          <w:p w14:paraId="7C8F4669" w14:textId="77777777" w:rsidR="00A62371" w:rsidRDefault="00A62371" w:rsidP="00A62371">
            <w:pPr>
              <w:jc w:val="center"/>
              <w:rPr>
                <w:rFonts w:ascii="Arial" w:hAnsi="Arial" w:cs="Arial"/>
                <w:i/>
                <w:sz w:val="16"/>
              </w:rPr>
            </w:pPr>
          </w:p>
          <w:p w14:paraId="1F8D30F1" w14:textId="77777777" w:rsidR="00A62371" w:rsidRDefault="00A62371" w:rsidP="00A62371">
            <w:pPr>
              <w:jc w:val="center"/>
              <w:rPr>
                <w:rFonts w:ascii="Arial" w:hAnsi="Arial" w:cs="Arial"/>
                <w:i/>
                <w:sz w:val="16"/>
              </w:rPr>
            </w:pPr>
          </w:p>
          <w:p w14:paraId="069B5EB4" w14:textId="77777777" w:rsidR="00A62371" w:rsidRPr="006F6ABB" w:rsidRDefault="00A62371" w:rsidP="00A62371">
            <w:pPr>
              <w:rPr>
                <w:rFonts w:ascii="Arial" w:hAnsi="Arial" w:cs="Arial"/>
                <w:i/>
                <w:sz w:val="16"/>
              </w:rPr>
            </w:pPr>
          </w:p>
        </w:tc>
        <w:tc>
          <w:tcPr>
            <w:tcW w:w="709" w:type="dxa"/>
            <w:vMerge w:val="restart"/>
          </w:tcPr>
          <w:p w14:paraId="118CC801" w14:textId="77777777" w:rsidR="00A62371" w:rsidRDefault="00A62371" w:rsidP="00A62371">
            <w:pPr>
              <w:jc w:val="center"/>
              <w:rPr>
                <w:rFonts w:ascii="Arial" w:hAnsi="Arial" w:cs="Arial"/>
                <w:i/>
                <w:sz w:val="16"/>
              </w:rPr>
            </w:pPr>
          </w:p>
          <w:p w14:paraId="60E19312" w14:textId="77777777" w:rsidR="00A62371" w:rsidRDefault="00A62371" w:rsidP="00A62371">
            <w:pPr>
              <w:jc w:val="center"/>
              <w:rPr>
                <w:rFonts w:ascii="Arial" w:hAnsi="Arial" w:cs="Arial"/>
                <w:i/>
                <w:sz w:val="16"/>
              </w:rPr>
            </w:pPr>
          </w:p>
          <w:p w14:paraId="48D40908" w14:textId="77777777" w:rsidR="00A62371" w:rsidRDefault="00A62371" w:rsidP="00A62371">
            <w:pPr>
              <w:jc w:val="center"/>
              <w:rPr>
                <w:rFonts w:ascii="Arial" w:hAnsi="Arial" w:cs="Arial"/>
                <w:i/>
                <w:sz w:val="16"/>
              </w:rPr>
            </w:pPr>
          </w:p>
          <w:p w14:paraId="096B5C8A" w14:textId="77777777" w:rsidR="00A62371" w:rsidRDefault="00A62371" w:rsidP="00A62371">
            <w:pPr>
              <w:jc w:val="center"/>
              <w:rPr>
                <w:rFonts w:ascii="Arial" w:hAnsi="Arial" w:cs="Arial"/>
                <w:i/>
                <w:sz w:val="16"/>
              </w:rPr>
            </w:pPr>
          </w:p>
          <w:p w14:paraId="76C9CB6F" w14:textId="77777777" w:rsidR="00A62371" w:rsidRDefault="00A62371" w:rsidP="00A62371">
            <w:pPr>
              <w:jc w:val="center"/>
              <w:rPr>
                <w:rFonts w:ascii="Arial" w:hAnsi="Arial" w:cs="Arial"/>
                <w:i/>
                <w:sz w:val="16"/>
              </w:rPr>
            </w:pPr>
            <w:r>
              <w:rPr>
                <w:rFonts w:ascii="Arial" w:hAnsi="Arial" w:cs="Arial"/>
                <w:i/>
                <w:sz w:val="16"/>
              </w:rPr>
              <w:t>0,011</w:t>
            </w:r>
          </w:p>
          <w:p w14:paraId="368E4F18" w14:textId="77777777" w:rsidR="00A62371" w:rsidRDefault="00A62371" w:rsidP="00A62371">
            <w:pPr>
              <w:jc w:val="center"/>
              <w:rPr>
                <w:rFonts w:ascii="Arial" w:hAnsi="Arial" w:cs="Arial"/>
                <w:i/>
                <w:sz w:val="16"/>
              </w:rPr>
            </w:pPr>
          </w:p>
          <w:p w14:paraId="0C7D299B" w14:textId="77777777" w:rsidR="00A62371" w:rsidRDefault="00A62371" w:rsidP="00A62371">
            <w:pPr>
              <w:jc w:val="center"/>
              <w:rPr>
                <w:rFonts w:ascii="Arial" w:hAnsi="Arial" w:cs="Arial"/>
                <w:i/>
                <w:sz w:val="16"/>
              </w:rPr>
            </w:pPr>
          </w:p>
          <w:p w14:paraId="38B1E9A3" w14:textId="77777777" w:rsidR="00A62371" w:rsidRDefault="00A62371" w:rsidP="00A62371">
            <w:pPr>
              <w:jc w:val="center"/>
              <w:rPr>
                <w:rFonts w:ascii="Arial" w:hAnsi="Arial" w:cs="Arial"/>
                <w:i/>
                <w:sz w:val="16"/>
              </w:rPr>
            </w:pPr>
          </w:p>
          <w:p w14:paraId="1C5CF340" w14:textId="77777777" w:rsidR="00A62371" w:rsidRDefault="00A62371" w:rsidP="00A62371">
            <w:pPr>
              <w:jc w:val="center"/>
              <w:rPr>
                <w:rFonts w:ascii="Arial" w:hAnsi="Arial" w:cs="Arial"/>
                <w:i/>
                <w:sz w:val="16"/>
              </w:rPr>
            </w:pPr>
          </w:p>
          <w:p w14:paraId="34EC9A58" w14:textId="77777777" w:rsidR="00A62371" w:rsidRDefault="00A62371" w:rsidP="00A62371">
            <w:pPr>
              <w:jc w:val="center"/>
              <w:rPr>
                <w:rFonts w:ascii="Arial" w:hAnsi="Arial" w:cs="Arial"/>
                <w:i/>
                <w:sz w:val="16"/>
              </w:rPr>
            </w:pPr>
            <w:r>
              <w:rPr>
                <w:rFonts w:ascii="Arial" w:hAnsi="Arial" w:cs="Arial"/>
                <w:i/>
                <w:sz w:val="16"/>
              </w:rPr>
              <w:t>0,733</w:t>
            </w:r>
          </w:p>
          <w:p w14:paraId="73E9EF5E" w14:textId="77777777" w:rsidR="00A62371" w:rsidRDefault="00A62371" w:rsidP="00A62371">
            <w:pPr>
              <w:jc w:val="center"/>
              <w:rPr>
                <w:rFonts w:ascii="Arial" w:hAnsi="Arial" w:cs="Arial"/>
                <w:i/>
                <w:sz w:val="16"/>
              </w:rPr>
            </w:pPr>
          </w:p>
          <w:p w14:paraId="7090DB56" w14:textId="77777777" w:rsidR="00A62371" w:rsidRDefault="00A62371" w:rsidP="00A62371">
            <w:pPr>
              <w:jc w:val="center"/>
              <w:rPr>
                <w:rFonts w:ascii="Arial" w:hAnsi="Arial" w:cs="Arial"/>
                <w:i/>
                <w:sz w:val="16"/>
              </w:rPr>
            </w:pPr>
            <w:r>
              <w:rPr>
                <w:rFonts w:ascii="Arial" w:hAnsi="Arial" w:cs="Arial"/>
                <w:i/>
                <w:sz w:val="16"/>
              </w:rPr>
              <w:t>0,044</w:t>
            </w:r>
          </w:p>
          <w:p w14:paraId="003B6B8E" w14:textId="77777777" w:rsidR="00A62371" w:rsidRDefault="00A62371" w:rsidP="00A62371">
            <w:pPr>
              <w:jc w:val="center"/>
              <w:rPr>
                <w:rFonts w:ascii="Arial" w:hAnsi="Arial" w:cs="Arial"/>
                <w:i/>
                <w:sz w:val="16"/>
              </w:rPr>
            </w:pPr>
          </w:p>
          <w:p w14:paraId="0299DD10" w14:textId="77777777" w:rsidR="00A62371" w:rsidRDefault="00A62371" w:rsidP="00A62371">
            <w:pPr>
              <w:jc w:val="center"/>
              <w:rPr>
                <w:rFonts w:ascii="Arial" w:hAnsi="Arial" w:cs="Arial"/>
                <w:i/>
                <w:sz w:val="16"/>
              </w:rPr>
            </w:pPr>
          </w:p>
          <w:p w14:paraId="63C26450" w14:textId="77777777" w:rsidR="00A62371" w:rsidRDefault="00A62371" w:rsidP="00A62371">
            <w:pPr>
              <w:jc w:val="center"/>
              <w:rPr>
                <w:rFonts w:ascii="Arial" w:hAnsi="Arial" w:cs="Arial"/>
                <w:i/>
                <w:sz w:val="16"/>
              </w:rPr>
            </w:pPr>
          </w:p>
          <w:p w14:paraId="338F2D70" w14:textId="77777777" w:rsidR="00A62371" w:rsidRDefault="00A62371" w:rsidP="00A62371">
            <w:pPr>
              <w:jc w:val="center"/>
              <w:rPr>
                <w:rFonts w:ascii="Arial" w:hAnsi="Arial" w:cs="Arial"/>
                <w:i/>
                <w:sz w:val="16"/>
              </w:rPr>
            </w:pPr>
          </w:p>
          <w:p w14:paraId="16CEFA2E" w14:textId="77777777" w:rsidR="00A62371" w:rsidRDefault="00A62371" w:rsidP="00A62371">
            <w:pPr>
              <w:jc w:val="center"/>
              <w:rPr>
                <w:rFonts w:ascii="Arial" w:hAnsi="Arial" w:cs="Arial"/>
                <w:i/>
                <w:sz w:val="16"/>
              </w:rPr>
            </w:pPr>
          </w:p>
          <w:p w14:paraId="1D607E0C" w14:textId="77777777" w:rsidR="00A62371" w:rsidRDefault="00A62371" w:rsidP="00A62371">
            <w:pPr>
              <w:jc w:val="center"/>
              <w:rPr>
                <w:rFonts w:ascii="Arial" w:hAnsi="Arial" w:cs="Arial"/>
                <w:i/>
                <w:sz w:val="16"/>
              </w:rPr>
            </w:pPr>
          </w:p>
          <w:p w14:paraId="19D042D7" w14:textId="77777777" w:rsidR="00A62371" w:rsidRDefault="00A62371" w:rsidP="00A62371">
            <w:pPr>
              <w:jc w:val="center"/>
              <w:rPr>
                <w:rFonts w:ascii="Arial" w:hAnsi="Arial" w:cs="Arial"/>
                <w:i/>
                <w:sz w:val="16"/>
              </w:rPr>
            </w:pPr>
          </w:p>
          <w:p w14:paraId="65A0F996" w14:textId="77777777" w:rsidR="00A62371" w:rsidRDefault="00607B92" w:rsidP="00A62371">
            <w:pPr>
              <w:jc w:val="center"/>
              <w:rPr>
                <w:rFonts w:ascii="Arial" w:hAnsi="Arial" w:cs="Arial"/>
                <w:i/>
                <w:sz w:val="16"/>
              </w:rPr>
            </w:pPr>
            <w:r>
              <w:rPr>
                <w:rFonts w:ascii="Arial" w:hAnsi="Arial" w:cs="Arial"/>
                <w:i/>
                <w:sz w:val="16"/>
              </w:rPr>
              <w:t>0,05</w:t>
            </w:r>
          </w:p>
          <w:p w14:paraId="6B93D445" w14:textId="77777777" w:rsidR="00A62371" w:rsidRDefault="00A62371" w:rsidP="00A62371">
            <w:pPr>
              <w:rPr>
                <w:rFonts w:ascii="Arial" w:hAnsi="Arial" w:cs="Arial"/>
                <w:i/>
                <w:sz w:val="16"/>
              </w:rPr>
            </w:pPr>
          </w:p>
          <w:p w14:paraId="214340AC" w14:textId="77777777" w:rsidR="00A62371" w:rsidRPr="006F6ABB" w:rsidRDefault="00607B92" w:rsidP="00A62371">
            <w:pPr>
              <w:jc w:val="center"/>
              <w:rPr>
                <w:rFonts w:ascii="Arial" w:hAnsi="Arial" w:cs="Arial"/>
                <w:i/>
                <w:sz w:val="16"/>
              </w:rPr>
            </w:pPr>
            <w:r>
              <w:rPr>
                <w:rFonts w:ascii="Arial" w:hAnsi="Arial" w:cs="Arial"/>
                <w:i/>
                <w:sz w:val="16"/>
              </w:rPr>
              <w:t>0,12</w:t>
            </w:r>
          </w:p>
        </w:tc>
        <w:tc>
          <w:tcPr>
            <w:tcW w:w="1276" w:type="dxa"/>
            <w:vMerge/>
          </w:tcPr>
          <w:p w14:paraId="2C14C5A7" w14:textId="77777777" w:rsidR="00A62371" w:rsidRPr="006F6ABB" w:rsidRDefault="00A62371" w:rsidP="00A62371">
            <w:pPr>
              <w:jc w:val="center"/>
              <w:rPr>
                <w:rFonts w:ascii="Arial" w:hAnsi="Arial" w:cs="Arial"/>
                <w:i/>
                <w:sz w:val="16"/>
                <w:lang w:val="es-ES_tradnl"/>
              </w:rPr>
            </w:pPr>
          </w:p>
        </w:tc>
      </w:tr>
      <w:tr w:rsidR="00A62371" w:rsidRPr="006F6ABB" w14:paraId="3562692C" w14:textId="77777777" w:rsidTr="00F35821">
        <w:trPr>
          <w:trHeight w:val="2450"/>
        </w:trPr>
        <w:tc>
          <w:tcPr>
            <w:tcW w:w="1003" w:type="dxa"/>
            <w:vMerge/>
          </w:tcPr>
          <w:p w14:paraId="7ED7B3F6" w14:textId="77777777" w:rsidR="00A62371" w:rsidRDefault="00A62371" w:rsidP="00A62371">
            <w:pPr>
              <w:snapToGrid w:val="0"/>
              <w:jc w:val="both"/>
              <w:rPr>
                <w:rFonts w:ascii="Arial" w:hAnsi="Arial" w:cs="Arial"/>
                <w:i/>
                <w:sz w:val="16"/>
              </w:rPr>
            </w:pPr>
          </w:p>
        </w:tc>
        <w:tc>
          <w:tcPr>
            <w:tcW w:w="2469" w:type="dxa"/>
            <w:vMerge/>
          </w:tcPr>
          <w:p w14:paraId="341FED0A" w14:textId="77777777" w:rsidR="00A62371" w:rsidRDefault="00A62371" w:rsidP="00A62371">
            <w:pPr>
              <w:snapToGrid w:val="0"/>
              <w:jc w:val="both"/>
              <w:rPr>
                <w:rFonts w:ascii="Arial" w:hAnsi="Arial" w:cs="Arial"/>
                <w:i/>
                <w:sz w:val="16"/>
              </w:rPr>
            </w:pPr>
          </w:p>
        </w:tc>
        <w:tc>
          <w:tcPr>
            <w:tcW w:w="993" w:type="dxa"/>
          </w:tcPr>
          <w:p w14:paraId="47D55819" w14:textId="77777777" w:rsidR="00A62371" w:rsidRDefault="00A62371" w:rsidP="00A62371">
            <w:pPr>
              <w:snapToGrid w:val="0"/>
              <w:jc w:val="center"/>
              <w:rPr>
                <w:rFonts w:ascii="Arial" w:hAnsi="Arial" w:cs="Arial"/>
                <w:i/>
                <w:sz w:val="16"/>
              </w:rPr>
            </w:pPr>
          </w:p>
          <w:p w14:paraId="5EA18B26" w14:textId="77777777" w:rsidR="00A62371" w:rsidRDefault="00A62371" w:rsidP="00A62371">
            <w:pPr>
              <w:snapToGrid w:val="0"/>
              <w:jc w:val="center"/>
              <w:rPr>
                <w:rFonts w:ascii="Arial" w:hAnsi="Arial" w:cs="Arial"/>
                <w:i/>
                <w:sz w:val="16"/>
              </w:rPr>
            </w:pPr>
          </w:p>
          <w:p w14:paraId="7664295C" w14:textId="77777777" w:rsidR="00A62371" w:rsidRDefault="00A62371" w:rsidP="00A62371">
            <w:pPr>
              <w:snapToGrid w:val="0"/>
              <w:jc w:val="center"/>
              <w:rPr>
                <w:rFonts w:ascii="Arial" w:hAnsi="Arial" w:cs="Arial"/>
                <w:i/>
                <w:sz w:val="16"/>
              </w:rPr>
            </w:pPr>
          </w:p>
          <w:p w14:paraId="7B93B896" w14:textId="77777777" w:rsidR="00A62371" w:rsidRDefault="00A62371" w:rsidP="00A62371">
            <w:pPr>
              <w:snapToGrid w:val="0"/>
              <w:jc w:val="center"/>
              <w:rPr>
                <w:rFonts w:ascii="Arial" w:hAnsi="Arial" w:cs="Arial"/>
                <w:i/>
                <w:sz w:val="16"/>
              </w:rPr>
            </w:pPr>
            <w:r>
              <w:rPr>
                <w:rFonts w:ascii="Arial" w:hAnsi="Arial" w:cs="Arial"/>
                <w:i/>
                <w:sz w:val="16"/>
              </w:rPr>
              <w:t>NA</w:t>
            </w:r>
          </w:p>
          <w:p w14:paraId="6D1D5098" w14:textId="77777777" w:rsidR="00A62371" w:rsidRDefault="00A62371" w:rsidP="00A62371">
            <w:pPr>
              <w:snapToGrid w:val="0"/>
              <w:jc w:val="center"/>
              <w:rPr>
                <w:rFonts w:ascii="Arial" w:hAnsi="Arial" w:cs="Arial"/>
                <w:i/>
                <w:sz w:val="16"/>
              </w:rPr>
            </w:pPr>
          </w:p>
          <w:p w14:paraId="18A9CC09" w14:textId="77777777" w:rsidR="00A62371" w:rsidRDefault="00A62371" w:rsidP="00A62371">
            <w:pPr>
              <w:snapToGrid w:val="0"/>
              <w:jc w:val="center"/>
              <w:rPr>
                <w:rFonts w:ascii="Arial" w:hAnsi="Arial" w:cs="Arial"/>
                <w:i/>
                <w:sz w:val="16"/>
              </w:rPr>
            </w:pPr>
          </w:p>
          <w:p w14:paraId="45052FA4" w14:textId="77777777" w:rsidR="00A62371" w:rsidRDefault="00A62371" w:rsidP="00A62371">
            <w:pPr>
              <w:snapToGrid w:val="0"/>
              <w:jc w:val="center"/>
              <w:rPr>
                <w:rFonts w:ascii="Arial" w:hAnsi="Arial" w:cs="Arial"/>
                <w:i/>
                <w:sz w:val="16"/>
              </w:rPr>
            </w:pPr>
          </w:p>
          <w:p w14:paraId="73016D28" w14:textId="77777777" w:rsidR="00A62371" w:rsidRDefault="00A62371" w:rsidP="00A62371">
            <w:pPr>
              <w:snapToGrid w:val="0"/>
              <w:jc w:val="center"/>
              <w:rPr>
                <w:rFonts w:ascii="Arial" w:hAnsi="Arial" w:cs="Arial"/>
                <w:i/>
                <w:sz w:val="16"/>
              </w:rPr>
            </w:pPr>
          </w:p>
          <w:p w14:paraId="18C59BC8" w14:textId="77777777" w:rsidR="00A62371" w:rsidRDefault="00A62371" w:rsidP="00A62371">
            <w:pPr>
              <w:snapToGrid w:val="0"/>
              <w:jc w:val="center"/>
              <w:rPr>
                <w:rFonts w:ascii="Arial" w:hAnsi="Arial" w:cs="Arial"/>
                <w:i/>
                <w:sz w:val="16"/>
              </w:rPr>
            </w:pPr>
            <w:r>
              <w:rPr>
                <w:rFonts w:ascii="Arial" w:hAnsi="Arial" w:cs="Arial"/>
                <w:i/>
                <w:sz w:val="16"/>
              </w:rPr>
              <w:t>NA</w:t>
            </w:r>
          </w:p>
          <w:p w14:paraId="6FF6120F" w14:textId="77777777" w:rsidR="00A62371" w:rsidRDefault="00A62371" w:rsidP="00A62371">
            <w:pPr>
              <w:snapToGrid w:val="0"/>
              <w:jc w:val="center"/>
              <w:rPr>
                <w:rFonts w:ascii="Arial" w:hAnsi="Arial" w:cs="Arial"/>
                <w:i/>
                <w:sz w:val="16"/>
              </w:rPr>
            </w:pPr>
          </w:p>
          <w:p w14:paraId="4E1FB173" w14:textId="77777777" w:rsidR="00A62371" w:rsidRDefault="00A62371" w:rsidP="00A62371">
            <w:pPr>
              <w:snapToGrid w:val="0"/>
              <w:jc w:val="center"/>
              <w:rPr>
                <w:rFonts w:ascii="Arial" w:hAnsi="Arial" w:cs="Arial"/>
                <w:i/>
                <w:sz w:val="16"/>
              </w:rPr>
            </w:pPr>
            <w:r>
              <w:rPr>
                <w:rFonts w:ascii="Arial" w:hAnsi="Arial" w:cs="Arial"/>
                <w:i/>
                <w:sz w:val="16"/>
              </w:rPr>
              <w:t>NA</w:t>
            </w:r>
          </w:p>
          <w:p w14:paraId="30E7671D" w14:textId="77777777" w:rsidR="00A62371" w:rsidRDefault="00A62371" w:rsidP="00A62371">
            <w:pPr>
              <w:snapToGrid w:val="0"/>
              <w:rPr>
                <w:rFonts w:ascii="Arial" w:hAnsi="Arial" w:cs="Arial"/>
                <w:i/>
                <w:sz w:val="16"/>
              </w:rPr>
            </w:pPr>
          </w:p>
          <w:p w14:paraId="386B9150" w14:textId="77777777" w:rsidR="00A62371" w:rsidRDefault="00A62371" w:rsidP="00A62371">
            <w:pPr>
              <w:snapToGrid w:val="0"/>
              <w:jc w:val="center"/>
              <w:rPr>
                <w:rFonts w:ascii="Arial" w:hAnsi="Arial" w:cs="Arial"/>
                <w:i/>
                <w:sz w:val="16"/>
              </w:rPr>
            </w:pPr>
          </w:p>
          <w:p w14:paraId="11B2725F" w14:textId="77777777" w:rsidR="00A62371" w:rsidRDefault="00A62371" w:rsidP="00A62371">
            <w:pPr>
              <w:snapToGrid w:val="0"/>
              <w:jc w:val="center"/>
              <w:rPr>
                <w:rFonts w:ascii="Arial" w:hAnsi="Arial" w:cs="Arial"/>
                <w:i/>
                <w:sz w:val="16"/>
              </w:rPr>
            </w:pPr>
          </w:p>
        </w:tc>
        <w:tc>
          <w:tcPr>
            <w:tcW w:w="992" w:type="dxa"/>
          </w:tcPr>
          <w:p w14:paraId="05DA64DB" w14:textId="77777777" w:rsidR="00A62371" w:rsidRDefault="00A62371" w:rsidP="00A62371">
            <w:pPr>
              <w:jc w:val="center"/>
              <w:rPr>
                <w:rFonts w:ascii="Arial" w:hAnsi="Arial" w:cs="Arial"/>
                <w:i/>
                <w:sz w:val="16"/>
              </w:rPr>
            </w:pPr>
          </w:p>
          <w:p w14:paraId="265BDDD5" w14:textId="77777777" w:rsidR="00A62371" w:rsidRDefault="00A62371" w:rsidP="00A62371">
            <w:pPr>
              <w:jc w:val="center"/>
              <w:rPr>
                <w:rFonts w:ascii="Arial" w:hAnsi="Arial" w:cs="Arial"/>
                <w:i/>
                <w:sz w:val="16"/>
              </w:rPr>
            </w:pPr>
          </w:p>
          <w:p w14:paraId="2D59F7AA" w14:textId="77777777" w:rsidR="00A62371" w:rsidRDefault="00A62371" w:rsidP="00A62371">
            <w:pPr>
              <w:jc w:val="center"/>
              <w:rPr>
                <w:rFonts w:ascii="Arial" w:hAnsi="Arial" w:cs="Arial"/>
                <w:i/>
                <w:sz w:val="16"/>
              </w:rPr>
            </w:pPr>
          </w:p>
          <w:p w14:paraId="6F7F12F1" w14:textId="77777777" w:rsidR="00A62371" w:rsidRDefault="00607B92" w:rsidP="00A62371">
            <w:pPr>
              <w:snapToGrid w:val="0"/>
              <w:jc w:val="center"/>
              <w:rPr>
                <w:rFonts w:ascii="Arial" w:hAnsi="Arial" w:cs="Arial"/>
                <w:i/>
                <w:sz w:val="16"/>
              </w:rPr>
            </w:pPr>
            <w:r>
              <w:rPr>
                <w:rFonts w:ascii="Arial" w:hAnsi="Arial" w:cs="Arial"/>
                <w:i/>
                <w:sz w:val="16"/>
              </w:rPr>
              <w:t>26,0</w:t>
            </w:r>
          </w:p>
          <w:p w14:paraId="79068DC0" w14:textId="77777777" w:rsidR="00A62371" w:rsidRDefault="00A62371" w:rsidP="00A62371">
            <w:pPr>
              <w:jc w:val="center"/>
              <w:rPr>
                <w:rFonts w:ascii="Arial" w:hAnsi="Arial" w:cs="Arial"/>
                <w:i/>
                <w:sz w:val="16"/>
              </w:rPr>
            </w:pPr>
          </w:p>
          <w:p w14:paraId="0B78F5AA" w14:textId="77777777" w:rsidR="00A62371" w:rsidRDefault="00A62371" w:rsidP="00A62371">
            <w:pPr>
              <w:jc w:val="center"/>
              <w:rPr>
                <w:rFonts w:ascii="Arial" w:hAnsi="Arial" w:cs="Arial"/>
                <w:i/>
                <w:sz w:val="16"/>
              </w:rPr>
            </w:pPr>
          </w:p>
          <w:p w14:paraId="3A75386D" w14:textId="77777777" w:rsidR="00A62371" w:rsidRDefault="00A62371" w:rsidP="00A62371">
            <w:pPr>
              <w:jc w:val="center"/>
              <w:rPr>
                <w:rFonts w:ascii="Arial" w:hAnsi="Arial" w:cs="Arial"/>
                <w:i/>
                <w:sz w:val="16"/>
              </w:rPr>
            </w:pPr>
          </w:p>
          <w:p w14:paraId="3E0273E1" w14:textId="77777777" w:rsidR="00A62371" w:rsidRDefault="00A62371" w:rsidP="00A62371">
            <w:pPr>
              <w:jc w:val="center"/>
              <w:rPr>
                <w:rFonts w:ascii="Arial" w:hAnsi="Arial" w:cs="Arial"/>
                <w:i/>
                <w:sz w:val="16"/>
              </w:rPr>
            </w:pPr>
          </w:p>
          <w:p w14:paraId="7F24671C" w14:textId="77777777" w:rsidR="00A62371" w:rsidRDefault="00A62371" w:rsidP="00A62371">
            <w:pPr>
              <w:jc w:val="center"/>
              <w:rPr>
                <w:rFonts w:ascii="Arial" w:hAnsi="Arial" w:cs="Arial"/>
                <w:i/>
                <w:sz w:val="16"/>
              </w:rPr>
            </w:pPr>
            <w:r>
              <w:rPr>
                <w:rFonts w:ascii="Arial" w:hAnsi="Arial" w:cs="Arial"/>
                <w:i/>
                <w:sz w:val="16"/>
              </w:rPr>
              <w:t>NA</w:t>
            </w:r>
          </w:p>
          <w:p w14:paraId="32949E59" w14:textId="77777777" w:rsidR="00A62371" w:rsidRDefault="00A62371" w:rsidP="00A62371">
            <w:pPr>
              <w:jc w:val="center"/>
              <w:rPr>
                <w:rFonts w:ascii="Arial" w:hAnsi="Arial" w:cs="Arial"/>
                <w:i/>
                <w:sz w:val="16"/>
              </w:rPr>
            </w:pPr>
          </w:p>
          <w:p w14:paraId="0A8B9BDF" w14:textId="77777777" w:rsidR="00A62371" w:rsidRDefault="00A62371" w:rsidP="00A62371">
            <w:pPr>
              <w:jc w:val="center"/>
              <w:rPr>
                <w:rFonts w:ascii="Arial" w:hAnsi="Arial" w:cs="Arial"/>
                <w:i/>
                <w:sz w:val="16"/>
              </w:rPr>
            </w:pPr>
            <w:r>
              <w:rPr>
                <w:rFonts w:ascii="Arial" w:hAnsi="Arial" w:cs="Arial"/>
                <w:i/>
                <w:sz w:val="16"/>
              </w:rPr>
              <w:t>NA</w:t>
            </w:r>
          </w:p>
          <w:p w14:paraId="28E75DD4" w14:textId="77777777" w:rsidR="00A62371" w:rsidRDefault="00A62371" w:rsidP="00A62371">
            <w:pPr>
              <w:rPr>
                <w:rFonts w:ascii="Arial" w:hAnsi="Arial" w:cs="Arial"/>
                <w:i/>
                <w:sz w:val="16"/>
              </w:rPr>
            </w:pPr>
          </w:p>
          <w:p w14:paraId="4F07611C" w14:textId="77777777" w:rsidR="00A62371" w:rsidRDefault="00A62371" w:rsidP="00A62371">
            <w:pPr>
              <w:jc w:val="center"/>
              <w:rPr>
                <w:rFonts w:ascii="Arial" w:hAnsi="Arial" w:cs="Arial"/>
                <w:i/>
                <w:sz w:val="16"/>
              </w:rPr>
            </w:pPr>
          </w:p>
          <w:p w14:paraId="692559DE" w14:textId="77777777" w:rsidR="00A62371" w:rsidRDefault="00A62371" w:rsidP="00A62371">
            <w:pPr>
              <w:jc w:val="center"/>
              <w:rPr>
                <w:rFonts w:ascii="Arial" w:hAnsi="Arial" w:cs="Arial"/>
                <w:i/>
                <w:sz w:val="16"/>
              </w:rPr>
            </w:pPr>
          </w:p>
        </w:tc>
        <w:tc>
          <w:tcPr>
            <w:tcW w:w="1417" w:type="dxa"/>
            <w:vMerge/>
          </w:tcPr>
          <w:p w14:paraId="58F58CAA" w14:textId="77777777" w:rsidR="00A62371" w:rsidRDefault="00A62371" w:rsidP="00A62371">
            <w:pPr>
              <w:jc w:val="center"/>
              <w:rPr>
                <w:rFonts w:ascii="Arial" w:hAnsi="Arial" w:cs="Arial"/>
                <w:i/>
                <w:sz w:val="16"/>
              </w:rPr>
            </w:pPr>
          </w:p>
        </w:tc>
        <w:tc>
          <w:tcPr>
            <w:tcW w:w="709" w:type="dxa"/>
            <w:vMerge/>
          </w:tcPr>
          <w:p w14:paraId="5F2228A0" w14:textId="77777777" w:rsidR="00A62371" w:rsidRDefault="00A62371" w:rsidP="00A62371">
            <w:pPr>
              <w:jc w:val="center"/>
              <w:rPr>
                <w:rFonts w:ascii="Arial" w:hAnsi="Arial" w:cs="Arial"/>
                <w:i/>
                <w:sz w:val="16"/>
              </w:rPr>
            </w:pPr>
          </w:p>
        </w:tc>
        <w:tc>
          <w:tcPr>
            <w:tcW w:w="1276" w:type="dxa"/>
            <w:vMerge/>
          </w:tcPr>
          <w:p w14:paraId="3C7D7E48" w14:textId="77777777" w:rsidR="00A62371" w:rsidRPr="006F6ABB" w:rsidRDefault="00A62371" w:rsidP="00A62371">
            <w:pPr>
              <w:jc w:val="center"/>
              <w:rPr>
                <w:rFonts w:ascii="Arial" w:hAnsi="Arial" w:cs="Arial"/>
                <w:i/>
                <w:sz w:val="16"/>
                <w:lang w:val="es-ES_tradnl"/>
              </w:rPr>
            </w:pPr>
          </w:p>
        </w:tc>
      </w:tr>
      <w:tr w:rsidR="00A62371" w:rsidRPr="006F6ABB" w14:paraId="0EF931D0" w14:textId="77777777" w:rsidTr="00F03AFA">
        <w:trPr>
          <w:trHeight w:val="252"/>
        </w:trPr>
        <w:tc>
          <w:tcPr>
            <w:tcW w:w="1003" w:type="dxa"/>
            <w:vMerge/>
          </w:tcPr>
          <w:p w14:paraId="1B698EBC" w14:textId="77777777" w:rsidR="00A62371" w:rsidRPr="006F6ABB" w:rsidRDefault="00A62371" w:rsidP="00A62371">
            <w:pPr>
              <w:jc w:val="both"/>
              <w:rPr>
                <w:rFonts w:ascii="Arial" w:hAnsi="Arial" w:cs="Arial"/>
                <w:b/>
                <w:i/>
                <w:sz w:val="16"/>
              </w:rPr>
            </w:pPr>
          </w:p>
        </w:tc>
        <w:tc>
          <w:tcPr>
            <w:tcW w:w="2469" w:type="dxa"/>
            <w:vMerge w:val="restart"/>
          </w:tcPr>
          <w:p w14:paraId="3B957C4B" w14:textId="77777777" w:rsidR="00A62371" w:rsidRDefault="00A62371" w:rsidP="00A62371">
            <w:pPr>
              <w:snapToGrid w:val="0"/>
              <w:jc w:val="both"/>
              <w:rPr>
                <w:rFonts w:ascii="Arial" w:hAnsi="Arial" w:cs="Arial"/>
                <w:i/>
                <w:sz w:val="16"/>
              </w:rPr>
            </w:pPr>
          </w:p>
          <w:p w14:paraId="70CE1359" w14:textId="77777777" w:rsidR="00A62371" w:rsidRDefault="00A62371" w:rsidP="00A62371">
            <w:pPr>
              <w:snapToGrid w:val="0"/>
              <w:jc w:val="both"/>
              <w:rPr>
                <w:rFonts w:ascii="Arial" w:hAnsi="Arial" w:cs="Arial"/>
                <w:i/>
                <w:sz w:val="16"/>
              </w:rPr>
            </w:pPr>
          </w:p>
          <w:p w14:paraId="2CC92FD3" w14:textId="77777777" w:rsidR="00A62371" w:rsidRPr="009E582E" w:rsidRDefault="00A62371" w:rsidP="00A62371">
            <w:pPr>
              <w:snapToGrid w:val="0"/>
              <w:jc w:val="both"/>
              <w:rPr>
                <w:rFonts w:ascii="Arial" w:hAnsi="Arial" w:cs="Arial"/>
                <w:b/>
                <w:i/>
                <w:sz w:val="16"/>
              </w:rPr>
            </w:pPr>
            <w:r w:rsidRPr="009E582E">
              <w:rPr>
                <w:rFonts w:ascii="Arial" w:hAnsi="Arial" w:cs="Arial"/>
                <w:b/>
                <w:i/>
                <w:sz w:val="16"/>
                <w:u w:val="single"/>
              </w:rPr>
              <w:t>Subgrupo BRCA1/2</w:t>
            </w:r>
          </w:p>
          <w:p w14:paraId="3D3C7A1C" w14:textId="77777777" w:rsidR="00A62371" w:rsidRPr="006F6ABB" w:rsidRDefault="00A62371" w:rsidP="00A62371">
            <w:pPr>
              <w:snapToGrid w:val="0"/>
              <w:jc w:val="both"/>
              <w:rPr>
                <w:rFonts w:ascii="Arial" w:hAnsi="Arial" w:cs="Arial"/>
                <w:i/>
                <w:sz w:val="16"/>
              </w:rPr>
            </w:pPr>
          </w:p>
          <w:p w14:paraId="54255073" w14:textId="77777777" w:rsidR="00A62371" w:rsidRDefault="00A62371" w:rsidP="00A62371">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TIQ(meses), mediana</w:t>
            </w:r>
          </w:p>
          <w:p w14:paraId="368C222C" w14:textId="77777777" w:rsidR="00A62371" w:rsidRDefault="00A62371" w:rsidP="00A62371">
            <w:pPr>
              <w:snapToGrid w:val="0"/>
              <w:jc w:val="both"/>
              <w:rPr>
                <w:rFonts w:ascii="Arial" w:hAnsi="Arial" w:cs="Arial"/>
                <w:i/>
                <w:sz w:val="16"/>
              </w:rPr>
            </w:pPr>
          </w:p>
          <w:p w14:paraId="3907B605" w14:textId="77777777" w:rsidR="00A62371" w:rsidRDefault="00A62371" w:rsidP="00A62371">
            <w:pPr>
              <w:snapToGrid w:val="0"/>
              <w:jc w:val="both"/>
              <w:rPr>
                <w:rFonts w:ascii="Arial" w:hAnsi="Arial" w:cs="Arial"/>
                <w:i/>
                <w:sz w:val="16"/>
              </w:rPr>
            </w:pPr>
            <w:r>
              <w:rPr>
                <w:rFonts w:ascii="Arial" w:hAnsi="Arial" w:cs="Arial"/>
                <w:i/>
                <w:sz w:val="16"/>
              </w:rPr>
              <w:t xml:space="preserve">          -TPS (meses), mediana</w:t>
            </w:r>
          </w:p>
          <w:p w14:paraId="77DEB4F4" w14:textId="77777777" w:rsidR="00A62371" w:rsidRDefault="00A62371" w:rsidP="00A62371">
            <w:pPr>
              <w:snapToGrid w:val="0"/>
              <w:jc w:val="both"/>
              <w:rPr>
                <w:rFonts w:ascii="Arial" w:hAnsi="Arial" w:cs="Arial"/>
                <w:i/>
                <w:sz w:val="16"/>
              </w:rPr>
            </w:pPr>
          </w:p>
          <w:p w14:paraId="35D0FE5C" w14:textId="77777777" w:rsidR="00A62371" w:rsidRPr="006F6ABB" w:rsidRDefault="00A62371" w:rsidP="00A62371">
            <w:pPr>
              <w:snapToGrid w:val="0"/>
              <w:jc w:val="both"/>
              <w:rPr>
                <w:rFonts w:ascii="Arial" w:hAnsi="Arial" w:cs="Arial"/>
                <w:i/>
                <w:sz w:val="16"/>
              </w:rPr>
            </w:pPr>
            <w:r>
              <w:rPr>
                <w:rFonts w:ascii="Arial" w:hAnsi="Arial" w:cs="Arial"/>
                <w:i/>
                <w:sz w:val="16"/>
              </w:rPr>
              <w:t xml:space="preserve">          </w:t>
            </w:r>
          </w:p>
          <w:p w14:paraId="75C48A52" w14:textId="04A9D9D4" w:rsidR="00A62371" w:rsidRPr="00067BBA" w:rsidRDefault="00A62371" w:rsidP="00A62371">
            <w:pPr>
              <w:snapToGrid w:val="0"/>
              <w:jc w:val="both"/>
              <w:rPr>
                <w:rFonts w:ascii="Arial" w:hAnsi="Arial" w:cs="Arial"/>
                <w:b/>
                <w:i/>
                <w:color w:val="FF0000"/>
                <w:sz w:val="16"/>
              </w:rPr>
            </w:pPr>
          </w:p>
        </w:tc>
        <w:tc>
          <w:tcPr>
            <w:tcW w:w="993" w:type="dxa"/>
            <w:shd w:val="clear" w:color="auto" w:fill="D9D9D9"/>
            <w:vAlign w:val="center"/>
          </w:tcPr>
          <w:p w14:paraId="0FFB615B" w14:textId="1737C570" w:rsidR="00A62371" w:rsidRPr="00F35821" w:rsidRDefault="008B2E57" w:rsidP="00A62371">
            <w:pPr>
              <w:tabs>
                <w:tab w:val="left" w:pos="1673"/>
              </w:tabs>
              <w:jc w:val="center"/>
              <w:rPr>
                <w:rFonts w:ascii="Arial" w:hAnsi="Arial" w:cs="Arial"/>
                <w:b/>
                <w:i/>
                <w:sz w:val="16"/>
                <w:lang w:val="pt-BR"/>
              </w:rPr>
            </w:pPr>
            <w:r>
              <w:rPr>
                <w:rFonts w:ascii="Arial" w:hAnsi="Arial" w:cs="Arial"/>
                <w:i/>
                <w:sz w:val="16"/>
              </w:rPr>
              <w:t>N=113</w:t>
            </w:r>
          </w:p>
        </w:tc>
        <w:tc>
          <w:tcPr>
            <w:tcW w:w="992" w:type="dxa"/>
            <w:shd w:val="clear" w:color="auto" w:fill="D9D9D9"/>
            <w:vAlign w:val="center"/>
          </w:tcPr>
          <w:p w14:paraId="39D29363" w14:textId="69EBFA72" w:rsidR="00A62371" w:rsidRPr="006F6ABB" w:rsidRDefault="008B2E57" w:rsidP="00A62371">
            <w:pPr>
              <w:tabs>
                <w:tab w:val="left" w:pos="1673"/>
              </w:tabs>
              <w:jc w:val="center"/>
              <w:rPr>
                <w:rFonts w:ascii="Arial" w:hAnsi="Arial" w:cs="Arial"/>
                <w:b/>
                <w:i/>
                <w:sz w:val="16"/>
                <w:lang w:val="pt-BR"/>
              </w:rPr>
            </w:pPr>
            <w:r>
              <w:rPr>
                <w:rFonts w:ascii="Arial" w:hAnsi="Arial" w:cs="Arial"/>
                <w:i/>
                <w:sz w:val="16"/>
              </w:rPr>
              <w:t>N=112</w:t>
            </w:r>
          </w:p>
        </w:tc>
        <w:tc>
          <w:tcPr>
            <w:tcW w:w="1417" w:type="dxa"/>
            <w:vMerge/>
          </w:tcPr>
          <w:p w14:paraId="5E6D00B3" w14:textId="77777777" w:rsidR="00A62371" w:rsidRDefault="00A62371" w:rsidP="00A62371">
            <w:pPr>
              <w:jc w:val="center"/>
              <w:rPr>
                <w:rFonts w:ascii="Arial" w:hAnsi="Arial" w:cs="Arial"/>
                <w:i/>
                <w:sz w:val="16"/>
              </w:rPr>
            </w:pPr>
          </w:p>
        </w:tc>
        <w:tc>
          <w:tcPr>
            <w:tcW w:w="709" w:type="dxa"/>
            <w:vMerge/>
          </w:tcPr>
          <w:p w14:paraId="16C0B4A9" w14:textId="77777777" w:rsidR="00A62371" w:rsidRDefault="00A62371" w:rsidP="00A62371">
            <w:pPr>
              <w:jc w:val="center"/>
              <w:rPr>
                <w:rFonts w:ascii="Arial" w:hAnsi="Arial" w:cs="Arial"/>
                <w:i/>
                <w:sz w:val="16"/>
              </w:rPr>
            </w:pPr>
          </w:p>
        </w:tc>
        <w:tc>
          <w:tcPr>
            <w:tcW w:w="1276" w:type="dxa"/>
            <w:vMerge/>
          </w:tcPr>
          <w:p w14:paraId="79DF84DE" w14:textId="77777777" w:rsidR="00A62371" w:rsidRPr="006F6ABB" w:rsidRDefault="00A62371" w:rsidP="00A62371">
            <w:pPr>
              <w:jc w:val="center"/>
              <w:rPr>
                <w:rFonts w:ascii="Arial" w:hAnsi="Arial" w:cs="Arial"/>
                <w:i/>
                <w:sz w:val="16"/>
                <w:lang w:val="es-ES_tradnl"/>
              </w:rPr>
            </w:pPr>
          </w:p>
        </w:tc>
      </w:tr>
      <w:tr w:rsidR="00A62371" w:rsidRPr="006F6ABB" w14:paraId="311F39DB" w14:textId="77777777" w:rsidTr="00F35821">
        <w:trPr>
          <w:trHeight w:val="2105"/>
        </w:trPr>
        <w:tc>
          <w:tcPr>
            <w:tcW w:w="1003" w:type="dxa"/>
            <w:vMerge/>
          </w:tcPr>
          <w:p w14:paraId="08F8A11A" w14:textId="77777777" w:rsidR="00A62371" w:rsidRDefault="00A62371" w:rsidP="00A62371">
            <w:pPr>
              <w:snapToGrid w:val="0"/>
              <w:jc w:val="both"/>
              <w:rPr>
                <w:rFonts w:ascii="Arial" w:hAnsi="Arial" w:cs="Arial"/>
                <w:i/>
                <w:sz w:val="16"/>
              </w:rPr>
            </w:pPr>
          </w:p>
        </w:tc>
        <w:tc>
          <w:tcPr>
            <w:tcW w:w="2469" w:type="dxa"/>
            <w:vMerge/>
          </w:tcPr>
          <w:p w14:paraId="45492030" w14:textId="77777777" w:rsidR="00A62371" w:rsidRDefault="00A62371" w:rsidP="00A62371">
            <w:pPr>
              <w:snapToGrid w:val="0"/>
              <w:jc w:val="both"/>
              <w:rPr>
                <w:rFonts w:ascii="Arial" w:hAnsi="Arial" w:cs="Arial"/>
                <w:i/>
                <w:sz w:val="16"/>
              </w:rPr>
            </w:pPr>
          </w:p>
        </w:tc>
        <w:tc>
          <w:tcPr>
            <w:tcW w:w="993" w:type="dxa"/>
          </w:tcPr>
          <w:p w14:paraId="21649EB1" w14:textId="77777777" w:rsidR="00A62371" w:rsidRDefault="00A62371" w:rsidP="00A62371">
            <w:pPr>
              <w:snapToGrid w:val="0"/>
              <w:jc w:val="center"/>
              <w:rPr>
                <w:rFonts w:ascii="Arial" w:hAnsi="Arial" w:cs="Arial"/>
                <w:i/>
                <w:sz w:val="16"/>
              </w:rPr>
            </w:pPr>
          </w:p>
          <w:p w14:paraId="2C28AA31" w14:textId="77777777" w:rsidR="00A62371" w:rsidRDefault="00A62371" w:rsidP="00A62371">
            <w:pPr>
              <w:snapToGrid w:val="0"/>
              <w:jc w:val="center"/>
              <w:rPr>
                <w:rFonts w:ascii="Arial" w:hAnsi="Arial" w:cs="Arial"/>
                <w:i/>
                <w:sz w:val="16"/>
              </w:rPr>
            </w:pPr>
          </w:p>
          <w:p w14:paraId="2F15F4FD" w14:textId="77777777" w:rsidR="00A62371" w:rsidRDefault="00A62371" w:rsidP="00A62371">
            <w:pPr>
              <w:snapToGrid w:val="0"/>
              <w:jc w:val="center"/>
              <w:rPr>
                <w:rFonts w:ascii="Arial" w:hAnsi="Arial" w:cs="Arial"/>
                <w:i/>
                <w:sz w:val="16"/>
              </w:rPr>
            </w:pPr>
            <w:r>
              <w:rPr>
                <w:rFonts w:ascii="Arial" w:hAnsi="Arial" w:cs="Arial"/>
                <w:i/>
                <w:sz w:val="16"/>
              </w:rPr>
              <w:t>NA</w:t>
            </w:r>
          </w:p>
          <w:p w14:paraId="786469EB" w14:textId="77777777" w:rsidR="00A62371" w:rsidRDefault="00A62371" w:rsidP="00A62371">
            <w:pPr>
              <w:snapToGrid w:val="0"/>
              <w:jc w:val="center"/>
              <w:rPr>
                <w:rFonts w:ascii="Arial" w:hAnsi="Arial" w:cs="Arial"/>
                <w:i/>
                <w:sz w:val="16"/>
              </w:rPr>
            </w:pPr>
          </w:p>
          <w:p w14:paraId="3F405EAC" w14:textId="77777777" w:rsidR="00A62371" w:rsidRDefault="00A62371" w:rsidP="00A62371">
            <w:pPr>
              <w:snapToGrid w:val="0"/>
              <w:jc w:val="center"/>
              <w:rPr>
                <w:rFonts w:ascii="Arial" w:hAnsi="Arial" w:cs="Arial"/>
                <w:i/>
                <w:sz w:val="16"/>
              </w:rPr>
            </w:pPr>
            <w:r>
              <w:rPr>
                <w:rFonts w:ascii="Arial" w:hAnsi="Arial" w:cs="Arial"/>
                <w:i/>
                <w:sz w:val="16"/>
              </w:rPr>
              <w:t>NA</w:t>
            </w:r>
          </w:p>
          <w:p w14:paraId="237CC188" w14:textId="77777777" w:rsidR="00A62371" w:rsidRDefault="00A62371" w:rsidP="00A62371">
            <w:pPr>
              <w:snapToGrid w:val="0"/>
              <w:jc w:val="center"/>
              <w:rPr>
                <w:rFonts w:ascii="Arial" w:hAnsi="Arial" w:cs="Arial"/>
                <w:i/>
                <w:sz w:val="16"/>
              </w:rPr>
            </w:pPr>
          </w:p>
          <w:p w14:paraId="0419381B" w14:textId="77777777" w:rsidR="00A62371" w:rsidRDefault="00A62371" w:rsidP="00A62371">
            <w:pPr>
              <w:snapToGrid w:val="0"/>
              <w:jc w:val="center"/>
              <w:rPr>
                <w:rFonts w:ascii="Arial" w:hAnsi="Arial" w:cs="Arial"/>
                <w:i/>
                <w:sz w:val="16"/>
              </w:rPr>
            </w:pPr>
          </w:p>
          <w:p w14:paraId="568A120A" w14:textId="77777777" w:rsidR="00A62371" w:rsidRDefault="00A62371" w:rsidP="00A62371">
            <w:pPr>
              <w:snapToGrid w:val="0"/>
              <w:jc w:val="center"/>
              <w:rPr>
                <w:rFonts w:ascii="Arial" w:hAnsi="Arial" w:cs="Arial"/>
                <w:i/>
                <w:sz w:val="16"/>
              </w:rPr>
            </w:pPr>
          </w:p>
        </w:tc>
        <w:tc>
          <w:tcPr>
            <w:tcW w:w="992" w:type="dxa"/>
          </w:tcPr>
          <w:p w14:paraId="09E2E63F" w14:textId="77777777" w:rsidR="00A62371" w:rsidRDefault="00A62371" w:rsidP="00A62371">
            <w:pPr>
              <w:jc w:val="center"/>
              <w:rPr>
                <w:rFonts w:ascii="Arial" w:hAnsi="Arial" w:cs="Arial"/>
                <w:i/>
                <w:sz w:val="16"/>
              </w:rPr>
            </w:pPr>
          </w:p>
          <w:p w14:paraId="60A7C5D8" w14:textId="77777777" w:rsidR="00A62371" w:rsidRDefault="00A62371" w:rsidP="00A62371">
            <w:pPr>
              <w:jc w:val="center"/>
              <w:rPr>
                <w:rFonts w:ascii="Arial" w:hAnsi="Arial" w:cs="Arial"/>
                <w:i/>
                <w:sz w:val="16"/>
              </w:rPr>
            </w:pPr>
          </w:p>
          <w:p w14:paraId="1F5DC9D6" w14:textId="77777777" w:rsidR="00A62371" w:rsidRDefault="00A62371" w:rsidP="00A62371">
            <w:pPr>
              <w:jc w:val="center"/>
              <w:rPr>
                <w:rFonts w:ascii="Arial" w:hAnsi="Arial" w:cs="Arial"/>
                <w:i/>
                <w:sz w:val="16"/>
              </w:rPr>
            </w:pPr>
            <w:r>
              <w:rPr>
                <w:rFonts w:ascii="Arial" w:hAnsi="Arial" w:cs="Arial"/>
                <w:i/>
                <w:sz w:val="16"/>
              </w:rPr>
              <w:t>26,0</w:t>
            </w:r>
          </w:p>
          <w:p w14:paraId="6C14CC77" w14:textId="77777777" w:rsidR="00A62371" w:rsidRDefault="00A62371" w:rsidP="00A62371">
            <w:pPr>
              <w:jc w:val="center"/>
              <w:rPr>
                <w:rFonts w:ascii="Arial" w:hAnsi="Arial" w:cs="Arial"/>
                <w:i/>
                <w:sz w:val="16"/>
              </w:rPr>
            </w:pPr>
          </w:p>
          <w:p w14:paraId="74F4D422" w14:textId="77777777" w:rsidR="00A62371" w:rsidRDefault="00A62371" w:rsidP="00A62371">
            <w:pPr>
              <w:jc w:val="center"/>
              <w:rPr>
                <w:rFonts w:ascii="Arial" w:hAnsi="Arial" w:cs="Arial"/>
                <w:i/>
                <w:sz w:val="16"/>
              </w:rPr>
            </w:pPr>
            <w:r>
              <w:rPr>
                <w:rFonts w:ascii="Arial" w:hAnsi="Arial" w:cs="Arial"/>
                <w:i/>
                <w:sz w:val="16"/>
              </w:rPr>
              <w:t>19,8</w:t>
            </w:r>
          </w:p>
          <w:p w14:paraId="6F7B138F" w14:textId="77777777" w:rsidR="00A62371" w:rsidRDefault="00A62371" w:rsidP="00A62371">
            <w:pPr>
              <w:jc w:val="center"/>
              <w:rPr>
                <w:rFonts w:ascii="Arial" w:hAnsi="Arial" w:cs="Arial"/>
                <w:i/>
                <w:sz w:val="16"/>
              </w:rPr>
            </w:pPr>
          </w:p>
          <w:p w14:paraId="5FAA54DA" w14:textId="77777777" w:rsidR="00A62371" w:rsidRDefault="00A62371" w:rsidP="00A62371">
            <w:pPr>
              <w:jc w:val="center"/>
              <w:rPr>
                <w:rFonts w:ascii="Arial" w:hAnsi="Arial" w:cs="Arial"/>
                <w:i/>
                <w:sz w:val="16"/>
              </w:rPr>
            </w:pPr>
          </w:p>
          <w:p w14:paraId="24860B6F" w14:textId="77777777" w:rsidR="00A62371" w:rsidRDefault="00A62371" w:rsidP="00A62371">
            <w:pPr>
              <w:jc w:val="center"/>
              <w:rPr>
                <w:rFonts w:ascii="Arial" w:hAnsi="Arial" w:cs="Arial"/>
                <w:i/>
                <w:sz w:val="16"/>
              </w:rPr>
            </w:pPr>
          </w:p>
        </w:tc>
        <w:tc>
          <w:tcPr>
            <w:tcW w:w="1417" w:type="dxa"/>
            <w:vMerge/>
          </w:tcPr>
          <w:p w14:paraId="45716BCE" w14:textId="77777777" w:rsidR="00A62371" w:rsidRDefault="00A62371" w:rsidP="00A62371">
            <w:pPr>
              <w:jc w:val="center"/>
              <w:rPr>
                <w:rFonts w:ascii="Arial" w:hAnsi="Arial" w:cs="Arial"/>
                <w:i/>
                <w:sz w:val="16"/>
              </w:rPr>
            </w:pPr>
          </w:p>
        </w:tc>
        <w:tc>
          <w:tcPr>
            <w:tcW w:w="709" w:type="dxa"/>
            <w:vMerge/>
          </w:tcPr>
          <w:p w14:paraId="2B418671" w14:textId="77777777" w:rsidR="00A62371" w:rsidRDefault="00A62371" w:rsidP="00A62371">
            <w:pPr>
              <w:jc w:val="center"/>
              <w:rPr>
                <w:rFonts w:ascii="Arial" w:hAnsi="Arial" w:cs="Arial"/>
                <w:i/>
                <w:sz w:val="16"/>
              </w:rPr>
            </w:pPr>
          </w:p>
        </w:tc>
        <w:tc>
          <w:tcPr>
            <w:tcW w:w="1276" w:type="dxa"/>
            <w:vMerge/>
          </w:tcPr>
          <w:p w14:paraId="0BCF7745" w14:textId="77777777" w:rsidR="00A62371" w:rsidRPr="006F6ABB" w:rsidRDefault="00A62371" w:rsidP="00A62371">
            <w:pPr>
              <w:jc w:val="center"/>
              <w:rPr>
                <w:rFonts w:ascii="Arial" w:hAnsi="Arial" w:cs="Arial"/>
                <w:i/>
                <w:sz w:val="16"/>
                <w:lang w:val="es-ES_tradnl"/>
              </w:rPr>
            </w:pPr>
          </w:p>
        </w:tc>
      </w:tr>
      <w:tr w:rsidR="00A62371" w:rsidRPr="006F6ABB" w14:paraId="3F8AA549" w14:textId="77777777" w:rsidTr="00F35821">
        <w:trPr>
          <w:trHeight w:val="230"/>
        </w:trPr>
        <w:tc>
          <w:tcPr>
            <w:tcW w:w="1003" w:type="dxa"/>
            <w:shd w:val="clear" w:color="auto" w:fill="E6E6E6"/>
          </w:tcPr>
          <w:p w14:paraId="15FB4B58" w14:textId="77777777" w:rsidR="00A62371" w:rsidRDefault="00A62371" w:rsidP="00A62371">
            <w:pPr>
              <w:ind w:left="720"/>
              <w:rPr>
                <w:rFonts w:ascii="Arial" w:hAnsi="Arial" w:cs="Arial"/>
                <w:sz w:val="16"/>
                <w:szCs w:val="16"/>
              </w:rPr>
            </w:pPr>
          </w:p>
        </w:tc>
        <w:tc>
          <w:tcPr>
            <w:tcW w:w="7856" w:type="dxa"/>
            <w:gridSpan w:val="6"/>
            <w:shd w:val="clear" w:color="auto" w:fill="E6E6E6"/>
          </w:tcPr>
          <w:p w14:paraId="64863F11" w14:textId="77777777" w:rsidR="00A62371" w:rsidRDefault="00A62371" w:rsidP="00A62371">
            <w:pPr>
              <w:numPr>
                <w:ilvl w:val="0"/>
                <w:numId w:val="20"/>
              </w:numPr>
              <w:rPr>
                <w:rFonts w:ascii="Arial" w:hAnsi="Arial" w:cs="Arial"/>
                <w:sz w:val="16"/>
                <w:szCs w:val="16"/>
              </w:rPr>
            </w:pPr>
            <w:r>
              <w:rPr>
                <w:rFonts w:ascii="Arial" w:hAnsi="Arial" w:cs="Arial"/>
                <w:sz w:val="16"/>
                <w:szCs w:val="16"/>
              </w:rPr>
              <w:t>Primer análisis intermedio, mediana de tiempo de seguimiento: 18,6 meses (fecha de corte: 08-Oct-2021)</w:t>
            </w:r>
          </w:p>
          <w:p w14:paraId="0D2E4FB0" w14:textId="77777777" w:rsidR="00A62371" w:rsidRDefault="00A62371" w:rsidP="00A62371">
            <w:pPr>
              <w:numPr>
                <w:ilvl w:val="0"/>
                <w:numId w:val="20"/>
              </w:numPr>
              <w:rPr>
                <w:rFonts w:ascii="Arial" w:hAnsi="Arial" w:cs="Arial"/>
                <w:sz w:val="16"/>
                <w:szCs w:val="16"/>
              </w:rPr>
            </w:pPr>
            <w:r>
              <w:rPr>
                <w:rFonts w:ascii="Arial" w:hAnsi="Arial" w:cs="Arial"/>
                <w:sz w:val="16"/>
                <w:szCs w:val="16"/>
              </w:rPr>
              <w:t>Segundo análisis intermedio, mediana de tiempo de seguimiento: 26,8 meses (fecha de corte: 17-Jun-2022)</w:t>
            </w:r>
          </w:p>
          <w:p w14:paraId="44B3C49D" w14:textId="77777777" w:rsidR="00A62371" w:rsidRPr="00046C70" w:rsidRDefault="00A62371" w:rsidP="00046C70">
            <w:pPr>
              <w:ind w:left="720"/>
              <w:rPr>
                <w:rFonts w:ascii="Arial" w:hAnsi="Arial" w:cs="Arial"/>
                <w:sz w:val="16"/>
                <w:szCs w:val="16"/>
              </w:rPr>
            </w:pPr>
            <w:r>
              <w:rPr>
                <w:rFonts w:ascii="Arial" w:hAnsi="Arial" w:cs="Arial"/>
                <w:sz w:val="16"/>
                <w:szCs w:val="16"/>
              </w:rPr>
              <w:t>El análisis final se espera publicar durante el primer cuatrimestre del 2024.</w:t>
            </w:r>
          </w:p>
        </w:tc>
      </w:tr>
    </w:tbl>
    <w:p w14:paraId="44F3AAB9" w14:textId="77777777" w:rsidR="00BC3E8E" w:rsidRDefault="00BC3E8E" w:rsidP="00BC3E8E">
      <w:pPr>
        <w:snapToGrid w:val="0"/>
        <w:jc w:val="both"/>
        <w:rPr>
          <w:rFonts w:ascii="Arial" w:hAnsi="Arial" w:cs="Arial"/>
          <w:b/>
          <w:color w:val="000080"/>
          <w:sz w:val="20"/>
          <w:szCs w:val="20"/>
          <w:lang w:val="es-ES_tradnl"/>
        </w:rPr>
      </w:pPr>
    </w:p>
    <w:p w14:paraId="52E966CE" w14:textId="77777777" w:rsidR="00BF0004" w:rsidRPr="00FB1DEA" w:rsidRDefault="001A0EA8" w:rsidP="00BF0004">
      <w:pPr>
        <w:autoSpaceDE w:val="0"/>
        <w:autoSpaceDN w:val="0"/>
        <w:adjustRightInd w:val="0"/>
        <w:jc w:val="both"/>
        <w:rPr>
          <w:rFonts w:ascii="Arial" w:hAnsi="Arial" w:cs="Arial"/>
          <w:bCs/>
          <w:sz w:val="20"/>
          <w:szCs w:val="20"/>
        </w:rPr>
      </w:pPr>
      <w:r w:rsidRPr="00FB1DEA">
        <w:rPr>
          <w:rFonts w:ascii="Arial" w:hAnsi="Arial" w:cs="Arial"/>
          <w:bCs/>
          <w:sz w:val="20"/>
          <w:szCs w:val="20"/>
        </w:rPr>
        <w:t>La apr</w:t>
      </w:r>
      <w:r w:rsidR="00BF0004" w:rsidRPr="008B2E57">
        <w:t>o</w:t>
      </w:r>
      <w:r w:rsidRPr="00FB1DEA">
        <w:rPr>
          <w:rFonts w:ascii="Arial" w:hAnsi="Arial" w:cs="Arial"/>
          <w:bCs/>
          <w:sz w:val="20"/>
          <w:szCs w:val="20"/>
        </w:rPr>
        <w:t>bación por la EMA se basó en el análisis final de la variable principal de SLPr. Con 8,1</w:t>
      </w:r>
    </w:p>
    <w:p w14:paraId="5F19C061" w14:textId="77777777" w:rsidR="00BF0004" w:rsidRPr="00FB1DEA" w:rsidRDefault="001A0EA8" w:rsidP="00BF0004">
      <w:pPr>
        <w:autoSpaceDE w:val="0"/>
        <w:autoSpaceDN w:val="0"/>
        <w:adjustRightInd w:val="0"/>
        <w:jc w:val="both"/>
        <w:rPr>
          <w:rFonts w:ascii="Arial" w:hAnsi="Arial" w:cs="Arial"/>
          <w:bCs/>
          <w:sz w:val="20"/>
          <w:szCs w:val="20"/>
        </w:rPr>
      </w:pPr>
      <w:r w:rsidRPr="00FB1DEA">
        <w:rPr>
          <w:rFonts w:ascii="Arial" w:hAnsi="Arial" w:cs="Arial"/>
          <w:bCs/>
          <w:sz w:val="20"/>
          <w:szCs w:val="20"/>
        </w:rPr>
        <w:t>meses adicionales de seguimiento medio, el análisis de la SLPr se actualizó en el momento del segundo análisis intermedio.</w:t>
      </w:r>
    </w:p>
    <w:p w14:paraId="79F63761" w14:textId="77777777" w:rsidR="00BE7FF3" w:rsidRPr="00FB1DEA" w:rsidRDefault="00BE7FF3" w:rsidP="00BF0004">
      <w:pPr>
        <w:autoSpaceDE w:val="0"/>
        <w:autoSpaceDN w:val="0"/>
        <w:adjustRightInd w:val="0"/>
        <w:jc w:val="both"/>
        <w:rPr>
          <w:rFonts w:ascii="Arial" w:hAnsi="Arial" w:cs="Arial"/>
          <w:bCs/>
          <w:sz w:val="20"/>
          <w:szCs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3"/>
        <w:gridCol w:w="2469"/>
        <w:gridCol w:w="993"/>
        <w:gridCol w:w="992"/>
        <w:gridCol w:w="1417"/>
        <w:gridCol w:w="710"/>
        <w:gridCol w:w="1275"/>
      </w:tblGrid>
      <w:tr w:rsidR="00E079A6" w:rsidRPr="00801BBF" w14:paraId="797144C8" w14:textId="77777777" w:rsidTr="00E079A6">
        <w:tc>
          <w:tcPr>
            <w:tcW w:w="8859" w:type="dxa"/>
            <w:gridSpan w:val="7"/>
          </w:tcPr>
          <w:p w14:paraId="5AAB51E2" w14:textId="77777777" w:rsidR="00E079A6" w:rsidRPr="00FB1DEA" w:rsidRDefault="00E079A6" w:rsidP="00E079A6">
            <w:pPr>
              <w:jc w:val="both"/>
              <w:rPr>
                <w:rFonts w:ascii="Arial" w:hAnsi="Arial"/>
                <w:b/>
                <w:sz w:val="16"/>
              </w:rPr>
            </w:pPr>
          </w:p>
        </w:tc>
      </w:tr>
      <w:tr w:rsidR="00E079A6" w:rsidRPr="00801BBF" w14:paraId="0FA546B5" w14:textId="77777777" w:rsidTr="00E079A6">
        <w:trPr>
          <w:cantSplit/>
          <w:trHeight w:val="230"/>
        </w:trPr>
        <w:tc>
          <w:tcPr>
            <w:tcW w:w="8859" w:type="dxa"/>
            <w:gridSpan w:val="7"/>
            <w:shd w:val="clear" w:color="auto" w:fill="CCFFCC"/>
          </w:tcPr>
          <w:p w14:paraId="0968AC43" w14:textId="77777777" w:rsidR="00E079A6" w:rsidRPr="00FB1DEA" w:rsidRDefault="001A0EA8" w:rsidP="00E079A6">
            <w:pPr>
              <w:jc w:val="both"/>
              <w:rPr>
                <w:rFonts w:ascii="Arial" w:hAnsi="Arial"/>
                <w:b/>
                <w:i/>
                <w:sz w:val="16"/>
              </w:rPr>
            </w:pPr>
            <w:r w:rsidRPr="00FB1DEA">
              <w:rPr>
                <w:rFonts w:ascii="Arial" w:hAnsi="Arial"/>
                <w:b/>
                <w:i/>
                <w:sz w:val="16"/>
              </w:rPr>
              <w:t>Tabla 6 SEGUNDO análisis intermedio para variables secundarias y actualización de la variable principal</w:t>
            </w:r>
          </w:p>
        </w:tc>
      </w:tr>
      <w:tr w:rsidR="00E079A6" w:rsidRPr="006F6ABB" w14:paraId="2EE41190" w14:textId="77777777" w:rsidTr="00D25C33">
        <w:trPr>
          <w:trHeight w:val="230"/>
        </w:trPr>
        <w:tc>
          <w:tcPr>
            <w:tcW w:w="3472" w:type="dxa"/>
            <w:gridSpan w:val="2"/>
          </w:tcPr>
          <w:p w14:paraId="5296425A" w14:textId="37F5E33B" w:rsidR="00E079A6" w:rsidRDefault="006E4A51" w:rsidP="00E079A6">
            <w:pPr>
              <w:jc w:val="both"/>
              <w:rPr>
                <w:rFonts w:ascii="Arial" w:hAnsi="Arial" w:cs="Arial"/>
                <w:b/>
                <w:i/>
                <w:sz w:val="16"/>
              </w:rPr>
            </w:pPr>
            <w:r w:rsidRPr="006F6ABB">
              <w:rPr>
                <w:rFonts w:ascii="Arial" w:hAnsi="Arial" w:cs="Arial"/>
                <w:b/>
                <w:i/>
                <w:sz w:val="16"/>
              </w:rPr>
              <w:t>Variable evaluada</w:t>
            </w:r>
            <w:r w:rsidR="00E079A6" w:rsidRPr="006F6ABB">
              <w:rPr>
                <w:rFonts w:ascii="Arial" w:hAnsi="Arial" w:cs="Arial"/>
                <w:b/>
                <w:i/>
                <w:sz w:val="16"/>
              </w:rPr>
              <w:t xml:space="preserve"> en el estudio</w:t>
            </w:r>
          </w:p>
          <w:p w14:paraId="697C642A" w14:textId="77777777" w:rsidR="00E079A6" w:rsidRPr="00067BBA" w:rsidRDefault="00E079A6" w:rsidP="00E079A6">
            <w:pPr>
              <w:jc w:val="both"/>
              <w:rPr>
                <w:rFonts w:ascii="Arial" w:hAnsi="Arial" w:cs="Arial"/>
                <w:b/>
                <w:i/>
                <w:color w:val="FF0000"/>
                <w:sz w:val="16"/>
              </w:rPr>
            </w:pPr>
            <w:r w:rsidRPr="00067BBA">
              <w:rPr>
                <w:rFonts w:ascii="Arial" w:hAnsi="Arial" w:cs="Arial"/>
                <w:b/>
                <w:i/>
                <w:color w:val="FF0000"/>
                <w:sz w:val="16"/>
              </w:rPr>
              <w:t>Por comité</w:t>
            </w:r>
            <w:r>
              <w:rPr>
                <w:rFonts w:ascii="Arial" w:hAnsi="Arial" w:cs="Arial"/>
                <w:b/>
                <w:i/>
                <w:color w:val="FF0000"/>
                <w:sz w:val="16"/>
              </w:rPr>
              <w:t xml:space="preserve"> revisor</w:t>
            </w:r>
            <w:r w:rsidRPr="00067BBA">
              <w:rPr>
                <w:rFonts w:ascii="Arial" w:hAnsi="Arial" w:cs="Arial"/>
                <w:b/>
                <w:i/>
                <w:color w:val="FF0000"/>
                <w:sz w:val="16"/>
              </w:rPr>
              <w:t xml:space="preserve"> independiente</w:t>
            </w:r>
          </w:p>
        </w:tc>
        <w:tc>
          <w:tcPr>
            <w:tcW w:w="993" w:type="dxa"/>
          </w:tcPr>
          <w:p w14:paraId="641B878E" w14:textId="77777777" w:rsidR="00E079A6" w:rsidRPr="006F6ABB" w:rsidRDefault="00E079A6" w:rsidP="00E079A6">
            <w:pPr>
              <w:tabs>
                <w:tab w:val="left" w:pos="1673"/>
              </w:tabs>
              <w:rPr>
                <w:rFonts w:ascii="Arial" w:hAnsi="Arial" w:cs="Arial"/>
                <w:b/>
                <w:i/>
                <w:sz w:val="16"/>
                <w:lang w:val="pt-BR"/>
              </w:rPr>
            </w:pPr>
            <w:r>
              <w:rPr>
                <w:rFonts w:ascii="Arial" w:hAnsi="Arial" w:cs="Arial"/>
                <w:b/>
                <w:i/>
                <w:sz w:val="16"/>
                <w:lang w:val="pt-BR"/>
              </w:rPr>
              <w:t>Niraparib + AAP</w:t>
            </w:r>
          </w:p>
          <w:p w14:paraId="0F2C4CCC" w14:textId="77777777" w:rsidR="00E079A6" w:rsidRPr="006F6ABB" w:rsidRDefault="00E079A6" w:rsidP="00E079A6">
            <w:pPr>
              <w:tabs>
                <w:tab w:val="left" w:pos="1673"/>
              </w:tabs>
              <w:rPr>
                <w:rFonts w:ascii="Arial" w:hAnsi="Arial" w:cs="Arial"/>
                <w:b/>
                <w:i/>
                <w:sz w:val="16"/>
                <w:lang w:val="pt-BR"/>
              </w:rPr>
            </w:pPr>
          </w:p>
        </w:tc>
        <w:tc>
          <w:tcPr>
            <w:tcW w:w="992" w:type="dxa"/>
          </w:tcPr>
          <w:p w14:paraId="318AEB67" w14:textId="77777777" w:rsidR="00E079A6" w:rsidRPr="006F6ABB" w:rsidRDefault="00E079A6" w:rsidP="00E079A6">
            <w:pPr>
              <w:tabs>
                <w:tab w:val="left" w:pos="1673"/>
              </w:tabs>
              <w:rPr>
                <w:rFonts w:ascii="Arial" w:hAnsi="Arial" w:cs="Arial"/>
                <w:b/>
                <w:i/>
                <w:sz w:val="16"/>
                <w:lang w:val="pt-BR"/>
              </w:rPr>
            </w:pPr>
            <w:r>
              <w:rPr>
                <w:rFonts w:ascii="Arial" w:hAnsi="Arial" w:cs="Arial"/>
                <w:b/>
                <w:i/>
                <w:sz w:val="16"/>
                <w:lang w:val="pt-BR"/>
              </w:rPr>
              <w:t>Placebo + AAP</w:t>
            </w:r>
          </w:p>
          <w:p w14:paraId="39759839" w14:textId="77777777" w:rsidR="00E079A6" w:rsidRPr="006F6ABB" w:rsidRDefault="00E079A6" w:rsidP="00E079A6">
            <w:pPr>
              <w:tabs>
                <w:tab w:val="left" w:pos="1673"/>
              </w:tabs>
              <w:rPr>
                <w:rFonts w:ascii="Arial" w:hAnsi="Arial" w:cs="Arial"/>
                <w:b/>
                <w:i/>
                <w:sz w:val="16"/>
                <w:lang w:val="pt-BR"/>
              </w:rPr>
            </w:pPr>
          </w:p>
        </w:tc>
        <w:tc>
          <w:tcPr>
            <w:tcW w:w="1417" w:type="dxa"/>
            <w:vAlign w:val="center"/>
          </w:tcPr>
          <w:p w14:paraId="6F5D9952" w14:textId="77777777" w:rsidR="00E079A6" w:rsidRPr="006F6ABB" w:rsidRDefault="00E079A6" w:rsidP="00E079A6">
            <w:pPr>
              <w:tabs>
                <w:tab w:val="left" w:pos="1673"/>
              </w:tabs>
              <w:jc w:val="center"/>
              <w:rPr>
                <w:rFonts w:ascii="Arial" w:hAnsi="Arial" w:cs="Arial"/>
                <w:b/>
                <w:i/>
                <w:sz w:val="16"/>
                <w:lang w:val="pt-BR"/>
              </w:rPr>
            </w:pPr>
            <w:r>
              <w:rPr>
                <w:rFonts w:ascii="Arial" w:hAnsi="Arial" w:cs="Arial"/>
                <w:b/>
                <w:i/>
                <w:sz w:val="16"/>
                <w:lang w:val="pt-BR"/>
              </w:rPr>
              <w:t>HR (IC95%)</w:t>
            </w:r>
          </w:p>
        </w:tc>
        <w:tc>
          <w:tcPr>
            <w:tcW w:w="710" w:type="dxa"/>
            <w:vAlign w:val="center"/>
          </w:tcPr>
          <w:p w14:paraId="74CFDE17" w14:textId="77777777" w:rsidR="00E079A6" w:rsidRPr="006F6ABB" w:rsidRDefault="00E079A6" w:rsidP="00E079A6">
            <w:pPr>
              <w:tabs>
                <w:tab w:val="left" w:pos="1673"/>
              </w:tabs>
              <w:jc w:val="center"/>
              <w:rPr>
                <w:rFonts w:ascii="Arial" w:hAnsi="Arial" w:cs="Arial"/>
                <w:b/>
                <w:i/>
                <w:sz w:val="16"/>
                <w:lang w:val="pt-BR"/>
              </w:rPr>
            </w:pPr>
            <w:r>
              <w:rPr>
                <w:rFonts w:ascii="Arial" w:hAnsi="Arial" w:cs="Arial"/>
                <w:b/>
                <w:i/>
                <w:sz w:val="16"/>
                <w:lang w:val="pt-BR"/>
              </w:rPr>
              <w:t>p</w:t>
            </w:r>
          </w:p>
        </w:tc>
        <w:tc>
          <w:tcPr>
            <w:tcW w:w="1275" w:type="dxa"/>
          </w:tcPr>
          <w:p w14:paraId="65880992" w14:textId="77777777" w:rsidR="00E079A6" w:rsidRPr="006F6ABB" w:rsidRDefault="00E079A6" w:rsidP="00E079A6">
            <w:pPr>
              <w:jc w:val="both"/>
              <w:rPr>
                <w:rFonts w:ascii="Arial" w:hAnsi="Arial" w:cs="Arial"/>
                <w:b/>
                <w:i/>
                <w:sz w:val="16"/>
                <w:lang w:val="pt-BR"/>
              </w:rPr>
            </w:pPr>
            <w:r>
              <w:rPr>
                <w:rFonts w:ascii="Arial" w:hAnsi="Arial" w:cs="Arial"/>
                <w:b/>
                <w:i/>
                <w:sz w:val="16"/>
                <w:lang w:val="pt-BR"/>
              </w:rPr>
              <w:t>Tiempo de seguimento, meses (rango)</w:t>
            </w:r>
          </w:p>
        </w:tc>
      </w:tr>
      <w:tr w:rsidR="00496C66" w:rsidRPr="006F6ABB" w14:paraId="0268C7B8" w14:textId="77777777" w:rsidTr="00D25C33">
        <w:trPr>
          <w:trHeight w:val="290"/>
        </w:trPr>
        <w:tc>
          <w:tcPr>
            <w:tcW w:w="3472" w:type="dxa"/>
            <w:gridSpan w:val="2"/>
          </w:tcPr>
          <w:p w14:paraId="7E828DE3" w14:textId="77777777" w:rsidR="00496C66" w:rsidRPr="006F6ABB" w:rsidRDefault="00496C66" w:rsidP="00E079A6">
            <w:pPr>
              <w:snapToGrid w:val="0"/>
              <w:jc w:val="center"/>
              <w:rPr>
                <w:rFonts w:ascii="Arial" w:hAnsi="Arial" w:cs="Arial"/>
                <w:i/>
                <w:sz w:val="16"/>
              </w:rPr>
            </w:pPr>
            <w:r w:rsidRPr="006252F1">
              <w:rPr>
                <w:rFonts w:ascii="Arial" w:hAnsi="Arial" w:cs="Arial"/>
                <w:i/>
                <w:sz w:val="16"/>
              </w:rPr>
              <w:t>Número de pacientes</w:t>
            </w:r>
          </w:p>
        </w:tc>
        <w:tc>
          <w:tcPr>
            <w:tcW w:w="993" w:type="dxa"/>
            <w:shd w:val="clear" w:color="auto" w:fill="D9D9D9"/>
          </w:tcPr>
          <w:p w14:paraId="718A2FBA" w14:textId="3CEC58AB" w:rsidR="00496C66" w:rsidRPr="009E582E" w:rsidRDefault="008B2E57" w:rsidP="00E079A6">
            <w:pPr>
              <w:snapToGrid w:val="0"/>
              <w:jc w:val="center"/>
              <w:rPr>
                <w:rFonts w:ascii="Arial" w:hAnsi="Arial" w:cs="Arial"/>
                <w:i/>
                <w:sz w:val="16"/>
              </w:rPr>
            </w:pPr>
            <w:r>
              <w:rPr>
                <w:rFonts w:ascii="Arial" w:hAnsi="Arial" w:cs="Arial"/>
                <w:i/>
                <w:sz w:val="16"/>
                <w:lang w:val="pt-BR"/>
              </w:rPr>
              <w:t>N=212</w:t>
            </w:r>
          </w:p>
        </w:tc>
        <w:tc>
          <w:tcPr>
            <w:tcW w:w="992" w:type="dxa"/>
            <w:shd w:val="clear" w:color="auto" w:fill="D9D9D9"/>
          </w:tcPr>
          <w:p w14:paraId="5D55F2EC" w14:textId="5A52EAFF" w:rsidR="00496C66" w:rsidRPr="009E582E" w:rsidRDefault="008B2E57" w:rsidP="00E079A6">
            <w:pPr>
              <w:jc w:val="center"/>
              <w:rPr>
                <w:rFonts w:ascii="Arial" w:hAnsi="Arial" w:cs="Arial"/>
                <w:i/>
                <w:sz w:val="16"/>
              </w:rPr>
            </w:pPr>
            <w:r>
              <w:rPr>
                <w:rFonts w:ascii="Arial" w:hAnsi="Arial" w:cs="Arial"/>
                <w:i/>
                <w:sz w:val="16"/>
                <w:lang w:val="pt-BR"/>
              </w:rPr>
              <w:t>N=211</w:t>
            </w:r>
          </w:p>
        </w:tc>
        <w:tc>
          <w:tcPr>
            <w:tcW w:w="1417" w:type="dxa"/>
            <w:vMerge w:val="restart"/>
          </w:tcPr>
          <w:p w14:paraId="4555276B" w14:textId="77777777" w:rsidR="00496C66" w:rsidRDefault="00496C66" w:rsidP="00E079A6">
            <w:pPr>
              <w:jc w:val="center"/>
              <w:rPr>
                <w:rFonts w:ascii="Arial" w:hAnsi="Arial" w:cs="Arial"/>
                <w:i/>
                <w:sz w:val="16"/>
              </w:rPr>
            </w:pPr>
          </w:p>
          <w:p w14:paraId="6ED60BFC" w14:textId="77777777" w:rsidR="00496C66" w:rsidRDefault="00496C66" w:rsidP="00E079A6">
            <w:pPr>
              <w:jc w:val="center"/>
              <w:rPr>
                <w:rFonts w:ascii="Arial" w:hAnsi="Arial" w:cs="Arial"/>
                <w:i/>
                <w:sz w:val="16"/>
              </w:rPr>
            </w:pPr>
          </w:p>
          <w:p w14:paraId="2496B3C4" w14:textId="77777777" w:rsidR="00496C66" w:rsidRDefault="00496C66" w:rsidP="00E079A6">
            <w:pPr>
              <w:jc w:val="center"/>
              <w:rPr>
                <w:rFonts w:ascii="Arial" w:hAnsi="Arial" w:cs="Arial"/>
                <w:i/>
                <w:sz w:val="16"/>
              </w:rPr>
            </w:pPr>
          </w:p>
          <w:p w14:paraId="447B2B5D" w14:textId="6EAAABD6" w:rsidR="00496C66" w:rsidRDefault="00496C66" w:rsidP="00E079A6">
            <w:pPr>
              <w:jc w:val="center"/>
              <w:rPr>
                <w:rFonts w:ascii="Arial" w:hAnsi="Arial" w:cs="Arial"/>
                <w:i/>
                <w:sz w:val="16"/>
              </w:rPr>
            </w:pPr>
            <w:r>
              <w:rPr>
                <w:rFonts w:ascii="Arial" w:hAnsi="Arial" w:cs="Arial"/>
                <w:i/>
                <w:sz w:val="16"/>
              </w:rPr>
              <w:t>0,76(0,59</w:t>
            </w:r>
            <w:r w:rsidR="008B2E57">
              <w:rPr>
                <w:rFonts w:ascii="Arial" w:hAnsi="Arial" w:cs="Arial"/>
                <w:i/>
                <w:sz w:val="16"/>
              </w:rPr>
              <w:t>-</w:t>
            </w:r>
            <w:r>
              <w:rPr>
                <w:rFonts w:ascii="Arial" w:hAnsi="Arial" w:cs="Arial"/>
                <w:i/>
                <w:sz w:val="16"/>
              </w:rPr>
              <w:t>0,972)</w:t>
            </w:r>
          </w:p>
          <w:p w14:paraId="443B5B5D" w14:textId="77777777" w:rsidR="00496C66" w:rsidRDefault="00496C66" w:rsidP="00E079A6">
            <w:pPr>
              <w:jc w:val="center"/>
              <w:rPr>
                <w:rFonts w:ascii="Arial" w:hAnsi="Arial" w:cs="Arial"/>
                <w:i/>
                <w:sz w:val="16"/>
              </w:rPr>
            </w:pPr>
          </w:p>
          <w:p w14:paraId="342CCAB0" w14:textId="77777777" w:rsidR="00496C66" w:rsidRDefault="00496C66" w:rsidP="00E079A6">
            <w:pPr>
              <w:jc w:val="center"/>
              <w:rPr>
                <w:rFonts w:ascii="Arial" w:hAnsi="Arial" w:cs="Arial"/>
                <w:i/>
                <w:sz w:val="16"/>
              </w:rPr>
            </w:pPr>
          </w:p>
          <w:p w14:paraId="35689BDA" w14:textId="77777777" w:rsidR="00496C66" w:rsidRDefault="00496C66" w:rsidP="00E079A6">
            <w:pPr>
              <w:jc w:val="center"/>
              <w:rPr>
                <w:rFonts w:ascii="Arial" w:hAnsi="Arial" w:cs="Arial"/>
                <w:i/>
                <w:sz w:val="16"/>
              </w:rPr>
            </w:pPr>
          </w:p>
          <w:p w14:paraId="092FD2D7" w14:textId="77777777" w:rsidR="00496C66" w:rsidRDefault="00496C66" w:rsidP="00E079A6">
            <w:pPr>
              <w:jc w:val="center"/>
              <w:rPr>
                <w:rFonts w:ascii="Arial" w:hAnsi="Arial" w:cs="Arial"/>
                <w:i/>
                <w:sz w:val="16"/>
              </w:rPr>
            </w:pPr>
          </w:p>
          <w:p w14:paraId="0AB83104" w14:textId="77777777" w:rsidR="00496C66" w:rsidRDefault="00496C66" w:rsidP="00E079A6">
            <w:pPr>
              <w:jc w:val="center"/>
              <w:rPr>
                <w:rFonts w:ascii="Arial" w:hAnsi="Arial" w:cs="Arial"/>
                <w:i/>
                <w:sz w:val="16"/>
              </w:rPr>
            </w:pPr>
          </w:p>
          <w:p w14:paraId="573D0EB0" w14:textId="77777777" w:rsidR="00496C66" w:rsidRDefault="00496C66" w:rsidP="00E079A6">
            <w:pPr>
              <w:jc w:val="center"/>
              <w:rPr>
                <w:rFonts w:ascii="Arial" w:hAnsi="Arial" w:cs="Arial"/>
                <w:i/>
                <w:sz w:val="16"/>
              </w:rPr>
            </w:pPr>
          </w:p>
          <w:p w14:paraId="5C696488" w14:textId="09685735" w:rsidR="00496C66" w:rsidRPr="000D658A" w:rsidRDefault="00496C66" w:rsidP="008B2E57">
            <w:pPr>
              <w:jc w:val="center"/>
              <w:rPr>
                <w:rFonts w:ascii="Arial" w:hAnsi="Arial" w:cs="Arial"/>
                <w:i/>
                <w:sz w:val="16"/>
              </w:rPr>
            </w:pPr>
            <w:r>
              <w:rPr>
                <w:rFonts w:ascii="Arial" w:hAnsi="Arial" w:cs="Arial"/>
                <w:i/>
                <w:sz w:val="16"/>
              </w:rPr>
              <w:t>0,55 (0,39</w:t>
            </w:r>
            <w:r w:rsidR="008B2E57">
              <w:rPr>
                <w:rFonts w:ascii="Arial" w:hAnsi="Arial" w:cs="Arial"/>
                <w:i/>
                <w:sz w:val="16"/>
              </w:rPr>
              <w:t>-</w:t>
            </w:r>
            <w:r>
              <w:rPr>
                <w:rFonts w:ascii="Arial" w:hAnsi="Arial" w:cs="Arial"/>
                <w:i/>
                <w:sz w:val="16"/>
              </w:rPr>
              <w:t>0,78)</w:t>
            </w:r>
          </w:p>
        </w:tc>
        <w:tc>
          <w:tcPr>
            <w:tcW w:w="710" w:type="dxa"/>
            <w:vMerge w:val="restart"/>
          </w:tcPr>
          <w:p w14:paraId="52429324" w14:textId="77777777" w:rsidR="00496C66" w:rsidRDefault="00496C66" w:rsidP="00E079A6">
            <w:pPr>
              <w:jc w:val="center"/>
              <w:rPr>
                <w:rFonts w:ascii="Arial" w:hAnsi="Arial" w:cs="Arial"/>
                <w:i/>
                <w:sz w:val="16"/>
              </w:rPr>
            </w:pPr>
          </w:p>
          <w:p w14:paraId="5F13AED5" w14:textId="77777777" w:rsidR="00496C66" w:rsidRDefault="00496C66" w:rsidP="00E079A6">
            <w:pPr>
              <w:jc w:val="center"/>
              <w:rPr>
                <w:rFonts w:ascii="Arial" w:hAnsi="Arial" w:cs="Arial"/>
                <w:i/>
                <w:sz w:val="16"/>
              </w:rPr>
            </w:pPr>
          </w:p>
          <w:p w14:paraId="11270AA8" w14:textId="77777777" w:rsidR="00496C66" w:rsidRDefault="00496C66" w:rsidP="00E079A6">
            <w:pPr>
              <w:jc w:val="center"/>
              <w:rPr>
                <w:rFonts w:ascii="Arial" w:hAnsi="Arial" w:cs="Arial"/>
                <w:i/>
                <w:sz w:val="16"/>
              </w:rPr>
            </w:pPr>
          </w:p>
          <w:p w14:paraId="21D08A60" w14:textId="77777777" w:rsidR="00496C66" w:rsidRDefault="00496C66" w:rsidP="00E079A6">
            <w:pPr>
              <w:jc w:val="center"/>
              <w:rPr>
                <w:rFonts w:ascii="Arial" w:hAnsi="Arial" w:cs="Arial"/>
                <w:i/>
                <w:sz w:val="16"/>
              </w:rPr>
            </w:pPr>
            <w:r>
              <w:rPr>
                <w:rFonts w:ascii="Arial" w:hAnsi="Arial" w:cs="Arial"/>
                <w:i/>
                <w:sz w:val="16"/>
              </w:rPr>
              <w:t>0,028</w:t>
            </w:r>
          </w:p>
          <w:p w14:paraId="58595951" w14:textId="77777777" w:rsidR="00496C66" w:rsidRDefault="00496C66" w:rsidP="00E079A6">
            <w:pPr>
              <w:jc w:val="center"/>
              <w:rPr>
                <w:rFonts w:ascii="Arial" w:hAnsi="Arial" w:cs="Arial"/>
                <w:i/>
                <w:sz w:val="16"/>
              </w:rPr>
            </w:pPr>
          </w:p>
          <w:p w14:paraId="76C46D76" w14:textId="77777777" w:rsidR="00496C66" w:rsidRDefault="00496C66" w:rsidP="00E079A6">
            <w:pPr>
              <w:jc w:val="center"/>
              <w:rPr>
                <w:rFonts w:ascii="Arial" w:hAnsi="Arial" w:cs="Arial"/>
                <w:i/>
                <w:sz w:val="16"/>
              </w:rPr>
            </w:pPr>
          </w:p>
          <w:p w14:paraId="68A83D6D" w14:textId="77777777" w:rsidR="00496C66" w:rsidRDefault="00496C66" w:rsidP="00E079A6">
            <w:pPr>
              <w:jc w:val="center"/>
              <w:rPr>
                <w:rFonts w:ascii="Arial" w:hAnsi="Arial" w:cs="Arial"/>
                <w:i/>
                <w:sz w:val="16"/>
              </w:rPr>
            </w:pPr>
          </w:p>
          <w:p w14:paraId="19497EA7" w14:textId="77777777" w:rsidR="00496C66" w:rsidRDefault="00496C66" w:rsidP="00E079A6">
            <w:pPr>
              <w:jc w:val="center"/>
              <w:rPr>
                <w:rFonts w:ascii="Arial" w:hAnsi="Arial" w:cs="Arial"/>
                <w:i/>
                <w:sz w:val="16"/>
              </w:rPr>
            </w:pPr>
          </w:p>
          <w:p w14:paraId="338C9067" w14:textId="77777777" w:rsidR="00496C66" w:rsidRDefault="00496C66" w:rsidP="00E079A6">
            <w:pPr>
              <w:jc w:val="center"/>
              <w:rPr>
                <w:rFonts w:ascii="Arial" w:hAnsi="Arial" w:cs="Arial"/>
                <w:i/>
                <w:sz w:val="16"/>
              </w:rPr>
            </w:pPr>
          </w:p>
          <w:p w14:paraId="328CA10D" w14:textId="77777777" w:rsidR="00496C66" w:rsidRDefault="00496C66" w:rsidP="00E079A6">
            <w:pPr>
              <w:jc w:val="center"/>
              <w:rPr>
                <w:rFonts w:ascii="Arial" w:hAnsi="Arial" w:cs="Arial"/>
                <w:i/>
                <w:sz w:val="16"/>
              </w:rPr>
            </w:pPr>
          </w:p>
          <w:p w14:paraId="580B3D33" w14:textId="77777777" w:rsidR="00496C66" w:rsidRDefault="00496C66" w:rsidP="00E079A6">
            <w:pPr>
              <w:jc w:val="center"/>
              <w:rPr>
                <w:rFonts w:ascii="Arial" w:hAnsi="Arial" w:cs="Arial"/>
                <w:i/>
                <w:sz w:val="16"/>
              </w:rPr>
            </w:pPr>
            <w:r>
              <w:rPr>
                <w:rFonts w:ascii="Arial" w:hAnsi="Arial" w:cs="Arial"/>
                <w:i/>
                <w:sz w:val="16"/>
              </w:rPr>
              <w:t>&lt;0,001</w:t>
            </w:r>
          </w:p>
          <w:p w14:paraId="4237A053" w14:textId="77777777" w:rsidR="00496C66" w:rsidRPr="006F6ABB" w:rsidRDefault="00496C66" w:rsidP="00E079A6">
            <w:pPr>
              <w:jc w:val="center"/>
              <w:rPr>
                <w:rFonts w:ascii="Arial" w:hAnsi="Arial" w:cs="Arial"/>
                <w:i/>
                <w:sz w:val="16"/>
              </w:rPr>
            </w:pPr>
          </w:p>
        </w:tc>
        <w:tc>
          <w:tcPr>
            <w:tcW w:w="1275" w:type="dxa"/>
            <w:vMerge w:val="restart"/>
            <w:vAlign w:val="center"/>
          </w:tcPr>
          <w:p w14:paraId="6B0E5EF9" w14:textId="77777777" w:rsidR="00496C66" w:rsidRDefault="007E1B6E" w:rsidP="00E079A6">
            <w:pPr>
              <w:jc w:val="center"/>
              <w:rPr>
                <w:rFonts w:ascii="Arial" w:hAnsi="Arial" w:cs="Arial"/>
                <w:i/>
                <w:sz w:val="16"/>
                <w:lang w:val="es-ES_tradnl"/>
              </w:rPr>
            </w:pPr>
            <w:r>
              <w:rPr>
                <w:rFonts w:ascii="Arial" w:hAnsi="Arial" w:cs="Arial"/>
                <w:i/>
                <w:sz w:val="16"/>
                <w:lang w:val="es-ES_tradnl"/>
              </w:rPr>
              <w:t>24,8 meses (0,5-36,8 meses) para población BRCA 1/2</w:t>
            </w:r>
          </w:p>
          <w:p w14:paraId="215E79F5" w14:textId="77777777" w:rsidR="00496C66" w:rsidRDefault="00496C66" w:rsidP="00E079A6">
            <w:pPr>
              <w:jc w:val="center"/>
              <w:rPr>
                <w:rFonts w:ascii="Arial" w:hAnsi="Arial" w:cs="Arial"/>
                <w:i/>
                <w:sz w:val="16"/>
                <w:lang w:val="es-ES_tradnl"/>
              </w:rPr>
            </w:pPr>
          </w:p>
          <w:p w14:paraId="40797D74" w14:textId="77777777" w:rsidR="00496C66" w:rsidRDefault="00496C66" w:rsidP="00E079A6">
            <w:pPr>
              <w:jc w:val="center"/>
              <w:rPr>
                <w:rFonts w:ascii="Arial" w:hAnsi="Arial" w:cs="Arial"/>
                <w:i/>
                <w:sz w:val="16"/>
                <w:lang w:val="es-ES_tradnl"/>
              </w:rPr>
            </w:pPr>
          </w:p>
          <w:p w14:paraId="0FCE8FA1" w14:textId="77777777" w:rsidR="00496C66" w:rsidRPr="006F6ABB" w:rsidRDefault="00496C66" w:rsidP="00E079A6">
            <w:pPr>
              <w:jc w:val="center"/>
              <w:rPr>
                <w:rFonts w:ascii="Arial" w:hAnsi="Arial" w:cs="Arial"/>
                <w:i/>
                <w:sz w:val="16"/>
                <w:lang w:val="es-ES_tradnl"/>
              </w:rPr>
            </w:pPr>
            <w:r>
              <w:rPr>
                <w:rFonts w:ascii="Arial" w:hAnsi="Arial" w:cs="Arial"/>
                <w:i/>
                <w:sz w:val="16"/>
                <w:lang w:val="es-ES_tradnl"/>
              </w:rPr>
              <w:t>26,8</w:t>
            </w:r>
            <w:r w:rsidR="007E1B6E">
              <w:rPr>
                <w:rFonts w:ascii="Arial" w:hAnsi="Arial" w:cs="Arial"/>
                <w:i/>
                <w:sz w:val="16"/>
                <w:lang w:val="es-ES_tradnl"/>
              </w:rPr>
              <w:t xml:space="preserve"> meses (0,3-37,1 meses) para población HRR+</w:t>
            </w:r>
          </w:p>
        </w:tc>
      </w:tr>
      <w:tr w:rsidR="00496C66" w14:paraId="48B97E67" w14:textId="77777777" w:rsidTr="00D25C33">
        <w:trPr>
          <w:trHeight w:val="698"/>
        </w:trPr>
        <w:tc>
          <w:tcPr>
            <w:tcW w:w="1003" w:type="dxa"/>
            <w:vMerge w:val="restart"/>
            <w:vAlign w:val="center"/>
          </w:tcPr>
          <w:p w14:paraId="08C2821D" w14:textId="77777777" w:rsidR="00496C66" w:rsidRDefault="00496C66" w:rsidP="00E079A6">
            <w:pPr>
              <w:snapToGrid w:val="0"/>
              <w:jc w:val="center"/>
              <w:rPr>
                <w:rFonts w:ascii="Arial" w:hAnsi="Arial" w:cs="Arial"/>
                <w:b/>
                <w:i/>
                <w:sz w:val="16"/>
              </w:rPr>
            </w:pPr>
            <w:r>
              <w:rPr>
                <w:rFonts w:ascii="Arial" w:hAnsi="Arial" w:cs="Arial"/>
                <w:b/>
                <w:i/>
                <w:sz w:val="16"/>
              </w:rPr>
              <w:t>Variable</w:t>
            </w:r>
          </w:p>
          <w:p w14:paraId="290642B8" w14:textId="77777777" w:rsidR="00496C66" w:rsidRDefault="00496C66" w:rsidP="00E079A6">
            <w:pPr>
              <w:snapToGrid w:val="0"/>
              <w:jc w:val="center"/>
              <w:rPr>
                <w:rFonts w:ascii="Arial" w:hAnsi="Arial" w:cs="Arial"/>
                <w:b/>
                <w:i/>
                <w:sz w:val="16"/>
              </w:rPr>
            </w:pPr>
            <w:r>
              <w:rPr>
                <w:rFonts w:ascii="Arial" w:hAnsi="Arial" w:cs="Arial"/>
                <w:b/>
                <w:i/>
                <w:sz w:val="16"/>
              </w:rPr>
              <w:t>principal</w:t>
            </w:r>
          </w:p>
        </w:tc>
        <w:tc>
          <w:tcPr>
            <w:tcW w:w="2469" w:type="dxa"/>
          </w:tcPr>
          <w:p w14:paraId="703A4F71" w14:textId="77777777" w:rsidR="00496C66" w:rsidRDefault="00496C66" w:rsidP="00E079A6">
            <w:pPr>
              <w:snapToGrid w:val="0"/>
              <w:jc w:val="both"/>
              <w:rPr>
                <w:rFonts w:ascii="Arial" w:hAnsi="Arial" w:cs="Arial"/>
                <w:b/>
                <w:i/>
                <w:sz w:val="16"/>
              </w:rPr>
            </w:pPr>
          </w:p>
          <w:p w14:paraId="0806A55E" w14:textId="77777777" w:rsidR="00496C66" w:rsidRPr="00A62371" w:rsidRDefault="00496C66" w:rsidP="00E079A6">
            <w:pPr>
              <w:snapToGrid w:val="0"/>
              <w:jc w:val="both"/>
              <w:rPr>
                <w:rFonts w:ascii="Arial" w:hAnsi="Arial" w:cs="Arial"/>
                <w:b/>
                <w:sz w:val="16"/>
              </w:rPr>
            </w:pPr>
            <w:r w:rsidRPr="00A62371">
              <w:rPr>
                <w:rFonts w:ascii="Arial" w:hAnsi="Arial" w:cs="Arial"/>
                <w:b/>
                <w:sz w:val="16"/>
              </w:rPr>
              <w:t>Pacientes HRR+</w:t>
            </w:r>
          </w:p>
          <w:p w14:paraId="0202B409" w14:textId="77777777" w:rsidR="00496C66" w:rsidRDefault="00496C66" w:rsidP="00E079A6">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 xml:space="preserve">SLPr (meses), mediana </w:t>
            </w:r>
          </w:p>
          <w:p w14:paraId="3CC1692E" w14:textId="77777777" w:rsidR="00496C66" w:rsidRDefault="00496C66" w:rsidP="00E079A6">
            <w:pPr>
              <w:snapToGrid w:val="0"/>
              <w:jc w:val="both"/>
              <w:rPr>
                <w:rFonts w:ascii="Arial" w:hAnsi="Arial" w:cs="Arial"/>
                <w:b/>
                <w:i/>
                <w:sz w:val="16"/>
              </w:rPr>
            </w:pPr>
            <w:r>
              <w:rPr>
                <w:rFonts w:ascii="Arial" w:hAnsi="Arial" w:cs="Arial"/>
                <w:i/>
                <w:sz w:val="16"/>
              </w:rPr>
              <w:t xml:space="preserve">           </w:t>
            </w:r>
          </w:p>
        </w:tc>
        <w:tc>
          <w:tcPr>
            <w:tcW w:w="993" w:type="dxa"/>
          </w:tcPr>
          <w:p w14:paraId="62ECCE1F" w14:textId="77777777" w:rsidR="00496C66" w:rsidRDefault="00496C66" w:rsidP="00E079A6">
            <w:pPr>
              <w:snapToGrid w:val="0"/>
              <w:jc w:val="center"/>
              <w:rPr>
                <w:rFonts w:ascii="Arial" w:hAnsi="Arial" w:cs="Arial"/>
                <w:i/>
                <w:sz w:val="16"/>
              </w:rPr>
            </w:pPr>
          </w:p>
          <w:p w14:paraId="31AC65E3" w14:textId="77777777" w:rsidR="00496C66" w:rsidRDefault="00496C66" w:rsidP="00E079A6">
            <w:pPr>
              <w:snapToGrid w:val="0"/>
              <w:jc w:val="center"/>
              <w:rPr>
                <w:rFonts w:ascii="Arial" w:hAnsi="Arial" w:cs="Arial"/>
                <w:i/>
                <w:sz w:val="16"/>
              </w:rPr>
            </w:pPr>
            <w:r>
              <w:rPr>
                <w:rFonts w:ascii="Arial" w:hAnsi="Arial" w:cs="Arial"/>
                <w:i/>
                <w:sz w:val="16"/>
              </w:rPr>
              <w:t>16,66</w:t>
            </w:r>
          </w:p>
          <w:p w14:paraId="3DCD7B26" w14:textId="77777777" w:rsidR="00496C66" w:rsidRDefault="00496C66" w:rsidP="00E079A6">
            <w:pPr>
              <w:snapToGrid w:val="0"/>
              <w:jc w:val="center"/>
              <w:rPr>
                <w:rFonts w:ascii="Arial" w:hAnsi="Arial" w:cs="Arial"/>
                <w:i/>
                <w:sz w:val="16"/>
              </w:rPr>
            </w:pPr>
          </w:p>
          <w:p w14:paraId="0EFA37CD" w14:textId="77777777" w:rsidR="00496C66" w:rsidRDefault="00496C66" w:rsidP="00E079A6">
            <w:pPr>
              <w:snapToGrid w:val="0"/>
              <w:jc w:val="center"/>
              <w:rPr>
                <w:rFonts w:ascii="Arial" w:hAnsi="Arial" w:cs="Arial"/>
                <w:i/>
                <w:sz w:val="16"/>
              </w:rPr>
            </w:pPr>
          </w:p>
        </w:tc>
        <w:tc>
          <w:tcPr>
            <w:tcW w:w="992" w:type="dxa"/>
          </w:tcPr>
          <w:p w14:paraId="303B6287" w14:textId="77777777" w:rsidR="00496C66" w:rsidRDefault="00496C66" w:rsidP="00E079A6">
            <w:pPr>
              <w:jc w:val="center"/>
              <w:rPr>
                <w:rFonts w:ascii="Arial" w:hAnsi="Arial" w:cs="Arial"/>
                <w:i/>
                <w:sz w:val="16"/>
              </w:rPr>
            </w:pPr>
          </w:p>
          <w:p w14:paraId="713FB194" w14:textId="77777777" w:rsidR="00496C66" w:rsidRDefault="00496C66" w:rsidP="00E079A6">
            <w:pPr>
              <w:jc w:val="center"/>
              <w:rPr>
                <w:rFonts w:ascii="Arial" w:hAnsi="Arial" w:cs="Arial"/>
                <w:i/>
                <w:sz w:val="16"/>
              </w:rPr>
            </w:pPr>
            <w:r>
              <w:rPr>
                <w:rFonts w:ascii="Arial" w:hAnsi="Arial" w:cs="Arial"/>
                <w:i/>
                <w:sz w:val="16"/>
              </w:rPr>
              <w:t>13,67</w:t>
            </w:r>
          </w:p>
          <w:p w14:paraId="338C611E" w14:textId="77777777" w:rsidR="00496C66" w:rsidRDefault="00496C66" w:rsidP="00E079A6">
            <w:pPr>
              <w:jc w:val="center"/>
              <w:rPr>
                <w:rFonts w:ascii="Arial" w:hAnsi="Arial" w:cs="Arial"/>
                <w:i/>
                <w:sz w:val="16"/>
              </w:rPr>
            </w:pPr>
          </w:p>
          <w:p w14:paraId="2B769A89" w14:textId="77777777" w:rsidR="00496C66" w:rsidRDefault="00496C66" w:rsidP="00E079A6">
            <w:pPr>
              <w:jc w:val="center"/>
              <w:rPr>
                <w:rFonts w:ascii="Arial" w:hAnsi="Arial" w:cs="Arial"/>
                <w:i/>
                <w:sz w:val="16"/>
              </w:rPr>
            </w:pPr>
          </w:p>
        </w:tc>
        <w:tc>
          <w:tcPr>
            <w:tcW w:w="1417" w:type="dxa"/>
            <w:vMerge/>
          </w:tcPr>
          <w:p w14:paraId="00133D0F" w14:textId="77777777" w:rsidR="00496C66" w:rsidRDefault="00496C66" w:rsidP="00E079A6">
            <w:pPr>
              <w:jc w:val="center"/>
              <w:rPr>
                <w:rFonts w:ascii="Arial" w:hAnsi="Arial" w:cs="Arial"/>
                <w:i/>
                <w:sz w:val="16"/>
              </w:rPr>
            </w:pPr>
          </w:p>
        </w:tc>
        <w:tc>
          <w:tcPr>
            <w:tcW w:w="710" w:type="dxa"/>
            <w:vMerge/>
          </w:tcPr>
          <w:p w14:paraId="7D1A2044" w14:textId="77777777" w:rsidR="00496C66" w:rsidRDefault="00496C66" w:rsidP="00E079A6">
            <w:pPr>
              <w:jc w:val="center"/>
              <w:rPr>
                <w:rFonts w:ascii="Arial" w:hAnsi="Arial" w:cs="Arial"/>
                <w:i/>
                <w:sz w:val="16"/>
              </w:rPr>
            </w:pPr>
          </w:p>
        </w:tc>
        <w:tc>
          <w:tcPr>
            <w:tcW w:w="1275" w:type="dxa"/>
            <w:vMerge/>
            <w:vAlign w:val="center"/>
          </w:tcPr>
          <w:p w14:paraId="6E54DD44" w14:textId="77777777" w:rsidR="00496C66" w:rsidRDefault="00496C66" w:rsidP="00E079A6">
            <w:pPr>
              <w:jc w:val="center"/>
              <w:rPr>
                <w:rFonts w:ascii="Arial" w:hAnsi="Arial" w:cs="Arial"/>
                <w:i/>
                <w:sz w:val="16"/>
                <w:lang w:val="es-ES_tradnl"/>
              </w:rPr>
            </w:pPr>
          </w:p>
        </w:tc>
      </w:tr>
      <w:tr w:rsidR="00496C66" w14:paraId="5E18E625" w14:textId="77777777" w:rsidTr="00D25C33">
        <w:trPr>
          <w:trHeight w:val="211"/>
        </w:trPr>
        <w:tc>
          <w:tcPr>
            <w:tcW w:w="1003" w:type="dxa"/>
            <w:vMerge/>
          </w:tcPr>
          <w:p w14:paraId="0F330346" w14:textId="77777777" w:rsidR="00496C66" w:rsidRDefault="00496C66" w:rsidP="00E079A6">
            <w:pPr>
              <w:snapToGrid w:val="0"/>
              <w:jc w:val="both"/>
              <w:rPr>
                <w:rFonts w:ascii="Arial" w:hAnsi="Arial" w:cs="Arial"/>
                <w:i/>
                <w:sz w:val="16"/>
              </w:rPr>
            </w:pPr>
          </w:p>
        </w:tc>
        <w:tc>
          <w:tcPr>
            <w:tcW w:w="2469" w:type="dxa"/>
            <w:vMerge w:val="restart"/>
          </w:tcPr>
          <w:p w14:paraId="33113D57" w14:textId="77777777" w:rsidR="00496C66" w:rsidRDefault="00496C66" w:rsidP="00E079A6">
            <w:pPr>
              <w:snapToGrid w:val="0"/>
              <w:jc w:val="both"/>
              <w:rPr>
                <w:rFonts w:ascii="Arial" w:hAnsi="Arial" w:cs="Arial"/>
                <w:i/>
                <w:sz w:val="16"/>
              </w:rPr>
            </w:pPr>
          </w:p>
          <w:p w14:paraId="376B1330" w14:textId="77777777" w:rsidR="00496C66" w:rsidRDefault="00496C66" w:rsidP="00E079A6">
            <w:pPr>
              <w:snapToGrid w:val="0"/>
              <w:jc w:val="both"/>
              <w:rPr>
                <w:rFonts w:ascii="Arial" w:hAnsi="Arial" w:cs="Arial"/>
                <w:i/>
                <w:sz w:val="16"/>
              </w:rPr>
            </w:pPr>
          </w:p>
          <w:p w14:paraId="21CBF773" w14:textId="77777777" w:rsidR="00496C66" w:rsidRDefault="00496C66" w:rsidP="00E079A6">
            <w:pPr>
              <w:snapToGrid w:val="0"/>
              <w:jc w:val="both"/>
              <w:rPr>
                <w:rFonts w:ascii="Arial" w:hAnsi="Arial" w:cs="Arial"/>
                <w:i/>
                <w:sz w:val="16"/>
              </w:rPr>
            </w:pPr>
          </w:p>
          <w:p w14:paraId="28E0B68B" w14:textId="77777777" w:rsidR="00496C66" w:rsidRPr="00A62371" w:rsidRDefault="00496C66" w:rsidP="00E079A6">
            <w:pPr>
              <w:snapToGrid w:val="0"/>
              <w:jc w:val="both"/>
              <w:rPr>
                <w:rFonts w:ascii="Arial" w:hAnsi="Arial" w:cs="Arial"/>
                <w:b/>
                <w:sz w:val="16"/>
              </w:rPr>
            </w:pPr>
            <w:r w:rsidRPr="00A62371">
              <w:rPr>
                <w:rFonts w:ascii="Arial" w:hAnsi="Arial" w:cs="Arial"/>
                <w:b/>
                <w:sz w:val="16"/>
              </w:rPr>
              <w:t>Subgrupo BRCA1/2</w:t>
            </w:r>
          </w:p>
          <w:p w14:paraId="4FC7BC13" w14:textId="77777777" w:rsidR="00496C66" w:rsidRDefault="00496C66" w:rsidP="00E079A6">
            <w:pPr>
              <w:snapToGrid w:val="0"/>
              <w:jc w:val="both"/>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 xml:space="preserve">SLPr  (meses), mediana </w:t>
            </w:r>
          </w:p>
          <w:p w14:paraId="3C870CFA" w14:textId="77777777" w:rsidR="00496C66" w:rsidRDefault="00496C66" w:rsidP="00E079A6">
            <w:pPr>
              <w:snapToGrid w:val="0"/>
              <w:jc w:val="both"/>
              <w:rPr>
                <w:rFonts w:ascii="Arial" w:hAnsi="Arial" w:cs="Arial"/>
                <w:b/>
                <w:i/>
                <w:sz w:val="16"/>
              </w:rPr>
            </w:pPr>
            <w:r>
              <w:rPr>
                <w:rFonts w:ascii="Arial" w:hAnsi="Arial" w:cs="Arial"/>
                <w:i/>
                <w:sz w:val="16"/>
              </w:rPr>
              <w:t xml:space="preserve">          </w:t>
            </w:r>
          </w:p>
        </w:tc>
        <w:tc>
          <w:tcPr>
            <w:tcW w:w="993" w:type="dxa"/>
            <w:shd w:val="clear" w:color="auto" w:fill="D9D9D9"/>
          </w:tcPr>
          <w:p w14:paraId="2409B820" w14:textId="6EEBB8D6" w:rsidR="00496C66" w:rsidRDefault="008B2E57" w:rsidP="00E079A6">
            <w:pPr>
              <w:snapToGrid w:val="0"/>
              <w:jc w:val="center"/>
              <w:rPr>
                <w:rFonts w:ascii="Arial" w:hAnsi="Arial" w:cs="Arial"/>
                <w:i/>
                <w:sz w:val="16"/>
              </w:rPr>
            </w:pPr>
            <w:r>
              <w:rPr>
                <w:rFonts w:ascii="Arial" w:hAnsi="Arial" w:cs="Arial"/>
                <w:i/>
                <w:sz w:val="16"/>
              </w:rPr>
              <w:t>N=113</w:t>
            </w:r>
          </w:p>
        </w:tc>
        <w:tc>
          <w:tcPr>
            <w:tcW w:w="992" w:type="dxa"/>
            <w:shd w:val="clear" w:color="auto" w:fill="D9D9D9"/>
          </w:tcPr>
          <w:p w14:paraId="23E96D48" w14:textId="5C7B19DF" w:rsidR="00496C66" w:rsidRDefault="008B2E57" w:rsidP="00E079A6">
            <w:pPr>
              <w:jc w:val="center"/>
              <w:rPr>
                <w:rFonts w:ascii="Arial" w:hAnsi="Arial" w:cs="Arial"/>
                <w:i/>
                <w:sz w:val="16"/>
              </w:rPr>
            </w:pPr>
            <w:r>
              <w:rPr>
                <w:rFonts w:ascii="Arial" w:hAnsi="Arial" w:cs="Arial"/>
                <w:i/>
                <w:sz w:val="16"/>
              </w:rPr>
              <w:t>N=112</w:t>
            </w:r>
          </w:p>
        </w:tc>
        <w:tc>
          <w:tcPr>
            <w:tcW w:w="1417" w:type="dxa"/>
            <w:vMerge/>
          </w:tcPr>
          <w:p w14:paraId="4D122BD6" w14:textId="77777777" w:rsidR="00496C66" w:rsidRDefault="00496C66" w:rsidP="00E079A6">
            <w:pPr>
              <w:jc w:val="center"/>
              <w:rPr>
                <w:rFonts w:ascii="Arial" w:hAnsi="Arial" w:cs="Arial"/>
                <w:i/>
                <w:sz w:val="16"/>
              </w:rPr>
            </w:pPr>
          </w:p>
        </w:tc>
        <w:tc>
          <w:tcPr>
            <w:tcW w:w="710" w:type="dxa"/>
            <w:vMerge/>
          </w:tcPr>
          <w:p w14:paraId="4D2891EC" w14:textId="77777777" w:rsidR="00496C66" w:rsidRDefault="00496C66" w:rsidP="00E079A6">
            <w:pPr>
              <w:jc w:val="center"/>
              <w:rPr>
                <w:rFonts w:ascii="Arial" w:hAnsi="Arial" w:cs="Arial"/>
                <w:i/>
                <w:sz w:val="16"/>
              </w:rPr>
            </w:pPr>
          </w:p>
        </w:tc>
        <w:tc>
          <w:tcPr>
            <w:tcW w:w="1275" w:type="dxa"/>
            <w:vMerge/>
            <w:vAlign w:val="center"/>
          </w:tcPr>
          <w:p w14:paraId="2872FB21" w14:textId="77777777" w:rsidR="00496C66" w:rsidRDefault="00496C66" w:rsidP="00E079A6">
            <w:pPr>
              <w:jc w:val="center"/>
              <w:rPr>
                <w:rFonts w:ascii="Arial" w:hAnsi="Arial" w:cs="Arial"/>
                <w:i/>
                <w:sz w:val="16"/>
                <w:lang w:val="es-ES_tradnl"/>
              </w:rPr>
            </w:pPr>
          </w:p>
        </w:tc>
      </w:tr>
      <w:tr w:rsidR="00496C66" w14:paraId="3DF53A1E" w14:textId="77777777" w:rsidTr="00D25C33">
        <w:trPr>
          <w:trHeight w:val="1096"/>
        </w:trPr>
        <w:tc>
          <w:tcPr>
            <w:tcW w:w="1003" w:type="dxa"/>
            <w:vMerge/>
          </w:tcPr>
          <w:p w14:paraId="7C420C61" w14:textId="77777777" w:rsidR="00496C66" w:rsidRDefault="00496C66" w:rsidP="00E079A6">
            <w:pPr>
              <w:snapToGrid w:val="0"/>
              <w:jc w:val="both"/>
              <w:rPr>
                <w:rFonts w:ascii="Arial" w:hAnsi="Arial" w:cs="Arial"/>
                <w:b/>
                <w:i/>
                <w:sz w:val="16"/>
              </w:rPr>
            </w:pPr>
          </w:p>
        </w:tc>
        <w:tc>
          <w:tcPr>
            <w:tcW w:w="2469" w:type="dxa"/>
            <w:vMerge/>
          </w:tcPr>
          <w:p w14:paraId="0CE1D782" w14:textId="77777777" w:rsidR="00496C66" w:rsidRDefault="00496C66" w:rsidP="00E079A6">
            <w:pPr>
              <w:snapToGrid w:val="0"/>
              <w:jc w:val="both"/>
              <w:rPr>
                <w:rFonts w:ascii="Arial" w:hAnsi="Arial" w:cs="Arial"/>
                <w:b/>
                <w:i/>
                <w:sz w:val="16"/>
              </w:rPr>
            </w:pPr>
          </w:p>
        </w:tc>
        <w:tc>
          <w:tcPr>
            <w:tcW w:w="993" w:type="dxa"/>
          </w:tcPr>
          <w:p w14:paraId="4F1549DA" w14:textId="77777777" w:rsidR="00496C66" w:rsidRDefault="00496C66" w:rsidP="00E079A6">
            <w:pPr>
              <w:snapToGrid w:val="0"/>
              <w:jc w:val="center"/>
              <w:rPr>
                <w:rFonts w:ascii="Arial" w:hAnsi="Arial" w:cs="Arial"/>
                <w:i/>
                <w:sz w:val="16"/>
              </w:rPr>
            </w:pPr>
          </w:p>
          <w:p w14:paraId="7EBF0FCD" w14:textId="77777777" w:rsidR="00496C66" w:rsidRDefault="00496C66" w:rsidP="00E079A6">
            <w:pPr>
              <w:snapToGrid w:val="0"/>
              <w:jc w:val="center"/>
              <w:rPr>
                <w:rFonts w:ascii="Arial" w:hAnsi="Arial" w:cs="Arial"/>
                <w:i/>
                <w:sz w:val="16"/>
              </w:rPr>
            </w:pPr>
          </w:p>
          <w:p w14:paraId="02CE22FD" w14:textId="77777777" w:rsidR="00496C66" w:rsidRDefault="00496C66" w:rsidP="00E079A6">
            <w:pPr>
              <w:snapToGrid w:val="0"/>
              <w:jc w:val="center"/>
              <w:rPr>
                <w:rFonts w:ascii="Arial" w:hAnsi="Arial" w:cs="Arial"/>
                <w:i/>
                <w:sz w:val="16"/>
              </w:rPr>
            </w:pPr>
          </w:p>
          <w:p w14:paraId="3920EC99" w14:textId="77777777" w:rsidR="00496C66" w:rsidRDefault="00496C66" w:rsidP="00E079A6">
            <w:pPr>
              <w:snapToGrid w:val="0"/>
              <w:jc w:val="center"/>
              <w:rPr>
                <w:rFonts w:ascii="Arial" w:hAnsi="Arial" w:cs="Arial"/>
                <w:i/>
                <w:sz w:val="16"/>
              </w:rPr>
            </w:pPr>
            <w:r>
              <w:rPr>
                <w:rFonts w:ascii="Arial" w:hAnsi="Arial" w:cs="Arial"/>
                <w:i/>
                <w:sz w:val="16"/>
              </w:rPr>
              <w:t>19,52</w:t>
            </w:r>
          </w:p>
          <w:p w14:paraId="3F217543" w14:textId="77777777" w:rsidR="00496C66" w:rsidRDefault="00496C66" w:rsidP="00E079A6">
            <w:pPr>
              <w:snapToGrid w:val="0"/>
              <w:jc w:val="center"/>
              <w:rPr>
                <w:rFonts w:ascii="Arial" w:hAnsi="Arial" w:cs="Arial"/>
                <w:i/>
                <w:sz w:val="16"/>
              </w:rPr>
            </w:pPr>
          </w:p>
        </w:tc>
        <w:tc>
          <w:tcPr>
            <w:tcW w:w="992" w:type="dxa"/>
          </w:tcPr>
          <w:p w14:paraId="019C675B" w14:textId="77777777" w:rsidR="00496C66" w:rsidRDefault="00496C66" w:rsidP="00E079A6">
            <w:pPr>
              <w:jc w:val="center"/>
              <w:rPr>
                <w:rFonts w:ascii="Arial" w:hAnsi="Arial" w:cs="Arial"/>
                <w:i/>
                <w:sz w:val="16"/>
              </w:rPr>
            </w:pPr>
          </w:p>
          <w:p w14:paraId="6835C3A1" w14:textId="77777777" w:rsidR="00496C66" w:rsidRDefault="00496C66" w:rsidP="00E079A6">
            <w:pPr>
              <w:jc w:val="center"/>
              <w:rPr>
                <w:rFonts w:ascii="Arial" w:hAnsi="Arial" w:cs="Arial"/>
                <w:i/>
                <w:sz w:val="16"/>
              </w:rPr>
            </w:pPr>
          </w:p>
          <w:p w14:paraId="719EF2D2" w14:textId="77777777" w:rsidR="00496C66" w:rsidRDefault="00496C66" w:rsidP="00E079A6">
            <w:pPr>
              <w:jc w:val="center"/>
              <w:rPr>
                <w:rFonts w:ascii="Arial" w:hAnsi="Arial" w:cs="Arial"/>
                <w:i/>
                <w:sz w:val="16"/>
              </w:rPr>
            </w:pPr>
          </w:p>
          <w:p w14:paraId="79D646D7" w14:textId="77777777" w:rsidR="00496C66" w:rsidRDefault="00496C66" w:rsidP="00E079A6">
            <w:pPr>
              <w:jc w:val="center"/>
              <w:rPr>
                <w:rFonts w:ascii="Arial" w:hAnsi="Arial" w:cs="Arial"/>
                <w:i/>
                <w:sz w:val="16"/>
              </w:rPr>
            </w:pPr>
            <w:r>
              <w:rPr>
                <w:rFonts w:ascii="Arial" w:hAnsi="Arial" w:cs="Arial"/>
                <w:i/>
                <w:sz w:val="16"/>
              </w:rPr>
              <w:t>10,87</w:t>
            </w:r>
          </w:p>
          <w:p w14:paraId="2C689D51" w14:textId="77777777" w:rsidR="00496C66" w:rsidRDefault="00496C66" w:rsidP="00E079A6">
            <w:pPr>
              <w:jc w:val="center"/>
              <w:rPr>
                <w:rFonts w:ascii="Arial" w:hAnsi="Arial" w:cs="Arial"/>
                <w:i/>
                <w:sz w:val="16"/>
              </w:rPr>
            </w:pPr>
          </w:p>
        </w:tc>
        <w:tc>
          <w:tcPr>
            <w:tcW w:w="1417" w:type="dxa"/>
            <w:vMerge/>
          </w:tcPr>
          <w:p w14:paraId="446805F7" w14:textId="77777777" w:rsidR="00496C66" w:rsidRDefault="00496C66" w:rsidP="00E079A6">
            <w:pPr>
              <w:jc w:val="center"/>
              <w:rPr>
                <w:rFonts w:ascii="Arial" w:hAnsi="Arial" w:cs="Arial"/>
                <w:i/>
                <w:sz w:val="16"/>
              </w:rPr>
            </w:pPr>
          </w:p>
        </w:tc>
        <w:tc>
          <w:tcPr>
            <w:tcW w:w="710" w:type="dxa"/>
            <w:vMerge/>
          </w:tcPr>
          <w:p w14:paraId="65B9B0E4" w14:textId="77777777" w:rsidR="00496C66" w:rsidRDefault="00496C66" w:rsidP="00E079A6">
            <w:pPr>
              <w:jc w:val="center"/>
              <w:rPr>
                <w:rFonts w:ascii="Arial" w:hAnsi="Arial" w:cs="Arial"/>
                <w:i/>
                <w:sz w:val="16"/>
              </w:rPr>
            </w:pPr>
          </w:p>
        </w:tc>
        <w:tc>
          <w:tcPr>
            <w:tcW w:w="1275" w:type="dxa"/>
            <w:vMerge/>
            <w:vAlign w:val="center"/>
          </w:tcPr>
          <w:p w14:paraId="1FC404B4" w14:textId="77777777" w:rsidR="00496C66" w:rsidRDefault="00496C66" w:rsidP="00E079A6">
            <w:pPr>
              <w:jc w:val="center"/>
              <w:rPr>
                <w:rFonts w:ascii="Arial" w:hAnsi="Arial" w:cs="Arial"/>
                <w:i/>
                <w:sz w:val="16"/>
                <w:lang w:val="es-ES_tradnl"/>
              </w:rPr>
            </w:pPr>
          </w:p>
        </w:tc>
      </w:tr>
      <w:tr w:rsidR="00496C66" w:rsidRPr="006F6ABB" w14:paraId="5A48CCD7" w14:textId="77777777" w:rsidTr="00D25C33">
        <w:trPr>
          <w:trHeight w:val="240"/>
        </w:trPr>
        <w:tc>
          <w:tcPr>
            <w:tcW w:w="1003" w:type="dxa"/>
            <w:vMerge w:val="restart"/>
            <w:vAlign w:val="center"/>
          </w:tcPr>
          <w:p w14:paraId="03C36ABE" w14:textId="77777777" w:rsidR="00496C66" w:rsidRDefault="00496C66" w:rsidP="00E079A6">
            <w:pPr>
              <w:snapToGrid w:val="0"/>
              <w:jc w:val="center"/>
              <w:rPr>
                <w:rFonts w:ascii="Arial" w:hAnsi="Arial" w:cs="Arial"/>
                <w:i/>
                <w:sz w:val="16"/>
              </w:rPr>
            </w:pPr>
            <w:r>
              <w:rPr>
                <w:rFonts w:ascii="Arial" w:hAnsi="Arial" w:cs="Arial"/>
                <w:i/>
                <w:sz w:val="16"/>
              </w:rPr>
              <w:t>Variables secundarias</w:t>
            </w:r>
          </w:p>
        </w:tc>
        <w:tc>
          <w:tcPr>
            <w:tcW w:w="2469" w:type="dxa"/>
            <w:vMerge w:val="restart"/>
          </w:tcPr>
          <w:p w14:paraId="7AE2A654" w14:textId="77777777" w:rsidR="00496C66" w:rsidRDefault="00496C66" w:rsidP="00E079A6">
            <w:pPr>
              <w:snapToGrid w:val="0"/>
              <w:jc w:val="both"/>
              <w:rPr>
                <w:rFonts w:ascii="Arial" w:hAnsi="Arial" w:cs="Arial"/>
                <w:i/>
                <w:sz w:val="16"/>
              </w:rPr>
            </w:pPr>
          </w:p>
          <w:p w14:paraId="6413E444" w14:textId="77777777" w:rsidR="00496C66" w:rsidRDefault="00496C66" w:rsidP="00E079A6">
            <w:pPr>
              <w:snapToGrid w:val="0"/>
              <w:jc w:val="both"/>
              <w:rPr>
                <w:rFonts w:ascii="Arial" w:hAnsi="Arial" w:cs="Arial"/>
                <w:i/>
                <w:sz w:val="16"/>
              </w:rPr>
            </w:pPr>
          </w:p>
          <w:p w14:paraId="6A28F95D" w14:textId="77777777" w:rsidR="00496C66" w:rsidRDefault="00496C66" w:rsidP="00E079A6">
            <w:pPr>
              <w:snapToGrid w:val="0"/>
              <w:jc w:val="both"/>
              <w:rPr>
                <w:rFonts w:ascii="Arial" w:hAnsi="Arial" w:cs="Arial"/>
                <w:i/>
                <w:sz w:val="16"/>
              </w:rPr>
            </w:pPr>
          </w:p>
          <w:p w14:paraId="40F35DDF" w14:textId="77777777" w:rsidR="00496C66" w:rsidRPr="00A62371" w:rsidRDefault="00496C66" w:rsidP="00E079A6">
            <w:pPr>
              <w:snapToGrid w:val="0"/>
              <w:jc w:val="both"/>
              <w:rPr>
                <w:rFonts w:ascii="Arial" w:hAnsi="Arial" w:cs="Arial"/>
                <w:sz w:val="16"/>
              </w:rPr>
            </w:pPr>
            <w:r w:rsidRPr="00A62371">
              <w:rPr>
                <w:rFonts w:ascii="Arial" w:hAnsi="Arial" w:cs="Arial"/>
                <w:b/>
                <w:sz w:val="16"/>
              </w:rPr>
              <w:t>Pacientes HRR+</w:t>
            </w:r>
          </w:p>
          <w:p w14:paraId="5364FBDE" w14:textId="77777777" w:rsidR="00496C66" w:rsidRDefault="00496C66" w:rsidP="00E079A6">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Tiempo hasta inicio de tratamiento citotóxico quimioterápico (TIQ) (meses), mediana</w:t>
            </w:r>
          </w:p>
          <w:p w14:paraId="641F54E7" w14:textId="77777777" w:rsidR="00496C66" w:rsidRPr="006F6ABB" w:rsidRDefault="00496C66" w:rsidP="00E079A6">
            <w:pPr>
              <w:snapToGrid w:val="0"/>
              <w:jc w:val="both"/>
              <w:rPr>
                <w:rFonts w:ascii="Arial" w:hAnsi="Arial" w:cs="Arial"/>
                <w:i/>
                <w:sz w:val="16"/>
              </w:rPr>
            </w:pPr>
          </w:p>
          <w:p w14:paraId="21091948" w14:textId="77777777" w:rsidR="00496C66" w:rsidRDefault="00496C66" w:rsidP="00E079A6">
            <w:pPr>
              <w:snapToGrid w:val="0"/>
              <w:jc w:val="both"/>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SG (meses), mediana</w:t>
            </w:r>
          </w:p>
          <w:p w14:paraId="751BA031" w14:textId="77777777" w:rsidR="00496C66" w:rsidRDefault="00496C66" w:rsidP="00E079A6">
            <w:pPr>
              <w:snapToGrid w:val="0"/>
              <w:jc w:val="both"/>
              <w:rPr>
                <w:rFonts w:ascii="Arial" w:hAnsi="Arial" w:cs="Arial"/>
                <w:i/>
                <w:sz w:val="16"/>
              </w:rPr>
            </w:pPr>
          </w:p>
          <w:p w14:paraId="3FDD6B1E" w14:textId="77777777" w:rsidR="00496C66" w:rsidRDefault="00496C66" w:rsidP="00E079A6">
            <w:pPr>
              <w:snapToGrid w:val="0"/>
              <w:jc w:val="both"/>
              <w:rPr>
                <w:rFonts w:ascii="Arial" w:hAnsi="Arial" w:cs="Arial"/>
                <w:i/>
                <w:sz w:val="16"/>
              </w:rPr>
            </w:pPr>
            <w:r>
              <w:rPr>
                <w:rFonts w:ascii="Arial" w:hAnsi="Arial" w:cs="Arial"/>
                <w:i/>
                <w:sz w:val="16"/>
              </w:rPr>
              <w:t xml:space="preserve">          -Tiempo hasta progresión sintomática (TPS) (meses), mediana</w:t>
            </w:r>
          </w:p>
          <w:p w14:paraId="2C63265B" w14:textId="77777777" w:rsidR="00496C66" w:rsidRPr="006F6ABB" w:rsidRDefault="00496C66" w:rsidP="00E079A6">
            <w:pPr>
              <w:snapToGrid w:val="0"/>
              <w:jc w:val="both"/>
              <w:rPr>
                <w:rFonts w:ascii="Arial" w:hAnsi="Arial" w:cs="Arial"/>
                <w:i/>
                <w:sz w:val="16"/>
              </w:rPr>
            </w:pPr>
            <w:r>
              <w:rPr>
                <w:rFonts w:ascii="Arial" w:hAnsi="Arial" w:cs="Arial"/>
                <w:i/>
                <w:sz w:val="16"/>
              </w:rPr>
              <w:t xml:space="preserve">         </w:t>
            </w:r>
          </w:p>
        </w:tc>
        <w:tc>
          <w:tcPr>
            <w:tcW w:w="993" w:type="dxa"/>
            <w:shd w:val="clear" w:color="auto" w:fill="D9D9D9"/>
          </w:tcPr>
          <w:p w14:paraId="72C33D55" w14:textId="7590F20F" w:rsidR="00496C66" w:rsidRPr="006F6ABB" w:rsidRDefault="008B2E57" w:rsidP="00E079A6">
            <w:pPr>
              <w:snapToGrid w:val="0"/>
              <w:jc w:val="center"/>
              <w:rPr>
                <w:rFonts w:ascii="Arial" w:hAnsi="Arial" w:cs="Arial"/>
                <w:i/>
                <w:sz w:val="16"/>
              </w:rPr>
            </w:pPr>
            <w:r>
              <w:rPr>
                <w:rFonts w:ascii="Arial" w:hAnsi="Arial" w:cs="Arial"/>
                <w:i/>
                <w:sz w:val="16"/>
              </w:rPr>
              <w:t>N=212</w:t>
            </w:r>
          </w:p>
        </w:tc>
        <w:tc>
          <w:tcPr>
            <w:tcW w:w="992" w:type="dxa"/>
            <w:shd w:val="clear" w:color="auto" w:fill="D9D9D9"/>
          </w:tcPr>
          <w:p w14:paraId="4714E2A2" w14:textId="0F71D76E" w:rsidR="00496C66" w:rsidRPr="006F6ABB" w:rsidRDefault="008B2E57" w:rsidP="00E079A6">
            <w:pPr>
              <w:jc w:val="center"/>
              <w:rPr>
                <w:rFonts w:ascii="Arial" w:hAnsi="Arial" w:cs="Arial"/>
                <w:i/>
                <w:sz w:val="16"/>
              </w:rPr>
            </w:pPr>
            <w:r>
              <w:rPr>
                <w:rFonts w:ascii="Arial" w:hAnsi="Arial" w:cs="Arial"/>
                <w:i/>
                <w:sz w:val="16"/>
              </w:rPr>
              <w:t>N=211</w:t>
            </w:r>
          </w:p>
        </w:tc>
        <w:tc>
          <w:tcPr>
            <w:tcW w:w="1417" w:type="dxa"/>
            <w:vMerge w:val="restart"/>
          </w:tcPr>
          <w:p w14:paraId="07474B54" w14:textId="77777777" w:rsidR="00496C66" w:rsidRDefault="00496C66" w:rsidP="00E079A6">
            <w:pPr>
              <w:jc w:val="center"/>
              <w:rPr>
                <w:rFonts w:ascii="Arial" w:hAnsi="Arial" w:cs="Arial"/>
                <w:i/>
                <w:sz w:val="16"/>
              </w:rPr>
            </w:pPr>
          </w:p>
          <w:p w14:paraId="55218D43" w14:textId="77777777" w:rsidR="00496C66" w:rsidRDefault="00496C66" w:rsidP="00E079A6">
            <w:pPr>
              <w:jc w:val="center"/>
              <w:rPr>
                <w:rFonts w:ascii="Arial" w:hAnsi="Arial" w:cs="Arial"/>
                <w:i/>
                <w:sz w:val="16"/>
              </w:rPr>
            </w:pPr>
          </w:p>
          <w:p w14:paraId="03352294" w14:textId="77777777" w:rsidR="00496C66" w:rsidRDefault="00496C66" w:rsidP="00E079A6">
            <w:pPr>
              <w:jc w:val="center"/>
              <w:rPr>
                <w:rFonts w:ascii="Arial" w:hAnsi="Arial" w:cs="Arial"/>
                <w:i/>
                <w:sz w:val="16"/>
              </w:rPr>
            </w:pPr>
          </w:p>
          <w:p w14:paraId="287C3613" w14:textId="77777777" w:rsidR="00496C66" w:rsidRDefault="00496C66" w:rsidP="00E079A6">
            <w:pPr>
              <w:jc w:val="center"/>
              <w:rPr>
                <w:rFonts w:ascii="Arial" w:hAnsi="Arial" w:cs="Arial"/>
                <w:i/>
                <w:sz w:val="16"/>
              </w:rPr>
            </w:pPr>
          </w:p>
          <w:p w14:paraId="4033341F" w14:textId="35F1838D" w:rsidR="00496C66" w:rsidRDefault="00496C66" w:rsidP="00607B92">
            <w:pPr>
              <w:jc w:val="center"/>
              <w:rPr>
                <w:rFonts w:ascii="Arial" w:hAnsi="Arial" w:cs="Arial"/>
                <w:i/>
                <w:sz w:val="16"/>
              </w:rPr>
            </w:pPr>
            <w:r>
              <w:rPr>
                <w:rFonts w:ascii="Arial" w:hAnsi="Arial" w:cs="Arial"/>
                <w:i/>
                <w:sz w:val="16"/>
              </w:rPr>
              <w:t>0,66 (0,47</w:t>
            </w:r>
            <w:r w:rsidR="008B2E57">
              <w:rPr>
                <w:rFonts w:ascii="Arial" w:hAnsi="Arial" w:cs="Arial"/>
                <w:i/>
                <w:sz w:val="16"/>
              </w:rPr>
              <w:t>-</w:t>
            </w:r>
            <w:r>
              <w:rPr>
                <w:rFonts w:ascii="Arial" w:hAnsi="Arial" w:cs="Arial"/>
                <w:i/>
                <w:sz w:val="16"/>
              </w:rPr>
              <w:t>0,94)</w:t>
            </w:r>
          </w:p>
          <w:p w14:paraId="0763631B" w14:textId="77777777" w:rsidR="00496C66" w:rsidRDefault="00496C66" w:rsidP="00607B92">
            <w:pPr>
              <w:jc w:val="center"/>
              <w:rPr>
                <w:rFonts w:ascii="Arial" w:hAnsi="Arial" w:cs="Arial"/>
                <w:i/>
                <w:sz w:val="16"/>
              </w:rPr>
            </w:pPr>
          </w:p>
          <w:p w14:paraId="0ADDAE1F" w14:textId="77777777" w:rsidR="00496C66" w:rsidRDefault="00496C66" w:rsidP="00607B92">
            <w:pPr>
              <w:jc w:val="center"/>
              <w:rPr>
                <w:rFonts w:ascii="Arial" w:hAnsi="Arial" w:cs="Arial"/>
                <w:i/>
                <w:sz w:val="16"/>
              </w:rPr>
            </w:pPr>
          </w:p>
          <w:p w14:paraId="756D8E49" w14:textId="77777777" w:rsidR="00496C66" w:rsidRDefault="00496C66" w:rsidP="00607B92">
            <w:pPr>
              <w:jc w:val="center"/>
              <w:rPr>
                <w:rFonts w:ascii="Arial" w:hAnsi="Arial" w:cs="Arial"/>
                <w:i/>
                <w:sz w:val="16"/>
              </w:rPr>
            </w:pPr>
          </w:p>
          <w:p w14:paraId="06F87B1D" w14:textId="77777777" w:rsidR="00496C66" w:rsidRDefault="00496C66" w:rsidP="00607B92">
            <w:pPr>
              <w:jc w:val="center"/>
              <w:rPr>
                <w:rFonts w:ascii="Arial" w:hAnsi="Arial" w:cs="Arial"/>
                <w:i/>
                <w:sz w:val="16"/>
              </w:rPr>
            </w:pPr>
          </w:p>
          <w:p w14:paraId="0597ACEE" w14:textId="29699110" w:rsidR="00496C66" w:rsidRDefault="00496C66" w:rsidP="00607B92">
            <w:pPr>
              <w:jc w:val="center"/>
              <w:rPr>
                <w:rFonts w:ascii="Arial" w:hAnsi="Arial" w:cs="Arial"/>
                <w:i/>
                <w:sz w:val="16"/>
              </w:rPr>
            </w:pPr>
            <w:r>
              <w:rPr>
                <w:rFonts w:ascii="Arial" w:hAnsi="Arial" w:cs="Arial"/>
                <w:i/>
                <w:sz w:val="16"/>
              </w:rPr>
              <w:t>1,01 (0,75</w:t>
            </w:r>
            <w:r w:rsidR="008B2E57">
              <w:rPr>
                <w:rFonts w:ascii="Arial" w:hAnsi="Arial" w:cs="Arial"/>
                <w:i/>
                <w:sz w:val="16"/>
              </w:rPr>
              <w:t>-</w:t>
            </w:r>
            <w:r>
              <w:rPr>
                <w:rFonts w:ascii="Arial" w:hAnsi="Arial" w:cs="Arial"/>
                <w:i/>
                <w:sz w:val="16"/>
              </w:rPr>
              <w:t>1,36)</w:t>
            </w:r>
          </w:p>
          <w:p w14:paraId="26D1CC14" w14:textId="77777777" w:rsidR="00496C66" w:rsidRDefault="00496C66" w:rsidP="00607B92">
            <w:pPr>
              <w:jc w:val="center"/>
              <w:rPr>
                <w:rFonts w:ascii="Arial" w:hAnsi="Arial" w:cs="Arial"/>
                <w:i/>
                <w:sz w:val="16"/>
              </w:rPr>
            </w:pPr>
          </w:p>
          <w:p w14:paraId="598ED5C9" w14:textId="3F418060" w:rsidR="00496C66" w:rsidRDefault="00496C66" w:rsidP="00607B92">
            <w:pPr>
              <w:jc w:val="center"/>
              <w:rPr>
                <w:rFonts w:ascii="Arial" w:hAnsi="Arial" w:cs="Arial"/>
                <w:i/>
                <w:sz w:val="16"/>
              </w:rPr>
            </w:pPr>
            <w:r>
              <w:rPr>
                <w:rFonts w:ascii="Arial" w:hAnsi="Arial" w:cs="Arial"/>
                <w:i/>
                <w:sz w:val="16"/>
              </w:rPr>
              <w:t>0,60 (0,42</w:t>
            </w:r>
            <w:r w:rsidR="008B2E57">
              <w:rPr>
                <w:rFonts w:ascii="Arial" w:hAnsi="Arial" w:cs="Arial"/>
                <w:i/>
                <w:sz w:val="16"/>
              </w:rPr>
              <w:t>-</w:t>
            </w:r>
            <w:r>
              <w:rPr>
                <w:rFonts w:ascii="Arial" w:hAnsi="Arial" w:cs="Arial"/>
                <w:i/>
                <w:sz w:val="16"/>
              </w:rPr>
              <w:t>0,84)</w:t>
            </w:r>
          </w:p>
          <w:p w14:paraId="57AC548A" w14:textId="77777777" w:rsidR="00496C66" w:rsidRDefault="00496C66" w:rsidP="00607B92">
            <w:pPr>
              <w:jc w:val="center"/>
              <w:rPr>
                <w:rFonts w:ascii="Arial" w:hAnsi="Arial" w:cs="Arial"/>
                <w:i/>
                <w:sz w:val="16"/>
              </w:rPr>
            </w:pPr>
          </w:p>
          <w:p w14:paraId="093407C8" w14:textId="77777777" w:rsidR="00496C66" w:rsidRDefault="00496C66" w:rsidP="00607B92">
            <w:pPr>
              <w:rPr>
                <w:rFonts w:ascii="Arial" w:hAnsi="Arial" w:cs="Arial"/>
                <w:i/>
                <w:sz w:val="16"/>
              </w:rPr>
            </w:pPr>
          </w:p>
          <w:p w14:paraId="2C1B285F" w14:textId="77777777" w:rsidR="00496C66" w:rsidRDefault="00496C66" w:rsidP="00607B92">
            <w:pPr>
              <w:rPr>
                <w:rFonts w:ascii="Arial" w:hAnsi="Arial" w:cs="Arial"/>
                <w:i/>
                <w:sz w:val="16"/>
              </w:rPr>
            </w:pPr>
          </w:p>
          <w:p w14:paraId="28E89E81" w14:textId="77777777" w:rsidR="00496C66" w:rsidRDefault="00496C66" w:rsidP="00607B92">
            <w:pPr>
              <w:rPr>
                <w:rFonts w:ascii="Arial" w:hAnsi="Arial" w:cs="Arial"/>
                <w:i/>
                <w:sz w:val="16"/>
              </w:rPr>
            </w:pPr>
          </w:p>
          <w:p w14:paraId="7F15741B" w14:textId="77777777" w:rsidR="00496C66" w:rsidRDefault="00496C66" w:rsidP="00607B92">
            <w:pPr>
              <w:rPr>
                <w:rFonts w:ascii="Arial" w:hAnsi="Arial" w:cs="Arial"/>
                <w:i/>
                <w:sz w:val="16"/>
              </w:rPr>
            </w:pPr>
          </w:p>
          <w:p w14:paraId="75142751" w14:textId="77777777" w:rsidR="00496C66" w:rsidRDefault="00496C66" w:rsidP="00607B92">
            <w:pPr>
              <w:rPr>
                <w:rFonts w:ascii="Arial" w:hAnsi="Arial" w:cs="Arial"/>
                <w:i/>
                <w:sz w:val="16"/>
              </w:rPr>
            </w:pPr>
          </w:p>
          <w:p w14:paraId="213543D7" w14:textId="77777777" w:rsidR="00496C66" w:rsidRDefault="00496C66" w:rsidP="00607B92">
            <w:pPr>
              <w:rPr>
                <w:rFonts w:ascii="Arial" w:hAnsi="Arial" w:cs="Arial"/>
                <w:i/>
                <w:sz w:val="16"/>
              </w:rPr>
            </w:pPr>
          </w:p>
          <w:p w14:paraId="13785ADC" w14:textId="7114888A" w:rsidR="00496C66" w:rsidRDefault="00496C66" w:rsidP="00CD15A8">
            <w:pPr>
              <w:jc w:val="center"/>
              <w:rPr>
                <w:rFonts w:ascii="Arial" w:hAnsi="Arial" w:cs="Arial"/>
                <w:i/>
                <w:sz w:val="16"/>
              </w:rPr>
            </w:pPr>
            <w:r>
              <w:rPr>
                <w:rFonts w:ascii="Arial" w:hAnsi="Arial" w:cs="Arial"/>
                <w:i/>
                <w:sz w:val="16"/>
              </w:rPr>
              <w:t>0,56 (0,35</w:t>
            </w:r>
            <w:r w:rsidR="008B2E57">
              <w:rPr>
                <w:rFonts w:ascii="Arial" w:hAnsi="Arial" w:cs="Arial"/>
                <w:i/>
                <w:sz w:val="16"/>
              </w:rPr>
              <w:t>-</w:t>
            </w:r>
            <w:r>
              <w:rPr>
                <w:rFonts w:ascii="Arial" w:hAnsi="Arial" w:cs="Arial"/>
                <w:i/>
                <w:sz w:val="16"/>
              </w:rPr>
              <w:t>0,9)</w:t>
            </w:r>
          </w:p>
          <w:p w14:paraId="0B4275E7" w14:textId="77777777" w:rsidR="00496C66" w:rsidRDefault="00496C66" w:rsidP="00CD15A8">
            <w:pPr>
              <w:jc w:val="center"/>
              <w:rPr>
                <w:rFonts w:ascii="Arial" w:hAnsi="Arial" w:cs="Arial"/>
                <w:i/>
                <w:sz w:val="16"/>
              </w:rPr>
            </w:pPr>
          </w:p>
          <w:p w14:paraId="0FB1D971" w14:textId="716F4040" w:rsidR="00496C66" w:rsidRDefault="00496C66" w:rsidP="00CD15A8">
            <w:pPr>
              <w:jc w:val="center"/>
              <w:rPr>
                <w:rFonts w:ascii="Arial" w:hAnsi="Arial" w:cs="Arial"/>
                <w:i/>
                <w:sz w:val="16"/>
              </w:rPr>
            </w:pPr>
            <w:r>
              <w:rPr>
                <w:rFonts w:ascii="Arial" w:hAnsi="Arial" w:cs="Arial"/>
                <w:i/>
                <w:sz w:val="16"/>
              </w:rPr>
              <w:t>0,88 (0,58</w:t>
            </w:r>
            <w:r w:rsidR="008B2E57">
              <w:rPr>
                <w:rFonts w:ascii="Arial" w:hAnsi="Arial" w:cs="Arial"/>
                <w:i/>
                <w:sz w:val="16"/>
              </w:rPr>
              <w:t>-</w:t>
            </w:r>
            <w:r>
              <w:rPr>
                <w:rFonts w:ascii="Arial" w:hAnsi="Arial" w:cs="Arial"/>
                <w:i/>
                <w:sz w:val="16"/>
              </w:rPr>
              <w:t>1,34)</w:t>
            </w:r>
          </w:p>
          <w:p w14:paraId="34EF7235" w14:textId="77777777" w:rsidR="00496C66" w:rsidRDefault="00496C66" w:rsidP="00CD15A8">
            <w:pPr>
              <w:jc w:val="center"/>
              <w:rPr>
                <w:rFonts w:ascii="Arial" w:hAnsi="Arial" w:cs="Arial"/>
                <w:i/>
                <w:sz w:val="16"/>
              </w:rPr>
            </w:pPr>
          </w:p>
          <w:p w14:paraId="60FD30E5" w14:textId="77777777" w:rsidR="00496C66" w:rsidRDefault="00496C66" w:rsidP="00CD15A8">
            <w:pPr>
              <w:jc w:val="center"/>
              <w:rPr>
                <w:rFonts w:ascii="Arial" w:hAnsi="Arial" w:cs="Arial"/>
                <w:i/>
                <w:sz w:val="16"/>
              </w:rPr>
            </w:pPr>
          </w:p>
          <w:p w14:paraId="6C49B2A1" w14:textId="01AEC0A7" w:rsidR="00496C66" w:rsidRDefault="00496C66" w:rsidP="00CD15A8">
            <w:pPr>
              <w:jc w:val="center"/>
              <w:rPr>
                <w:rFonts w:ascii="Arial" w:hAnsi="Arial" w:cs="Arial"/>
                <w:i/>
                <w:sz w:val="16"/>
              </w:rPr>
            </w:pPr>
            <w:r>
              <w:rPr>
                <w:rFonts w:ascii="Arial" w:hAnsi="Arial" w:cs="Arial"/>
                <w:i/>
                <w:sz w:val="16"/>
              </w:rPr>
              <w:t>0,54 (0,35</w:t>
            </w:r>
            <w:r w:rsidR="008B2E57">
              <w:rPr>
                <w:rFonts w:ascii="Arial" w:hAnsi="Arial" w:cs="Arial"/>
                <w:i/>
                <w:sz w:val="16"/>
              </w:rPr>
              <w:t>-</w:t>
            </w:r>
            <w:r>
              <w:rPr>
                <w:rFonts w:ascii="Arial" w:hAnsi="Arial" w:cs="Arial"/>
                <w:i/>
                <w:sz w:val="16"/>
              </w:rPr>
              <w:t>0,85)</w:t>
            </w:r>
          </w:p>
          <w:p w14:paraId="6256CAD7" w14:textId="77777777" w:rsidR="00496C66" w:rsidRDefault="00496C66" w:rsidP="00550551">
            <w:pPr>
              <w:jc w:val="center"/>
              <w:rPr>
                <w:rFonts w:ascii="Arial" w:hAnsi="Arial" w:cs="Arial"/>
                <w:i/>
                <w:sz w:val="16"/>
              </w:rPr>
            </w:pPr>
          </w:p>
          <w:p w14:paraId="36B079CA" w14:textId="77777777" w:rsidR="00496C66" w:rsidRDefault="00496C66" w:rsidP="00550551">
            <w:pPr>
              <w:jc w:val="center"/>
              <w:rPr>
                <w:rFonts w:ascii="Arial" w:hAnsi="Arial" w:cs="Arial"/>
                <w:i/>
                <w:sz w:val="16"/>
              </w:rPr>
            </w:pPr>
          </w:p>
          <w:p w14:paraId="2B3D1280" w14:textId="77777777" w:rsidR="00496C66" w:rsidRDefault="00496C66" w:rsidP="00E079A6">
            <w:pPr>
              <w:jc w:val="center"/>
              <w:rPr>
                <w:rFonts w:ascii="Arial" w:hAnsi="Arial" w:cs="Arial"/>
                <w:i/>
                <w:sz w:val="16"/>
              </w:rPr>
            </w:pPr>
          </w:p>
          <w:p w14:paraId="60FB835A" w14:textId="77777777" w:rsidR="00496C66" w:rsidRPr="006F6ABB" w:rsidRDefault="00496C66" w:rsidP="00E079A6">
            <w:pPr>
              <w:rPr>
                <w:rFonts w:ascii="Arial" w:hAnsi="Arial" w:cs="Arial"/>
                <w:i/>
                <w:sz w:val="16"/>
              </w:rPr>
            </w:pPr>
          </w:p>
        </w:tc>
        <w:tc>
          <w:tcPr>
            <w:tcW w:w="710" w:type="dxa"/>
            <w:vMerge w:val="restart"/>
          </w:tcPr>
          <w:p w14:paraId="2BEAFF25" w14:textId="77777777" w:rsidR="00496C66" w:rsidRDefault="00496C66" w:rsidP="00E079A6">
            <w:pPr>
              <w:jc w:val="center"/>
              <w:rPr>
                <w:rFonts w:ascii="Arial" w:hAnsi="Arial" w:cs="Arial"/>
                <w:i/>
                <w:sz w:val="16"/>
              </w:rPr>
            </w:pPr>
          </w:p>
          <w:p w14:paraId="714AF40C" w14:textId="77777777" w:rsidR="00496C66" w:rsidRDefault="00496C66" w:rsidP="00E079A6">
            <w:pPr>
              <w:jc w:val="center"/>
              <w:rPr>
                <w:rFonts w:ascii="Arial" w:hAnsi="Arial" w:cs="Arial"/>
                <w:i/>
                <w:sz w:val="16"/>
              </w:rPr>
            </w:pPr>
          </w:p>
          <w:p w14:paraId="638166BF" w14:textId="77777777" w:rsidR="00496C66" w:rsidRDefault="00496C66" w:rsidP="00E079A6">
            <w:pPr>
              <w:jc w:val="center"/>
              <w:rPr>
                <w:rFonts w:ascii="Arial" w:hAnsi="Arial" w:cs="Arial"/>
                <w:i/>
                <w:sz w:val="16"/>
              </w:rPr>
            </w:pPr>
          </w:p>
          <w:p w14:paraId="764F86EC" w14:textId="77777777" w:rsidR="00496C66" w:rsidRDefault="00496C66" w:rsidP="00E079A6">
            <w:pPr>
              <w:jc w:val="center"/>
              <w:rPr>
                <w:rFonts w:ascii="Arial" w:hAnsi="Arial" w:cs="Arial"/>
                <w:i/>
                <w:sz w:val="16"/>
              </w:rPr>
            </w:pPr>
          </w:p>
          <w:p w14:paraId="63F80E42" w14:textId="77777777" w:rsidR="00496C66" w:rsidRDefault="00496C66" w:rsidP="00E079A6">
            <w:pPr>
              <w:jc w:val="center"/>
              <w:rPr>
                <w:rFonts w:ascii="Arial" w:hAnsi="Arial" w:cs="Arial"/>
                <w:i/>
                <w:sz w:val="16"/>
              </w:rPr>
            </w:pPr>
            <w:r>
              <w:rPr>
                <w:rFonts w:ascii="Arial" w:hAnsi="Arial" w:cs="Arial"/>
                <w:i/>
                <w:sz w:val="16"/>
              </w:rPr>
              <w:t>0,02</w:t>
            </w:r>
          </w:p>
          <w:p w14:paraId="3E47E400" w14:textId="77777777" w:rsidR="00496C66" w:rsidRDefault="00496C66" w:rsidP="00E079A6">
            <w:pPr>
              <w:jc w:val="center"/>
              <w:rPr>
                <w:rFonts w:ascii="Arial" w:hAnsi="Arial" w:cs="Arial"/>
                <w:i/>
                <w:sz w:val="16"/>
              </w:rPr>
            </w:pPr>
          </w:p>
          <w:p w14:paraId="6702AEA9" w14:textId="77777777" w:rsidR="00496C66" w:rsidRDefault="00496C66" w:rsidP="00E079A6">
            <w:pPr>
              <w:jc w:val="center"/>
              <w:rPr>
                <w:rFonts w:ascii="Arial" w:hAnsi="Arial" w:cs="Arial"/>
                <w:i/>
                <w:sz w:val="16"/>
              </w:rPr>
            </w:pPr>
          </w:p>
          <w:p w14:paraId="6CF3815A" w14:textId="77777777" w:rsidR="00496C66" w:rsidRDefault="00496C66" w:rsidP="00E079A6">
            <w:pPr>
              <w:jc w:val="center"/>
              <w:rPr>
                <w:rFonts w:ascii="Arial" w:hAnsi="Arial" w:cs="Arial"/>
                <w:i/>
                <w:sz w:val="16"/>
              </w:rPr>
            </w:pPr>
          </w:p>
          <w:p w14:paraId="54B6527B" w14:textId="77777777" w:rsidR="00496C66" w:rsidRDefault="00496C66" w:rsidP="00E079A6">
            <w:pPr>
              <w:jc w:val="center"/>
              <w:rPr>
                <w:rFonts w:ascii="Arial" w:hAnsi="Arial" w:cs="Arial"/>
                <w:i/>
                <w:sz w:val="16"/>
              </w:rPr>
            </w:pPr>
          </w:p>
          <w:p w14:paraId="71870B07" w14:textId="77777777" w:rsidR="00496C66" w:rsidRDefault="00496C66" w:rsidP="00E079A6">
            <w:pPr>
              <w:jc w:val="center"/>
              <w:rPr>
                <w:rFonts w:ascii="Arial" w:hAnsi="Arial" w:cs="Arial"/>
                <w:i/>
                <w:sz w:val="16"/>
              </w:rPr>
            </w:pPr>
            <w:r>
              <w:rPr>
                <w:rFonts w:ascii="Arial" w:hAnsi="Arial" w:cs="Arial"/>
                <w:i/>
                <w:sz w:val="16"/>
              </w:rPr>
              <w:t>0,95</w:t>
            </w:r>
          </w:p>
          <w:p w14:paraId="64BEFD48" w14:textId="77777777" w:rsidR="00496C66" w:rsidRDefault="00496C66" w:rsidP="00E079A6">
            <w:pPr>
              <w:jc w:val="center"/>
              <w:rPr>
                <w:rFonts w:ascii="Arial" w:hAnsi="Arial" w:cs="Arial"/>
                <w:i/>
                <w:sz w:val="16"/>
              </w:rPr>
            </w:pPr>
          </w:p>
          <w:p w14:paraId="0E07A92C" w14:textId="77777777" w:rsidR="00496C66" w:rsidRDefault="00496C66" w:rsidP="00E079A6">
            <w:pPr>
              <w:jc w:val="center"/>
              <w:rPr>
                <w:rFonts w:ascii="Arial" w:hAnsi="Arial" w:cs="Arial"/>
                <w:i/>
                <w:sz w:val="16"/>
              </w:rPr>
            </w:pPr>
            <w:r>
              <w:rPr>
                <w:rFonts w:ascii="Arial" w:hAnsi="Arial" w:cs="Arial"/>
                <w:i/>
                <w:sz w:val="16"/>
              </w:rPr>
              <w:t>0,003</w:t>
            </w:r>
          </w:p>
          <w:p w14:paraId="56F1B3AE" w14:textId="77777777" w:rsidR="00496C66" w:rsidRDefault="00496C66" w:rsidP="00E079A6">
            <w:pPr>
              <w:jc w:val="center"/>
              <w:rPr>
                <w:rFonts w:ascii="Arial" w:hAnsi="Arial" w:cs="Arial"/>
                <w:i/>
                <w:sz w:val="16"/>
              </w:rPr>
            </w:pPr>
          </w:p>
          <w:p w14:paraId="11870AFB" w14:textId="77777777" w:rsidR="00496C66" w:rsidRDefault="00496C66" w:rsidP="00E079A6">
            <w:pPr>
              <w:jc w:val="center"/>
              <w:rPr>
                <w:rFonts w:ascii="Arial" w:hAnsi="Arial" w:cs="Arial"/>
                <w:i/>
                <w:sz w:val="16"/>
              </w:rPr>
            </w:pPr>
          </w:p>
          <w:p w14:paraId="04BD00D3" w14:textId="77777777" w:rsidR="00496C66" w:rsidRDefault="00496C66" w:rsidP="00E079A6">
            <w:pPr>
              <w:jc w:val="center"/>
              <w:rPr>
                <w:rFonts w:ascii="Arial" w:hAnsi="Arial" w:cs="Arial"/>
                <w:i/>
                <w:sz w:val="16"/>
              </w:rPr>
            </w:pPr>
          </w:p>
          <w:p w14:paraId="61D5569F" w14:textId="77777777" w:rsidR="00496C66" w:rsidRDefault="00496C66" w:rsidP="00E079A6">
            <w:pPr>
              <w:jc w:val="center"/>
              <w:rPr>
                <w:rFonts w:ascii="Arial" w:hAnsi="Arial" w:cs="Arial"/>
                <w:i/>
                <w:sz w:val="16"/>
              </w:rPr>
            </w:pPr>
          </w:p>
          <w:p w14:paraId="506905E6" w14:textId="77777777" w:rsidR="00496C66" w:rsidRDefault="00496C66" w:rsidP="00E079A6">
            <w:pPr>
              <w:jc w:val="center"/>
              <w:rPr>
                <w:rFonts w:ascii="Arial" w:hAnsi="Arial" w:cs="Arial"/>
                <w:i/>
                <w:sz w:val="16"/>
              </w:rPr>
            </w:pPr>
          </w:p>
          <w:p w14:paraId="68143739" w14:textId="77777777" w:rsidR="00496C66" w:rsidRDefault="00496C66" w:rsidP="00E079A6">
            <w:pPr>
              <w:jc w:val="center"/>
              <w:rPr>
                <w:rFonts w:ascii="Arial" w:hAnsi="Arial" w:cs="Arial"/>
                <w:i/>
                <w:sz w:val="16"/>
              </w:rPr>
            </w:pPr>
          </w:p>
          <w:p w14:paraId="6A976A69" w14:textId="77777777" w:rsidR="00496C66" w:rsidRDefault="00496C66" w:rsidP="00E079A6">
            <w:pPr>
              <w:jc w:val="center"/>
              <w:rPr>
                <w:rFonts w:ascii="Arial" w:hAnsi="Arial" w:cs="Arial"/>
                <w:i/>
                <w:sz w:val="16"/>
              </w:rPr>
            </w:pPr>
          </w:p>
          <w:p w14:paraId="4DDA1CC7" w14:textId="77777777" w:rsidR="00496C66" w:rsidRDefault="00496C66" w:rsidP="00CD15A8">
            <w:pPr>
              <w:jc w:val="center"/>
              <w:rPr>
                <w:rFonts w:ascii="Arial" w:hAnsi="Arial" w:cs="Arial"/>
                <w:i/>
                <w:sz w:val="16"/>
              </w:rPr>
            </w:pPr>
            <w:r>
              <w:rPr>
                <w:rFonts w:ascii="Arial" w:hAnsi="Arial" w:cs="Arial"/>
                <w:i/>
                <w:sz w:val="16"/>
              </w:rPr>
              <w:t>0,01</w:t>
            </w:r>
          </w:p>
          <w:p w14:paraId="438EE7F1" w14:textId="77777777" w:rsidR="00496C66" w:rsidRDefault="00496C66" w:rsidP="00CD15A8">
            <w:pPr>
              <w:rPr>
                <w:rFonts w:ascii="Arial" w:hAnsi="Arial" w:cs="Arial"/>
                <w:i/>
                <w:sz w:val="16"/>
              </w:rPr>
            </w:pPr>
          </w:p>
          <w:p w14:paraId="5C64E6BC" w14:textId="77777777" w:rsidR="00496C66" w:rsidRDefault="00496C66" w:rsidP="00CD15A8">
            <w:pPr>
              <w:rPr>
                <w:rFonts w:ascii="Arial" w:hAnsi="Arial" w:cs="Arial"/>
                <w:i/>
                <w:sz w:val="16"/>
              </w:rPr>
            </w:pPr>
            <w:r>
              <w:rPr>
                <w:rFonts w:ascii="Arial" w:hAnsi="Arial" w:cs="Arial"/>
                <w:i/>
                <w:sz w:val="16"/>
              </w:rPr>
              <w:t xml:space="preserve">  0,55</w:t>
            </w:r>
          </w:p>
          <w:p w14:paraId="25F4A080" w14:textId="77777777" w:rsidR="00496C66" w:rsidRDefault="00496C66" w:rsidP="00CD15A8">
            <w:pPr>
              <w:rPr>
                <w:rFonts w:ascii="Arial" w:hAnsi="Arial" w:cs="Arial"/>
                <w:i/>
                <w:sz w:val="16"/>
              </w:rPr>
            </w:pPr>
          </w:p>
          <w:p w14:paraId="34BE1F0D" w14:textId="77777777" w:rsidR="00496C66" w:rsidRDefault="00496C66" w:rsidP="00CD15A8">
            <w:pPr>
              <w:rPr>
                <w:rFonts w:ascii="Arial" w:hAnsi="Arial" w:cs="Arial"/>
                <w:i/>
                <w:sz w:val="16"/>
              </w:rPr>
            </w:pPr>
          </w:p>
          <w:p w14:paraId="7CB9F34F" w14:textId="77777777" w:rsidR="00496C66" w:rsidRDefault="00496C66" w:rsidP="00CD15A8">
            <w:pPr>
              <w:jc w:val="center"/>
              <w:rPr>
                <w:rFonts w:ascii="Arial" w:hAnsi="Arial" w:cs="Arial"/>
                <w:i/>
                <w:sz w:val="16"/>
              </w:rPr>
            </w:pPr>
            <w:r>
              <w:rPr>
                <w:rFonts w:ascii="Arial" w:hAnsi="Arial" w:cs="Arial"/>
                <w:i/>
                <w:sz w:val="16"/>
              </w:rPr>
              <w:t>0,007</w:t>
            </w:r>
          </w:p>
          <w:p w14:paraId="04B829BF" w14:textId="77777777" w:rsidR="00496C66" w:rsidRPr="006F6ABB" w:rsidRDefault="00496C66" w:rsidP="00E079A6">
            <w:pPr>
              <w:jc w:val="center"/>
              <w:rPr>
                <w:rFonts w:ascii="Arial" w:hAnsi="Arial" w:cs="Arial"/>
                <w:i/>
                <w:sz w:val="16"/>
              </w:rPr>
            </w:pPr>
          </w:p>
        </w:tc>
        <w:tc>
          <w:tcPr>
            <w:tcW w:w="1275" w:type="dxa"/>
            <w:vMerge/>
          </w:tcPr>
          <w:p w14:paraId="2826243C" w14:textId="77777777" w:rsidR="00496C66" w:rsidRPr="006F6ABB" w:rsidRDefault="00496C66" w:rsidP="00E079A6">
            <w:pPr>
              <w:jc w:val="center"/>
              <w:rPr>
                <w:rFonts w:ascii="Arial" w:hAnsi="Arial" w:cs="Arial"/>
                <w:i/>
                <w:sz w:val="16"/>
                <w:lang w:val="es-ES_tradnl"/>
              </w:rPr>
            </w:pPr>
          </w:p>
        </w:tc>
      </w:tr>
      <w:tr w:rsidR="00496C66" w:rsidRPr="006F6ABB" w14:paraId="2BE85A0A" w14:textId="77777777" w:rsidTr="00D25C33">
        <w:trPr>
          <w:trHeight w:val="2450"/>
        </w:trPr>
        <w:tc>
          <w:tcPr>
            <w:tcW w:w="1003" w:type="dxa"/>
            <w:vMerge/>
          </w:tcPr>
          <w:p w14:paraId="35E7330A" w14:textId="77777777" w:rsidR="00496C66" w:rsidRDefault="00496C66" w:rsidP="00E079A6">
            <w:pPr>
              <w:snapToGrid w:val="0"/>
              <w:jc w:val="both"/>
              <w:rPr>
                <w:rFonts w:ascii="Arial" w:hAnsi="Arial" w:cs="Arial"/>
                <w:i/>
                <w:sz w:val="16"/>
              </w:rPr>
            </w:pPr>
          </w:p>
        </w:tc>
        <w:tc>
          <w:tcPr>
            <w:tcW w:w="2469" w:type="dxa"/>
            <w:vMerge/>
          </w:tcPr>
          <w:p w14:paraId="019DE5CC" w14:textId="77777777" w:rsidR="00496C66" w:rsidRDefault="00496C66" w:rsidP="00E079A6">
            <w:pPr>
              <w:snapToGrid w:val="0"/>
              <w:jc w:val="both"/>
              <w:rPr>
                <w:rFonts w:ascii="Arial" w:hAnsi="Arial" w:cs="Arial"/>
                <w:i/>
                <w:sz w:val="16"/>
              </w:rPr>
            </w:pPr>
          </w:p>
        </w:tc>
        <w:tc>
          <w:tcPr>
            <w:tcW w:w="993" w:type="dxa"/>
          </w:tcPr>
          <w:p w14:paraId="21856A73" w14:textId="77777777" w:rsidR="00496C66" w:rsidRDefault="00496C66" w:rsidP="00E079A6">
            <w:pPr>
              <w:snapToGrid w:val="0"/>
              <w:jc w:val="center"/>
              <w:rPr>
                <w:rFonts w:ascii="Arial" w:hAnsi="Arial" w:cs="Arial"/>
                <w:i/>
                <w:sz w:val="16"/>
              </w:rPr>
            </w:pPr>
          </w:p>
          <w:p w14:paraId="16517F1E" w14:textId="77777777" w:rsidR="00496C66" w:rsidRDefault="00496C66" w:rsidP="00E079A6">
            <w:pPr>
              <w:snapToGrid w:val="0"/>
              <w:jc w:val="center"/>
              <w:rPr>
                <w:rFonts w:ascii="Arial" w:hAnsi="Arial" w:cs="Arial"/>
                <w:i/>
                <w:sz w:val="16"/>
              </w:rPr>
            </w:pPr>
          </w:p>
          <w:p w14:paraId="4F866FDC" w14:textId="77777777" w:rsidR="00496C66" w:rsidRDefault="00496C66" w:rsidP="00E079A6">
            <w:pPr>
              <w:snapToGrid w:val="0"/>
              <w:jc w:val="center"/>
              <w:rPr>
                <w:rFonts w:ascii="Arial" w:hAnsi="Arial" w:cs="Arial"/>
                <w:i/>
                <w:sz w:val="16"/>
              </w:rPr>
            </w:pPr>
          </w:p>
          <w:p w14:paraId="737E37D4" w14:textId="77777777" w:rsidR="00496C66" w:rsidRDefault="00496C66" w:rsidP="00E079A6">
            <w:pPr>
              <w:snapToGrid w:val="0"/>
              <w:jc w:val="center"/>
              <w:rPr>
                <w:rFonts w:ascii="Arial" w:hAnsi="Arial" w:cs="Arial"/>
                <w:i/>
                <w:sz w:val="16"/>
              </w:rPr>
            </w:pPr>
            <w:r>
              <w:rPr>
                <w:rFonts w:ascii="Arial" w:hAnsi="Arial" w:cs="Arial"/>
                <w:i/>
                <w:sz w:val="16"/>
              </w:rPr>
              <w:t>NA</w:t>
            </w:r>
          </w:p>
          <w:p w14:paraId="4C30AD8F" w14:textId="77777777" w:rsidR="00496C66" w:rsidRDefault="00496C66" w:rsidP="00E079A6">
            <w:pPr>
              <w:snapToGrid w:val="0"/>
              <w:jc w:val="center"/>
              <w:rPr>
                <w:rFonts w:ascii="Arial" w:hAnsi="Arial" w:cs="Arial"/>
                <w:i/>
                <w:sz w:val="16"/>
              </w:rPr>
            </w:pPr>
          </w:p>
          <w:p w14:paraId="027F365F" w14:textId="77777777" w:rsidR="00496C66" w:rsidRDefault="00496C66" w:rsidP="00E079A6">
            <w:pPr>
              <w:snapToGrid w:val="0"/>
              <w:jc w:val="center"/>
              <w:rPr>
                <w:rFonts w:ascii="Arial" w:hAnsi="Arial" w:cs="Arial"/>
                <w:i/>
                <w:sz w:val="16"/>
              </w:rPr>
            </w:pPr>
          </w:p>
          <w:p w14:paraId="655591CF" w14:textId="77777777" w:rsidR="00496C66" w:rsidRDefault="00496C66" w:rsidP="00E079A6">
            <w:pPr>
              <w:snapToGrid w:val="0"/>
              <w:jc w:val="center"/>
              <w:rPr>
                <w:rFonts w:ascii="Arial" w:hAnsi="Arial" w:cs="Arial"/>
                <w:i/>
                <w:sz w:val="16"/>
              </w:rPr>
            </w:pPr>
          </w:p>
          <w:p w14:paraId="1EC78DFE" w14:textId="77777777" w:rsidR="00496C66" w:rsidRDefault="00496C66" w:rsidP="00E079A6">
            <w:pPr>
              <w:snapToGrid w:val="0"/>
              <w:jc w:val="center"/>
              <w:rPr>
                <w:rFonts w:ascii="Arial" w:hAnsi="Arial" w:cs="Arial"/>
                <w:i/>
                <w:sz w:val="16"/>
              </w:rPr>
            </w:pPr>
          </w:p>
          <w:p w14:paraId="689F00F1" w14:textId="77777777" w:rsidR="00496C66" w:rsidRDefault="00496C66" w:rsidP="00E079A6">
            <w:pPr>
              <w:snapToGrid w:val="0"/>
              <w:jc w:val="center"/>
              <w:rPr>
                <w:rFonts w:ascii="Arial" w:hAnsi="Arial" w:cs="Arial"/>
                <w:i/>
                <w:sz w:val="16"/>
              </w:rPr>
            </w:pPr>
            <w:r>
              <w:rPr>
                <w:rFonts w:ascii="Arial" w:hAnsi="Arial" w:cs="Arial"/>
                <w:i/>
                <w:sz w:val="16"/>
              </w:rPr>
              <w:t>NA</w:t>
            </w:r>
          </w:p>
          <w:p w14:paraId="36F41C2E" w14:textId="77777777" w:rsidR="00496C66" w:rsidRDefault="00496C66" w:rsidP="00E079A6">
            <w:pPr>
              <w:snapToGrid w:val="0"/>
              <w:jc w:val="center"/>
              <w:rPr>
                <w:rFonts w:ascii="Arial" w:hAnsi="Arial" w:cs="Arial"/>
                <w:i/>
                <w:sz w:val="16"/>
              </w:rPr>
            </w:pPr>
          </w:p>
          <w:p w14:paraId="4DE9E980" w14:textId="77777777" w:rsidR="00496C66" w:rsidRDefault="00496C66" w:rsidP="00E079A6">
            <w:pPr>
              <w:snapToGrid w:val="0"/>
              <w:jc w:val="center"/>
              <w:rPr>
                <w:rFonts w:ascii="Arial" w:hAnsi="Arial" w:cs="Arial"/>
                <w:i/>
                <w:sz w:val="16"/>
              </w:rPr>
            </w:pPr>
            <w:r>
              <w:rPr>
                <w:rFonts w:ascii="Arial" w:hAnsi="Arial" w:cs="Arial"/>
                <w:i/>
                <w:sz w:val="16"/>
              </w:rPr>
              <w:t>NA</w:t>
            </w:r>
          </w:p>
          <w:p w14:paraId="21AFB6B5" w14:textId="77777777" w:rsidR="00496C66" w:rsidRDefault="00496C66" w:rsidP="00E079A6">
            <w:pPr>
              <w:snapToGrid w:val="0"/>
              <w:rPr>
                <w:rFonts w:ascii="Arial" w:hAnsi="Arial" w:cs="Arial"/>
                <w:i/>
                <w:sz w:val="16"/>
              </w:rPr>
            </w:pPr>
          </w:p>
          <w:p w14:paraId="6D01041C" w14:textId="77777777" w:rsidR="00496C66" w:rsidRDefault="00496C66" w:rsidP="00E079A6">
            <w:pPr>
              <w:snapToGrid w:val="0"/>
              <w:jc w:val="center"/>
              <w:rPr>
                <w:rFonts w:ascii="Arial" w:hAnsi="Arial" w:cs="Arial"/>
                <w:i/>
                <w:sz w:val="16"/>
              </w:rPr>
            </w:pPr>
          </w:p>
          <w:p w14:paraId="5B079584" w14:textId="77777777" w:rsidR="00496C66" w:rsidRDefault="00496C66" w:rsidP="00E079A6">
            <w:pPr>
              <w:snapToGrid w:val="0"/>
              <w:jc w:val="center"/>
              <w:rPr>
                <w:rFonts w:ascii="Arial" w:hAnsi="Arial" w:cs="Arial"/>
                <w:i/>
                <w:sz w:val="16"/>
              </w:rPr>
            </w:pPr>
          </w:p>
        </w:tc>
        <w:tc>
          <w:tcPr>
            <w:tcW w:w="992" w:type="dxa"/>
          </w:tcPr>
          <w:p w14:paraId="4CFFBFCB" w14:textId="77777777" w:rsidR="00496C66" w:rsidRDefault="00496C66" w:rsidP="00E079A6">
            <w:pPr>
              <w:jc w:val="center"/>
              <w:rPr>
                <w:rFonts w:ascii="Arial" w:hAnsi="Arial" w:cs="Arial"/>
                <w:i/>
                <w:sz w:val="16"/>
              </w:rPr>
            </w:pPr>
          </w:p>
          <w:p w14:paraId="0A6DBC98" w14:textId="77777777" w:rsidR="00496C66" w:rsidRDefault="00496C66" w:rsidP="00E079A6">
            <w:pPr>
              <w:jc w:val="center"/>
              <w:rPr>
                <w:rFonts w:ascii="Arial" w:hAnsi="Arial" w:cs="Arial"/>
                <w:i/>
                <w:sz w:val="16"/>
              </w:rPr>
            </w:pPr>
          </w:p>
          <w:p w14:paraId="2EE8D1A3" w14:textId="77777777" w:rsidR="00496C66" w:rsidRDefault="00496C66" w:rsidP="00E079A6">
            <w:pPr>
              <w:jc w:val="center"/>
              <w:rPr>
                <w:rFonts w:ascii="Arial" w:hAnsi="Arial" w:cs="Arial"/>
                <w:i/>
                <w:sz w:val="16"/>
              </w:rPr>
            </w:pPr>
          </w:p>
          <w:p w14:paraId="34BF1975" w14:textId="77777777" w:rsidR="00496C66" w:rsidRDefault="00496C66" w:rsidP="00E079A6">
            <w:pPr>
              <w:snapToGrid w:val="0"/>
              <w:jc w:val="center"/>
              <w:rPr>
                <w:rFonts w:ascii="Arial" w:hAnsi="Arial" w:cs="Arial"/>
                <w:i/>
                <w:sz w:val="16"/>
              </w:rPr>
            </w:pPr>
            <w:r>
              <w:rPr>
                <w:rFonts w:ascii="Arial" w:hAnsi="Arial" w:cs="Arial"/>
                <w:i/>
                <w:sz w:val="16"/>
              </w:rPr>
              <w:t>NA</w:t>
            </w:r>
          </w:p>
          <w:p w14:paraId="22405CAC" w14:textId="77777777" w:rsidR="00496C66" w:rsidRDefault="00496C66" w:rsidP="00E079A6">
            <w:pPr>
              <w:jc w:val="center"/>
              <w:rPr>
                <w:rFonts w:ascii="Arial" w:hAnsi="Arial" w:cs="Arial"/>
                <w:i/>
                <w:sz w:val="16"/>
              </w:rPr>
            </w:pPr>
          </w:p>
          <w:p w14:paraId="1A2FEAAF" w14:textId="77777777" w:rsidR="00496C66" w:rsidRDefault="00496C66" w:rsidP="00E079A6">
            <w:pPr>
              <w:jc w:val="center"/>
              <w:rPr>
                <w:rFonts w:ascii="Arial" w:hAnsi="Arial" w:cs="Arial"/>
                <w:i/>
                <w:sz w:val="16"/>
              </w:rPr>
            </w:pPr>
          </w:p>
          <w:p w14:paraId="3B4AF7E4" w14:textId="77777777" w:rsidR="00496C66" w:rsidRDefault="00496C66" w:rsidP="00E079A6">
            <w:pPr>
              <w:jc w:val="center"/>
              <w:rPr>
                <w:rFonts w:ascii="Arial" w:hAnsi="Arial" w:cs="Arial"/>
                <w:i/>
                <w:sz w:val="16"/>
              </w:rPr>
            </w:pPr>
          </w:p>
          <w:p w14:paraId="4614C822" w14:textId="77777777" w:rsidR="00496C66" w:rsidRDefault="00496C66" w:rsidP="00E079A6">
            <w:pPr>
              <w:jc w:val="center"/>
              <w:rPr>
                <w:rFonts w:ascii="Arial" w:hAnsi="Arial" w:cs="Arial"/>
                <w:i/>
                <w:sz w:val="16"/>
              </w:rPr>
            </w:pPr>
          </w:p>
          <w:p w14:paraId="264EA62E" w14:textId="77777777" w:rsidR="00496C66" w:rsidRDefault="00496C66" w:rsidP="00E079A6">
            <w:pPr>
              <w:jc w:val="center"/>
              <w:rPr>
                <w:rFonts w:ascii="Arial" w:hAnsi="Arial" w:cs="Arial"/>
                <w:i/>
                <w:sz w:val="16"/>
              </w:rPr>
            </w:pPr>
            <w:r>
              <w:rPr>
                <w:rFonts w:ascii="Arial" w:hAnsi="Arial" w:cs="Arial"/>
                <w:i/>
                <w:sz w:val="16"/>
              </w:rPr>
              <w:t>NA</w:t>
            </w:r>
          </w:p>
          <w:p w14:paraId="324A06C8" w14:textId="77777777" w:rsidR="00496C66" w:rsidRDefault="00496C66" w:rsidP="00E079A6">
            <w:pPr>
              <w:jc w:val="center"/>
              <w:rPr>
                <w:rFonts w:ascii="Arial" w:hAnsi="Arial" w:cs="Arial"/>
                <w:i/>
                <w:sz w:val="16"/>
              </w:rPr>
            </w:pPr>
          </w:p>
          <w:p w14:paraId="5CF2F8DA" w14:textId="77777777" w:rsidR="00496C66" w:rsidRDefault="00496C66" w:rsidP="00E079A6">
            <w:pPr>
              <w:jc w:val="center"/>
              <w:rPr>
                <w:rFonts w:ascii="Arial" w:hAnsi="Arial" w:cs="Arial"/>
                <w:i/>
                <w:sz w:val="16"/>
              </w:rPr>
            </w:pPr>
            <w:r>
              <w:rPr>
                <w:rFonts w:ascii="Arial" w:hAnsi="Arial" w:cs="Arial"/>
                <w:i/>
                <w:sz w:val="16"/>
              </w:rPr>
              <w:t>30,62</w:t>
            </w:r>
          </w:p>
          <w:p w14:paraId="7041A6FF" w14:textId="77777777" w:rsidR="00496C66" w:rsidRDefault="00496C66" w:rsidP="00E079A6">
            <w:pPr>
              <w:rPr>
                <w:rFonts w:ascii="Arial" w:hAnsi="Arial" w:cs="Arial"/>
                <w:i/>
                <w:sz w:val="16"/>
              </w:rPr>
            </w:pPr>
          </w:p>
          <w:p w14:paraId="21B082BE" w14:textId="77777777" w:rsidR="00496C66" w:rsidRDefault="00496C66" w:rsidP="00E079A6">
            <w:pPr>
              <w:jc w:val="center"/>
              <w:rPr>
                <w:rFonts w:ascii="Arial" w:hAnsi="Arial" w:cs="Arial"/>
                <w:i/>
                <w:sz w:val="16"/>
              </w:rPr>
            </w:pPr>
          </w:p>
          <w:p w14:paraId="0B94817A" w14:textId="77777777" w:rsidR="00496C66" w:rsidRDefault="00496C66" w:rsidP="00E079A6">
            <w:pPr>
              <w:jc w:val="center"/>
              <w:rPr>
                <w:rFonts w:ascii="Arial" w:hAnsi="Arial" w:cs="Arial"/>
                <w:i/>
                <w:sz w:val="16"/>
              </w:rPr>
            </w:pPr>
          </w:p>
        </w:tc>
        <w:tc>
          <w:tcPr>
            <w:tcW w:w="1417" w:type="dxa"/>
            <w:vMerge/>
          </w:tcPr>
          <w:p w14:paraId="5B37DF9D" w14:textId="77777777" w:rsidR="00496C66" w:rsidRDefault="00496C66" w:rsidP="00E079A6">
            <w:pPr>
              <w:jc w:val="center"/>
              <w:rPr>
                <w:rFonts w:ascii="Arial" w:hAnsi="Arial" w:cs="Arial"/>
                <w:i/>
                <w:sz w:val="16"/>
              </w:rPr>
            </w:pPr>
          </w:p>
        </w:tc>
        <w:tc>
          <w:tcPr>
            <w:tcW w:w="710" w:type="dxa"/>
            <w:vMerge/>
          </w:tcPr>
          <w:p w14:paraId="098A7004" w14:textId="77777777" w:rsidR="00496C66" w:rsidRDefault="00496C66" w:rsidP="00E079A6">
            <w:pPr>
              <w:jc w:val="center"/>
              <w:rPr>
                <w:rFonts w:ascii="Arial" w:hAnsi="Arial" w:cs="Arial"/>
                <w:i/>
                <w:sz w:val="16"/>
              </w:rPr>
            </w:pPr>
          </w:p>
        </w:tc>
        <w:tc>
          <w:tcPr>
            <w:tcW w:w="1275" w:type="dxa"/>
            <w:vMerge/>
          </w:tcPr>
          <w:p w14:paraId="1EF80519" w14:textId="77777777" w:rsidR="00496C66" w:rsidRPr="006F6ABB" w:rsidRDefault="00496C66" w:rsidP="00E079A6">
            <w:pPr>
              <w:jc w:val="center"/>
              <w:rPr>
                <w:rFonts w:ascii="Arial" w:hAnsi="Arial" w:cs="Arial"/>
                <w:i/>
                <w:sz w:val="16"/>
                <w:lang w:val="es-ES_tradnl"/>
              </w:rPr>
            </w:pPr>
          </w:p>
        </w:tc>
      </w:tr>
      <w:tr w:rsidR="00496C66" w:rsidRPr="006F6ABB" w14:paraId="044E2666" w14:textId="77777777" w:rsidTr="00D25C33">
        <w:trPr>
          <w:trHeight w:val="252"/>
        </w:trPr>
        <w:tc>
          <w:tcPr>
            <w:tcW w:w="1003" w:type="dxa"/>
            <w:vMerge/>
          </w:tcPr>
          <w:p w14:paraId="0BD2EFD4" w14:textId="77777777" w:rsidR="00496C66" w:rsidRPr="006F6ABB" w:rsidRDefault="00496C66" w:rsidP="00E079A6">
            <w:pPr>
              <w:jc w:val="both"/>
              <w:rPr>
                <w:rFonts w:ascii="Arial" w:hAnsi="Arial" w:cs="Arial"/>
                <w:b/>
                <w:i/>
                <w:sz w:val="16"/>
              </w:rPr>
            </w:pPr>
          </w:p>
        </w:tc>
        <w:tc>
          <w:tcPr>
            <w:tcW w:w="2469" w:type="dxa"/>
            <w:vMerge w:val="restart"/>
          </w:tcPr>
          <w:p w14:paraId="3647425A" w14:textId="77777777" w:rsidR="00496C66" w:rsidRDefault="00496C66" w:rsidP="00E079A6">
            <w:pPr>
              <w:snapToGrid w:val="0"/>
              <w:jc w:val="both"/>
              <w:rPr>
                <w:rFonts w:ascii="Arial" w:hAnsi="Arial" w:cs="Arial"/>
                <w:i/>
                <w:sz w:val="16"/>
              </w:rPr>
            </w:pPr>
          </w:p>
          <w:p w14:paraId="66C94239" w14:textId="77777777" w:rsidR="00496C66" w:rsidRDefault="00496C66" w:rsidP="00E079A6">
            <w:pPr>
              <w:snapToGrid w:val="0"/>
              <w:jc w:val="both"/>
              <w:rPr>
                <w:rFonts w:ascii="Arial" w:hAnsi="Arial" w:cs="Arial"/>
                <w:i/>
                <w:sz w:val="16"/>
              </w:rPr>
            </w:pPr>
          </w:p>
          <w:p w14:paraId="51FE6224" w14:textId="77777777" w:rsidR="00496C66" w:rsidRPr="00A62371" w:rsidRDefault="00496C66" w:rsidP="00E079A6">
            <w:pPr>
              <w:snapToGrid w:val="0"/>
              <w:jc w:val="both"/>
              <w:rPr>
                <w:rFonts w:ascii="Arial" w:hAnsi="Arial" w:cs="Arial"/>
                <w:b/>
                <w:sz w:val="16"/>
              </w:rPr>
            </w:pPr>
            <w:r w:rsidRPr="00A62371">
              <w:rPr>
                <w:rFonts w:ascii="Arial" w:hAnsi="Arial" w:cs="Arial"/>
                <w:b/>
                <w:sz w:val="16"/>
                <w:u w:val="single"/>
              </w:rPr>
              <w:t>Subgrupo BRCA1/2</w:t>
            </w:r>
          </w:p>
          <w:p w14:paraId="2707EC53" w14:textId="77777777" w:rsidR="00496C66" w:rsidRPr="006F6ABB" w:rsidRDefault="00496C66" w:rsidP="00E079A6">
            <w:pPr>
              <w:snapToGrid w:val="0"/>
              <w:jc w:val="both"/>
              <w:rPr>
                <w:rFonts w:ascii="Arial" w:hAnsi="Arial" w:cs="Arial"/>
                <w:i/>
                <w:sz w:val="16"/>
              </w:rPr>
            </w:pPr>
          </w:p>
          <w:p w14:paraId="7601FF8B" w14:textId="77777777" w:rsidR="00496C66" w:rsidRDefault="00496C66" w:rsidP="00CD15A8">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TIQ(meses), mediana</w:t>
            </w:r>
          </w:p>
          <w:p w14:paraId="45B57E11" w14:textId="77777777" w:rsidR="00496C66" w:rsidRDefault="00496C66" w:rsidP="00CD15A8">
            <w:pPr>
              <w:snapToGrid w:val="0"/>
              <w:jc w:val="both"/>
              <w:rPr>
                <w:rFonts w:ascii="Arial" w:hAnsi="Arial" w:cs="Arial"/>
                <w:i/>
                <w:sz w:val="16"/>
              </w:rPr>
            </w:pPr>
          </w:p>
          <w:p w14:paraId="5EB234B4" w14:textId="77777777" w:rsidR="00496C66" w:rsidRDefault="00496C66" w:rsidP="00CD15A8">
            <w:pPr>
              <w:snapToGrid w:val="0"/>
              <w:jc w:val="both"/>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SG (meses), mediana</w:t>
            </w:r>
          </w:p>
          <w:p w14:paraId="759CD81F" w14:textId="77777777" w:rsidR="00496C66" w:rsidRDefault="00496C66" w:rsidP="00CD15A8">
            <w:pPr>
              <w:snapToGrid w:val="0"/>
              <w:jc w:val="both"/>
              <w:rPr>
                <w:rFonts w:ascii="Arial" w:hAnsi="Arial" w:cs="Arial"/>
                <w:i/>
                <w:sz w:val="16"/>
              </w:rPr>
            </w:pPr>
          </w:p>
          <w:p w14:paraId="1D1C0B55" w14:textId="77777777" w:rsidR="00496C66" w:rsidRDefault="00496C66" w:rsidP="00CD15A8">
            <w:pPr>
              <w:snapToGrid w:val="0"/>
              <w:jc w:val="both"/>
              <w:rPr>
                <w:rFonts w:ascii="Arial" w:hAnsi="Arial" w:cs="Arial"/>
                <w:i/>
                <w:sz w:val="16"/>
              </w:rPr>
            </w:pPr>
          </w:p>
          <w:p w14:paraId="57EB8F46" w14:textId="77777777" w:rsidR="00496C66" w:rsidRDefault="00496C66" w:rsidP="00CD15A8">
            <w:pPr>
              <w:snapToGrid w:val="0"/>
              <w:jc w:val="both"/>
              <w:rPr>
                <w:rFonts w:ascii="Arial" w:hAnsi="Arial" w:cs="Arial"/>
                <w:i/>
                <w:sz w:val="16"/>
              </w:rPr>
            </w:pPr>
            <w:r>
              <w:rPr>
                <w:rFonts w:ascii="Arial" w:hAnsi="Arial" w:cs="Arial"/>
                <w:i/>
                <w:sz w:val="16"/>
              </w:rPr>
              <w:t xml:space="preserve">          -TPS (meses), mediana</w:t>
            </w:r>
          </w:p>
          <w:p w14:paraId="02E450A4" w14:textId="77777777" w:rsidR="00496C66" w:rsidRPr="00067BBA" w:rsidRDefault="00496C66" w:rsidP="00E079A6">
            <w:pPr>
              <w:snapToGrid w:val="0"/>
              <w:jc w:val="both"/>
              <w:rPr>
                <w:rFonts w:ascii="Arial" w:hAnsi="Arial" w:cs="Arial"/>
                <w:b/>
                <w:i/>
                <w:color w:val="FF0000"/>
                <w:sz w:val="16"/>
              </w:rPr>
            </w:pPr>
          </w:p>
        </w:tc>
        <w:tc>
          <w:tcPr>
            <w:tcW w:w="993" w:type="dxa"/>
            <w:shd w:val="clear" w:color="auto" w:fill="D9D9D9"/>
            <w:vAlign w:val="center"/>
          </w:tcPr>
          <w:p w14:paraId="0BF65FC0" w14:textId="3181B0BD" w:rsidR="00496C66" w:rsidRPr="00F35821" w:rsidRDefault="008B2E57" w:rsidP="00E079A6">
            <w:pPr>
              <w:tabs>
                <w:tab w:val="left" w:pos="1673"/>
              </w:tabs>
              <w:jc w:val="center"/>
              <w:rPr>
                <w:rFonts w:ascii="Arial" w:hAnsi="Arial" w:cs="Arial"/>
                <w:b/>
                <w:i/>
                <w:sz w:val="16"/>
                <w:lang w:val="pt-BR"/>
              </w:rPr>
            </w:pPr>
            <w:r>
              <w:rPr>
                <w:rFonts w:ascii="Arial" w:hAnsi="Arial" w:cs="Arial"/>
                <w:i/>
                <w:sz w:val="16"/>
              </w:rPr>
              <w:t>N=113</w:t>
            </w:r>
            <w:r w:rsidR="00496C66">
              <w:rPr>
                <w:rFonts w:ascii="Arial" w:hAnsi="Arial" w:cs="Arial"/>
                <w:i/>
                <w:sz w:val="16"/>
              </w:rPr>
              <w:t>)</w:t>
            </w:r>
          </w:p>
        </w:tc>
        <w:tc>
          <w:tcPr>
            <w:tcW w:w="992" w:type="dxa"/>
            <w:shd w:val="clear" w:color="auto" w:fill="D9D9D9"/>
            <w:vAlign w:val="center"/>
          </w:tcPr>
          <w:p w14:paraId="05C3F6C3" w14:textId="4C6FA9C4" w:rsidR="00496C66" w:rsidRPr="006F6ABB" w:rsidRDefault="008B2E57" w:rsidP="00E079A6">
            <w:pPr>
              <w:tabs>
                <w:tab w:val="left" w:pos="1673"/>
              </w:tabs>
              <w:jc w:val="center"/>
              <w:rPr>
                <w:rFonts w:ascii="Arial" w:hAnsi="Arial" w:cs="Arial"/>
                <w:b/>
                <w:i/>
                <w:sz w:val="16"/>
                <w:lang w:val="pt-BR"/>
              </w:rPr>
            </w:pPr>
            <w:r>
              <w:rPr>
                <w:rFonts w:ascii="Arial" w:hAnsi="Arial" w:cs="Arial"/>
                <w:i/>
                <w:sz w:val="16"/>
              </w:rPr>
              <w:t>N=112</w:t>
            </w:r>
          </w:p>
        </w:tc>
        <w:tc>
          <w:tcPr>
            <w:tcW w:w="1417" w:type="dxa"/>
            <w:vMerge/>
          </w:tcPr>
          <w:p w14:paraId="49DE4F2D" w14:textId="77777777" w:rsidR="00496C66" w:rsidRDefault="00496C66" w:rsidP="00E079A6">
            <w:pPr>
              <w:jc w:val="center"/>
              <w:rPr>
                <w:rFonts w:ascii="Arial" w:hAnsi="Arial" w:cs="Arial"/>
                <w:i/>
                <w:sz w:val="16"/>
              </w:rPr>
            </w:pPr>
          </w:p>
        </w:tc>
        <w:tc>
          <w:tcPr>
            <w:tcW w:w="710" w:type="dxa"/>
            <w:vMerge/>
          </w:tcPr>
          <w:p w14:paraId="709052B4" w14:textId="77777777" w:rsidR="00496C66" w:rsidRDefault="00496C66" w:rsidP="00E079A6">
            <w:pPr>
              <w:jc w:val="center"/>
              <w:rPr>
                <w:rFonts w:ascii="Arial" w:hAnsi="Arial" w:cs="Arial"/>
                <w:i/>
                <w:sz w:val="16"/>
              </w:rPr>
            </w:pPr>
          </w:p>
        </w:tc>
        <w:tc>
          <w:tcPr>
            <w:tcW w:w="1275" w:type="dxa"/>
            <w:vMerge/>
          </w:tcPr>
          <w:p w14:paraId="6BC1C923" w14:textId="77777777" w:rsidR="00496C66" w:rsidRPr="006F6ABB" w:rsidRDefault="00496C66" w:rsidP="00E079A6">
            <w:pPr>
              <w:jc w:val="center"/>
              <w:rPr>
                <w:rFonts w:ascii="Arial" w:hAnsi="Arial" w:cs="Arial"/>
                <w:i/>
                <w:sz w:val="16"/>
                <w:lang w:val="es-ES_tradnl"/>
              </w:rPr>
            </w:pPr>
          </w:p>
        </w:tc>
      </w:tr>
      <w:tr w:rsidR="00496C66" w:rsidRPr="006F6ABB" w14:paraId="643AADF9" w14:textId="77777777" w:rsidTr="00D25C33">
        <w:trPr>
          <w:trHeight w:val="2105"/>
        </w:trPr>
        <w:tc>
          <w:tcPr>
            <w:tcW w:w="1003" w:type="dxa"/>
            <w:vMerge/>
          </w:tcPr>
          <w:p w14:paraId="4523D312" w14:textId="77777777" w:rsidR="00496C66" w:rsidRDefault="00496C66" w:rsidP="00E079A6">
            <w:pPr>
              <w:snapToGrid w:val="0"/>
              <w:jc w:val="both"/>
              <w:rPr>
                <w:rFonts w:ascii="Arial" w:hAnsi="Arial" w:cs="Arial"/>
                <w:i/>
                <w:sz w:val="16"/>
              </w:rPr>
            </w:pPr>
          </w:p>
        </w:tc>
        <w:tc>
          <w:tcPr>
            <w:tcW w:w="2469" w:type="dxa"/>
            <w:vMerge/>
          </w:tcPr>
          <w:p w14:paraId="0A654657" w14:textId="77777777" w:rsidR="00496C66" w:rsidRDefault="00496C66" w:rsidP="00E079A6">
            <w:pPr>
              <w:snapToGrid w:val="0"/>
              <w:jc w:val="both"/>
              <w:rPr>
                <w:rFonts w:ascii="Arial" w:hAnsi="Arial" w:cs="Arial"/>
                <w:i/>
                <w:sz w:val="16"/>
              </w:rPr>
            </w:pPr>
          </w:p>
        </w:tc>
        <w:tc>
          <w:tcPr>
            <w:tcW w:w="993" w:type="dxa"/>
          </w:tcPr>
          <w:p w14:paraId="6A482130" w14:textId="77777777" w:rsidR="00496C66" w:rsidRDefault="00496C66" w:rsidP="00E079A6">
            <w:pPr>
              <w:snapToGrid w:val="0"/>
              <w:jc w:val="center"/>
              <w:rPr>
                <w:rFonts w:ascii="Arial" w:hAnsi="Arial" w:cs="Arial"/>
                <w:i/>
                <w:sz w:val="16"/>
              </w:rPr>
            </w:pPr>
          </w:p>
          <w:p w14:paraId="6C2E275F" w14:textId="77777777" w:rsidR="00496C66" w:rsidRDefault="00496C66" w:rsidP="00E079A6">
            <w:pPr>
              <w:snapToGrid w:val="0"/>
              <w:jc w:val="center"/>
              <w:rPr>
                <w:rFonts w:ascii="Arial" w:hAnsi="Arial" w:cs="Arial"/>
                <w:i/>
                <w:sz w:val="16"/>
              </w:rPr>
            </w:pPr>
          </w:p>
          <w:p w14:paraId="41A947CB" w14:textId="77777777" w:rsidR="00496C66" w:rsidRDefault="00496C66" w:rsidP="00CD15A8">
            <w:pPr>
              <w:snapToGrid w:val="0"/>
              <w:jc w:val="center"/>
              <w:rPr>
                <w:rFonts w:ascii="Arial" w:hAnsi="Arial" w:cs="Arial"/>
                <w:i/>
                <w:sz w:val="16"/>
              </w:rPr>
            </w:pPr>
            <w:r>
              <w:rPr>
                <w:rFonts w:ascii="Arial" w:hAnsi="Arial" w:cs="Arial"/>
                <w:i/>
                <w:sz w:val="16"/>
              </w:rPr>
              <w:t>NA</w:t>
            </w:r>
          </w:p>
          <w:p w14:paraId="16342053" w14:textId="77777777" w:rsidR="00496C66" w:rsidRDefault="00496C66" w:rsidP="00CD15A8">
            <w:pPr>
              <w:snapToGrid w:val="0"/>
              <w:jc w:val="center"/>
              <w:rPr>
                <w:rFonts w:ascii="Arial" w:hAnsi="Arial" w:cs="Arial"/>
                <w:i/>
                <w:sz w:val="16"/>
              </w:rPr>
            </w:pPr>
          </w:p>
          <w:p w14:paraId="68C8C101" w14:textId="77777777" w:rsidR="00496C66" w:rsidRDefault="00496C66" w:rsidP="00CD15A8">
            <w:pPr>
              <w:snapToGrid w:val="0"/>
              <w:jc w:val="center"/>
              <w:rPr>
                <w:rFonts w:ascii="Arial" w:hAnsi="Arial" w:cs="Arial"/>
                <w:i/>
                <w:sz w:val="16"/>
              </w:rPr>
            </w:pPr>
            <w:r>
              <w:rPr>
                <w:rFonts w:ascii="Arial" w:hAnsi="Arial" w:cs="Arial"/>
                <w:i/>
                <w:sz w:val="16"/>
              </w:rPr>
              <w:t>29,27</w:t>
            </w:r>
          </w:p>
          <w:p w14:paraId="78A12DAF" w14:textId="77777777" w:rsidR="00496C66" w:rsidRDefault="00496C66" w:rsidP="00CD15A8">
            <w:pPr>
              <w:snapToGrid w:val="0"/>
              <w:jc w:val="center"/>
              <w:rPr>
                <w:rFonts w:ascii="Arial" w:hAnsi="Arial" w:cs="Arial"/>
                <w:i/>
                <w:sz w:val="16"/>
              </w:rPr>
            </w:pPr>
          </w:p>
          <w:p w14:paraId="5A62891C" w14:textId="77777777" w:rsidR="00496C66" w:rsidRDefault="00496C66" w:rsidP="00CD15A8">
            <w:pPr>
              <w:snapToGrid w:val="0"/>
              <w:jc w:val="center"/>
              <w:rPr>
                <w:rFonts w:ascii="Arial" w:hAnsi="Arial" w:cs="Arial"/>
                <w:i/>
                <w:sz w:val="16"/>
              </w:rPr>
            </w:pPr>
          </w:p>
          <w:p w14:paraId="1132DECD" w14:textId="77777777" w:rsidR="00496C66" w:rsidRDefault="00496C66" w:rsidP="00CD15A8">
            <w:pPr>
              <w:snapToGrid w:val="0"/>
              <w:jc w:val="center"/>
              <w:rPr>
                <w:rFonts w:ascii="Arial" w:hAnsi="Arial" w:cs="Arial"/>
                <w:i/>
                <w:sz w:val="16"/>
              </w:rPr>
            </w:pPr>
            <w:r>
              <w:rPr>
                <w:rFonts w:ascii="Arial" w:hAnsi="Arial" w:cs="Arial"/>
                <w:i/>
                <w:sz w:val="16"/>
              </w:rPr>
              <w:t>NA</w:t>
            </w:r>
          </w:p>
          <w:p w14:paraId="679A19F7" w14:textId="77777777" w:rsidR="00496C66" w:rsidRDefault="00496C66" w:rsidP="00E079A6">
            <w:pPr>
              <w:snapToGrid w:val="0"/>
              <w:jc w:val="center"/>
              <w:rPr>
                <w:rFonts w:ascii="Arial" w:hAnsi="Arial" w:cs="Arial"/>
                <w:i/>
                <w:sz w:val="16"/>
              </w:rPr>
            </w:pPr>
          </w:p>
        </w:tc>
        <w:tc>
          <w:tcPr>
            <w:tcW w:w="992" w:type="dxa"/>
          </w:tcPr>
          <w:p w14:paraId="1DE2FB1D" w14:textId="77777777" w:rsidR="00496C66" w:rsidRDefault="00496C66" w:rsidP="00E079A6">
            <w:pPr>
              <w:jc w:val="center"/>
              <w:rPr>
                <w:rFonts w:ascii="Arial" w:hAnsi="Arial" w:cs="Arial"/>
                <w:i/>
                <w:sz w:val="16"/>
              </w:rPr>
            </w:pPr>
          </w:p>
          <w:p w14:paraId="27C84DF8" w14:textId="77777777" w:rsidR="00496C66" w:rsidRDefault="00496C66" w:rsidP="00E079A6">
            <w:pPr>
              <w:jc w:val="center"/>
              <w:rPr>
                <w:rFonts w:ascii="Arial" w:hAnsi="Arial" w:cs="Arial"/>
                <w:i/>
                <w:sz w:val="16"/>
              </w:rPr>
            </w:pPr>
          </w:p>
          <w:p w14:paraId="4A63F30B" w14:textId="77777777" w:rsidR="00496C66" w:rsidRDefault="00496C66" w:rsidP="00CD15A8">
            <w:pPr>
              <w:jc w:val="center"/>
              <w:rPr>
                <w:rFonts w:ascii="Arial" w:hAnsi="Arial" w:cs="Arial"/>
                <w:i/>
                <w:sz w:val="16"/>
              </w:rPr>
            </w:pPr>
            <w:r>
              <w:rPr>
                <w:rFonts w:ascii="Arial" w:hAnsi="Arial" w:cs="Arial"/>
                <w:i/>
                <w:sz w:val="16"/>
              </w:rPr>
              <w:t>27,27</w:t>
            </w:r>
          </w:p>
          <w:p w14:paraId="776FBF90" w14:textId="77777777" w:rsidR="00496C66" w:rsidRDefault="00496C66" w:rsidP="00CD15A8">
            <w:pPr>
              <w:jc w:val="center"/>
              <w:rPr>
                <w:rFonts w:ascii="Arial" w:hAnsi="Arial" w:cs="Arial"/>
                <w:i/>
                <w:sz w:val="16"/>
              </w:rPr>
            </w:pPr>
          </w:p>
          <w:p w14:paraId="1514FDF6" w14:textId="77777777" w:rsidR="00496C66" w:rsidRDefault="00496C66" w:rsidP="00CD15A8">
            <w:pPr>
              <w:jc w:val="center"/>
              <w:rPr>
                <w:rFonts w:ascii="Arial" w:hAnsi="Arial" w:cs="Arial"/>
                <w:i/>
                <w:sz w:val="16"/>
              </w:rPr>
            </w:pPr>
            <w:r>
              <w:rPr>
                <w:rFonts w:ascii="Arial" w:hAnsi="Arial" w:cs="Arial"/>
                <w:i/>
                <w:sz w:val="16"/>
              </w:rPr>
              <w:t>28,55</w:t>
            </w:r>
          </w:p>
          <w:p w14:paraId="615F8993" w14:textId="77777777" w:rsidR="00496C66" w:rsidRDefault="00496C66" w:rsidP="00CD15A8">
            <w:pPr>
              <w:jc w:val="center"/>
              <w:rPr>
                <w:rFonts w:ascii="Arial" w:hAnsi="Arial" w:cs="Arial"/>
                <w:i/>
                <w:sz w:val="16"/>
              </w:rPr>
            </w:pPr>
          </w:p>
          <w:p w14:paraId="292DC9FC" w14:textId="77777777" w:rsidR="00496C66" w:rsidRDefault="00496C66" w:rsidP="00CD15A8">
            <w:pPr>
              <w:jc w:val="center"/>
              <w:rPr>
                <w:rFonts w:ascii="Arial" w:hAnsi="Arial" w:cs="Arial"/>
                <w:i/>
                <w:sz w:val="16"/>
              </w:rPr>
            </w:pPr>
          </w:p>
          <w:p w14:paraId="5CAA8C81" w14:textId="77777777" w:rsidR="00496C66" w:rsidRDefault="00496C66" w:rsidP="00CD15A8">
            <w:pPr>
              <w:jc w:val="center"/>
              <w:rPr>
                <w:rFonts w:ascii="Arial" w:hAnsi="Arial" w:cs="Arial"/>
                <w:i/>
                <w:sz w:val="16"/>
              </w:rPr>
            </w:pPr>
            <w:r>
              <w:rPr>
                <w:rFonts w:ascii="Arial" w:hAnsi="Arial" w:cs="Arial"/>
                <w:i/>
                <w:sz w:val="16"/>
              </w:rPr>
              <w:t>23,56</w:t>
            </w:r>
          </w:p>
          <w:p w14:paraId="15DD2767" w14:textId="77777777" w:rsidR="00496C66" w:rsidRDefault="00496C66" w:rsidP="00E079A6">
            <w:pPr>
              <w:jc w:val="center"/>
              <w:rPr>
                <w:rFonts w:ascii="Arial" w:hAnsi="Arial" w:cs="Arial"/>
                <w:i/>
                <w:sz w:val="16"/>
              </w:rPr>
            </w:pPr>
          </w:p>
        </w:tc>
        <w:tc>
          <w:tcPr>
            <w:tcW w:w="1417" w:type="dxa"/>
            <w:vMerge/>
          </w:tcPr>
          <w:p w14:paraId="603D5B87" w14:textId="77777777" w:rsidR="00496C66" w:rsidRDefault="00496C66" w:rsidP="00E079A6">
            <w:pPr>
              <w:jc w:val="center"/>
              <w:rPr>
                <w:rFonts w:ascii="Arial" w:hAnsi="Arial" w:cs="Arial"/>
                <w:i/>
                <w:sz w:val="16"/>
              </w:rPr>
            </w:pPr>
          </w:p>
        </w:tc>
        <w:tc>
          <w:tcPr>
            <w:tcW w:w="710" w:type="dxa"/>
            <w:vMerge/>
          </w:tcPr>
          <w:p w14:paraId="2CED4454" w14:textId="77777777" w:rsidR="00496C66" w:rsidRDefault="00496C66" w:rsidP="00E079A6">
            <w:pPr>
              <w:jc w:val="center"/>
              <w:rPr>
                <w:rFonts w:ascii="Arial" w:hAnsi="Arial" w:cs="Arial"/>
                <w:i/>
                <w:sz w:val="16"/>
              </w:rPr>
            </w:pPr>
          </w:p>
        </w:tc>
        <w:tc>
          <w:tcPr>
            <w:tcW w:w="1275" w:type="dxa"/>
            <w:vMerge/>
          </w:tcPr>
          <w:p w14:paraId="25630EC7" w14:textId="77777777" w:rsidR="00496C66" w:rsidRPr="006F6ABB" w:rsidRDefault="00496C66" w:rsidP="00E079A6">
            <w:pPr>
              <w:jc w:val="center"/>
              <w:rPr>
                <w:rFonts w:ascii="Arial" w:hAnsi="Arial" w:cs="Arial"/>
                <w:i/>
                <w:sz w:val="16"/>
                <w:lang w:val="es-ES_tradnl"/>
              </w:rPr>
            </w:pPr>
          </w:p>
        </w:tc>
      </w:tr>
      <w:tr w:rsidR="00496C66" w:rsidRPr="006F6ABB" w14:paraId="56BE2602" w14:textId="77777777" w:rsidTr="00F03AFA">
        <w:trPr>
          <w:trHeight w:val="214"/>
        </w:trPr>
        <w:tc>
          <w:tcPr>
            <w:tcW w:w="1003" w:type="dxa"/>
            <w:vMerge w:val="restart"/>
            <w:shd w:val="clear" w:color="auto" w:fill="FFFFFF"/>
            <w:vAlign w:val="center"/>
          </w:tcPr>
          <w:p w14:paraId="3A3126D0" w14:textId="77777777" w:rsidR="00496C66" w:rsidRDefault="00496C66" w:rsidP="00D25C33">
            <w:pPr>
              <w:jc w:val="center"/>
              <w:rPr>
                <w:rFonts w:ascii="Arial" w:hAnsi="Arial" w:cs="Arial"/>
                <w:sz w:val="16"/>
                <w:szCs w:val="16"/>
              </w:rPr>
            </w:pPr>
            <w:r>
              <w:rPr>
                <w:rFonts w:ascii="Arial" w:hAnsi="Arial" w:cs="Arial"/>
                <w:sz w:val="16"/>
                <w:szCs w:val="16"/>
              </w:rPr>
              <w:t>Otras variables</w:t>
            </w:r>
          </w:p>
        </w:tc>
        <w:tc>
          <w:tcPr>
            <w:tcW w:w="2469" w:type="dxa"/>
            <w:vMerge w:val="restart"/>
            <w:shd w:val="clear" w:color="auto" w:fill="FFFFFF"/>
          </w:tcPr>
          <w:p w14:paraId="0AAACEFC" w14:textId="77777777" w:rsidR="00496C66" w:rsidRDefault="00496C66" w:rsidP="00D25C33">
            <w:pPr>
              <w:snapToGrid w:val="0"/>
              <w:jc w:val="both"/>
              <w:rPr>
                <w:rFonts w:ascii="Arial" w:hAnsi="Arial" w:cs="Arial"/>
                <w:i/>
                <w:sz w:val="16"/>
              </w:rPr>
            </w:pPr>
            <w:r>
              <w:rPr>
                <w:rFonts w:ascii="Arial" w:hAnsi="Arial" w:cs="Arial"/>
                <w:i/>
                <w:sz w:val="16"/>
              </w:rPr>
              <w:t xml:space="preserve">        </w:t>
            </w:r>
          </w:p>
          <w:p w14:paraId="55D34FB8" w14:textId="77777777" w:rsidR="00496C66" w:rsidRDefault="00496C66" w:rsidP="00D25C33">
            <w:pPr>
              <w:snapToGrid w:val="0"/>
              <w:jc w:val="both"/>
              <w:rPr>
                <w:rFonts w:ascii="Arial" w:hAnsi="Arial" w:cs="Arial"/>
                <w:i/>
                <w:sz w:val="16"/>
              </w:rPr>
            </w:pPr>
          </w:p>
          <w:p w14:paraId="26A62C33" w14:textId="77777777" w:rsidR="00496C66" w:rsidRDefault="00496C66" w:rsidP="00D25C33">
            <w:pPr>
              <w:snapToGrid w:val="0"/>
              <w:jc w:val="both"/>
              <w:rPr>
                <w:rFonts w:ascii="Arial" w:hAnsi="Arial" w:cs="Arial"/>
                <w:i/>
                <w:sz w:val="16"/>
              </w:rPr>
            </w:pPr>
          </w:p>
          <w:p w14:paraId="4FFA58A6" w14:textId="77777777" w:rsidR="00496C66" w:rsidRPr="00A62371" w:rsidRDefault="00496C66" w:rsidP="00D25C33">
            <w:pPr>
              <w:snapToGrid w:val="0"/>
              <w:jc w:val="both"/>
              <w:rPr>
                <w:rFonts w:ascii="Arial" w:hAnsi="Arial" w:cs="Arial"/>
                <w:b/>
                <w:sz w:val="16"/>
              </w:rPr>
            </w:pPr>
            <w:r w:rsidRPr="00A62371">
              <w:rPr>
                <w:rFonts w:ascii="Arial" w:hAnsi="Arial" w:cs="Arial"/>
                <w:b/>
                <w:sz w:val="16"/>
              </w:rPr>
              <w:t>Pacientes HRR+</w:t>
            </w:r>
          </w:p>
          <w:p w14:paraId="5227B404" w14:textId="77777777" w:rsidR="00496C66" w:rsidRDefault="00496C66" w:rsidP="00D25C33">
            <w:pPr>
              <w:snapToGrid w:val="0"/>
              <w:jc w:val="both"/>
              <w:rPr>
                <w:rFonts w:ascii="Arial" w:hAnsi="Arial" w:cs="Arial"/>
                <w:i/>
                <w:sz w:val="16"/>
              </w:rPr>
            </w:pPr>
          </w:p>
          <w:p w14:paraId="5831E3E1" w14:textId="77777777" w:rsidR="00496C66" w:rsidRDefault="00496C66" w:rsidP="00D25C33">
            <w:pPr>
              <w:snapToGrid w:val="0"/>
              <w:jc w:val="both"/>
              <w:rPr>
                <w:rFonts w:ascii="Arial" w:hAnsi="Arial" w:cs="Arial"/>
                <w:i/>
                <w:sz w:val="16"/>
              </w:rPr>
            </w:pPr>
            <w:r>
              <w:rPr>
                <w:rFonts w:ascii="Arial" w:hAnsi="Arial" w:cs="Arial"/>
                <w:i/>
                <w:sz w:val="16"/>
              </w:rPr>
              <w:t xml:space="preserve">         -Tiempo hasta progresión de PSA (meses), mediana </w:t>
            </w:r>
          </w:p>
          <w:p w14:paraId="0D001432" w14:textId="77777777" w:rsidR="00496C66" w:rsidRDefault="00496C66" w:rsidP="00D25C33">
            <w:pPr>
              <w:snapToGrid w:val="0"/>
              <w:jc w:val="both"/>
              <w:rPr>
                <w:rFonts w:ascii="Arial" w:hAnsi="Arial" w:cs="Arial"/>
                <w:i/>
                <w:sz w:val="16"/>
              </w:rPr>
            </w:pPr>
          </w:p>
          <w:p w14:paraId="57137364" w14:textId="77777777" w:rsidR="00496C66" w:rsidRDefault="00496C66" w:rsidP="00D25C33">
            <w:pPr>
              <w:snapToGrid w:val="0"/>
              <w:jc w:val="both"/>
              <w:rPr>
                <w:rFonts w:ascii="Arial" w:hAnsi="Arial" w:cs="Arial"/>
                <w:i/>
                <w:sz w:val="16"/>
              </w:rPr>
            </w:pPr>
            <w:r>
              <w:rPr>
                <w:rFonts w:ascii="Arial" w:hAnsi="Arial" w:cs="Arial"/>
                <w:i/>
                <w:sz w:val="16"/>
              </w:rPr>
              <w:t xml:space="preserve">         -SLP (meses), mediana</w:t>
            </w:r>
          </w:p>
          <w:p w14:paraId="203EAA22" w14:textId="77777777" w:rsidR="00496C66" w:rsidRDefault="00496C66" w:rsidP="00D25C33">
            <w:pPr>
              <w:snapToGrid w:val="0"/>
              <w:jc w:val="both"/>
              <w:rPr>
                <w:rFonts w:ascii="Arial" w:hAnsi="Arial" w:cs="Arial"/>
                <w:i/>
                <w:sz w:val="16"/>
              </w:rPr>
            </w:pPr>
          </w:p>
          <w:p w14:paraId="1F1195EC" w14:textId="77777777" w:rsidR="00496C66" w:rsidRDefault="00496C66" w:rsidP="00D25C33">
            <w:pPr>
              <w:snapToGrid w:val="0"/>
              <w:jc w:val="both"/>
              <w:rPr>
                <w:rFonts w:ascii="Arial" w:hAnsi="Arial" w:cs="Arial"/>
                <w:i/>
                <w:sz w:val="16"/>
              </w:rPr>
            </w:pPr>
            <w:r>
              <w:rPr>
                <w:rFonts w:ascii="Arial" w:hAnsi="Arial" w:cs="Arial"/>
                <w:i/>
                <w:sz w:val="16"/>
              </w:rPr>
              <w:t xml:space="preserve">         -Tiempo hasta progresión del dolor (TPD) (meses), mediana</w:t>
            </w:r>
          </w:p>
          <w:p w14:paraId="00B141B9" w14:textId="77777777" w:rsidR="00496C66" w:rsidRDefault="00496C66" w:rsidP="00D25C33">
            <w:pPr>
              <w:snapToGrid w:val="0"/>
              <w:jc w:val="both"/>
              <w:rPr>
                <w:rFonts w:ascii="Arial" w:hAnsi="Arial" w:cs="Arial"/>
                <w:i/>
                <w:sz w:val="16"/>
              </w:rPr>
            </w:pPr>
          </w:p>
          <w:p w14:paraId="2B331885" w14:textId="77777777" w:rsidR="00496C66" w:rsidRDefault="00496C66" w:rsidP="00D25C33">
            <w:pPr>
              <w:ind w:left="360"/>
              <w:rPr>
                <w:rFonts w:ascii="Arial" w:hAnsi="Arial" w:cs="Arial"/>
                <w:sz w:val="16"/>
                <w:szCs w:val="16"/>
              </w:rPr>
            </w:pPr>
          </w:p>
        </w:tc>
        <w:tc>
          <w:tcPr>
            <w:tcW w:w="993" w:type="dxa"/>
            <w:shd w:val="clear" w:color="auto" w:fill="D9D9D9"/>
            <w:vAlign w:val="center"/>
          </w:tcPr>
          <w:p w14:paraId="624076A4" w14:textId="1EFEEECE" w:rsidR="00496C66" w:rsidRPr="00F35821" w:rsidRDefault="008B2E57" w:rsidP="00D25C33">
            <w:pPr>
              <w:tabs>
                <w:tab w:val="left" w:pos="1673"/>
              </w:tabs>
              <w:jc w:val="center"/>
              <w:rPr>
                <w:rFonts w:ascii="Arial" w:hAnsi="Arial" w:cs="Arial"/>
                <w:b/>
                <w:i/>
                <w:sz w:val="16"/>
                <w:lang w:val="pt-BR"/>
              </w:rPr>
            </w:pPr>
            <w:r>
              <w:rPr>
                <w:rFonts w:ascii="Arial" w:hAnsi="Arial" w:cs="Arial"/>
                <w:i/>
                <w:sz w:val="16"/>
              </w:rPr>
              <w:t>N=212</w:t>
            </w:r>
          </w:p>
        </w:tc>
        <w:tc>
          <w:tcPr>
            <w:tcW w:w="992" w:type="dxa"/>
            <w:shd w:val="clear" w:color="auto" w:fill="D9D9D9"/>
            <w:vAlign w:val="center"/>
          </w:tcPr>
          <w:p w14:paraId="5E144C21" w14:textId="391BC96E" w:rsidR="00496C66" w:rsidRPr="006F6ABB" w:rsidRDefault="008B2E57" w:rsidP="00D25C33">
            <w:pPr>
              <w:tabs>
                <w:tab w:val="left" w:pos="1673"/>
              </w:tabs>
              <w:jc w:val="center"/>
              <w:rPr>
                <w:rFonts w:ascii="Arial" w:hAnsi="Arial" w:cs="Arial"/>
                <w:b/>
                <w:i/>
                <w:sz w:val="16"/>
                <w:lang w:val="pt-BR"/>
              </w:rPr>
            </w:pPr>
            <w:r>
              <w:rPr>
                <w:rFonts w:ascii="Arial" w:hAnsi="Arial" w:cs="Arial"/>
                <w:i/>
                <w:sz w:val="16"/>
              </w:rPr>
              <w:t>N=211</w:t>
            </w:r>
          </w:p>
        </w:tc>
        <w:tc>
          <w:tcPr>
            <w:tcW w:w="1417" w:type="dxa"/>
            <w:vMerge w:val="restart"/>
            <w:shd w:val="clear" w:color="auto" w:fill="FFFFFF"/>
          </w:tcPr>
          <w:p w14:paraId="4BB9685A" w14:textId="77777777" w:rsidR="00496C66" w:rsidRDefault="00496C66" w:rsidP="00D25C33">
            <w:pPr>
              <w:ind w:left="360"/>
              <w:rPr>
                <w:rFonts w:ascii="Arial" w:hAnsi="Arial" w:cs="Arial"/>
                <w:sz w:val="16"/>
                <w:szCs w:val="16"/>
              </w:rPr>
            </w:pPr>
          </w:p>
          <w:p w14:paraId="22E520C9" w14:textId="77777777" w:rsidR="00496C66" w:rsidRDefault="00496C66" w:rsidP="00D25C33">
            <w:pPr>
              <w:ind w:left="360"/>
              <w:rPr>
                <w:rFonts w:ascii="Arial" w:hAnsi="Arial" w:cs="Arial"/>
                <w:sz w:val="16"/>
                <w:szCs w:val="16"/>
              </w:rPr>
            </w:pPr>
          </w:p>
          <w:p w14:paraId="4B277B90" w14:textId="77777777" w:rsidR="00496C66" w:rsidRDefault="00496C66" w:rsidP="00D25C33">
            <w:pPr>
              <w:ind w:left="360"/>
              <w:rPr>
                <w:rFonts w:ascii="Arial" w:hAnsi="Arial" w:cs="Arial"/>
                <w:sz w:val="16"/>
                <w:szCs w:val="16"/>
              </w:rPr>
            </w:pPr>
          </w:p>
          <w:p w14:paraId="44BC1429" w14:textId="77777777" w:rsidR="00496C66" w:rsidRDefault="00496C66" w:rsidP="00D25C33">
            <w:pPr>
              <w:ind w:left="360"/>
              <w:rPr>
                <w:rFonts w:ascii="Arial" w:hAnsi="Arial" w:cs="Arial"/>
                <w:sz w:val="16"/>
                <w:szCs w:val="16"/>
              </w:rPr>
            </w:pPr>
          </w:p>
          <w:p w14:paraId="7E5E425B" w14:textId="77777777" w:rsidR="00496C66" w:rsidRDefault="00496C66" w:rsidP="00D25C33">
            <w:pPr>
              <w:ind w:left="360"/>
              <w:rPr>
                <w:rFonts w:ascii="Arial" w:hAnsi="Arial" w:cs="Arial"/>
                <w:sz w:val="16"/>
                <w:szCs w:val="16"/>
              </w:rPr>
            </w:pPr>
          </w:p>
          <w:p w14:paraId="0124989F" w14:textId="7EE5F10C" w:rsidR="00496C66" w:rsidRDefault="00496C66" w:rsidP="00D25C33">
            <w:pPr>
              <w:jc w:val="center"/>
              <w:rPr>
                <w:rFonts w:ascii="Arial" w:hAnsi="Arial" w:cs="Arial"/>
                <w:i/>
                <w:sz w:val="16"/>
              </w:rPr>
            </w:pPr>
            <w:r>
              <w:rPr>
                <w:rFonts w:ascii="Arial" w:hAnsi="Arial" w:cs="Arial"/>
                <w:i/>
                <w:sz w:val="16"/>
              </w:rPr>
              <w:t>0,60 (0,46</w:t>
            </w:r>
            <w:r w:rsidR="008B2E57">
              <w:rPr>
                <w:rFonts w:ascii="Arial" w:hAnsi="Arial" w:cs="Arial"/>
                <w:i/>
                <w:sz w:val="16"/>
              </w:rPr>
              <w:t>-</w:t>
            </w:r>
            <w:r>
              <w:rPr>
                <w:rFonts w:ascii="Arial" w:hAnsi="Arial" w:cs="Arial"/>
                <w:i/>
                <w:sz w:val="16"/>
              </w:rPr>
              <w:t>0,79)</w:t>
            </w:r>
          </w:p>
          <w:p w14:paraId="73FFAD1A" w14:textId="77777777" w:rsidR="00496C66" w:rsidRDefault="00496C66" w:rsidP="00D25C33">
            <w:pPr>
              <w:jc w:val="center"/>
              <w:rPr>
                <w:rFonts w:ascii="Arial" w:hAnsi="Arial" w:cs="Arial"/>
                <w:i/>
                <w:sz w:val="16"/>
              </w:rPr>
            </w:pPr>
          </w:p>
          <w:p w14:paraId="32A0B822" w14:textId="77777777" w:rsidR="00496C66" w:rsidRDefault="00496C66" w:rsidP="00D25C33">
            <w:pPr>
              <w:jc w:val="center"/>
              <w:rPr>
                <w:rFonts w:ascii="Arial" w:hAnsi="Arial" w:cs="Arial"/>
                <w:i/>
                <w:sz w:val="16"/>
              </w:rPr>
            </w:pPr>
          </w:p>
          <w:p w14:paraId="5AC4AEC4" w14:textId="5C921815" w:rsidR="00496C66" w:rsidRDefault="00496C66" w:rsidP="00D25C33">
            <w:pPr>
              <w:jc w:val="center"/>
              <w:rPr>
                <w:rFonts w:ascii="Arial" w:hAnsi="Arial" w:cs="Arial"/>
                <w:i/>
                <w:sz w:val="16"/>
              </w:rPr>
            </w:pPr>
            <w:r>
              <w:rPr>
                <w:rFonts w:ascii="Arial" w:hAnsi="Arial" w:cs="Arial"/>
                <w:i/>
                <w:sz w:val="16"/>
              </w:rPr>
              <w:t>0,96 (0,72</w:t>
            </w:r>
            <w:r w:rsidR="008B2E57">
              <w:rPr>
                <w:rFonts w:ascii="Arial" w:hAnsi="Arial" w:cs="Arial"/>
                <w:i/>
                <w:sz w:val="16"/>
              </w:rPr>
              <w:t>-</w:t>
            </w:r>
            <w:r>
              <w:rPr>
                <w:rFonts w:ascii="Arial" w:hAnsi="Arial" w:cs="Arial"/>
                <w:i/>
                <w:sz w:val="16"/>
              </w:rPr>
              <w:t>1,29)</w:t>
            </w:r>
          </w:p>
          <w:p w14:paraId="46717ACE" w14:textId="77777777" w:rsidR="00496C66" w:rsidRDefault="00496C66" w:rsidP="00D25C33">
            <w:pPr>
              <w:jc w:val="center"/>
              <w:rPr>
                <w:rFonts w:ascii="Arial" w:hAnsi="Arial" w:cs="Arial"/>
                <w:i/>
                <w:sz w:val="16"/>
              </w:rPr>
            </w:pPr>
          </w:p>
          <w:p w14:paraId="0A81165E" w14:textId="14D55D76" w:rsidR="00496C66" w:rsidRDefault="00496C66" w:rsidP="00D25C33">
            <w:pPr>
              <w:jc w:val="center"/>
              <w:rPr>
                <w:rFonts w:ascii="Arial" w:hAnsi="Arial" w:cs="Arial"/>
                <w:i/>
                <w:sz w:val="16"/>
              </w:rPr>
            </w:pPr>
            <w:r>
              <w:rPr>
                <w:rFonts w:ascii="Arial" w:hAnsi="Arial" w:cs="Arial"/>
                <w:i/>
                <w:sz w:val="16"/>
              </w:rPr>
              <w:t>0,89 (0,65</w:t>
            </w:r>
            <w:r w:rsidR="008B2E57">
              <w:rPr>
                <w:rFonts w:ascii="Arial" w:hAnsi="Arial" w:cs="Arial"/>
                <w:i/>
                <w:sz w:val="16"/>
              </w:rPr>
              <w:t>-</w:t>
            </w:r>
            <w:r>
              <w:rPr>
                <w:rFonts w:ascii="Arial" w:hAnsi="Arial" w:cs="Arial"/>
                <w:i/>
                <w:sz w:val="16"/>
              </w:rPr>
              <w:t>1.24)</w:t>
            </w:r>
          </w:p>
          <w:p w14:paraId="1543CC59" w14:textId="77777777" w:rsidR="00496C66" w:rsidRDefault="00496C66" w:rsidP="00D25C33">
            <w:pPr>
              <w:jc w:val="center"/>
              <w:rPr>
                <w:rFonts w:ascii="Arial" w:hAnsi="Arial" w:cs="Arial"/>
                <w:i/>
                <w:sz w:val="16"/>
              </w:rPr>
            </w:pPr>
          </w:p>
          <w:p w14:paraId="65032EA6" w14:textId="77777777" w:rsidR="00496C66" w:rsidRDefault="00496C66" w:rsidP="00D25C33">
            <w:pPr>
              <w:ind w:left="360"/>
              <w:rPr>
                <w:rFonts w:ascii="Arial" w:hAnsi="Arial" w:cs="Arial"/>
                <w:sz w:val="16"/>
                <w:szCs w:val="16"/>
              </w:rPr>
            </w:pPr>
          </w:p>
        </w:tc>
        <w:tc>
          <w:tcPr>
            <w:tcW w:w="710" w:type="dxa"/>
            <w:vMerge w:val="restart"/>
            <w:shd w:val="clear" w:color="auto" w:fill="FFFFFF"/>
          </w:tcPr>
          <w:p w14:paraId="4621789C" w14:textId="77777777" w:rsidR="00496C66" w:rsidRDefault="00496C66" w:rsidP="00D25C33">
            <w:pPr>
              <w:ind w:left="360"/>
              <w:rPr>
                <w:rFonts w:ascii="Arial" w:hAnsi="Arial" w:cs="Arial"/>
                <w:sz w:val="16"/>
                <w:szCs w:val="16"/>
              </w:rPr>
            </w:pPr>
          </w:p>
          <w:p w14:paraId="0D1CDE81" w14:textId="77777777" w:rsidR="00496C66" w:rsidRDefault="00496C66" w:rsidP="00D25C33">
            <w:pPr>
              <w:ind w:left="360"/>
              <w:rPr>
                <w:rFonts w:ascii="Arial" w:hAnsi="Arial" w:cs="Arial"/>
                <w:sz w:val="16"/>
                <w:szCs w:val="16"/>
              </w:rPr>
            </w:pPr>
          </w:p>
          <w:p w14:paraId="2790A892" w14:textId="77777777" w:rsidR="00496C66" w:rsidRDefault="00496C66" w:rsidP="00D25C33">
            <w:pPr>
              <w:ind w:left="360"/>
              <w:rPr>
                <w:rFonts w:ascii="Arial" w:hAnsi="Arial" w:cs="Arial"/>
                <w:sz w:val="16"/>
                <w:szCs w:val="16"/>
              </w:rPr>
            </w:pPr>
          </w:p>
          <w:p w14:paraId="739FBB3C" w14:textId="77777777" w:rsidR="00496C66" w:rsidRDefault="00496C66" w:rsidP="00D25C33">
            <w:pPr>
              <w:ind w:left="360"/>
              <w:rPr>
                <w:rFonts w:ascii="Arial" w:hAnsi="Arial" w:cs="Arial"/>
                <w:sz w:val="16"/>
                <w:szCs w:val="16"/>
              </w:rPr>
            </w:pPr>
          </w:p>
          <w:p w14:paraId="51DED09A" w14:textId="77777777" w:rsidR="00496C66" w:rsidRDefault="00496C66" w:rsidP="00D25C33">
            <w:pPr>
              <w:ind w:left="360"/>
              <w:rPr>
                <w:rFonts w:ascii="Arial" w:hAnsi="Arial" w:cs="Arial"/>
                <w:sz w:val="16"/>
                <w:szCs w:val="16"/>
              </w:rPr>
            </w:pPr>
          </w:p>
          <w:p w14:paraId="6BF57BAF" w14:textId="77777777" w:rsidR="00496C66" w:rsidRDefault="00496C66" w:rsidP="00D25C33">
            <w:pPr>
              <w:jc w:val="center"/>
              <w:rPr>
                <w:rFonts w:ascii="Arial" w:hAnsi="Arial" w:cs="Arial"/>
                <w:i/>
                <w:sz w:val="16"/>
              </w:rPr>
            </w:pPr>
            <w:r>
              <w:rPr>
                <w:rFonts w:ascii="Arial" w:hAnsi="Arial" w:cs="Arial"/>
                <w:i/>
                <w:sz w:val="16"/>
              </w:rPr>
              <w:t>&lt;0,001</w:t>
            </w:r>
          </w:p>
          <w:p w14:paraId="4396DD50" w14:textId="77777777" w:rsidR="00496C66" w:rsidRDefault="00496C66" w:rsidP="00D25C33">
            <w:pPr>
              <w:jc w:val="center"/>
              <w:rPr>
                <w:rFonts w:ascii="Arial" w:hAnsi="Arial" w:cs="Arial"/>
                <w:i/>
                <w:sz w:val="16"/>
              </w:rPr>
            </w:pPr>
          </w:p>
          <w:p w14:paraId="0DB51FE8" w14:textId="77777777" w:rsidR="00496C66" w:rsidRDefault="00496C66" w:rsidP="00D25C33">
            <w:pPr>
              <w:jc w:val="center"/>
              <w:rPr>
                <w:rFonts w:ascii="Arial" w:hAnsi="Arial" w:cs="Arial"/>
                <w:i/>
                <w:sz w:val="16"/>
              </w:rPr>
            </w:pPr>
          </w:p>
          <w:p w14:paraId="7895B296" w14:textId="77777777" w:rsidR="00496C66" w:rsidRDefault="00496C66" w:rsidP="00D25C33">
            <w:pPr>
              <w:jc w:val="center"/>
              <w:rPr>
                <w:rFonts w:ascii="Arial" w:hAnsi="Arial" w:cs="Arial"/>
                <w:i/>
                <w:sz w:val="16"/>
              </w:rPr>
            </w:pPr>
            <w:r>
              <w:rPr>
                <w:rFonts w:ascii="Arial" w:hAnsi="Arial" w:cs="Arial"/>
                <w:i/>
                <w:sz w:val="16"/>
              </w:rPr>
              <w:t>0,8</w:t>
            </w:r>
          </w:p>
          <w:p w14:paraId="21F1243F" w14:textId="77777777" w:rsidR="00496C66" w:rsidRDefault="00496C66" w:rsidP="00D25C33">
            <w:pPr>
              <w:jc w:val="center"/>
              <w:rPr>
                <w:rFonts w:ascii="Arial" w:hAnsi="Arial" w:cs="Arial"/>
                <w:i/>
                <w:sz w:val="16"/>
              </w:rPr>
            </w:pPr>
          </w:p>
          <w:p w14:paraId="3B085330" w14:textId="77777777" w:rsidR="00496C66" w:rsidRDefault="00496C66" w:rsidP="00D25C33">
            <w:pPr>
              <w:jc w:val="center"/>
              <w:rPr>
                <w:rFonts w:ascii="Arial" w:hAnsi="Arial" w:cs="Arial"/>
                <w:i/>
                <w:sz w:val="16"/>
              </w:rPr>
            </w:pPr>
            <w:r>
              <w:rPr>
                <w:rFonts w:ascii="Arial" w:hAnsi="Arial" w:cs="Arial"/>
                <w:i/>
                <w:sz w:val="16"/>
              </w:rPr>
              <w:t>0,5</w:t>
            </w:r>
          </w:p>
          <w:p w14:paraId="496C2B28" w14:textId="77777777" w:rsidR="00496C66" w:rsidRDefault="00496C66" w:rsidP="00D25C33">
            <w:pPr>
              <w:ind w:left="360"/>
              <w:rPr>
                <w:rFonts w:ascii="Arial" w:hAnsi="Arial" w:cs="Arial"/>
                <w:sz w:val="16"/>
                <w:szCs w:val="16"/>
              </w:rPr>
            </w:pPr>
          </w:p>
        </w:tc>
        <w:tc>
          <w:tcPr>
            <w:tcW w:w="1275" w:type="dxa"/>
            <w:vMerge/>
            <w:shd w:val="clear" w:color="auto" w:fill="FFFFFF"/>
          </w:tcPr>
          <w:p w14:paraId="55C08BC0" w14:textId="77777777" w:rsidR="00496C66" w:rsidRDefault="00496C66" w:rsidP="00D25C33">
            <w:pPr>
              <w:ind w:left="360"/>
              <w:rPr>
                <w:rFonts w:ascii="Arial" w:hAnsi="Arial" w:cs="Arial"/>
                <w:sz w:val="16"/>
                <w:szCs w:val="16"/>
              </w:rPr>
            </w:pPr>
          </w:p>
        </w:tc>
      </w:tr>
      <w:tr w:rsidR="00496C66" w:rsidRPr="006F6ABB" w14:paraId="301774BD" w14:textId="77777777" w:rsidTr="00F03AFA">
        <w:trPr>
          <w:trHeight w:val="2400"/>
        </w:trPr>
        <w:tc>
          <w:tcPr>
            <w:tcW w:w="1003" w:type="dxa"/>
            <w:vMerge/>
            <w:shd w:val="clear" w:color="auto" w:fill="FFFFFF"/>
            <w:vAlign w:val="center"/>
          </w:tcPr>
          <w:p w14:paraId="57C4EBB9" w14:textId="77777777" w:rsidR="00496C66" w:rsidRDefault="00496C66" w:rsidP="00D25C33">
            <w:pPr>
              <w:jc w:val="center"/>
              <w:rPr>
                <w:rFonts w:ascii="Arial" w:hAnsi="Arial" w:cs="Arial"/>
                <w:sz w:val="16"/>
                <w:szCs w:val="16"/>
              </w:rPr>
            </w:pPr>
          </w:p>
        </w:tc>
        <w:tc>
          <w:tcPr>
            <w:tcW w:w="2469" w:type="dxa"/>
            <w:vMerge/>
            <w:shd w:val="clear" w:color="auto" w:fill="FFFFFF"/>
          </w:tcPr>
          <w:p w14:paraId="3893FF9C" w14:textId="77777777" w:rsidR="00496C66" w:rsidRDefault="00496C66" w:rsidP="0034050E">
            <w:pPr>
              <w:snapToGrid w:val="0"/>
              <w:jc w:val="both"/>
              <w:rPr>
                <w:rFonts w:ascii="Arial" w:hAnsi="Arial" w:cs="Arial"/>
                <w:i/>
                <w:sz w:val="16"/>
              </w:rPr>
            </w:pPr>
          </w:p>
        </w:tc>
        <w:tc>
          <w:tcPr>
            <w:tcW w:w="993" w:type="dxa"/>
            <w:shd w:val="clear" w:color="auto" w:fill="FFFFFF"/>
          </w:tcPr>
          <w:p w14:paraId="20C1D0A0" w14:textId="77777777" w:rsidR="00496C66" w:rsidRDefault="00496C66" w:rsidP="00D25C33">
            <w:pPr>
              <w:snapToGrid w:val="0"/>
              <w:jc w:val="center"/>
              <w:rPr>
                <w:rFonts w:ascii="Arial" w:hAnsi="Arial" w:cs="Arial"/>
                <w:i/>
                <w:sz w:val="16"/>
              </w:rPr>
            </w:pPr>
          </w:p>
          <w:p w14:paraId="466D5281" w14:textId="77777777" w:rsidR="00496C66" w:rsidRDefault="00496C66" w:rsidP="00D25C33">
            <w:pPr>
              <w:snapToGrid w:val="0"/>
              <w:jc w:val="center"/>
              <w:rPr>
                <w:rFonts w:ascii="Arial" w:hAnsi="Arial" w:cs="Arial"/>
                <w:i/>
                <w:sz w:val="16"/>
              </w:rPr>
            </w:pPr>
          </w:p>
          <w:p w14:paraId="6B030A88" w14:textId="77777777" w:rsidR="00496C66" w:rsidRDefault="00496C66" w:rsidP="00D25C33">
            <w:pPr>
              <w:snapToGrid w:val="0"/>
              <w:jc w:val="center"/>
              <w:rPr>
                <w:rFonts w:ascii="Arial" w:hAnsi="Arial" w:cs="Arial"/>
                <w:i/>
                <w:sz w:val="16"/>
              </w:rPr>
            </w:pPr>
          </w:p>
          <w:p w14:paraId="6EB80448" w14:textId="77777777" w:rsidR="00496C66" w:rsidRDefault="00496C66" w:rsidP="00D25C33">
            <w:pPr>
              <w:snapToGrid w:val="0"/>
              <w:jc w:val="center"/>
              <w:rPr>
                <w:rFonts w:ascii="Arial" w:hAnsi="Arial" w:cs="Arial"/>
                <w:i/>
                <w:sz w:val="16"/>
              </w:rPr>
            </w:pPr>
          </w:p>
          <w:p w14:paraId="2489282F" w14:textId="77777777" w:rsidR="00496C66" w:rsidRDefault="00496C66" w:rsidP="00D25C33">
            <w:pPr>
              <w:snapToGrid w:val="0"/>
              <w:jc w:val="center"/>
              <w:rPr>
                <w:rFonts w:ascii="Arial" w:hAnsi="Arial" w:cs="Arial"/>
                <w:i/>
                <w:sz w:val="16"/>
              </w:rPr>
            </w:pPr>
            <w:r>
              <w:rPr>
                <w:rFonts w:ascii="Arial" w:hAnsi="Arial" w:cs="Arial"/>
                <w:i/>
                <w:sz w:val="16"/>
              </w:rPr>
              <w:t>18,37</w:t>
            </w:r>
          </w:p>
          <w:p w14:paraId="3CD74773" w14:textId="77777777" w:rsidR="00496C66" w:rsidRDefault="00496C66" w:rsidP="00D25C33">
            <w:pPr>
              <w:snapToGrid w:val="0"/>
              <w:jc w:val="center"/>
              <w:rPr>
                <w:rFonts w:ascii="Arial" w:hAnsi="Arial" w:cs="Arial"/>
                <w:i/>
                <w:sz w:val="16"/>
              </w:rPr>
            </w:pPr>
          </w:p>
          <w:p w14:paraId="29DCDF58" w14:textId="77777777" w:rsidR="00496C66" w:rsidRDefault="00496C66" w:rsidP="00D25C33">
            <w:pPr>
              <w:snapToGrid w:val="0"/>
              <w:jc w:val="center"/>
              <w:rPr>
                <w:rFonts w:ascii="Arial" w:hAnsi="Arial" w:cs="Arial"/>
                <w:i/>
                <w:sz w:val="16"/>
              </w:rPr>
            </w:pPr>
          </w:p>
          <w:p w14:paraId="19710146" w14:textId="77777777" w:rsidR="00496C66" w:rsidRDefault="00496C66" w:rsidP="00D25C33">
            <w:pPr>
              <w:snapToGrid w:val="0"/>
              <w:jc w:val="center"/>
              <w:rPr>
                <w:rFonts w:ascii="Arial" w:hAnsi="Arial" w:cs="Arial"/>
                <w:i/>
                <w:sz w:val="16"/>
              </w:rPr>
            </w:pPr>
            <w:r>
              <w:rPr>
                <w:rFonts w:ascii="Arial" w:hAnsi="Arial" w:cs="Arial"/>
                <w:i/>
                <w:sz w:val="16"/>
              </w:rPr>
              <w:t>28,94</w:t>
            </w:r>
          </w:p>
          <w:p w14:paraId="1F4A86CA" w14:textId="77777777" w:rsidR="00496C66" w:rsidRDefault="00496C66" w:rsidP="00D25C33">
            <w:pPr>
              <w:snapToGrid w:val="0"/>
              <w:jc w:val="center"/>
              <w:rPr>
                <w:rFonts w:ascii="Arial" w:hAnsi="Arial" w:cs="Arial"/>
                <w:i/>
                <w:sz w:val="16"/>
              </w:rPr>
            </w:pPr>
          </w:p>
          <w:p w14:paraId="0921BB3E" w14:textId="77777777" w:rsidR="00496C66" w:rsidRDefault="00496C66" w:rsidP="00D25C33">
            <w:pPr>
              <w:snapToGrid w:val="0"/>
              <w:jc w:val="center"/>
              <w:rPr>
                <w:rFonts w:ascii="Arial" w:hAnsi="Arial" w:cs="Arial"/>
                <w:i/>
                <w:sz w:val="16"/>
              </w:rPr>
            </w:pPr>
            <w:r>
              <w:rPr>
                <w:rFonts w:ascii="Arial" w:hAnsi="Arial" w:cs="Arial"/>
                <w:i/>
                <w:sz w:val="16"/>
              </w:rPr>
              <w:t>NA</w:t>
            </w:r>
          </w:p>
          <w:p w14:paraId="6E18F46A" w14:textId="77777777" w:rsidR="00496C66" w:rsidRDefault="00496C66" w:rsidP="00E079A6">
            <w:pPr>
              <w:ind w:left="360"/>
              <w:rPr>
                <w:rFonts w:ascii="Arial" w:hAnsi="Arial" w:cs="Arial"/>
                <w:i/>
                <w:sz w:val="16"/>
              </w:rPr>
            </w:pPr>
          </w:p>
        </w:tc>
        <w:tc>
          <w:tcPr>
            <w:tcW w:w="992" w:type="dxa"/>
            <w:shd w:val="clear" w:color="auto" w:fill="FFFFFF"/>
          </w:tcPr>
          <w:p w14:paraId="4E657DDE" w14:textId="77777777" w:rsidR="00496C66" w:rsidRDefault="00496C66" w:rsidP="00D25C33">
            <w:pPr>
              <w:ind w:left="360"/>
              <w:rPr>
                <w:rFonts w:ascii="Arial" w:hAnsi="Arial" w:cs="Arial"/>
                <w:sz w:val="16"/>
                <w:szCs w:val="16"/>
              </w:rPr>
            </w:pPr>
          </w:p>
          <w:p w14:paraId="269A9520" w14:textId="77777777" w:rsidR="00496C66" w:rsidRDefault="00496C66" w:rsidP="00D25C33">
            <w:pPr>
              <w:ind w:left="360"/>
              <w:rPr>
                <w:rFonts w:ascii="Arial" w:hAnsi="Arial" w:cs="Arial"/>
                <w:sz w:val="16"/>
                <w:szCs w:val="16"/>
              </w:rPr>
            </w:pPr>
          </w:p>
          <w:p w14:paraId="1357C08C" w14:textId="77777777" w:rsidR="00496C66" w:rsidRDefault="00496C66" w:rsidP="00D25C33">
            <w:pPr>
              <w:ind w:left="360"/>
              <w:rPr>
                <w:rFonts w:ascii="Arial" w:hAnsi="Arial" w:cs="Arial"/>
                <w:sz w:val="16"/>
                <w:szCs w:val="16"/>
              </w:rPr>
            </w:pPr>
          </w:p>
          <w:p w14:paraId="28827F1F" w14:textId="77777777" w:rsidR="00496C66" w:rsidRDefault="00496C66" w:rsidP="00D25C33">
            <w:pPr>
              <w:ind w:left="360"/>
              <w:rPr>
                <w:rFonts w:ascii="Arial" w:hAnsi="Arial" w:cs="Arial"/>
                <w:sz w:val="16"/>
                <w:szCs w:val="16"/>
              </w:rPr>
            </w:pPr>
          </w:p>
          <w:p w14:paraId="31538DF2" w14:textId="77777777" w:rsidR="00496C66" w:rsidRDefault="00496C66" w:rsidP="00D25C33">
            <w:pPr>
              <w:jc w:val="center"/>
              <w:rPr>
                <w:rFonts w:ascii="Arial" w:hAnsi="Arial" w:cs="Arial"/>
                <w:i/>
                <w:sz w:val="16"/>
              </w:rPr>
            </w:pPr>
            <w:r>
              <w:rPr>
                <w:rFonts w:ascii="Arial" w:hAnsi="Arial" w:cs="Arial"/>
                <w:i/>
                <w:sz w:val="16"/>
              </w:rPr>
              <w:t>9,33</w:t>
            </w:r>
          </w:p>
          <w:p w14:paraId="6D7953E7" w14:textId="77777777" w:rsidR="00496C66" w:rsidRDefault="00496C66" w:rsidP="00D25C33">
            <w:pPr>
              <w:jc w:val="center"/>
              <w:rPr>
                <w:rFonts w:ascii="Arial" w:hAnsi="Arial" w:cs="Arial"/>
                <w:i/>
                <w:sz w:val="16"/>
              </w:rPr>
            </w:pPr>
          </w:p>
          <w:p w14:paraId="6294C0B3" w14:textId="77777777" w:rsidR="00496C66" w:rsidRDefault="00496C66" w:rsidP="00D25C33">
            <w:pPr>
              <w:jc w:val="center"/>
              <w:rPr>
                <w:rFonts w:ascii="Arial" w:hAnsi="Arial" w:cs="Arial"/>
                <w:i/>
                <w:sz w:val="16"/>
              </w:rPr>
            </w:pPr>
          </w:p>
          <w:p w14:paraId="7FB16F8F" w14:textId="77777777" w:rsidR="00496C66" w:rsidRDefault="00496C66" w:rsidP="00D25C33">
            <w:pPr>
              <w:jc w:val="center"/>
              <w:rPr>
                <w:rFonts w:ascii="Arial" w:hAnsi="Arial" w:cs="Arial"/>
                <w:i/>
                <w:sz w:val="16"/>
              </w:rPr>
            </w:pPr>
            <w:r>
              <w:rPr>
                <w:rFonts w:ascii="Arial" w:hAnsi="Arial" w:cs="Arial"/>
                <w:i/>
                <w:sz w:val="16"/>
              </w:rPr>
              <w:t>27,86</w:t>
            </w:r>
          </w:p>
          <w:p w14:paraId="5511CDAA" w14:textId="77777777" w:rsidR="00496C66" w:rsidRDefault="00496C66" w:rsidP="00D25C33">
            <w:pPr>
              <w:jc w:val="center"/>
              <w:rPr>
                <w:rFonts w:ascii="Arial" w:hAnsi="Arial" w:cs="Arial"/>
                <w:i/>
                <w:sz w:val="16"/>
              </w:rPr>
            </w:pPr>
          </w:p>
          <w:p w14:paraId="270BD165" w14:textId="77777777" w:rsidR="00496C66" w:rsidRDefault="00496C66" w:rsidP="00D25C33">
            <w:pPr>
              <w:jc w:val="center"/>
              <w:rPr>
                <w:rFonts w:ascii="Arial" w:hAnsi="Arial" w:cs="Arial"/>
                <w:i/>
                <w:sz w:val="16"/>
              </w:rPr>
            </w:pPr>
            <w:r>
              <w:rPr>
                <w:rFonts w:ascii="Arial" w:hAnsi="Arial" w:cs="Arial"/>
                <w:i/>
                <w:sz w:val="16"/>
              </w:rPr>
              <w:t>NA</w:t>
            </w:r>
          </w:p>
          <w:p w14:paraId="0B6CD2FB" w14:textId="77777777" w:rsidR="00496C66" w:rsidRDefault="00496C66" w:rsidP="00E079A6">
            <w:pPr>
              <w:ind w:left="360"/>
              <w:rPr>
                <w:rFonts w:ascii="Arial" w:hAnsi="Arial" w:cs="Arial"/>
                <w:sz w:val="16"/>
                <w:szCs w:val="16"/>
              </w:rPr>
            </w:pPr>
          </w:p>
        </w:tc>
        <w:tc>
          <w:tcPr>
            <w:tcW w:w="1417" w:type="dxa"/>
            <w:vMerge/>
            <w:shd w:val="clear" w:color="auto" w:fill="FFFFFF"/>
          </w:tcPr>
          <w:p w14:paraId="68E69F01" w14:textId="77777777" w:rsidR="00496C66" w:rsidRDefault="00496C66" w:rsidP="00E079A6">
            <w:pPr>
              <w:ind w:left="360"/>
              <w:rPr>
                <w:rFonts w:ascii="Arial" w:hAnsi="Arial" w:cs="Arial"/>
                <w:sz w:val="16"/>
                <w:szCs w:val="16"/>
              </w:rPr>
            </w:pPr>
          </w:p>
        </w:tc>
        <w:tc>
          <w:tcPr>
            <w:tcW w:w="710" w:type="dxa"/>
            <w:vMerge/>
            <w:shd w:val="clear" w:color="auto" w:fill="FFFFFF"/>
          </w:tcPr>
          <w:p w14:paraId="726ECF90" w14:textId="77777777" w:rsidR="00496C66" w:rsidRDefault="00496C66" w:rsidP="00E079A6">
            <w:pPr>
              <w:ind w:left="360"/>
              <w:rPr>
                <w:rFonts w:ascii="Arial" w:hAnsi="Arial" w:cs="Arial"/>
                <w:sz w:val="16"/>
                <w:szCs w:val="16"/>
              </w:rPr>
            </w:pPr>
          </w:p>
        </w:tc>
        <w:tc>
          <w:tcPr>
            <w:tcW w:w="1275" w:type="dxa"/>
            <w:vMerge/>
            <w:shd w:val="clear" w:color="auto" w:fill="FFFFFF"/>
          </w:tcPr>
          <w:p w14:paraId="201DBE3A" w14:textId="77777777" w:rsidR="00496C66" w:rsidRDefault="00496C66" w:rsidP="00E079A6">
            <w:pPr>
              <w:ind w:left="360"/>
              <w:rPr>
                <w:rFonts w:ascii="Arial" w:hAnsi="Arial" w:cs="Arial"/>
                <w:sz w:val="16"/>
                <w:szCs w:val="16"/>
              </w:rPr>
            </w:pPr>
          </w:p>
        </w:tc>
      </w:tr>
      <w:tr w:rsidR="00496C66" w:rsidRPr="006F6ABB" w14:paraId="27274584" w14:textId="77777777" w:rsidTr="00F03AFA">
        <w:trPr>
          <w:trHeight w:val="218"/>
        </w:trPr>
        <w:tc>
          <w:tcPr>
            <w:tcW w:w="1003" w:type="dxa"/>
            <w:vMerge/>
            <w:shd w:val="clear" w:color="auto" w:fill="FFFFFF"/>
          </w:tcPr>
          <w:p w14:paraId="0EE63CF2" w14:textId="77777777" w:rsidR="00496C66" w:rsidRDefault="00496C66" w:rsidP="00E079A6">
            <w:pPr>
              <w:rPr>
                <w:rFonts w:ascii="Arial" w:hAnsi="Arial" w:cs="Arial"/>
                <w:sz w:val="16"/>
                <w:szCs w:val="16"/>
              </w:rPr>
            </w:pPr>
          </w:p>
        </w:tc>
        <w:tc>
          <w:tcPr>
            <w:tcW w:w="2469" w:type="dxa"/>
            <w:vMerge w:val="restart"/>
            <w:shd w:val="clear" w:color="auto" w:fill="FFFFFF"/>
          </w:tcPr>
          <w:p w14:paraId="31BCD1ED" w14:textId="77777777" w:rsidR="00496C66" w:rsidRDefault="00496C66" w:rsidP="0034050E">
            <w:pPr>
              <w:snapToGrid w:val="0"/>
              <w:jc w:val="both"/>
              <w:rPr>
                <w:rFonts w:ascii="Arial" w:hAnsi="Arial" w:cs="Arial"/>
                <w:i/>
                <w:sz w:val="16"/>
              </w:rPr>
            </w:pPr>
          </w:p>
          <w:p w14:paraId="33CE4BE9" w14:textId="77777777" w:rsidR="00496C66" w:rsidRDefault="00496C66" w:rsidP="0034050E">
            <w:pPr>
              <w:snapToGrid w:val="0"/>
              <w:jc w:val="both"/>
              <w:rPr>
                <w:rFonts w:ascii="Arial" w:hAnsi="Arial" w:cs="Arial"/>
                <w:i/>
                <w:sz w:val="16"/>
              </w:rPr>
            </w:pPr>
          </w:p>
          <w:p w14:paraId="0C43092E" w14:textId="77777777" w:rsidR="00496C66" w:rsidRDefault="00496C66" w:rsidP="0034050E">
            <w:pPr>
              <w:snapToGrid w:val="0"/>
              <w:jc w:val="both"/>
              <w:rPr>
                <w:rFonts w:ascii="Arial" w:hAnsi="Arial" w:cs="Arial"/>
                <w:i/>
                <w:sz w:val="16"/>
              </w:rPr>
            </w:pPr>
          </w:p>
          <w:p w14:paraId="02C3F3E5" w14:textId="77777777" w:rsidR="00496C66" w:rsidRDefault="00496C66" w:rsidP="0034050E">
            <w:pPr>
              <w:snapToGrid w:val="0"/>
              <w:jc w:val="both"/>
              <w:rPr>
                <w:rFonts w:ascii="Arial" w:hAnsi="Arial" w:cs="Arial"/>
                <w:i/>
                <w:sz w:val="16"/>
              </w:rPr>
            </w:pPr>
          </w:p>
          <w:p w14:paraId="327044ED" w14:textId="77777777" w:rsidR="00496C66" w:rsidRPr="00607B92" w:rsidRDefault="00496C66" w:rsidP="0034050E">
            <w:pPr>
              <w:snapToGrid w:val="0"/>
              <w:jc w:val="both"/>
              <w:rPr>
                <w:rFonts w:ascii="Arial" w:hAnsi="Arial" w:cs="Arial"/>
                <w:b/>
                <w:sz w:val="16"/>
              </w:rPr>
            </w:pPr>
            <w:r w:rsidRPr="00607B92">
              <w:rPr>
                <w:rFonts w:ascii="Arial" w:hAnsi="Arial" w:cs="Arial"/>
                <w:b/>
                <w:sz w:val="16"/>
              </w:rPr>
              <w:t>Subgrupo BRCA1/2</w:t>
            </w:r>
          </w:p>
          <w:p w14:paraId="1810FC70" w14:textId="77777777" w:rsidR="00496C66" w:rsidRDefault="00496C66" w:rsidP="00D25C33">
            <w:pPr>
              <w:snapToGrid w:val="0"/>
              <w:jc w:val="both"/>
              <w:rPr>
                <w:rFonts w:ascii="Arial" w:hAnsi="Arial" w:cs="Arial"/>
                <w:i/>
                <w:sz w:val="16"/>
              </w:rPr>
            </w:pPr>
            <w:r>
              <w:rPr>
                <w:rFonts w:ascii="Arial" w:hAnsi="Arial" w:cs="Arial"/>
                <w:i/>
                <w:sz w:val="16"/>
              </w:rPr>
              <w:t xml:space="preserve">         -Tiempo hasta progresión de PSA (meses), mediana </w:t>
            </w:r>
          </w:p>
          <w:p w14:paraId="5EB111FA" w14:textId="77777777" w:rsidR="00496C66" w:rsidRDefault="00496C66" w:rsidP="00D25C33">
            <w:pPr>
              <w:snapToGrid w:val="0"/>
              <w:jc w:val="both"/>
              <w:rPr>
                <w:rFonts w:ascii="Arial" w:hAnsi="Arial" w:cs="Arial"/>
                <w:i/>
                <w:sz w:val="16"/>
              </w:rPr>
            </w:pPr>
          </w:p>
          <w:p w14:paraId="4A0B93FD" w14:textId="77777777" w:rsidR="00496C66" w:rsidRDefault="00496C66" w:rsidP="00D25C33">
            <w:pPr>
              <w:snapToGrid w:val="0"/>
              <w:jc w:val="both"/>
              <w:rPr>
                <w:rFonts w:ascii="Arial" w:hAnsi="Arial" w:cs="Arial"/>
                <w:i/>
                <w:sz w:val="16"/>
              </w:rPr>
            </w:pPr>
            <w:r>
              <w:rPr>
                <w:rFonts w:ascii="Arial" w:hAnsi="Arial" w:cs="Arial"/>
                <w:i/>
                <w:sz w:val="16"/>
              </w:rPr>
              <w:t xml:space="preserve">         -SLP</w:t>
            </w:r>
          </w:p>
          <w:p w14:paraId="39392787" w14:textId="77777777" w:rsidR="00496C66" w:rsidRDefault="00496C66" w:rsidP="00D25C33">
            <w:pPr>
              <w:snapToGrid w:val="0"/>
              <w:jc w:val="both"/>
              <w:rPr>
                <w:rFonts w:ascii="Arial" w:hAnsi="Arial" w:cs="Arial"/>
                <w:i/>
                <w:sz w:val="16"/>
              </w:rPr>
            </w:pPr>
          </w:p>
          <w:p w14:paraId="60AE3EFB" w14:textId="77777777" w:rsidR="00496C66" w:rsidRDefault="00496C66" w:rsidP="0034050E">
            <w:pPr>
              <w:snapToGrid w:val="0"/>
              <w:jc w:val="both"/>
              <w:rPr>
                <w:rFonts w:ascii="Arial" w:hAnsi="Arial" w:cs="Arial"/>
                <w:i/>
                <w:sz w:val="16"/>
              </w:rPr>
            </w:pPr>
            <w:r>
              <w:rPr>
                <w:rFonts w:ascii="Arial" w:hAnsi="Arial" w:cs="Arial"/>
                <w:i/>
                <w:sz w:val="16"/>
              </w:rPr>
              <w:t xml:space="preserve">         -Tiempo hasta progresión del dolor (TPD)</w:t>
            </w:r>
          </w:p>
        </w:tc>
        <w:tc>
          <w:tcPr>
            <w:tcW w:w="993" w:type="dxa"/>
            <w:shd w:val="clear" w:color="auto" w:fill="D9D9D9"/>
          </w:tcPr>
          <w:p w14:paraId="17B31454" w14:textId="68F11F58" w:rsidR="00496C66" w:rsidRDefault="008B2E57" w:rsidP="00D25C33">
            <w:pPr>
              <w:snapToGrid w:val="0"/>
              <w:jc w:val="center"/>
              <w:rPr>
                <w:rFonts w:ascii="Arial" w:hAnsi="Arial" w:cs="Arial"/>
                <w:i/>
                <w:sz w:val="16"/>
              </w:rPr>
            </w:pPr>
            <w:r>
              <w:rPr>
                <w:rFonts w:ascii="Arial" w:hAnsi="Arial" w:cs="Arial"/>
                <w:i/>
                <w:sz w:val="16"/>
              </w:rPr>
              <w:t>N=113</w:t>
            </w:r>
          </w:p>
        </w:tc>
        <w:tc>
          <w:tcPr>
            <w:tcW w:w="992" w:type="dxa"/>
            <w:shd w:val="clear" w:color="auto" w:fill="D9D9D9"/>
          </w:tcPr>
          <w:p w14:paraId="4C1F98A1" w14:textId="79EDB200" w:rsidR="00496C66" w:rsidRPr="00D25C33" w:rsidRDefault="008B2E57" w:rsidP="00D25C33">
            <w:pPr>
              <w:jc w:val="center"/>
              <w:rPr>
                <w:rFonts w:ascii="Arial" w:hAnsi="Arial" w:cs="Arial"/>
                <w:i/>
                <w:sz w:val="16"/>
              </w:rPr>
            </w:pPr>
            <w:r>
              <w:rPr>
                <w:rFonts w:ascii="Arial" w:hAnsi="Arial" w:cs="Arial"/>
                <w:i/>
                <w:sz w:val="16"/>
              </w:rPr>
              <w:t>N=112</w:t>
            </w:r>
          </w:p>
        </w:tc>
        <w:tc>
          <w:tcPr>
            <w:tcW w:w="1417" w:type="dxa"/>
            <w:vMerge w:val="restart"/>
            <w:shd w:val="clear" w:color="auto" w:fill="FFFFFF"/>
          </w:tcPr>
          <w:p w14:paraId="732F4894" w14:textId="77777777" w:rsidR="00496C66" w:rsidRDefault="00496C66" w:rsidP="00E079A6">
            <w:pPr>
              <w:ind w:left="360"/>
              <w:rPr>
                <w:rFonts w:ascii="Arial" w:hAnsi="Arial" w:cs="Arial"/>
                <w:sz w:val="16"/>
                <w:szCs w:val="16"/>
              </w:rPr>
            </w:pPr>
          </w:p>
          <w:p w14:paraId="78004BC6" w14:textId="77777777" w:rsidR="00496C66" w:rsidRDefault="00496C66" w:rsidP="00E079A6">
            <w:pPr>
              <w:ind w:left="360"/>
              <w:rPr>
                <w:rFonts w:ascii="Arial" w:hAnsi="Arial" w:cs="Arial"/>
                <w:sz w:val="16"/>
                <w:szCs w:val="16"/>
              </w:rPr>
            </w:pPr>
          </w:p>
          <w:p w14:paraId="3E67EE6E" w14:textId="77777777" w:rsidR="00496C66" w:rsidRDefault="00496C66" w:rsidP="00E079A6">
            <w:pPr>
              <w:ind w:left="360"/>
              <w:rPr>
                <w:rFonts w:ascii="Arial" w:hAnsi="Arial" w:cs="Arial"/>
                <w:sz w:val="16"/>
                <w:szCs w:val="16"/>
              </w:rPr>
            </w:pPr>
          </w:p>
          <w:p w14:paraId="3432C369" w14:textId="77777777" w:rsidR="00496C66" w:rsidRDefault="00496C66" w:rsidP="00E079A6">
            <w:pPr>
              <w:ind w:left="360"/>
              <w:rPr>
                <w:rFonts w:ascii="Arial" w:hAnsi="Arial" w:cs="Arial"/>
                <w:sz w:val="16"/>
                <w:szCs w:val="16"/>
              </w:rPr>
            </w:pPr>
          </w:p>
          <w:p w14:paraId="1A7F57A2" w14:textId="77777777" w:rsidR="00496C66" w:rsidRDefault="00496C66" w:rsidP="00E079A6">
            <w:pPr>
              <w:ind w:left="360"/>
              <w:rPr>
                <w:rFonts w:ascii="Arial" w:hAnsi="Arial" w:cs="Arial"/>
                <w:sz w:val="16"/>
                <w:szCs w:val="16"/>
              </w:rPr>
            </w:pPr>
          </w:p>
          <w:p w14:paraId="22519614" w14:textId="678400AF" w:rsidR="00496C66" w:rsidRDefault="00496C66" w:rsidP="00D25C33">
            <w:pPr>
              <w:jc w:val="center"/>
              <w:rPr>
                <w:rFonts w:ascii="Arial" w:hAnsi="Arial" w:cs="Arial"/>
                <w:i/>
                <w:sz w:val="16"/>
              </w:rPr>
            </w:pPr>
            <w:r>
              <w:rPr>
                <w:rFonts w:ascii="Arial" w:hAnsi="Arial" w:cs="Arial"/>
                <w:i/>
                <w:sz w:val="16"/>
              </w:rPr>
              <w:t>0,48 (0,32</w:t>
            </w:r>
            <w:r w:rsidR="008B2E57">
              <w:rPr>
                <w:rFonts w:ascii="Arial" w:hAnsi="Arial" w:cs="Arial"/>
                <w:i/>
                <w:sz w:val="16"/>
              </w:rPr>
              <w:t>-</w:t>
            </w:r>
            <w:r>
              <w:rPr>
                <w:rFonts w:ascii="Arial" w:hAnsi="Arial" w:cs="Arial"/>
                <w:i/>
                <w:sz w:val="16"/>
              </w:rPr>
              <w:t>0,70)</w:t>
            </w:r>
          </w:p>
          <w:p w14:paraId="2EF747E5" w14:textId="77777777" w:rsidR="00496C66" w:rsidRDefault="00496C66" w:rsidP="00D25C33">
            <w:pPr>
              <w:jc w:val="center"/>
              <w:rPr>
                <w:rFonts w:ascii="Arial" w:hAnsi="Arial" w:cs="Arial"/>
                <w:i/>
                <w:sz w:val="16"/>
              </w:rPr>
            </w:pPr>
          </w:p>
          <w:p w14:paraId="5F8DF2BB" w14:textId="77777777" w:rsidR="00496C66" w:rsidRDefault="00496C66" w:rsidP="00D25C33">
            <w:pPr>
              <w:jc w:val="center"/>
              <w:rPr>
                <w:rFonts w:ascii="Arial" w:hAnsi="Arial" w:cs="Arial"/>
                <w:i/>
                <w:sz w:val="16"/>
              </w:rPr>
            </w:pPr>
          </w:p>
          <w:p w14:paraId="63A5E844" w14:textId="324353EC" w:rsidR="00496C66" w:rsidRDefault="00496C66" w:rsidP="00D25C33">
            <w:pPr>
              <w:jc w:val="center"/>
              <w:rPr>
                <w:rFonts w:ascii="Arial" w:hAnsi="Arial" w:cs="Arial"/>
                <w:i/>
                <w:sz w:val="16"/>
              </w:rPr>
            </w:pPr>
            <w:r>
              <w:rPr>
                <w:rFonts w:ascii="Arial" w:hAnsi="Arial" w:cs="Arial"/>
                <w:i/>
                <w:sz w:val="16"/>
              </w:rPr>
              <w:t>0,79 (0,53</w:t>
            </w:r>
            <w:r w:rsidR="008B2E57">
              <w:rPr>
                <w:rFonts w:ascii="Arial" w:hAnsi="Arial" w:cs="Arial"/>
                <w:i/>
                <w:sz w:val="16"/>
              </w:rPr>
              <w:t>-</w:t>
            </w:r>
            <w:r>
              <w:rPr>
                <w:rFonts w:ascii="Arial" w:hAnsi="Arial" w:cs="Arial"/>
                <w:i/>
                <w:sz w:val="16"/>
              </w:rPr>
              <w:t>1,17)</w:t>
            </w:r>
          </w:p>
          <w:p w14:paraId="6ECC6DF7" w14:textId="77777777" w:rsidR="00496C66" w:rsidRDefault="00496C66" w:rsidP="00D25C33">
            <w:pPr>
              <w:jc w:val="center"/>
              <w:rPr>
                <w:rFonts w:ascii="Arial" w:hAnsi="Arial" w:cs="Arial"/>
                <w:i/>
                <w:sz w:val="16"/>
              </w:rPr>
            </w:pPr>
          </w:p>
          <w:p w14:paraId="33A380D6" w14:textId="6C21DF1C" w:rsidR="00496C66" w:rsidRDefault="00496C66" w:rsidP="008B2E57">
            <w:pPr>
              <w:rPr>
                <w:rFonts w:ascii="Arial" w:hAnsi="Arial" w:cs="Arial"/>
                <w:sz w:val="16"/>
                <w:szCs w:val="16"/>
              </w:rPr>
            </w:pPr>
            <w:r>
              <w:rPr>
                <w:rFonts w:ascii="Arial" w:hAnsi="Arial" w:cs="Arial"/>
                <w:i/>
                <w:sz w:val="16"/>
              </w:rPr>
              <w:t>0,70 (0,44</w:t>
            </w:r>
            <w:r w:rsidR="008B2E57">
              <w:rPr>
                <w:rFonts w:ascii="Arial" w:hAnsi="Arial" w:cs="Arial"/>
                <w:i/>
                <w:sz w:val="16"/>
              </w:rPr>
              <w:t>-</w:t>
            </w:r>
            <w:r>
              <w:rPr>
                <w:rFonts w:ascii="Arial" w:hAnsi="Arial" w:cs="Arial"/>
                <w:i/>
                <w:sz w:val="16"/>
              </w:rPr>
              <w:t>1,12)</w:t>
            </w:r>
          </w:p>
        </w:tc>
        <w:tc>
          <w:tcPr>
            <w:tcW w:w="710" w:type="dxa"/>
            <w:vMerge w:val="restart"/>
            <w:shd w:val="clear" w:color="auto" w:fill="FFFFFF"/>
          </w:tcPr>
          <w:p w14:paraId="22925EFF" w14:textId="77777777" w:rsidR="00496C66" w:rsidRDefault="00496C66" w:rsidP="00E079A6">
            <w:pPr>
              <w:ind w:left="360"/>
              <w:rPr>
                <w:rFonts w:ascii="Arial" w:hAnsi="Arial" w:cs="Arial"/>
                <w:sz w:val="16"/>
                <w:szCs w:val="16"/>
              </w:rPr>
            </w:pPr>
          </w:p>
          <w:p w14:paraId="64531A87" w14:textId="77777777" w:rsidR="00496C66" w:rsidRDefault="00496C66" w:rsidP="00E079A6">
            <w:pPr>
              <w:ind w:left="360"/>
              <w:rPr>
                <w:rFonts w:ascii="Arial" w:hAnsi="Arial" w:cs="Arial"/>
                <w:sz w:val="16"/>
                <w:szCs w:val="16"/>
              </w:rPr>
            </w:pPr>
          </w:p>
          <w:p w14:paraId="632D883B" w14:textId="77777777" w:rsidR="00496C66" w:rsidRDefault="00496C66" w:rsidP="00E079A6">
            <w:pPr>
              <w:ind w:left="360"/>
              <w:rPr>
                <w:rFonts w:ascii="Arial" w:hAnsi="Arial" w:cs="Arial"/>
                <w:sz w:val="16"/>
                <w:szCs w:val="16"/>
              </w:rPr>
            </w:pPr>
          </w:p>
          <w:p w14:paraId="64D01B72" w14:textId="77777777" w:rsidR="00496C66" w:rsidRDefault="00496C66" w:rsidP="00E079A6">
            <w:pPr>
              <w:ind w:left="360"/>
              <w:rPr>
                <w:rFonts w:ascii="Arial" w:hAnsi="Arial" w:cs="Arial"/>
                <w:sz w:val="16"/>
                <w:szCs w:val="16"/>
              </w:rPr>
            </w:pPr>
          </w:p>
          <w:p w14:paraId="1EB9C05A" w14:textId="77777777" w:rsidR="00496C66" w:rsidRDefault="00496C66" w:rsidP="00E079A6">
            <w:pPr>
              <w:ind w:left="360"/>
              <w:rPr>
                <w:rFonts w:ascii="Arial" w:hAnsi="Arial" w:cs="Arial"/>
                <w:sz w:val="16"/>
                <w:szCs w:val="16"/>
              </w:rPr>
            </w:pPr>
          </w:p>
          <w:p w14:paraId="571511AA" w14:textId="77777777" w:rsidR="00496C66" w:rsidRDefault="00496C66" w:rsidP="00D25C33">
            <w:pPr>
              <w:jc w:val="center"/>
              <w:rPr>
                <w:rFonts w:ascii="Arial" w:hAnsi="Arial" w:cs="Arial"/>
                <w:i/>
                <w:sz w:val="16"/>
              </w:rPr>
            </w:pPr>
            <w:r>
              <w:rPr>
                <w:rFonts w:ascii="Arial" w:hAnsi="Arial" w:cs="Arial"/>
                <w:i/>
                <w:sz w:val="16"/>
              </w:rPr>
              <w:t>&lt;0,001</w:t>
            </w:r>
          </w:p>
          <w:p w14:paraId="5E537FD9" w14:textId="77777777" w:rsidR="00496C66" w:rsidRDefault="00496C66" w:rsidP="00D25C33">
            <w:pPr>
              <w:jc w:val="center"/>
              <w:rPr>
                <w:rFonts w:ascii="Arial" w:hAnsi="Arial" w:cs="Arial"/>
                <w:i/>
                <w:sz w:val="16"/>
              </w:rPr>
            </w:pPr>
          </w:p>
          <w:p w14:paraId="445C808C" w14:textId="77777777" w:rsidR="00496C66" w:rsidRDefault="00496C66" w:rsidP="00D25C33">
            <w:pPr>
              <w:jc w:val="center"/>
              <w:rPr>
                <w:rFonts w:ascii="Arial" w:hAnsi="Arial" w:cs="Arial"/>
                <w:i/>
                <w:sz w:val="16"/>
              </w:rPr>
            </w:pPr>
          </w:p>
          <w:p w14:paraId="2BBC5719" w14:textId="77777777" w:rsidR="00496C66" w:rsidRDefault="00496C66" w:rsidP="00D25C33">
            <w:pPr>
              <w:jc w:val="center"/>
              <w:rPr>
                <w:rFonts w:ascii="Arial" w:hAnsi="Arial" w:cs="Arial"/>
                <w:i/>
                <w:sz w:val="16"/>
              </w:rPr>
            </w:pPr>
            <w:r>
              <w:rPr>
                <w:rFonts w:ascii="Arial" w:hAnsi="Arial" w:cs="Arial"/>
                <w:i/>
                <w:sz w:val="16"/>
              </w:rPr>
              <w:t>0,23</w:t>
            </w:r>
          </w:p>
          <w:p w14:paraId="7366248F" w14:textId="77777777" w:rsidR="00496C66" w:rsidRDefault="00496C66" w:rsidP="00D25C33">
            <w:pPr>
              <w:jc w:val="center"/>
              <w:rPr>
                <w:rFonts w:ascii="Arial" w:hAnsi="Arial" w:cs="Arial"/>
                <w:i/>
                <w:sz w:val="16"/>
              </w:rPr>
            </w:pPr>
          </w:p>
          <w:p w14:paraId="309570EB" w14:textId="77777777" w:rsidR="00496C66" w:rsidRDefault="00496C66" w:rsidP="00D25C33">
            <w:pPr>
              <w:rPr>
                <w:rFonts w:ascii="Arial" w:hAnsi="Arial" w:cs="Arial"/>
                <w:sz w:val="16"/>
                <w:szCs w:val="16"/>
              </w:rPr>
            </w:pPr>
            <w:r>
              <w:rPr>
                <w:rFonts w:ascii="Arial" w:hAnsi="Arial" w:cs="Arial"/>
                <w:i/>
                <w:sz w:val="16"/>
              </w:rPr>
              <w:t>0,13</w:t>
            </w:r>
          </w:p>
        </w:tc>
        <w:tc>
          <w:tcPr>
            <w:tcW w:w="1275" w:type="dxa"/>
            <w:vMerge/>
            <w:shd w:val="clear" w:color="auto" w:fill="FFFFFF"/>
          </w:tcPr>
          <w:p w14:paraId="7019C1A8" w14:textId="77777777" w:rsidR="00496C66" w:rsidRDefault="00496C66" w:rsidP="00E079A6">
            <w:pPr>
              <w:ind w:left="360"/>
              <w:rPr>
                <w:rFonts w:ascii="Arial" w:hAnsi="Arial" w:cs="Arial"/>
                <w:sz w:val="16"/>
                <w:szCs w:val="16"/>
              </w:rPr>
            </w:pPr>
          </w:p>
        </w:tc>
      </w:tr>
      <w:tr w:rsidR="00496C66" w:rsidRPr="006F6ABB" w14:paraId="7C3B38A1" w14:textId="77777777" w:rsidTr="00F03AFA">
        <w:trPr>
          <w:trHeight w:val="3736"/>
        </w:trPr>
        <w:tc>
          <w:tcPr>
            <w:tcW w:w="1003" w:type="dxa"/>
            <w:vMerge/>
            <w:shd w:val="clear" w:color="auto" w:fill="FFFFFF"/>
          </w:tcPr>
          <w:p w14:paraId="28A2999E" w14:textId="77777777" w:rsidR="00496C66" w:rsidRDefault="00496C66" w:rsidP="00E079A6">
            <w:pPr>
              <w:rPr>
                <w:rFonts w:ascii="Arial" w:hAnsi="Arial" w:cs="Arial"/>
                <w:sz w:val="16"/>
                <w:szCs w:val="16"/>
              </w:rPr>
            </w:pPr>
          </w:p>
        </w:tc>
        <w:tc>
          <w:tcPr>
            <w:tcW w:w="2469" w:type="dxa"/>
            <w:vMerge/>
            <w:shd w:val="clear" w:color="auto" w:fill="FFFFFF"/>
          </w:tcPr>
          <w:p w14:paraId="00EC12E0" w14:textId="77777777" w:rsidR="00496C66" w:rsidRDefault="00496C66" w:rsidP="0034050E">
            <w:pPr>
              <w:snapToGrid w:val="0"/>
              <w:jc w:val="both"/>
              <w:rPr>
                <w:rFonts w:ascii="Arial" w:hAnsi="Arial" w:cs="Arial"/>
                <w:i/>
                <w:sz w:val="16"/>
              </w:rPr>
            </w:pPr>
          </w:p>
        </w:tc>
        <w:tc>
          <w:tcPr>
            <w:tcW w:w="993" w:type="dxa"/>
            <w:shd w:val="clear" w:color="auto" w:fill="FFFFFF"/>
          </w:tcPr>
          <w:p w14:paraId="7B9CD1FF" w14:textId="77777777" w:rsidR="00496C66" w:rsidRDefault="00496C66" w:rsidP="00D25C33">
            <w:pPr>
              <w:snapToGrid w:val="0"/>
              <w:jc w:val="center"/>
              <w:rPr>
                <w:rFonts w:ascii="Arial" w:hAnsi="Arial" w:cs="Arial"/>
                <w:i/>
                <w:sz w:val="16"/>
              </w:rPr>
            </w:pPr>
          </w:p>
          <w:p w14:paraId="4A310D70" w14:textId="77777777" w:rsidR="00496C66" w:rsidRDefault="00496C66" w:rsidP="00D25C33">
            <w:pPr>
              <w:snapToGrid w:val="0"/>
              <w:jc w:val="center"/>
              <w:rPr>
                <w:rFonts w:ascii="Arial" w:hAnsi="Arial" w:cs="Arial"/>
                <w:i/>
                <w:sz w:val="16"/>
              </w:rPr>
            </w:pPr>
          </w:p>
          <w:p w14:paraId="56DD52FC" w14:textId="77777777" w:rsidR="00496C66" w:rsidRDefault="00496C66" w:rsidP="00D25C33">
            <w:pPr>
              <w:snapToGrid w:val="0"/>
              <w:jc w:val="center"/>
              <w:rPr>
                <w:rFonts w:ascii="Arial" w:hAnsi="Arial" w:cs="Arial"/>
                <w:i/>
                <w:sz w:val="16"/>
              </w:rPr>
            </w:pPr>
          </w:p>
          <w:p w14:paraId="03C56A76" w14:textId="77777777" w:rsidR="00496C66" w:rsidRDefault="00496C66" w:rsidP="00D25C33">
            <w:pPr>
              <w:snapToGrid w:val="0"/>
              <w:jc w:val="center"/>
              <w:rPr>
                <w:rFonts w:ascii="Arial" w:hAnsi="Arial" w:cs="Arial"/>
                <w:i/>
                <w:sz w:val="16"/>
              </w:rPr>
            </w:pPr>
          </w:p>
          <w:p w14:paraId="4791ED56" w14:textId="77777777" w:rsidR="00496C66" w:rsidRDefault="00496C66" w:rsidP="00D25C33">
            <w:pPr>
              <w:snapToGrid w:val="0"/>
              <w:jc w:val="center"/>
              <w:rPr>
                <w:rFonts w:ascii="Arial" w:hAnsi="Arial" w:cs="Arial"/>
                <w:i/>
                <w:sz w:val="16"/>
              </w:rPr>
            </w:pPr>
            <w:r>
              <w:rPr>
                <w:rFonts w:ascii="Arial" w:hAnsi="Arial" w:cs="Arial"/>
                <w:i/>
                <w:sz w:val="16"/>
              </w:rPr>
              <w:t>18,43</w:t>
            </w:r>
          </w:p>
          <w:p w14:paraId="444AC61F" w14:textId="77777777" w:rsidR="00496C66" w:rsidRDefault="00496C66" w:rsidP="00D25C33">
            <w:pPr>
              <w:snapToGrid w:val="0"/>
              <w:jc w:val="center"/>
              <w:rPr>
                <w:rFonts w:ascii="Arial" w:hAnsi="Arial" w:cs="Arial"/>
                <w:i/>
                <w:sz w:val="16"/>
              </w:rPr>
            </w:pPr>
          </w:p>
          <w:p w14:paraId="039F70DA" w14:textId="77777777" w:rsidR="00496C66" w:rsidRDefault="00496C66" w:rsidP="00D25C33">
            <w:pPr>
              <w:snapToGrid w:val="0"/>
              <w:jc w:val="center"/>
              <w:rPr>
                <w:rFonts w:ascii="Arial" w:hAnsi="Arial" w:cs="Arial"/>
                <w:i/>
                <w:sz w:val="16"/>
              </w:rPr>
            </w:pPr>
          </w:p>
          <w:p w14:paraId="16B909A7" w14:textId="77777777" w:rsidR="00496C66" w:rsidRDefault="00496C66" w:rsidP="00D25C33">
            <w:pPr>
              <w:snapToGrid w:val="0"/>
              <w:jc w:val="center"/>
              <w:rPr>
                <w:rFonts w:ascii="Arial" w:hAnsi="Arial" w:cs="Arial"/>
                <w:i/>
                <w:sz w:val="16"/>
              </w:rPr>
            </w:pPr>
            <w:r>
              <w:rPr>
                <w:rFonts w:ascii="Arial" w:hAnsi="Arial" w:cs="Arial"/>
                <w:i/>
                <w:sz w:val="16"/>
              </w:rPr>
              <w:t>28,71</w:t>
            </w:r>
          </w:p>
          <w:p w14:paraId="53B416D2" w14:textId="77777777" w:rsidR="00496C66" w:rsidRDefault="00496C66" w:rsidP="00D25C33">
            <w:pPr>
              <w:snapToGrid w:val="0"/>
              <w:jc w:val="center"/>
              <w:rPr>
                <w:rFonts w:ascii="Arial" w:hAnsi="Arial" w:cs="Arial"/>
                <w:i/>
                <w:sz w:val="16"/>
              </w:rPr>
            </w:pPr>
          </w:p>
          <w:p w14:paraId="3EDC573F" w14:textId="77777777" w:rsidR="00496C66" w:rsidRDefault="00496C66" w:rsidP="00D25C33">
            <w:pPr>
              <w:snapToGrid w:val="0"/>
              <w:jc w:val="center"/>
              <w:rPr>
                <w:rFonts w:ascii="Arial" w:hAnsi="Arial" w:cs="Arial"/>
                <w:i/>
                <w:sz w:val="16"/>
              </w:rPr>
            </w:pPr>
            <w:r>
              <w:rPr>
                <w:rFonts w:ascii="Arial" w:hAnsi="Arial" w:cs="Arial"/>
                <w:i/>
                <w:sz w:val="16"/>
              </w:rPr>
              <w:t>NA</w:t>
            </w:r>
          </w:p>
        </w:tc>
        <w:tc>
          <w:tcPr>
            <w:tcW w:w="992" w:type="dxa"/>
            <w:shd w:val="clear" w:color="auto" w:fill="FFFFFF"/>
          </w:tcPr>
          <w:p w14:paraId="260BE760" w14:textId="77777777" w:rsidR="00496C66" w:rsidRDefault="00496C66" w:rsidP="00D25C33">
            <w:pPr>
              <w:jc w:val="center"/>
              <w:rPr>
                <w:rFonts w:ascii="Arial" w:hAnsi="Arial" w:cs="Arial"/>
                <w:i/>
                <w:sz w:val="16"/>
              </w:rPr>
            </w:pPr>
          </w:p>
          <w:p w14:paraId="31B81F66" w14:textId="77777777" w:rsidR="00496C66" w:rsidRDefault="00496C66" w:rsidP="00D25C33">
            <w:pPr>
              <w:jc w:val="center"/>
              <w:rPr>
                <w:rFonts w:ascii="Arial" w:hAnsi="Arial" w:cs="Arial"/>
                <w:i/>
                <w:sz w:val="16"/>
              </w:rPr>
            </w:pPr>
          </w:p>
          <w:p w14:paraId="7F995781" w14:textId="77777777" w:rsidR="00496C66" w:rsidRDefault="00496C66" w:rsidP="00D25C33">
            <w:pPr>
              <w:jc w:val="center"/>
              <w:rPr>
                <w:rFonts w:ascii="Arial" w:hAnsi="Arial" w:cs="Arial"/>
                <w:i/>
                <w:sz w:val="16"/>
              </w:rPr>
            </w:pPr>
          </w:p>
          <w:p w14:paraId="38BEECB2" w14:textId="77777777" w:rsidR="00496C66" w:rsidRDefault="00496C66" w:rsidP="00D25C33">
            <w:pPr>
              <w:jc w:val="center"/>
              <w:rPr>
                <w:rFonts w:ascii="Arial" w:hAnsi="Arial" w:cs="Arial"/>
                <w:i/>
                <w:sz w:val="16"/>
              </w:rPr>
            </w:pPr>
          </w:p>
          <w:p w14:paraId="0F8B33D2" w14:textId="77777777" w:rsidR="00496C66" w:rsidRDefault="00496C66" w:rsidP="00D25C33">
            <w:pPr>
              <w:jc w:val="center"/>
              <w:rPr>
                <w:rFonts w:ascii="Arial" w:hAnsi="Arial" w:cs="Arial"/>
                <w:i/>
                <w:sz w:val="16"/>
              </w:rPr>
            </w:pPr>
            <w:r>
              <w:rPr>
                <w:rFonts w:ascii="Arial" w:hAnsi="Arial" w:cs="Arial"/>
                <w:i/>
                <w:sz w:val="16"/>
              </w:rPr>
              <w:t>9,23</w:t>
            </w:r>
          </w:p>
          <w:p w14:paraId="6A4FB9E1" w14:textId="77777777" w:rsidR="00496C66" w:rsidRDefault="00496C66" w:rsidP="00D25C33">
            <w:pPr>
              <w:jc w:val="center"/>
              <w:rPr>
                <w:rFonts w:ascii="Arial" w:hAnsi="Arial" w:cs="Arial"/>
                <w:i/>
                <w:sz w:val="16"/>
              </w:rPr>
            </w:pPr>
          </w:p>
          <w:p w14:paraId="0F9AEE98" w14:textId="77777777" w:rsidR="00496C66" w:rsidRDefault="00496C66" w:rsidP="00D25C33">
            <w:pPr>
              <w:jc w:val="center"/>
              <w:rPr>
                <w:rFonts w:ascii="Arial" w:hAnsi="Arial" w:cs="Arial"/>
                <w:i/>
                <w:sz w:val="16"/>
              </w:rPr>
            </w:pPr>
          </w:p>
          <w:p w14:paraId="45BFE861" w14:textId="77777777" w:rsidR="00496C66" w:rsidRDefault="00496C66" w:rsidP="00D25C33">
            <w:pPr>
              <w:jc w:val="center"/>
              <w:rPr>
                <w:rFonts w:ascii="Arial" w:hAnsi="Arial" w:cs="Arial"/>
                <w:i/>
                <w:sz w:val="16"/>
              </w:rPr>
            </w:pPr>
            <w:r>
              <w:rPr>
                <w:rFonts w:ascii="Arial" w:hAnsi="Arial" w:cs="Arial"/>
                <w:i/>
                <w:sz w:val="16"/>
              </w:rPr>
              <w:t>23,95</w:t>
            </w:r>
          </w:p>
          <w:p w14:paraId="6E429CB0" w14:textId="77777777" w:rsidR="00496C66" w:rsidRDefault="00496C66" w:rsidP="00D25C33">
            <w:pPr>
              <w:jc w:val="center"/>
              <w:rPr>
                <w:rFonts w:ascii="Arial" w:hAnsi="Arial" w:cs="Arial"/>
                <w:i/>
                <w:sz w:val="16"/>
              </w:rPr>
            </w:pPr>
          </w:p>
          <w:p w14:paraId="0C8208C6" w14:textId="77777777" w:rsidR="00496C66" w:rsidRDefault="00496C66" w:rsidP="00D25C33">
            <w:pPr>
              <w:ind w:left="360"/>
              <w:rPr>
                <w:rFonts w:ascii="Arial" w:hAnsi="Arial" w:cs="Arial"/>
                <w:i/>
                <w:sz w:val="16"/>
              </w:rPr>
            </w:pPr>
            <w:r>
              <w:rPr>
                <w:rFonts w:ascii="Arial" w:hAnsi="Arial" w:cs="Arial"/>
                <w:i/>
                <w:sz w:val="16"/>
              </w:rPr>
              <w:t>22,11</w:t>
            </w:r>
          </w:p>
        </w:tc>
        <w:tc>
          <w:tcPr>
            <w:tcW w:w="1417" w:type="dxa"/>
            <w:vMerge/>
            <w:shd w:val="clear" w:color="auto" w:fill="FFFFFF"/>
          </w:tcPr>
          <w:p w14:paraId="739738B7" w14:textId="77777777" w:rsidR="00496C66" w:rsidRDefault="00496C66" w:rsidP="00E079A6">
            <w:pPr>
              <w:ind w:left="360"/>
              <w:rPr>
                <w:rFonts w:ascii="Arial" w:hAnsi="Arial" w:cs="Arial"/>
                <w:sz w:val="16"/>
                <w:szCs w:val="16"/>
              </w:rPr>
            </w:pPr>
          </w:p>
        </w:tc>
        <w:tc>
          <w:tcPr>
            <w:tcW w:w="710" w:type="dxa"/>
            <w:vMerge/>
            <w:shd w:val="clear" w:color="auto" w:fill="FFFFFF"/>
          </w:tcPr>
          <w:p w14:paraId="0B67CBCE" w14:textId="77777777" w:rsidR="00496C66" w:rsidRDefault="00496C66" w:rsidP="00E079A6">
            <w:pPr>
              <w:ind w:left="360"/>
              <w:rPr>
                <w:rFonts w:ascii="Arial" w:hAnsi="Arial" w:cs="Arial"/>
                <w:sz w:val="16"/>
                <w:szCs w:val="16"/>
              </w:rPr>
            </w:pPr>
          </w:p>
        </w:tc>
        <w:tc>
          <w:tcPr>
            <w:tcW w:w="1275" w:type="dxa"/>
            <w:vMerge/>
            <w:shd w:val="clear" w:color="auto" w:fill="FFFFFF"/>
          </w:tcPr>
          <w:p w14:paraId="2802531D" w14:textId="77777777" w:rsidR="00496C66" w:rsidRDefault="00496C66" w:rsidP="00E079A6">
            <w:pPr>
              <w:ind w:left="360"/>
              <w:rPr>
                <w:rFonts w:ascii="Arial" w:hAnsi="Arial" w:cs="Arial"/>
                <w:sz w:val="16"/>
                <w:szCs w:val="16"/>
              </w:rPr>
            </w:pPr>
          </w:p>
        </w:tc>
      </w:tr>
      <w:tr w:rsidR="00E079A6" w:rsidRPr="006F6ABB" w14:paraId="64C40EC9" w14:textId="77777777" w:rsidTr="00E079A6">
        <w:trPr>
          <w:trHeight w:val="230"/>
        </w:trPr>
        <w:tc>
          <w:tcPr>
            <w:tcW w:w="1003" w:type="dxa"/>
            <w:shd w:val="clear" w:color="auto" w:fill="E6E6E6"/>
          </w:tcPr>
          <w:p w14:paraId="06F86211" w14:textId="77777777" w:rsidR="00E079A6" w:rsidRDefault="00E079A6" w:rsidP="0027467A">
            <w:pPr>
              <w:ind w:left="720"/>
              <w:rPr>
                <w:rFonts w:ascii="Arial" w:hAnsi="Arial" w:cs="Arial"/>
                <w:sz w:val="16"/>
                <w:szCs w:val="16"/>
              </w:rPr>
            </w:pPr>
          </w:p>
        </w:tc>
        <w:tc>
          <w:tcPr>
            <w:tcW w:w="7856" w:type="dxa"/>
            <w:gridSpan w:val="6"/>
            <w:shd w:val="clear" w:color="auto" w:fill="E6E6E6"/>
          </w:tcPr>
          <w:p w14:paraId="01D6D71C" w14:textId="77777777" w:rsidR="00E079A6" w:rsidRDefault="00E079A6" w:rsidP="00E079A6">
            <w:pPr>
              <w:numPr>
                <w:ilvl w:val="0"/>
                <w:numId w:val="23"/>
              </w:numPr>
              <w:rPr>
                <w:rFonts w:ascii="Arial" w:hAnsi="Arial" w:cs="Arial"/>
                <w:sz w:val="16"/>
                <w:szCs w:val="16"/>
              </w:rPr>
            </w:pPr>
            <w:r>
              <w:rPr>
                <w:rFonts w:ascii="Arial" w:hAnsi="Arial" w:cs="Arial"/>
                <w:sz w:val="16"/>
                <w:szCs w:val="16"/>
              </w:rPr>
              <w:t>Primer análisis intermedio, mediana de tiempo de seguimiento: 18,6 meses (fecha de corte: 08-Oct-2021)</w:t>
            </w:r>
          </w:p>
          <w:p w14:paraId="2A06F1BD" w14:textId="77777777" w:rsidR="00E079A6" w:rsidRDefault="00E079A6" w:rsidP="00E079A6">
            <w:pPr>
              <w:numPr>
                <w:ilvl w:val="0"/>
                <w:numId w:val="23"/>
              </w:numPr>
              <w:rPr>
                <w:rFonts w:ascii="Arial" w:hAnsi="Arial" w:cs="Arial"/>
                <w:sz w:val="16"/>
                <w:szCs w:val="16"/>
              </w:rPr>
            </w:pPr>
            <w:r>
              <w:rPr>
                <w:rFonts w:ascii="Arial" w:hAnsi="Arial" w:cs="Arial"/>
                <w:sz w:val="16"/>
                <w:szCs w:val="16"/>
              </w:rPr>
              <w:t>Segundo análisis intermedio, mediana de tiempo de seguimiento: 26,8 meses (fecha de corte: 17-Jun-2022)</w:t>
            </w:r>
          </w:p>
          <w:p w14:paraId="6774ABB6" w14:textId="77777777" w:rsidR="00046C70" w:rsidRPr="00046C70" w:rsidRDefault="00E079A6" w:rsidP="00046C70">
            <w:pPr>
              <w:ind w:left="720"/>
              <w:rPr>
                <w:rFonts w:ascii="Arial" w:hAnsi="Arial" w:cs="Arial"/>
                <w:sz w:val="16"/>
                <w:szCs w:val="16"/>
              </w:rPr>
            </w:pPr>
            <w:r>
              <w:rPr>
                <w:rFonts w:ascii="Arial" w:hAnsi="Arial" w:cs="Arial"/>
                <w:sz w:val="16"/>
                <w:szCs w:val="16"/>
              </w:rPr>
              <w:t>El análisis final se espera publicar durante el primer cuatrimestre del 2024.</w:t>
            </w:r>
            <w:r w:rsidR="00046C70" w:rsidRPr="006F6ABB">
              <w:rPr>
                <w:rFonts w:ascii="Arial" w:hAnsi="Arial" w:cs="Arial"/>
                <w:b/>
                <w:sz w:val="16"/>
                <w:szCs w:val="16"/>
                <w:u w:val="single"/>
              </w:rPr>
              <w:t xml:space="preserve"> </w:t>
            </w:r>
          </w:p>
          <w:p w14:paraId="01EC63FA" w14:textId="77777777" w:rsidR="00E079A6" w:rsidRPr="006F6ABB" w:rsidRDefault="00E079A6" w:rsidP="00E079A6">
            <w:pPr>
              <w:rPr>
                <w:rFonts w:ascii="Arial" w:hAnsi="Arial" w:cs="Arial"/>
                <w:b/>
                <w:sz w:val="16"/>
                <w:szCs w:val="16"/>
                <w:u w:val="single"/>
              </w:rPr>
            </w:pPr>
          </w:p>
        </w:tc>
      </w:tr>
    </w:tbl>
    <w:p w14:paraId="5078323A" w14:textId="77777777" w:rsidR="00E079A6" w:rsidRDefault="00E079A6" w:rsidP="00BF0004">
      <w:pPr>
        <w:autoSpaceDE w:val="0"/>
        <w:autoSpaceDN w:val="0"/>
        <w:adjustRightInd w:val="0"/>
        <w:jc w:val="both"/>
        <w:rPr>
          <w:rFonts w:ascii="Calibri" w:hAnsi="Calibri" w:cs="Calibri"/>
          <w:bCs/>
          <w:sz w:val="22"/>
          <w:szCs w:val="20"/>
        </w:rPr>
      </w:pPr>
    </w:p>
    <w:p w14:paraId="2E2BB98E" w14:textId="77777777" w:rsidR="00265D5D" w:rsidRDefault="00265D5D" w:rsidP="00A524FC">
      <w:pPr>
        <w:snapToGrid w:val="0"/>
        <w:jc w:val="both"/>
        <w:rPr>
          <w:rFonts w:ascii="Arial" w:hAnsi="Arial" w:cs="Arial"/>
          <w:b/>
          <w:color w:val="000080"/>
          <w:sz w:val="20"/>
          <w:szCs w:val="20"/>
          <w:lang w:val="es-ES_tradnl"/>
        </w:rPr>
      </w:pPr>
    </w:p>
    <w:p w14:paraId="5E7A584C" w14:textId="43B78D7F" w:rsidR="00C91A7C" w:rsidRPr="00FB1DEA" w:rsidRDefault="008B2E57" w:rsidP="00A524FC">
      <w:pPr>
        <w:autoSpaceDE w:val="0"/>
        <w:autoSpaceDN w:val="0"/>
        <w:adjustRightInd w:val="0"/>
        <w:jc w:val="both"/>
        <w:rPr>
          <w:rFonts w:ascii="Arial" w:hAnsi="Arial" w:cs="Arial"/>
          <w:bCs/>
          <w:sz w:val="20"/>
          <w:szCs w:val="20"/>
        </w:rPr>
      </w:pPr>
      <w:r>
        <w:rPr>
          <w:rFonts w:ascii="Arial" w:hAnsi="Arial" w:cs="Arial"/>
          <w:bCs/>
          <w:sz w:val="20"/>
          <w:szCs w:val="20"/>
        </w:rPr>
        <w:t>Como se ha dicho, e</w:t>
      </w:r>
      <w:r w:rsidR="001A0EA8" w:rsidRPr="00FB1DEA">
        <w:rPr>
          <w:rFonts w:ascii="Arial" w:hAnsi="Arial" w:cs="Arial"/>
          <w:bCs/>
          <w:sz w:val="20"/>
          <w:szCs w:val="20"/>
        </w:rPr>
        <w:t>l estudio constaba de tres cohortes. En la Cohorte 1 y la Cohorte 2 se aleatorizó a los pacientes (1:1) a recibir niraparib+AAP (sin forma farmacéutica combinada de ambos principios activos) o placebo+AAP. La cohorte 1 incluyó a pacientes con alteraciones del gen HRR mientras que la cohorte 2 incluyó a pacientes sin alteraciones del gen HRR. Ambas cohortes fueron doble ciego. Hubo una tercera cohorte, la cohorte 3, para evaluar la forma farmacéutica combinada de niraparib+AAP. Esta cohorte era abierta y en ella participaron pacientes con alteraciones del gen HRR. En el contexto de la indicación aplicada actualmente, la más relevante es la Cohorte 1.</w:t>
      </w:r>
    </w:p>
    <w:p w14:paraId="169A420A" w14:textId="77777777" w:rsidR="00C91A7C" w:rsidRPr="00614E6B" w:rsidRDefault="00C91A7C" w:rsidP="00A524FC">
      <w:pPr>
        <w:autoSpaceDE w:val="0"/>
        <w:autoSpaceDN w:val="0"/>
        <w:adjustRightInd w:val="0"/>
        <w:jc w:val="both"/>
        <w:rPr>
          <w:rFonts w:ascii="Calibri" w:hAnsi="Calibri" w:cs="Calibri"/>
          <w:bCs/>
          <w:sz w:val="22"/>
          <w:szCs w:val="20"/>
        </w:rPr>
      </w:pPr>
    </w:p>
    <w:p w14:paraId="36E438B9" w14:textId="7777777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Se planificó un análisis de futilidad no vinculante para la Cohorte 2 después de que se hubieran inscrito aproximadamente 200 sujetos y se hubieran observado aproximadamente 125 eventos de una variable combinada: progresión radiográfica, progresión del PSA o muerte.</w:t>
      </w:r>
    </w:p>
    <w:p w14:paraId="6C60E8CC" w14:textId="77777777" w:rsidR="00C91A7C" w:rsidRPr="00614E6B" w:rsidRDefault="00C91A7C" w:rsidP="00A524FC">
      <w:pPr>
        <w:autoSpaceDE w:val="0"/>
        <w:autoSpaceDN w:val="0"/>
        <w:adjustRightInd w:val="0"/>
        <w:jc w:val="both"/>
        <w:rPr>
          <w:rFonts w:ascii="Calibri" w:hAnsi="Calibri" w:cs="Calibri"/>
          <w:bCs/>
          <w:sz w:val="22"/>
          <w:szCs w:val="20"/>
        </w:rPr>
      </w:pPr>
    </w:p>
    <w:p w14:paraId="5CCFC0E9" w14:textId="7777777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 xml:space="preserve">La inscripción en esta cohorte </w:t>
      </w:r>
      <w:r w:rsidR="008B2E57">
        <w:rPr>
          <w:rFonts w:ascii="Arial" w:hAnsi="Arial" w:cs="Arial"/>
          <w:bCs/>
          <w:sz w:val="20"/>
          <w:szCs w:val="20"/>
        </w:rPr>
        <w:t xml:space="preserve">2 </w:t>
      </w:r>
      <w:r w:rsidRPr="00FB1DEA">
        <w:rPr>
          <w:rFonts w:ascii="Arial" w:hAnsi="Arial" w:cs="Arial"/>
          <w:bCs/>
          <w:sz w:val="20"/>
          <w:szCs w:val="20"/>
        </w:rPr>
        <w:t>se mantuvo después de que se hubieran inscrito 247 sujetos.</w:t>
      </w:r>
    </w:p>
    <w:p w14:paraId="29288C94" w14:textId="2F6223D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 xml:space="preserve">El criterio de decisión cuantitativo para evaluar la futilidad se basó en la HR mediante un modelo de riesgos proporcionales de Cox. La cohorte 2 se consideraría </w:t>
      </w:r>
      <w:r w:rsidR="008B2E57" w:rsidRPr="008B2E57">
        <w:rPr>
          <w:rFonts w:ascii="Arial" w:hAnsi="Arial" w:cs="Arial"/>
          <w:bCs/>
          <w:sz w:val="20"/>
          <w:szCs w:val="20"/>
        </w:rPr>
        <w:t>fútil</w:t>
      </w:r>
      <w:r w:rsidRPr="00FB1DEA">
        <w:rPr>
          <w:rFonts w:ascii="Arial" w:hAnsi="Arial" w:cs="Arial"/>
          <w:bCs/>
          <w:sz w:val="20"/>
          <w:szCs w:val="20"/>
        </w:rPr>
        <w:t xml:space="preserve"> si la HR observada</w:t>
      </w:r>
    </w:p>
    <w:p w14:paraId="13A5CCC1" w14:textId="7777777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para el tiempo transcurrido hasta los eventos de progresión combinados era mayor o igual a 1.</w:t>
      </w:r>
    </w:p>
    <w:p w14:paraId="5AACCA6C" w14:textId="7777777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El análisis de futilidad planificado previamente para la Cohorte 2 se realizó el 13 de agosto de 2020, evaluando los datos de 233 sujetos con 113 eventos de progresión combinados observados. Con una HR=1,087 para la variable combinada, se cumplieron los criterios preespecificados de futilidad de HR &gt;1 y se declaró la futilidad de esta cohorte.</w:t>
      </w:r>
    </w:p>
    <w:p w14:paraId="31DE87EC" w14:textId="77777777" w:rsidR="00C91A7C" w:rsidRPr="00FB1DEA" w:rsidRDefault="001A0EA8" w:rsidP="00A524FC">
      <w:pPr>
        <w:autoSpaceDE w:val="0"/>
        <w:autoSpaceDN w:val="0"/>
        <w:adjustRightInd w:val="0"/>
        <w:jc w:val="both"/>
        <w:rPr>
          <w:rFonts w:ascii="Arial" w:hAnsi="Arial" w:cs="Arial"/>
          <w:bCs/>
          <w:sz w:val="20"/>
          <w:szCs w:val="20"/>
        </w:rPr>
      </w:pPr>
      <w:r w:rsidRPr="00FB1DEA">
        <w:rPr>
          <w:rFonts w:ascii="Arial" w:hAnsi="Arial" w:cs="Arial"/>
          <w:bCs/>
          <w:sz w:val="20"/>
          <w:szCs w:val="20"/>
        </w:rPr>
        <w:t>Basándose en la recomendación del comité independiente de monitorización de datos, el promotor interrumpió de forma permanente el reclutamiento en la cohorte 2, esta cohorte quedó excluida del estudio y se desenmascaró.</w:t>
      </w:r>
    </w:p>
    <w:p w14:paraId="411137C9" w14:textId="77777777" w:rsidR="00C91A7C" w:rsidRDefault="00C91A7C" w:rsidP="00C91A7C">
      <w:pPr>
        <w:snapToGrid w:val="0"/>
        <w:jc w:val="both"/>
        <w:rPr>
          <w:rFonts w:ascii="Arial" w:hAnsi="Arial" w:cs="Arial"/>
          <w:b/>
          <w:color w:val="000080"/>
          <w:sz w:val="20"/>
          <w:szCs w:val="20"/>
          <w:lang w:val="es-ES_tradnl"/>
        </w:rPr>
      </w:pPr>
    </w:p>
    <w:p w14:paraId="4C95E5B2" w14:textId="77777777" w:rsidR="00C91A7C" w:rsidRDefault="00C91A7C" w:rsidP="00C91A7C">
      <w:pPr>
        <w:snapToGrid w:val="0"/>
        <w:jc w:val="both"/>
        <w:rPr>
          <w:rFonts w:ascii="Arial" w:hAnsi="Arial" w:cs="Arial"/>
          <w:b/>
          <w:color w:val="000080"/>
          <w:sz w:val="20"/>
          <w:szCs w:val="20"/>
          <w:lang w:val="es-ES_tradnl"/>
        </w:rPr>
      </w:pPr>
    </w:p>
    <w:p w14:paraId="2D99C90A" w14:textId="6C96EA53" w:rsidR="00C91A7C" w:rsidRDefault="009C6417" w:rsidP="00C91A7C">
      <w:pPr>
        <w:keepNext/>
        <w:snapToGrid w:val="0"/>
        <w:jc w:val="both"/>
      </w:pPr>
      <w:r>
        <w:rPr>
          <w:noProof/>
        </w:rPr>
        <w:drawing>
          <wp:inline distT="0" distB="0" distL="0" distR="0" wp14:anchorId="4DEAD58E" wp14:editId="3B9C0C76">
            <wp:extent cx="5549900" cy="3045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3045460"/>
                    </a:xfrm>
                    <a:prstGeom prst="rect">
                      <a:avLst/>
                    </a:prstGeom>
                    <a:noFill/>
                    <a:ln>
                      <a:noFill/>
                    </a:ln>
                  </pic:spPr>
                </pic:pic>
              </a:graphicData>
            </a:graphic>
          </wp:inline>
        </w:drawing>
      </w:r>
    </w:p>
    <w:p w14:paraId="7FC24345" w14:textId="3C9CF064" w:rsidR="00C91A7C" w:rsidRPr="00FB1DEA" w:rsidRDefault="001A0EA8" w:rsidP="00C91A7C">
      <w:pPr>
        <w:pStyle w:val="Descripcin1"/>
        <w:jc w:val="both"/>
        <w:rPr>
          <w:rFonts w:ascii="Arial" w:hAnsi="Arial" w:cs="Arial"/>
          <w:noProof/>
        </w:rPr>
      </w:pPr>
      <w:r w:rsidRPr="00FB1DEA">
        <w:rPr>
          <w:rFonts w:ascii="Arial" w:hAnsi="Arial" w:cs="Arial"/>
        </w:rPr>
        <w:t xml:space="preserve">Figura </w:t>
      </w:r>
      <w:r w:rsidRPr="00FB1DEA">
        <w:rPr>
          <w:rFonts w:ascii="Arial" w:hAnsi="Arial" w:cs="Arial"/>
        </w:rPr>
        <w:fldChar w:fldCharType="begin"/>
      </w:r>
      <w:r w:rsidRPr="00FB1DEA">
        <w:rPr>
          <w:rFonts w:ascii="Arial" w:hAnsi="Arial" w:cs="Arial"/>
        </w:rPr>
        <w:instrText xml:space="preserve"> SEQ Ilustración \* ARABIC </w:instrText>
      </w:r>
      <w:r w:rsidRPr="00FB1DEA">
        <w:rPr>
          <w:rFonts w:ascii="Arial" w:hAnsi="Arial" w:cs="Arial"/>
        </w:rPr>
        <w:fldChar w:fldCharType="separate"/>
      </w:r>
      <w:r w:rsidR="000603A2">
        <w:rPr>
          <w:rFonts w:ascii="Arial" w:hAnsi="Arial" w:cs="Arial"/>
          <w:noProof/>
        </w:rPr>
        <w:t>1</w:t>
      </w:r>
      <w:r w:rsidRPr="00FB1DEA">
        <w:rPr>
          <w:rFonts w:ascii="Arial" w:hAnsi="Arial" w:cs="Arial"/>
        </w:rPr>
        <w:fldChar w:fldCharType="end"/>
      </w:r>
      <w:r w:rsidRPr="00FB1DEA">
        <w:rPr>
          <w:rFonts w:ascii="Arial" w:hAnsi="Arial" w:cs="Arial"/>
        </w:rPr>
        <w:t>. Número de pacientes para cada población</w:t>
      </w:r>
    </w:p>
    <w:p w14:paraId="5A9BA893" w14:textId="77777777" w:rsidR="00C91A7C" w:rsidRDefault="00C91A7C" w:rsidP="00C91A7C">
      <w:pPr>
        <w:snapToGrid w:val="0"/>
        <w:jc w:val="both"/>
        <w:rPr>
          <w:rFonts w:ascii="Arial" w:hAnsi="Arial" w:cs="Arial"/>
          <w:b/>
          <w:color w:val="000080"/>
          <w:sz w:val="20"/>
          <w:szCs w:val="20"/>
          <w:lang w:val="es-ES_tradnl"/>
        </w:rPr>
      </w:pPr>
    </w:p>
    <w:p w14:paraId="0DDB256E" w14:textId="77777777" w:rsidR="00C91A7C" w:rsidRPr="00FB1DEA" w:rsidRDefault="001A0EA8" w:rsidP="00C91A7C">
      <w:pPr>
        <w:snapToGrid w:val="0"/>
        <w:jc w:val="both"/>
        <w:rPr>
          <w:rFonts w:ascii="Arial" w:hAnsi="Arial" w:cs="Arial"/>
          <w:bCs/>
          <w:sz w:val="20"/>
          <w:szCs w:val="20"/>
        </w:rPr>
      </w:pPr>
      <w:r w:rsidRPr="00FB1DEA">
        <w:rPr>
          <w:rFonts w:ascii="Arial" w:hAnsi="Arial" w:cs="Arial"/>
          <w:bCs/>
          <w:sz w:val="20"/>
          <w:szCs w:val="20"/>
        </w:rPr>
        <w:t>Para el análisis estadístico</w:t>
      </w:r>
      <w:r w:rsidR="00834E82">
        <w:rPr>
          <w:rFonts w:ascii="Arial" w:hAnsi="Arial" w:cs="Arial"/>
          <w:bCs/>
          <w:sz w:val="20"/>
          <w:szCs w:val="20"/>
        </w:rPr>
        <w:t>,</w:t>
      </w:r>
      <w:r w:rsidRPr="00FB1DEA">
        <w:rPr>
          <w:rFonts w:ascii="Arial" w:hAnsi="Arial" w:cs="Arial"/>
          <w:bCs/>
          <w:sz w:val="20"/>
          <w:szCs w:val="20"/>
        </w:rPr>
        <w:t xml:space="preserve"> primero se evaluó la variable principal en pacientes con una mutación BRCA1/2 (n=225) y, si resultaba estadísticamente significativa, en la población general (población HRR+; n=423).</w:t>
      </w:r>
    </w:p>
    <w:p w14:paraId="2B37B831" w14:textId="77777777" w:rsidR="00C91A7C" w:rsidRPr="00834E82" w:rsidRDefault="00C91A7C" w:rsidP="00C91A7C">
      <w:pPr>
        <w:snapToGrid w:val="0"/>
        <w:jc w:val="both"/>
        <w:rPr>
          <w:rFonts w:ascii="Arial" w:hAnsi="Arial" w:cs="Arial"/>
          <w:b/>
          <w:color w:val="000080"/>
          <w:sz w:val="20"/>
          <w:szCs w:val="20"/>
          <w:lang w:val="es-ES_tradnl"/>
        </w:rPr>
      </w:pPr>
    </w:p>
    <w:p w14:paraId="13A1F15E" w14:textId="0CEA85E5" w:rsidR="00E358F6" w:rsidRPr="000A3792" w:rsidRDefault="001A0EA8" w:rsidP="00E358F6">
      <w:pPr>
        <w:snapToGrid w:val="0"/>
        <w:jc w:val="both"/>
        <w:rPr>
          <w:rFonts w:ascii="Arial" w:hAnsi="Arial" w:cs="Arial"/>
          <w:bCs/>
          <w:sz w:val="20"/>
          <w:szCs w:val="20"/>
        </w:rPr>
      </w:pPr>
      <w:r w:rsidRPr="00FB1DEA">
        <w:rPr>
          <w:rFonts w:ascii="Arial" w:hAnsi="Arial" w:cs="Arial"/>
          <w:bCs/>
          <w:sz w:val="20"/>
          <w:szCs w:val="20"/>
        </w:rPr>
        <w:t xml:space="preserve">Se observó un beneficio estadísticamente significativo del tratamiento con niraparib+AAP en sujetos con alteraciones en los genes BRCA 1 o BRCA2 (por estratificación IWRS), </w:t>
      </w:r>
      <w:r w:rsidR="0067218F">
        <w:rPr>
          <w:rFonts w:ascii="Arial" w:hAnsi="Arial" w:cs="Arial"/>
          <w:bCs/>
          <w:sz w:val="20"/>
          <w:szCs w:val="20"/>
        </w:rPr>
        <w:t xml:space="preserve">así, </w:t>
      </w:r>
      <w:r w:rsidRPr="000A3792">
        <w:rPr>
          <w:rFonts w:ascii="Arial" w:hAnsi="Arial" w:cs="Arial"/>
          <w:bCs/>
          <w:sz w:val="20"/>
          <w:szCs w:val="20"/>
        </w:rPr>
        <w:t xml:space="preserve">la SLPr </w:t>
      </w:r>
      <w:r w:rsidR="0067218F">
        <w:rPr>
          <w:rFonts w:ascii="Arial" w:hAnsi="Arial" w:cs="Arial"/>
          <w:bCs/>
          <w:sz w:val="20"/>
          <w:szCs w:val="20"/>
        </w:rPr>
        <w:t xml:space="preserve">fue </w:t>
      </w:r>
      <w:r w:rsidRPr="000A3792">
        <w:rPr>
          <w:rFonts w:ascii="Arial" w:hAnsi="Arial" w:cs="Arial"/>
          <w:bCs/>
          <w:sz w:val="20"/>
          <w:szCs w:val="20"/>
        </w:rPr>
        <w:t xml:space="preserve">de 16,6 </w:t>
      </w:r>
      <w:r w:rsidR="0067218F">
        <w:rPr>
          <w:rFonts w:ascii="Arial" w:hAnsi="Arial" w:cs="Arial"/>
          <w:bCs/>
          <w:sz w:val="20"/>
          <w:szCs w:val="20"/>
        </w:rPr>
        <w:t xml:space="preserve">meses </w:t>
      </w:r>
      <w:r w:rsidRPr="000A3792">
        <w:rPr>
          <w:rFonts w:ascii="Arial" w:hAnsi="Arial" w:cs="Arial"/>
          <w:bCs/>
          <w:sz w:val="20"/>
          <w:szCs w:val="20"/>
        </w:rPr>
        <w:t>en el brazo de niraparib+AAP frente a 10,9 meses del brazo placebo+AAP con un HR de 0,533 (IC 95%: 0,361</w:t>
      </w:r>
      <w:r w:rsidR="00834E82">
        <w:rPr>
          <w:rFonts w:ascii="Arial" w:hAnsi="Arial" w:cs="Arial"/>
          <w:bCs/>
          <w:sz w:val="20"/>
          <w:szCs w:val="20"/>
        </w:rPr>
        <w:t>-</w:t>
      </w:r>
      <w:r w:rsidRPr="000A3792">
        <w:rPr>
          <w:rFonts w:ascii="Arial" w:hAnsi="Arial" w:cs="Arial"/>
          <w:bCs/>
          <w:sz w:val="20"/>
          <w:szCs w:val="20"/>
        </w:rPr>
        <w:t>0,789; p=0,0014). (figura 2)</w:t>
      </w:r>
    </w:p>
    <w:p w14:paraId="46B55427" w14:textId="77777777" w:rsidR="00E358F6" w:rsidRPr="000A3792" w:rsidRDefault="00E358F6" w:rsidP="00E358F6">
      <w:pPr>
        <w:snapToGrid w:val="0"/>
        <w:jc w:val="both"/>
        <w:rPr>
          <w:rFonts w:ascii="Arial" w:hAnsi="Arial" w:cs="Arial"/>
          <w:bCs/>
          <w:sz w:val="20"/>
          <w:szCs w:val="20"/>
        </w:rPr>
      </w:pPr>
    </w:p>
    <w:p w14:paraId="356A2E11" w14:textId="7768C39E" w:rsidR="00E358F6" w:rsidRDefault="009C6417" w:rsidP="00E358F6">
      <w:pPr>
        <w:keepNext/>
        <w:snapToGrid w:val="0"/>
        <w:jc w:val="both"/>
      </w:pPr>
      <w:r>
        <w:rPr>
          <w:rFonts w:ascii="Arial" w:hAnsi="Arial" w:cs="Arial"/>
          <w:noProof/>
          <w:sz w:val="20"/>
          <w:szCs w:val="20"/>
        </w:rPr>
        <w:drawing>
          <wp:inline distT="0" distB="0" distL="0" distR="0" wp14:anchorId="450F8C2A" wp14:editId="528946AA">
            <wp:extent cx="3554095" cy="2592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534" t="8417"/>
                    <a:stretch>
                      <a:fillRect/>
                    </a:stretch>
                  </pic:blipFill>
                  <pic:spPr bwMode="auto">
                    <a:xfrm>
                      <a:off x="0" y="0"/>
                      <a:ext cx="3554095" cy="2592070"/>
                    </a:xfrm>
                    <a:prstGeom prst="rect">
                      <a:avLst/>
                    </a:prstGeom>
                    <a:noFill/>
                    <a:ln>
                      <a:noFill/>
                    </a:ln>
                  </pic:spPr>
                </pic:pic>
              </a:graphicData>
            </a:graphic>
          </wp:inline>
        </w:drawing>
      </w:r>
    </w:p>
    <w:p w14:paraId="45760A1B" w14:textId="77777777" w:rsidR="00E358F6" w:rsidRPr="000A3792" w:rsidRDefault="001A0EA8" w:rsidP="00E358F6">
      <w:pPr>
        <w:pStyle w:val="Descripcin1"/>
        <w:jc w:val="both"/>
        <w:rPr>
          <w:rFonts w:ascii="Arial" w:hAnsi="Arial" w:cs="Arial"/>
          <w:bCs w:val="0"/>
        </w:rPr>
      </w:pPr>
      <w:r w:rsidRPr="000A3792">
        <w:rPr>
          <w:rFonts w:ascii="Arial" w:hAnsi="Arial" w:cs="Arial"/>
        </w:rPr>
        <w:t>Figura 2. SLPr en el subgrupo con mutación BRCA1/2 (por comité independiente)</w:t>
      </w:r>
    </w:p>
    <w:p w14:paraId="5C6E9608" w14:textId="77777777" w:rsidR="00E358F6" w:rsidRPr="00834E82" w:rsidRDefault="00E358F6" w:rsidP="00C91A7C">
      <w:pPr>
        <w:snapToGrid w:val="0"/>
        <w:jc w:val="both"/>
        <w:rPr>
          <w:rFonts w:ascii="Arial" w:hAnsi="Arial" w:cs="Arial"/>
          <w:b/>
          <w:color w:val="000080"/>
          <w:sz w:val="20"/>
          <w:szCs w:val="20"/>
          <w:lang w:val="es-ES_tradnl"/>
        </w:rPr>
      </w:pPr>
    </w:p>
    <w:p w14:paraId="0D5DB8C7" w14:textId="77777777" w:rsidR="00C91A7C" w:rsidRPr="000A3792" w:rsidRDefault="001A0EA8" w:rsidP="00C91A7C">
      <w:pPr>
        <w:snapToGrid w:val="0"/>
        <w:jc w:val="both"/>
        <w:rPr>
          <w:rFonts w:ascii="Arial" w:hAnsi="Arial" w:cs="Arial"/>
          <w:bCs/>
          <w:sz w:val="20"/>
          <w:szCs w:val="20"/>
        </w:rPr>
      </w:pPr>
      <w:r w:rsidRPr="000A3792">
        <w:rPr>
          <w:rFonts w:ascii="Arial" w:hAnsi="Arial" w:cs="Arial"/>
          <w:bCs/>
          <w:sz w:val="20"/>
          <w:szCs w:val="20"/>
        </w:rPr>
        <w:t>Del mismo modo, Los pacientes HRR+ en el grupo de niraparib + AAP experimentaron una SLPr mayor (16,5 frente a 13,7 meses; HR, 0,73; IC del 95%, 0,56 a 0,96; P = 0,022 (figura 3)</w:t>
      </w:r>
    </w:p>
    <w:p w14:paraId="5F865E11" w14:textId="77777777" w:rsidR="00C91A7C" w:rsidRDefault="00C91A7C" w:rsidP="00C91A7C">
      <w:pPr>
        <w:snapToGrid w:val="0"/>
        <w:jc w:val="both"/>
        <w:rPr>
          <w:rFonts w:ascii="Arial" w:hAnsi="Arial" w:cs="Arial"/>
          <w:b/>
          <w:color w:val="000080"/>
          <w:sz w:val="20"/>
          <w:szCs w:val="20"/>
          <w:lang w:val="es-ES_tradnl"/>
        </w:rPr>
      </w:pPr>
    </w:p>
    <w:p w14:paraId="40D39FB9" w14:textId="74BF0BF5" w:rsidR="00C91A7C" w:rsidRDefault="009C6417" w:rsidP="00C91A7C">
      <w:pPr>
        <w:keepNext/>
        <w:snapToGrid w:val="0"/>
        <w:jc w:val="both"/>
      </w:pPr>
      <w:r>
        <w:rPr>
          <w:noProof/>
        </w:rPr>
        <w:drawing>
          <wp:inline distT="0" distB="0" distL="0" distR="0" wp14:anchorId="00811076" wp14:editId="7AF06E29">
            <wp:extent cx="3117215" cy="20834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537" t="8424"/>
                    <a:stretch>
                      <a:fillRect/>
                    </a:stretch>
                  </pic:blipFill>
                  <pic:spPr bwMode="auto">
                    <a:xfrm>
                      <a:off x="0" y="0"/>
                      <a:ext cx="3117215" cy="2083435"/>
                    </a:xfrm>
                    <a:prstGeom prst="rect">
                      <a:avLst/>
                    </a:prstGeom>
                    <a:noFill/>
                    <a:ln>
                      <a:noFill/>
                    </a:ln>
                  </pic:spPr>
                </pic:pic>
              </a:graphicData>
            </a:graphic>
          </wp:inline>
        </w:drawing>
      </w:r>
    </w:p>
    <w:p w14:paraId="11A3451E" w14:textId="77777777" w:rsidR="00C91A7C" w:rsidRPr="00834E82" w:rsidRDefault="001A0EA8" w:rsidP="00C91A7C">
      <w:pPr>
        <w:pStyle w:val="Descripcin1"/>
        <w:jc w:val="both"/>
        <w:rPr>
          <w:rFonts w:ascii="Arial" w:hAnsi="Arial" w:cs="Arial"/>
          <w:b w:val="0"/>
          <w:color w:val="000080"/>
          <w:lang w:val="es-ES_tradnl"/>
        </w:rPr>
      </w:pPr>
      <w:r w:rsidRPr="000A3792">
        <w:rPr>
          <w:rFonts w:ascii="Arial" w:hAnsi="Arial" w:cs="Arial"/>
        </w:rPr>
        <w:t>Figura 3. SLPr en la población HRR+ (por comité independiente)</w:t>
      </w:r>
    </w:p>
    <w:p w14:paraId="3F9F3942" w14:textId="77777777" w:rsidR="00C91A7C" w:rsidRPr="00807DE7" w:rsidRDefault="00C91A7C" w:rsidP="00C91A7C">
      <w:pPr>
        <w:snapToGrid w:val="0"/>
        <w:jc w:val="both"/>
        <w:rPr>
          <w:rFonts w:ascii="Arial" w:hAnsi="Arial" w:cs="Arial"/>
          <w:b/>
          <w:color w:val="000080"/>
          <w:sz w:val="20"/>
          <w:szCs w:val="20"/>
          <w:lang w:val="es-ES_tradnl"/>
        </w:rPr>
      </w:pPr>
    </w:p>
    <w:p w14:paraId="243D57A8" w14:textId="77777777" w:rsidR="00561ACB" w:rsidRPr="00561ACB" w:rsidRDefault="00561ACB" w:rsidP="00BC3E8E">
      <w:pPr>
        <w:snapToGrid w:val="0"/>
        <w:jc w:val="both"/>
        <w:rPr>
          <w:rFonts w:ascii="Arial" w:hAnsi="Arial" w:cs="Arial"/>
          <w:bCs/>
          <w:sz w:val="20"/>
          <w:szCs w:val="20"/>
          <w:u w:val="single"/>
        </w:rPr>
      </w:pPr>
      <w:r w:rsidRPr="00561ACB">
        <w:rPr>
          <w:rFonts w:ascii="Arial" w:hAnsi="Arial" w:cs="Arial"/>
          <w:bCs/>
          <w:sz w:val="20"/>
          <w:szCs w:val="20"/>
          <w:u w:val="single"/>
        </w:rPr>
        <w:t>Resultados del análisis del investigador:</w:t>
      </w:r>
    </w:p>
    <w:p w14:paraId="4BCE411A" w14:textId="47946D99" w:rsidR="00925056" w:rsidRDefault="00307211" w:rsidP="00BC3E8E">
      <w:pPr>
        <w:snapToGrid w:val="0"/>
        <w:jc w:val="both"/>
        <w:rPr>
          <w:rFonts w:ascii="Arial" w:hAnsi="Arial" w:cs="Arial"/>
          <w:b/>
          <w:color w:val="000080"/>
          <w:sz w:val="20"/>
          <w:szCs w:val="20"/>
          <w:lang w:val="es-ES_tradnl"/>
        </w:rPr>
      </w:pPr>
      <w:r>
        <w:rPr>
          <w:rFonts w:ascii="Arial" w:hAnsi="Arial" w:cs="Arial"/>
          <w:bCs/>
          <w:sz w:val="20"/>
          <w:szCs w:val="20"/>
        </w:rPr>
        <w:t xml:space="preserve">Los resultados en el análisis del investigador son consistentes con </w:t>
      </w:r>
      <w:r w:rsidR="00561ACB">
        <w:rPr>
          <w:rFonts w:ascii="Arial" w:hAnsi="Arial" w:cs="Arial"/>
          <w:bCs/>
          <w:sz w:val="20"/>
          <w:szCs w:val="20"/>
        </w:rPr>
        <w:t xml:space="preserve">los datos del comité independiente: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1240"/>
        <w:gridCol w:w="1224"/>
        <w:gridCol w:w="1704"/>
        <w:gridCol w:w="2114"/>
      </w:tblGrid>
      <w:tr w:rsidR="00C91A7C" w:rsidRPr="00801BBF" w14:paraId="369A8C83" w14:textId="77777777" w:rsidTr="004D21AE">
        <w:trPr>
          <w:cantSplit/>
          <w:trHeight w:val="230"/>
        </w:trPr>
        <w:tc>
          <w:tcPr>
            <w:tcW w:w="8890" w:type="dxa"/>
            <w:gridSpan w:val="5"/>
            <w:shd w:val="clear" w:color="auto" w:fill="CCFFCC"/>
          </w:tcPr>
          <w:p w14:paraId="42A45D42" w14:textId="44120963" w:rsidR="00C91A7C" w:rsidRPr="000A3792" w:rsidRDefault="001A0EA8" w:rsidP="00C91A7C">
            <w:pPr>
              <w:jc w:val="both"/>
              <w:rPr>
                <w:rFonts w:ascii="Arial" w:hAnsi="Arial"/>
                <w:b/>
                <w:i/>
                <w:sz w:val="16"/>
              </w:rPr>
            </w:pPr>
            <w:r w:rsidRPr="000A3792">
              <w:rPr>
                <w:rFonts w:ascii="Arial" w:hAnsi="Arial"/>
                <w:b/>
                <w:i/>
                <w:sz w:val="16"/>
              </w:rPr>
              <w:t>Tabla 7. Variable principal de la cohorte 1 en el análisis final</w:t>
            </w:r>
            <w:r w:rsidR="00E6587E">
              <w:rPr>
                <w:rFonts w:ascii="Arial" w:hAnsi="Arial"/>
                <w:b/>
                <w:i/>
                <w:sz w:val="16"/>
              </w:rPr>
              <w:t xml:space="preserve"> (20)</w:t>
            </w:r>
          </w:p>
        </w:tc>
      </w:tr>
      <w:tr w:rsidR="00664D68" w:rsidRPr="006F6ABB" w14:paraId="2D99F4DC" w14:textId="77777777">
        <w:trPr>
          <w:trHeight w:val="230"/>
        </w:trPr>
        <w:tc>
          <w:tcPr>
            <w:tcW w:w="2608" w:type="dxa"/>
          </w:tcPr>
          <w:p w14:paraId="620D47C4" w14:textId="77777777" w:rsidR="00664D68" w:rsidRDefault="00664D68" w:rsidP="00C91A7C">
            <w:pPr>
              <w:jc w:val="both"/>
              <w:rPr>
                <w:rFonts w:ascii="Arial" w:hAnsi="Arial" w:cs="Arial"/>
                <w:b/>
                <w:i/>
                <w:sz w:val="16"/>
              </w:rPr>
            </w:pPr>
            <w:r w:rsidRPr="006F6ABB">
              <w:rPr>
                <w:rFonts w:ascii="Arial" w:hAnsi="Arial" w:cs="Arial"/>
                <w:b/>
                <w:i/>
                <w:sz w:val="16"/>
              </w:rPr>
              <w:t>Variable  evaluada en el estudio</w:t>
            </w:r>
          </w:p>
          <w:p w14:paraId="328723AA" w14:textId="77777777" w:rsidR="00664D68" w:rsidRPr="00067BBA" w:rsidRDefault="00664D68" w:rsidP="00C91A7C">
            <w:pPr>
              <w:jc w:val="both"/>
              <w:rPr>
                <w:rFonts w:ascii="Arial" w:hAnsi="Arial" w:cs="Arial"/>
                <w:b/>
                <w:i/>
                <w:color w:val="FF0000"/>
                <w:sz w:val="16"/>
              </w:rPr>
            </w:pPr>
            <w:r w:rsidRPr="00067BBA">
              <w:rPr>
                <w:rFonts w:ascii="Arial" w:hAnsi="Arial" w:cs="Arial"/>
                <w:b/>
                <w:i/>
                <w:color w:val="FF0000"/>
                <w:sz w:val="16"/>
              </w:rPr>
              <w:t>Por el investigador</w:t>
            </w:r>
          </w:p>
        </w:tc>
        <w:tc>
          <w:tcPr>
            <w:tcW w:w="1240" w:type="dxa"/>
          </w:tcPr>
          <w:p w14:paraId="056FF519" w14:textId="77777777" w:rsidR="00664D68" w:rsidRPr="006F6ABB" w:rsidRDefault="00664D68" w:rsidP="00C91A7C">
            <w:pPr>
              <w:tabs>
                <w:tab w:val="left" w:pos="1673"/>
              </w:tabs>
              <w:rPr>
                <w:rFonts w:ascii="Arial" w:hAnsi="Arial" w:cs="Arial"/>
                <w:b/>
                <w:i/>
                <w:sz w:val="16"/>
                <w:lang w:val="pt-BR"/>
              </w:rPr>
            </w:pPr>
            <w:r>
              <w:rPr>
                <w:rFonts w:ascii="Arial" w:hAnsi="Arial" w:cs="Arial"/>
                <w:b/>
                <w:i/>
                <w:sz w:val="16"/>
                <w:lang w:val="pt-BR"/>
              </w:rPr>
              <w:t>Niraparib + AAP</w:t>
            </w:r>
          </w:p>
          <w:p w14:paraId="331A665F" w14:textId="77777777" w:rsidR="00664D68" w:rsidRPr="006F6ABB" w:rsidRDefault="00664D68" w:rsidP="00C91A7C">
            <w:pPr>
              <w:tabs>
                <w:tab w:val="left" w:pos="1673"/>
              </w:tabs>
              <w:rPr>
                <w:rFonts w:ascii="Arial" w:hAnsi="Arial" w:cs="Arial"/>
                <w:b/>
                <w:i/>
                <w:sz w:val="16"/>
                <w:lang w:val="pt-BR"/>
              </w:rPr>
            </w:pPr>
          </w:p>
        </w:tc>
        <w:tc>
          <w:tcPr>
            <w:tcW w:w="1224" w:type="dxa"/>
          </w:tcPr>
          <w:p w14:paraId="16D61D63" w14:textId="77777777" w:rsidR="00664D68" w:rsidRPr="006F6ABB" w:rsidRDefault="00664D68" w:rsidP="00C91A7C">
            <w:pPr>
              <w:tabs>
                <w:tab w:val="left" w:pos="1673"/>
              </w:tabs>
              <w:rPr>
                <w:rFonts w:ascii="Arial" w:hAnsi="Arial" w:cs="Arial"/>
                <w:b/>
                <w:i/>
                <w:sz w:val="16"/>
                <w:lang w:val="pt-BR"/>
              </w:rPr>
            </w:pPr>
            <w:r>
              <w:rPr>
                <w:rFonts w:ascii="Arial" w:hAnsi="Arial" w:cs="Arial"/>
                <w:b/>
                <w:i/>
                <w:sz w:val="16"/>
                <w:lang w:val="pt-BR"/>
              </w:rPr>
              <w:t>Placebo + AAP</w:t>
            </w:r>
          </w:p>
          <w:p w14:paraId="2F320E65" w14:textId="77777777" w:rsidR="00664D68" w:rsidRPr="006F6ABB" w:rsidRDefault="00664D68" w:rsidP="00C91A7C">
            <w:pPr>
              <w:tabs>
                <w:tab w:val="left" w:pos="1673"/>
              </w:tabs>
              <w:rPr>
                <w:rFonts w:ascii="Arial" w:hAnsi="Arial" w:cs="Arial"/>
                <w:b/>
                <w:i/>
                <w:sz w:val="16"/>
                <w:lang w:val="pt-BR"/>
              </w:rPr>
            </w:pPr>
          </w:p>
        </w:tc>
        <w:tc>
          <w:tcPr>
            <w:tcW w:w="1704" w:type="dxa"/>
            <w:vAlign w:val="center"/>
          </w:tcPr>
          <w:p w14:paraId="2E5F11B5" w14:textId="77777777" w:rsidR="00664D68" w:rsidRPr="006F6ABB" w:rsidRDefault="00664D68" w:rsidP="00C91A7C">
            <w:pPr>
              <w:tabs>
                <w:tab w:val="left" w:pos="1673"/>
              </w:tabs>
              <w:jc w:val="center"/>
              <w:rPr>
                <w:rFonts w:ascii="Arial" w:hAnsi="Arial" w:cs="Arial"/>
                <w:b/>
                <w:i/>
                <w:sz w:val="16"/>
                <w:lang w:val="pt-BR"/>
              </w:rPr>
            </w:pPr>
            <w:r>
              <w:rPr>
                <w:rFonts w:ascii="Arial" w:hAnsi="Arial" w:cs="Arial"/>
                <w:b/>
                <w:i/>
                <w:sz w:val="16"/>
                <w:lang w:val="pt-BR"/>
              </w:rPr>
              <w:t>HR (IC95%)</w:t>
            </w:r>
          </w:p>
        </w:tc>
        <w:tc>
          <w:tcPr>
            <w:tcW w:w="2114" w:type="dxa"/>
            <w:vAlign w:val="center"/>
          </w:tcPr>
          <w:p w14:paraId="10371E81" w14:textId="77777777" w:rsidR="00664D68" w:rsidRPr="006F6ABB" w:rsidRDefault="00664D68" w:rsidP="00664D68">
            <w:pPr>
              <w:jc w:val="center"/>
              <w:rPr>
                <w:rFonts w:ascii="Arial" w:hAnsi="Arial" w:cs="Arial"/>
                <w:b/>
                <w:i/>
                <w:sz w:val="16"/>
                <w:lang w:val="pt-BR"/>
              </w:rPr>
            </w:pPr>
            <w:r>
              <w:rPr>
                <w:rFonts w:ascii="Arial" w:hAnsi="Arial" w:cs="Arial"/>
                <w:b/>
                <w:i/>
                <w:sz w:val="16"/>
                <w:lang w:val="pt-BR"/>
              </w:rPr>
              <w:t>p</w:t>
            </w:r>
          </w:p>
        </w:tc>
      </w:tr>
      <w:tr w:rsidR="00664D68" w:rsidRPr="006F6ABB" w14:paraId="2F63B07E" w14:textId="77777777">
        <w:trPr>
          <w:trHeight w:val="217"/>
        </w:trPr>
        <w:tc>
          <w:tcPr>
            <w:tcW w:w="2608" w:type="dxa"/>
            <w:vMerge w:val="restart"/>
          </w:tcPr>
          <w:p w14:paraId="06536608" w14:textId="77777777" w:rsidR="00664D68" w:rsidRDefault="00664D68" w:rsidP="00C91A7C">
            <w:pPr>
              <w:snapToGrid w:val="0"/>
              <w:jc w:val="both"/>
              <w:rPr>
                <w:rFonts w:ascii="Arial" w:hAnsi="Arial" w:cs="Arial"/>
                <w:b/>
                <w:i/>
                <w:sz w:val="16"/>
              </w:rPr>
            </w:pPr>
          </w:p>
          <w:p w14:paraId="487DE6AC" w14:textId="77777777" w:rsidR="00664D68" w:rsidRDefault="00664D68" w:rsidP="00C91A7C">
            <w:pPr>
              <w:snapToGrid w:val="0"/>
              <w:jc w:val="both"/>
              <w:rPr>
                <w:rFonts w:ascii="Arial" w:hAnsi="Arial" w:cs="Arial"/>
                <w:b/>
                <w:i/>
                <w:sz w:val="16"/>
              </w:rPr>
            </w:pPr>
          </w:p>
          <w:p w14:paraId="21071CF1" w14:textId="77777777" w:rsidR="00664D68" w:rsidRPr="000D658A" w:rsidRDefault="00664D68" w:rsidP="00C91A7C">
            <w:pPr>
              <w:snapToGrid w:val="0"/>
              <w:jc w:val="both"/>
              <w:rPr>
                <w:rFonts w:ascii="Arial" w:hAnsi="Arial" w:cs="Arial"/>
                <w:b/>
                <w:i/>
                <w:sz w:val="16"/>
              </w:rPr>
            </w:pPr>
            <w:r w:rsidRPr="000D658A">
              <w:rPr>
                <w:rFonts w:ascii="Arial" w:hAnsi="Arial" w:cs="Arial"/>
                <w:b/>
                <w:i/>
                <w:sz w:val="16"/>
              </w:rPr>
              <w:t>Variable primaria (</w:t>
            </w:r>
            <w:r w:rsidRPr="000D658A">
              <w:rPr>
                <w:rFonts w:ascii="Arial" w:hAnsi="Arial" w:cs="Arial"/>
                <w:b/>
                <w:i/>
                <w:sz w:val="16"/>
                <w:u w:val="single"/>
              </w:rPr>
              <w:t>todos HRR+)</w:t>
            </w:r>
          </w:p>
          <w:p w14:paraId="28EE15D4" w14:textId="77777777" w:rsidR="00664D68" w:rsidRDefault="00664D68" w:rsidP="00C91A7C">
            <w:pPr>
              <w:snapToGrid w:val="0"/>
              <w:jc w:val="both"/>
              <w:rPr>
                <w:rFonts w:ascii="Arial" w:hAnsi="Arial" w:cs="Arial"/>
                <w:i/>
                <w:sz w:val="16"/>
              </w:rPr>
            </w:pPr>
            <w:r w:rsidRPr="006F6ABB">
              <w:rPr>
                <w:rFonts w:ascii="Arial" w:hAnsi="Arial" w:cs="Arial"/>
                <w:i/>
                <w:sz w:val="16"/>
              </w:rPr>
              <w:t xml:space="preserve">           -</w:t>
            </w:r>
            <w:r>
              <w:rPr>
                <w:rFonts w:ascii="Arial" w:hAnsi="Arial" w:cs="Arial"/>
                <w:i/>
                <w:sz w:val="16"/>
              </w:rPr>
              <w:t>Supervivencia libre de progresión radiológica (meses)</w:t>
            </w:r>
          </w:p>
          <w:p w14:paraId="50C83C68" w14:textId="77777777" w:rsidR="00664D68" w:rsidRDefault="00664D68" w:rsidP="00C91A7C">
            <w:pPr>
              <w:snapToGrid w:val="0"/>
              <w:jc w:val="both"/>
              <w:rPr>
                <w:rFonts w:ascii="Arial" w:hAnsi="Arial" w:cs="Arial"/>
                <w:i/>
                <w:sz w:val="16"/>
              </w:rPr>
            </w:pPr>
          </w:p>
          <w:p w14:paraId="2CC24C2E" w14:textId="77777777" w:rsidR="00664D68" w:rsidRPr="006F6ABB" w:rsidRDefault="00664D68" w:rsidP="00C91A7C">
            <w:pPr>
              <w:snapToGrid w:val="0"/>
              <w:jc w:val="both"/>
              <w:rPr>
                <w:rFonts w:ascii="Arial" w:hAnsi="Arial" w:cs="Arial"/>
                <w:i/>
                <w:sz w:val="16"/>
              </w:rPr>
            </w:pPr>
          </w:p>
        </w:tc>
        <w:tc>
          <w:tcPr>
            <w:tcW w:w="1240" w:type="dxa"/>
            <w:shd w:val="clear" w:color="auto" w:fill="D9D9D9"/>
          </w:tcPr>
          <w:p w14:paraId="34F157DB" w14:textId="02871CAD" w:rsidR="00664D68" w:rsidRPr="0027467A" w:rsidRDefault="00834E82" w:rsidP="0027467A">
            <w:pPr>
              <w:snapToGrid w:val="0"/>
              <w:jc w:val="center"/>
              <w:rPr>
                <w:rFonts w:ascii="Arial" w:hAnsi="Arial" w:cs="Arial"/>
                <w:i/>
                <w:sz w:val="16"/>
              </w:rPr>
            </w:pPr>
            <w:r>
              <w:rPr>
                <w:rFonts w:ascii="Arial" w:hAnsi="Arial" w:cs="Arial"/>
                <w:i/>
                <w:sz w:val="16"/>
                <w:lang w:val="pt-BR"/>
              </w:rPr>
              <w:t>N=212</w:t>
            </w:r>
          </w:p>
        </w:tc>
        <w:tc>
          <w:tcPr>
            <w:tcW w:w="1224" w:type="dxa"/>
            <w:shd w:val="clear" w:color="auto" w:fill="D9D9D9"/>
          </w:tcPr>
          <w:p w14:paraId="29C4298D" w14:textId="066DBD5C" w:rsidR="00664D68" w:rsidRPr="0027467A" w:rsidRDefault="00834E82" w:rsidP="0027467A">
            <w:pPr>
              <w:jc w:val="center"/>
              <w:rPr>
                <w:rFonts w:ascii="Arial" w:hAnsi="Arial" w:cs="Arial"/>
                <w:i/>
                <w:sz w:val="16"/>
              </w:rPr>
            </w:pPr>
            <w:r>
              <w:rPr>
                <w:rFonts w:ascii="Arial" w:hAnsi="Arial" w:cs="Arial"/>
                <w:i/>
                <w:sz w:val="16"/>
                <w:lang w:val="pt-BR"/>
              </w:rPr>
              <w:t>N=211</w:t>
            </w:r>
          </w:p>
        </w:tc>
        <w:tc>
          <w:tcPr>
            <w:tcW w:w="1704" w:type="dxa"/>
            <w:vMerge w:val="restart"/>
          </w:tcPr>
          <w:p w14:paraId="657ADA84" w14:textId="77777777" w:rsidR="00664D68" w:rsidRDefault="00664D68" w:rsidP="00C91A7C">
            <w:pPr>
              <w:jc w:val="center"/>
              <w:rPr>
                <w:rFonts w:ascii="Arial" w:hAnsi="Arial" w:cs="Arial"/>
                <w:i/>
                <w:sz w:val="16"/>
              </w:rPr>
            </w:pPr>
          </w:p>
          <w:p w14:paraId="351DE10E" w14:textId="77777777" w:rsidR="00664D68" w:rsidRDefault="00664D68" w:rsidP="00C91A7C">
            <w:pPr>
              <w:jc w:val="center"/>
              <w:rPr>
                <w:rFonts w:ascii="Arial" w:hAnsi="Arial" w:cs="Arial"/>
                <w:i/>
                <w:sz w:val="16"/>
              </w:rPr>
            </w:pPr>
          </w:p>
          <w:p w14:paraId="564FAD87" w14:textId="77777777" w:rsidR="00664D68" w:rsidRDefault="00664D68" w:rsidP="00C91A7C">
            <w:pPr>
              <w:jc w:val="center"/>
              <w:rPr>
                <w:rFonts w:ascii="Arial" w:hAnsi="Arial" w:cs="Arial"/>
                <w:i/>
                <w:sz w:val="16"/>
              </w:rPr>
            </w:pPr>
            <w:r>
              <w:rPr>
                <w:rFonts w:ascii="Arial" w:hAnsi="Arial" w:cs="Arial"/>
                <w:i/>
                <w:sz w:val="16"/>
              </w:rPr>
              <w:t>0,64 (0,49-0,86)</w:t>
            </w:r>
          </w:p>
          <w:p w14:paraId="49C0ECE8" w14:textId="77777777" w:rsidR="00664D68" w:rsidRDefault="00664D68" w:rsidP="00C91A7C">
            <w:pPr>
              <w:jc w:val="center"/>
              <w:rPr>
                <w:rFonts w:ascii="Arial" w:hAnsi="Arial" w:cs="Arial"/>
                <w:i/>
                <w:sz w:val="16"/>
              </w:rPr>
            </w:pPr>
          </w:p>
          <w:p w14:paraId="094D6A75" w14:textId="77777777" w:rsidR="00664D68" w:rsidRDefault="00664D68" w:rsidP="00C91A7C">
            <w:pPr>
              <w:jc w:val="center"/>
              <w:rPr>
                <w:rFonts w:ascii="Arial" w:hAnsi="Arial" w:cs="Arial"/>
                <w:i/>
                <w:sz w:val="16"/>
              </w:rPr>
            </w:pPr>
          </w:p>
          <w:p w14:paraId="79F9CCBD" w14:textId="77777777" w:rsidR="00664D68" w:rsidRDefault="00664D68" w:rsidP="00C91A7C">
            <w:pPr>
              <w:jc w:val="center"/>
              <w:rPr>
                <w:rFonts w:ascii="Arial" w:hAnsi="Arial" w:cs="Arial"/>
                <w:i/>
                <w:sz w:val="16"/>
              </w:rPr>
            </w:pPr>
          </w:p>
          <w:p w14:paraId="7F305E60" w14:textId="77777777" w:rsidR="00664D68" w:rsidRDefault="00664D68" w:rsidP="00C91A7C">
            <w:pPr>
              <w:jc w:val="center"/>
              <w:rPr>
                <w:rFonts w:ascii="Arial" w:hAnsi="Arial" w:cs="Arial"/>
                <w:i/>
                <w:sz w:val="16"/>
              </w:rPr>
            </w:pPr>
          </w:p>
          <w:p w14:paraId="7DA1827B" w14:textId="77777777" w:rsidR="00664D68" w:rsidRDefault="00664D68" w:rsidP="00C91A7C">
            <w:pPr>
              <w:jc w:val="center"/>
              <w:rPr>
                <w:rFonts w:ascii="Arial" w:hAnsi="Arial" w:cs="Arial"/>
                <w:i/>
                <w:sz w:val="16"/>
              </w:rPr>
            </w:pPr>
          </w:p>
          <w:p w14:paraId="3817A165" w14:textId="77777777" w:rsidR="00664D68" w:rsidRDefault="00664D68" w:rsidP="00C91A7C">
            <w:pPr>
              <w:jc w:val="center"/>
              <w:rPr>
                <w:rFonts w:ascii="Arial" w:hAnsi="Arial" w:cs="Arial"/>
                <w:i/>
                <w:sz w:val="16"/>
              </w:rPr>
            </w:pPr>
          </w:p>
          <w:p w14:paraId="7D976B24" w14:textId="013F1BFD" w:rsidR="00664D68" w:rsidRPr="000D658A" w:rsidRDefault="00664D68" w:rsidP="00834E82">
            <w:pPr>
              <w:jc w:val="center"/>
              <w:rPr>
                <w:rFonts w:ascii="Arial" w:hAnsi="Arial" w:cs="Arial"/>
                <w:i/>
                <w:sz w:val="16"/>
              </w:rPr>
            </w:pPr>
            <w:r w:rsidRPr="000D658A">
              <w:rPr>
                <w:rFonts w:ascii="Arial" w:hAnsi="Arial" w:cs="Arial"/>
                <w:i/>
                <w:sz w:val="16"/>
              </w:rPr>
              <w:t>0</w:t>
            </w:r>
            <w:r w:rsidR="00834E82">
              <w:rPr>
                <w:rFonts w:ascii="Arial" w:hAnsi="Arial" w:cs="Arial"/>
                <w:i/>
                <w:sz w:val="16"/>
              </w:rPr>
              <w:t>,</w:t>
            </w:r>
            <w:r w:rsidRPr="000D658A">
              <w:rPr>
                <w:rFonts w:ascii="Arial" w:hAnsi="Arial" w:cs="Arial"/>
                <w:i/>
                <w:sz w:val="16"/>
              </w:rPr>
              <w:t>5</w:t>
            </w:r>
            <w:r>
              <w:rPr>
                <w:rFonts w:ascii="Arial" w:hAnsi="Arial" w:cs="Arial"/>
                <w:i/>
                <w:sz w:val="16"/>
              </w:rPr>
              <w:t>0</w:t>
            </w:r>
            <w:r w:rsidRPr="000D658A">
              <w:rPr>
                <w:rFonts w:ascii="Arial" w:hAnsi="Arial" w:cs="Arial"/>
                <w:i/>
                <w:sz w:val="16"/>
              </w:rPr>
              <w:t xml:space="preserve"> </w:t>
            </w:r>
            <w:r>
              <w:rPr>
                <w:rFonts w:ascii="Arial" w:hAnsi="Arial" w:cs="Arial"/>
                <w:i/>
                <w:sz w:val="16"/>
              </w:rPr>
              <w:t>(</w:t>
            </w:r>
            <w:r w:rsidR="00834E82">
              <w:rPr>
                <w:rFonts w:ascii="Arial" w:hAnsi="Arial" w:cs="Arial"/>
                <w:i/>
                <w:sz w:val="16"/>
              </w:rPr>
              <w:t>0,33-0,75</w:t>
            </w:r>
            <w:r w:rsidRPr="000D658A">
              <w:rPr>
                <w:rFonts w:ascii="Arial" w:hAnsi="Arial" w:cs="Arial"/>
                <w:i/>
                <w:sz w:val="16"/>
              </w:rPr>
              <w:t>)</w:t>
            </w:r>
          </w:p>
        </w:tc>
        <w:tc>
          <w:tcPr>
            <w:tcW w:w="2114" w:type="dxa"/>
            <w:vMerge w:val="restart"/>
          </w:tcPr>
          <w:p w14:paraId="34F640E9" w14:textId="77777777" w:rsidR="00664D68" w:rsidRDefault="00664D68" w:rsidP="00C91A7C">
            <w:pPr>
              <w:jc w:val="center"/>
              <w:rPr>
                <w:rFonts w:ascii="Arial" w:hAnsi="Arial" w:cs="Arial"/>
                <w:i/>
                <w:sz w:val="16"/>
              </w:rPr>
            </w:pPr>
          </w:p>
          <w:p w14:paraId="6624F5CC" w14:textId="77777777" w:rsidR="00664D68" w:rsidRDefault="00664D68" w:rsidP="00C91A7C">
            <w:pPr>
              <w:jc w:val="center"/>
              <w:rPr>
                <w:rFonts w:ascii="Arial" w:hAnsi="Arial" w:cs="Arial"/>
                <w:i/>
                <w:sz w:val="16"/>
              </w:rPr>
            </w:pPr>
          </w:p>
          <w:p w14:paraId="32F67411" w14:textId="77777777" w:rsidR="00664D68" w:rsidRDefault="00664D68" w:rsidP="00C91A7C">
            <w:pPr>
              <w:jc w:val="center"/>
              <w:rPr>
                <w:rFonts w:ascii="Arial" w:hAnsi="Arial" w:cs="Arial"/>
                <w:i/>
                <w:sz w:val="16"/>
              </w:rPr>
            </w:pPr>
            <w:r>
              <w:rPr>
                <w:rFonts w:ascii="Arial" w:hAnsi="Arial" w:cs="Arial"/>
                <w:i/>
                <w:sz w:val="16"/>
              </w:rPr>
              <w:t>0,002</w:t>
            </w:r>
          </w:p>
          <w:p w14:paraId="33CF8BAA" w14:textId="77777777" w:rsidR="00664D68" w:rsidRDefault="00664D68" w:rsidP="00C91A7C">
            <w:pPr>
              <w:rPr>
                <w:rFonts w:ascii="Arial" w:hAnsi="Arial" w:cs="Arial"/>
                <w:i/>
                <w:sz w:val="16"/>
              </w:rPr>
            </w:pPr>
          </w:p>
          <w:p w14:paraId="3C2DCA48" w14:textId="77777777" w:rsidR="00664D68" w:rsidRDefault="00664D68" w:rsidP="00C91A7C">
            <w:pPr>
              <w:jc w:val="center"/>
              <w:rPr>
                <w:rFonts w:ascii="Arial" w:hAnsi="Arial" w:cs="Arial"/>
                <w:i/>
                <w:sz w:val="16"/>
              </w:rPr>
            </w:pPr>
          </w:p>
          <w:p w14:paraId="43B5F79C" w14:textId="77777777" w:rsidR="00664D68" w:rsidRDefault="00664D68" w:rsidP="00C91A7C">
            <w:pPr>
              <w:jc w:val="center"/>
              <w:rPr>
                <w:rFonts w:ascii="Arial" w:hAnsi="Arial" w:cs="Arial"/>
                <w:i/>
                <w:sz w:val="16"/>
              </w:rPr>
            </w:pPr>
          </w:p>
          <w:p w14:paraId="36E8F224" w14:textId="77777777" w:rsidR="00664D68" w:rsidRDefault="00664D68" w:rsidP="00C91A7C">
            <w:pPr>
              <w:jc w:val="center"/>
              <w:rPr>
                <w:rFonts w:ascii="Arial" w:hAnsi="Arial" w:cs="Arial"/>
                <w:i/>
                <w:sz w:val="16"/>
              </w:rPr>
            </w:pPr>
          </w:p>
          <w:p w14:paraId="219E1A15" w14:textId="77777777" w:rsidR="00664D68" w:rsidRDefault="00664D68" w:rsidP="00C91A7C">
            <w:pPr>
              <w:jc w:val="center"/>
              <w:rPr>
                <w:rFonts w:ascii="Arial" w:hAnsi="Arial" w:cs="Arial"/>
                <w:i/>
                <w:sz w:val="16"/>
              </w:rPr>
            </w:pPr>
          </w:p>
          <w:p w14:paraId="495B6AA6" w14:textId="77777777" w:rsidR="00664D68" w:rsidRDefault="00664D68" w:rsidP="00C91A7C">
            <w:pPr>
              <w:jc w:val="center"/>
              <w:rPr>
                <w:rFonts w:ascii="Arial" w:hAnsi="Arial" w:cs="Arial"/>
                <w:i/>
                <w:sz w:val="16"/>
              </w:rPr>
            </w:pPr>
          </w:p>
          <w:p w14:paraId="53174609" w14:textId="77777777" w:rsidR="00664D68" w:rsidRDefault="00664D68" w:rsidP="00C91A7C">
            <w:pPr>
              <w:jc w:val="center"/>
              <w:rPr>
                <w:rFonts w:ascii="Arial" w:hAnsi="Arial" w:cs="Arial"/>
                <w:i/>
                <w:sz w:val="16"/>
              </w:rPr>
            </w:pPr>
            <w:r>
              <w:rPr>
                <w:rFonts w:ascii="Arial" w:hAnsi="Arial" w:cs="Arial"/>
                <w:i/>
                <w:sz w:val="16"/>
              </w:rPr>
              <w:t>&lt;0,001</w:t>
            </w:r>
          </w:p>
          <w:p w14:paraId="3EE6980B" w14:textId="77777777" w:rsidR="00664D68" w:rsidRPr="006F6ABB" w:rsidRDefault="00664D68" w:rsidP="00C91A7C">
            <w:pPr>
              <w:jc w:val="center"/>
              <w:rPr>
                <w:rFonts w:ascii="Arial" w:hAnsi="Arial" w:cs="Arial"/>
                <w:i/>
                <w:sz w:val="16"/>
                <w:lang w:val="es-ES_tradnl"/>
              </w:rPr>
            </w:pPr>
          </w:p>
        </w:tc>
      </w:tr>
      <w:tr w:rsidR="00664D68" w:rsidRPr="006F6ABB" w14:paraId="14E39915" w14:textId="77777777">
        <w:trPr>
          <w:trHeight w:val="1060"/>
        </w:trPr>
        <w:tc>
          <w:tcPr>
            <w:tcW w:w="2608" w:type="dxa"/>
            <w:vMerge/>
          </w:tcPr>
          <w:p w14:paraId="1E76AB17" w14:textId="77777777" w:rsidR="00664D68" w:rsidRDefault="00664D68" w:rsidP="00C91A7C">
            <w:pPr>
              <w:snapToGrid w:val="0"/>
              <w:jc w:val="both"/>
              <w:rPr>
                <w:rFonts w:ascii="Arial" w:hAnsi="Arial" w:cs="Arial"/>
                <w:b/>
                <w:i/>
                <w:sz w:val="16"/>
              </w:rPr>
            </w:pPr>
          </w:p>
        </w:tc>
        <w:tc>
          <w:tcPr>
            <w:tcW w:w="1240" w:type="dxa"/>
          </w:tcPr>
          <w:p w14:paraId="498E589D" w14:textId="77777777" w:rsidR="00664D68" w:rsidRDefault="00664D68" w:rsidP="0027467A">
            <w:pPr>
              <w:snapToGrid w:val="0"/>
              <w:jc w:val="center"/>
              <w:rPr>
                <w:rFonts w:ascii="Arial" w:hAnsi="Arial" w:cs="Arial"/>
                <w:i/>
                <w:sz w:val="16"/>
              </w:rPr>
            </w:pPr>
          </w:p>
          <w:p w14:paraId="74EA4EE8" w14:textId="77777777" w:rsidR="00664D68" w:rsidRDefault="00664D68" w:rsidP="0027467A">
            <w:pPr>
              <w:snapToGrid w:val="0"/>
              <w:jc w:val="center"/>
              <w:rPr>
                <w:rFonts w:ascii="Arial" w:hAnsi="Arial" w:cs="Arial"/>
                <w:i/>
                <w:sz w:val="16"/>
              </w:rPr>
            </w:pPr>
            <w:r>
              <w:rPr>
                <w:rFonts w:ascii="Arial" w:hAnsi="Arial" w:cs="Arial"/>
                <w:i/>
                <w:sz w:val="16"/>
              </w:rPr>
              <w:t>19,0</w:t>
            </w:r>
          </w:p>
          <w:p w14:paraId="5BE20C3F" w14:textId="77777777" w:rsidR="00664D68" w:rsidRDefault="00664D68" w:rsidP="0027467A">
            <w:pPr>
              <w:snapToGrid w:val="0"/>
              <w:jc w:val="center"/>
              <w:rPr>
                <w:rFonts w:ascii="Arial" w:hAnsi="Arial" w:cs="Arial"/>
                <w:i/>
                <w:sz w:val="16"/>
              </w:rPr>
            </w:pPr>
          </w:p>
          <w:p w14:paraId="09FCB15F" w14:textId="77777777" w:rsidR="00664D68" w:rsidRDefault="00664D68" w:rsidP="0027467A">
            <w:pPr>
              <w:snapToGrid w:val="0"/>
              <w:jc w:val="center"/>
              <w:rPr>
                <w:rFonts w:ascii="Arial" w:hAnsi="Arial" w:cs="Arial"/>
                <w:i/>
                <w:sz w:val="16"/>
              </w:rPr>
            </w:pPr>
          </w:p>
          <w:p w14:paraId="3E2D2CE1" w14:textId="77777777" w:rsidR="00664D68" w:rsidRDefault="00664D68" w:rsidP="00C91A7C">
            <w:pPr>
              <w:snapToGrid w:val="0"/>
              <w:jc w:val="center"/>
              <w:rPr>
                <w:rFonts w:ascii="Arial" w:hAnsi="Arial" w:cs="Arial"/>
                <w:i/>
                <w:sz w:val="16"/>
              </w:rPr>
            </w:pPr>
          </w:p>
        </w:tc>
        <w:tc>
          <w:tcPr>
            <w:tcW w:w="1224" w:type="dxa"/>
          </w:tcPr>
          <w:p w14:paraId="661F8363" w14:textId="77777777" w:rsidR="00664D68" w:rsidRDefault="00664D68" w:rsidP="0027467A">
            <w:pPr>
              <w:jc w:val="center"/>
              <w:rPr>
                <w:rFonts w:ascii="Arial" w:hAnsi="Arial" w:cs="Arial"/>
                <w:i/>
                <w:sz w:val="16"/>
              </w:rPr>
            </w:pPr>
          </w:p>
          <w:p w14:paraId="62004A06" w14:textId="77777777" w:rsidR="00664D68" w:rsidRDefault="00664D68" w:rsidP="0027467A">
            <w:pPr>
              <w:jc w:val="center"/>
              <w:rPr>
                <w:rFonts w:ascii="Arial" w:hAnsi="Arial" w:cs="Arial"/>
                <w:i/>
                <w:sz w:val="16"/>
              </w:rPr>
            </w:pPr>
            <w:r>
              <w:rPr>
                <w:rFonts w:ascii="Arial" w:hAnsi="Arial" w:cs="Arial"/>
                <w:i/>
                <w:sz w:val="16"/>
              </w:rPr>
              <w:t>13,9</w:t>
            </w:r>
          </w:p>
          <w:p w14:paraId="4024B8F2" w14:textId="77777777" w:rsidR="00664D68" w:rsidRDefault="00664D68" w:rsidP="0027467A">
            <w:pPr>
              <w:jc w:val="center"/>
              <w:rPr>
                <w:rFonts w:ascii="Arial" w:hAnsi="Arial" w:cs="Arial"/>
                <w:i/>
                <w:sz w:val="16"/>
              </w:rPr>
            </w:pPr>
          </w:p>
          <w:p w14:paraId="5BD803EA" w14:textId="77777777" w:rsidR="00664D68" w:rsidRDefault="00664D68" w:rsidP="0027467A">
            <w:pPr>
              <w:jc w:val="center"/>
              <w:rPr>
                <w:rFonts w:ascii="Arial" w:hAnsi="Arial" w:cs="Arial"/>
                <w:i/>
                <w:sz w:val="16"/>
              </w:rPr>
            </w:pPr>
          </w:p>
          <w:p w14:paraId="091B0659" w14:textId="77777777" w:rsidR="00664D68" w:rsidRDefault="00664D68" w:rsidP="00C91A7C">
            <w:pPr>
              <w:jc w:val="center"/>
              <w:rPr>
                <w:rFonts w:ascii="Arial" w:hAnsi="Arial" w:cs="Arial"/>
                <w:i/>
                <w:sz w:val="16"/>
              </w:rPr>
            </w:pPr>
          </w:p>
        </w:tc>
        <w:tc>
          <w:tcPr>
            <w:tcW w:w="1704" w:type="dxa"/>
            <w:vMerge/>
          </w:tcPr>
          <w:p w14:paraId="6CCF2BBE" w14:textId="77777777" w:rsidR="00664D68" w:rsidRDefault="00664D68" w:rsidP="00C91A7C">
            <w:pPr>
              <w:jc w:val="center"/>
              <w:rPr>
                <w:rFonts w:ascii="Arial" w:hAnsi="Arial" w:cs="Arial"/>
                <w:i/>
                <w:sz w:val="16"/>
              </w:rPr>
            </w:pPr>
          </w:p>
        </w:tc>
        <w:tc>
          <w:tcPr>
            <w:tcW w:w="2114" w:type="dxa"/>
            <w:vMerge/>
          </w:tcPr>
          <w:p w14:paraId="62CE06B1" w14:textId="77777777" w:rsidR="00664D68" w:rsidRPr="006F6ABB" w:rsidRDefault="00664D68" w:rsidP="00C91A7C">
            <w:pPr>
              <w:jc w:val="center"/>
              <w:rPr>
                <w:rFonts w:ascii="Arial" w:hAnsi="Arial" w:cs="Arial"/>
                <w:i/>
                <w:sz w:val="16"/>
                <w:lang w:val="es-ES_tradnl"/>
              </w:rPr>
            </w:pPr>
          </w:p>
        </w:tc>
      </w:tr>
      <w:tr w:rsidR="00664D68" w:rsidRPr="006F6ABB" w14:paraId="04FADA75" w14:textId="77777777">
        <w:trPr>
          <w:trHeight w:val="136"/>
        </w:trPr>
        <w:tc>
          <w:tcPr>
            <w:tcW w:w="2608" w:type="dxa"/>
            <w:vMerge w:val="restart"/>
          </w:tcPr>
          <w:p w14:paraId="7A7479DD" w14:textId="77777777" w:rsidR="00664D68" w:rsidRDefault="00664D68" w:rsidP="0027467A">
            <w:pPr>
              <w:snapToGrid w:val="0"/>
              <w:jc w:val="both"/>
              <w:rPr>
                <w:rFonts w:ascii="Arial" w:hAnsi="Arial" w:cs="Arial"/>
                <w:i/>
                <w:sz w:val="16"/>
              </w:rPr>
            </w:pPr>
          </w:p>
          <w:p w14:paraId="61741F2D" w14:textId="77777777" w:rsidR="00664D68" w:rsidRPr="000D658A" w:rsidRDefault="00664D68" w:rsidP="0027467A">
            <w:pPr>
              <w:snapToGrid w:val="0"/>
              <w:jc w:val="both"/>
              <w:rPr>
                <w:rFonts w:ascii="Arial" w:hAnsi="Arial" w:cs="Arial"/>
                <w:b/>
                <w:i/>
                <w:sz w:val="16"/>
              </w:rPr>
            </w:pPr>
            <w:r w:rsidRPr="000D658A">
              <w:rPr>
                <w:rFonts w:ascii="Arial" w:hAnsi="Arial" w:cs="Arial"/>
                <w:b/>
                <w:i/>
                <w:sz w:val="16"/>
              </w:rPr>
              <w:t>Variable primaria (</w:t>
            </w:r>
            <w:r w:rsidRPr="000D658A">
              <w:rPr>
                <w:rFonts w:ascii="Arial" w:hAnsi="Arial" w:cs="Arial"/>
                <w:b/>
                <w:i/>
                <w:sz w:val="16"/>
                <w:u w:val="single"/>
              </w:rPr>
              <w:t>Subgrupo BRCA1/2</w:t>
            </w:r>
            <w:r w:rsidRPr="000D658A">
              <w:rPr>
                <w:rFonts w:ascii="Arial" w:hAnsi="Arial" w:cs="Arial"/>
                <w:b/>
                <w:i/>
                <w:sz w:val="16"/>
              </w:rPr>
              <w:t>)</w:t>
            </w:r>
          </w:p>
          <w:p w14:paraId="3EDCDFFC" w14:textId="77777777" w:rsidR="00664D68" w:rsidRPr="000D658A" w:rsidRDefault="00664D68" w:rsidP="0027467A">
            <w:pPr>
              <w:snapToGrid w:val="0"/>
              <w:jc w:val="both"/>
              <w:rPr>
                <w:rFonts w:ascii="Arial" w:hAnsi="Arial" w:cs="Arial"/>
                <w:b/>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Supervivencia libre de progresión radiológica (meses)</w:t>
            </w:r>
          </w:p>
        </w:tc>
        <w:tc>
          <w:tcPr>
            <w:tcW w:w="1240" w:type="dxa"/>
            <w:shd w:val="clear" w:color="auto" w:fill="D9D9D9"/>
          </w:tcPr>
          <w:p w14:paraId="3A8989D5" w14:textId="1658A88A" w:rsidR="00664D68" w:rsidRDefault="00834E82" w:rsidP="0027467A">
            <w:pPr>
              <w:snapToGrid w:val="0"/>
              <w:jc w:val="center"/>
              <w:rPr>
                <w:rFonts w:ascii="Arial" w:hAnsi="Arial" w:cs="Arial"/>
                <w:i/>
                <w:sz w:val="16"/>
              </w:rPr>
            </w:pPr>
            <w:r>
              <w:rPr>
                <w:rFonts w:ascii="Arial" w:hAnsi="Arial" w:cs="Arial"/>
                <w:i/>
                <w:sz w:val="16"/>
              </w:rPr>
              <w:t>N=113</w:t>
            </w:r>
          </w:p>
        </w:tc>
        <w:tc>
          <w:tcPr>
            <w:tcW w:w="1224" w:type="dxa"/>
            <w:shd w:val="clear" w:color="auto" w:fill="D9D9D9"/>
          </w:tcPr>
          <w:p w14:paraId="49798E90" w14:textId="060A7D79" w:rsidR="00664D68" w:rsidRDefault="00834E82" w:rsidP="0027467A">
            <w:pPr>
              <w:jc w:val="center"/>
              <w:rPr>
                <w:rFonts w:ascii="Arial" w:hAnsi="Arial" w:cs="Arial"/>
                <w:i/>
                <w:sz w:val="16"/>
              </w:rPr>
            </w:pPr>
            <w:r>
              <w:rPr>
                <w:rFonts w:ascii="Arial" w:hAnsi="Arial" w:cs="Arial"/>
                <w:i/>
                <w:sz w:val="16"/>
              </w:rPr>
              <w:t>N=112</w:t>
            </w:r>
          </w:p>
        </w:tc>
        <w:tc>
          <w:tcPr>
            <w:tcW w:w="1704" w:type="dxa"/>
            <w:vMerge/>
          </w:tcPr>
          <w:p w14:paraId="575F1083" w14:textId="77777777" w:rsidR="00664D68" w:rsidRDefault="00664D68" w:rsidP="00C91A7C">
            <w:pPr>
              <w:jc w:val="center"/>
              <w:rPr>
                <w:rFonts w:ascii="Arial" w:hAnsi="Arial" w:cs="Arial"/>
                <w:i/>
                <w:sz w:val="16"/>
              </w:rPr>
            </w:pPr>
          </w:p>
        </w:tc>
        <w:tc>
          <w:tcPr>
            <w:tcW w:w="2114" w:type="dxa"/>
            <w:vMerge/>
          </w:tcPr>
          <w:p w14:paraId="75096880" w14:textId="77777777" w:rsidR="00664D68" w:rsidRPr="006F6ABB" w:rsidRDefault="00664D68" w:rsidP="00C91A7C">
            <w:pPr>
              <w:jc w:val="center"/>
              <w:rPr>
                <w:rFonts w:ascii="Arial" w:hAnsi="Arial" w:cs="Arial"/>
                <w:i/>
                <w:sz w:val="16"/>
                <w:lang w:val="es-ES_tradnl"/>
              </w:rPr>
            </w:pPr>
          </w:p>
        </w:tc>
      </w:tr>
      <w:tr w:rsidR="00664D68" w:rsidRPr="006F6ABB" w14:paraId="043325BD" w14:textId="77777777">
        <w:trPr>
          <w:trHeight w:val="937"/>
        </w:trPr>
        <w:tc>
          <w:tcPr>
            <w:tcW w:w="2608" w:type="dxa"/>
            <w:vMerge/>
          </w:tcPr>
          <w:p w14:paraId="269B79F8" w14:textId="77777777" w:rsidR="00664D68" w:rsidRDefault="00664D68" w:rsidP="0027467A">
            <w:pPr>
              <w:snapToGrid w:val="0"/>
              <w:jc w:val="both"/>
              <w:rPr>
                <w:rFonts w:ascii="Arial" w:hAnsi="Arial" w:cs="Arial"/>
                <w:i/>
                <w:sz w:val="16"/>
              </w:rPr>
            </w:pPr>
          </w:p>
        </w:tc>
        <w:tc>
          <w:tcPr>
            <w:tcW w:w="1240" w:type="dxa"/>
          </w:tcPr>
          <w:p w14:paraId="35A2F32A" w14:textId="77777777" w:rsidR="00664D68" w:rsidRDefault="00664D68" w:rsidP="0027467A">
            <w:pPr>
              <w:snapToGrid w:val="0"/>
              <w:jc w:val="center"/>
              <w:rPr>
                <w:rFonts w:ascii="Arial" w:hAnsi="Arial" w:cs="Arial"/>
                <w:i/>
                <w:sz w:val="16"/>
              </w:rPr>
            </w:pPr>
          </w:p>
          <w:p w14:paraId="47576474" w14:textId="77777777" w:rsidR="00664D68" w:rsidRDefault="00664D68" w:rsidP="0027467A">
            <w:pPr>
              <w:snapToGrid w:val="0"/>
              <w:jc w:val="center"/>
              <w:rPr>
                <w:rFonts w:ascii="Arial" w:hAnsi="Arial" w:cs="Arial"/>
                <w:i/>
                <w:sz w:val="16"/>
              </w:rPr>
            </w:pPr>
            <w:r>
              <w:rPr>
                <w:rFonts w:ascii="Arial" w:hAnsi="Arial" w:cs="Arial"/>
                <w:i/>
                <w:sz w:val="16"/>
              </w:rPr>
              <w:t>19,3</w:t>
            </w:r>
          </w:p>
        </w:tc>
        <w:tc>
          <w:tcPr>
            <w:tcW w:w="1224" w:type="dxa"/>
          </w:tcPr>
          <w:p w14:paraId="7EB599F1" w14:textId="77777777" w:rsidR="00664D68" w:rsidRDefault="00664D68" w:rsidP="0027467A">
            <w:pPr>
              <w:jc w:val="center"/>
              <w:rPr>
                <w:rFonts w:ascii="Arial" w:hAnsi="Arial" w:cs="Arial"/>
                <w:i/>
                <w:sz w:val="16"/>
              </w:rPr>
            </w:pPr>
          </w:p>
          <w:p w14:paraId="17DFB0A8" w14:textId="77777777" w:rsidR="00664D68" w:rsidRDefault="00664D68" w:rsidP="0027467A">
            <w:pPr>
              <w:jc w:val="center"/>
              <w:rPr>
                <w:rFonts w:ascii="Arial" w:hAnsi="Arial" w:cs="Arial"/>
                <w:i/>
                <w:sz w:val="16"/>
              </w:rPr>
            </w:pPr>
            <w:r>
              <w:rPr>
                <w:rFonts w:ascii="Arial" w:hAnsi="Arial" w:cs="Arial"/>
                <w:i/>
                <w:sz w:val="16"/>
              </w:rPr>
              <w:t>12,4</w:t>
            </w:r>
          </w:p>
        </w:tc>
        <w:tc>
          <w:tcPr>
            <w:tcW w:w="1704" w:type="dxa"/>
            <w:vMerge/>
          </w:tcPr>
          <w:p w14:paraId="7B88EB7A" w14:textId="77777777" w:rsidR="00664D68" w:rsidRDefault="00664D68" w:rsidP="00C91A7C">
            <w:pPr>
              <w:jc w:val="center"/>
              <w:rPr>
                <w:rFonts w:ascii="Arial" w:hAnsi="Arial" w:cs="Arial"/>
                <w:i/>
                <w:sz w:val="16"/>
              </w:rPr>
            </w:pPr>
          </w:p>
        </w:tc>
        <w:tc>
          <w:tcPr>
            <w:tcW w:w="2114" w:type="dxa"/>
            <w:vMerge/>
          </w:tcPr>
          <w:p w14:paraId="4EBEAE57" w14:textId="77777777" w:rsidR="00664D68" w:rsidRPr="006F6ABB" w:rsidRDefault="00664D68" w:rsidP="00C91A7C">
            <w:pPr>
              <w:jc w:val="center"/>
              <w:rPr>
                <w:rFonts w:ascii="Arial" w:hAnsi="Arial" w:cs="Arial"/>
                <w:i/>
                <w:sz w:val="16"/>
                <w:lang w:val="es-ES_tradnl"/>
              </w:rPr>
            </w:pPr>
          </w:p>
        </w:tc>
      </w:tr>
    </w:tbl>
    <w:p w14:paraId="393B66E1" w14:textId="77777777" w:rsidR="00E358F6" w:rsidRDefault="00E358F6" w:rsidP="00C91A7C">
      <w:pPr>
        <w:snapToGrid w:val="0"/>
        <w:jc w:val="both"/>
        <w:rPr>
          <w:rFonts w:ascii="Calibri" w:hAnsi="Calibri" w:cs="Calibri"/>
          <w:bCs/>
          <w:sz w:val="22"/>
          <w:szCs w:val="20"/>
        </w:rPr>
      </w:pPr>
    </w:p>
    <w:p w14:paraId="44E72C15" w14:textId="77777777" w:rsidR="00E358F6" w:rsidRDefault="00E358F6" w:rsidP="00E358F6">
      <w:pPr>
        <w:autoSpaceDE w:val="0"/>
        <w:autoSpaceDN w:val="0"/>
        <w:adjustRightInd w:val="0"/>
        <w:jc w:val="both"/>
        <w:rPr>
          <w:rFonts w:ascii="Calibri" w:hAnsi="Calibri" w:cs="Calibri"/>
          <w:bCs/>
          <w:sz w:val="22"/>
          <w:szCs w:val="20"/>
        </w:rPr>
      </w:pPr>
    </w:p>
    <w:p w14:paraId="7392EB48" w14:textId="77777777" w:rsidR="00E358F6" w:rsidRDefault="00E358F6" w:rsidP="00E358F6">
      <w:pPr>
        <w:autoSpaceDE w:val="0"/>
        <w:autoSpaceDN w:val="0"/>
        <w:adjustRightInd w:val="0"/>
        <w:jc w:val="both"/>
        <w:rPr>
          <w:noProof/>
        </w:rPr>
      </w:pPr>
    </w:p>
    <w:p w14:paraId="66591833" w14:textId="5EB31094" w:rsidR="00E358F6" w:rsidRDefault="009C6417" w:rsidP="00E358F6">
      <w:pPr>
        <w:keepNext/>
        <w:autoSpaceDE w:val="0"/>
        <w:autoSpaceDN w:val="0"/>
        <w:adjustRightInd w:val="0"/>
        <w:jc w:val="both"/>
      </w:pPr>
      <w:r>
        <w:rPr>
          <w:noProof/>
        </w:rPr>
        <w:drawing>
          <wp:inline distT="0" distB="0" distL="0" distR="0" wp14:anchorId="7261333D" wp14:editId="04AC3D29">
            <wp:extent cx="3267710" cy="23933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7433"/>
                    <a:stretch>
                      <a:fillRect/>
                    </a:stretch>
                  </pic:blipFill>
                  <pic:spPr bwMode="auto">
                    <a:xfrm>
                      <a:off x="0" y="0"/>
                      <a:ext cx="3267710" cy="2393315"/>
                    </a:xfrm>
                    <a:prstGeom prst="rect">
                      <a:avLst/>
                    </a:prstGeom>
                    <a:noFill/>
                    <a:ln>
                      <a:noFill/>
                    </a:ln>
                  </pic:spPr>
                </pic:pic>
              </a:graphicData>
            </a:graphic>
          </wp:inline>
        </w:drawing>
      </w:r>
    </w:p>
    <w:p w14:paraId="03023DDD" w14:textId="77777777" w:rsidR="00E358F6" w:rsidRPr="000A3792" w:rsidRDefault="001A0EA8" w:rsidP="00E358F6">
      <w:pPr>
        <w:pStyle w:val="Descripcin1"/>
        <w:jc w:val="both"/>
        <w:rPr>
          <w:rFonts w:ascii="Arial" w:hAnsi="Arial" w:cs="Arial"/>
          <w:noProof/>
        </w:rPr>
      </w:pPr>
      <w:r w:rsidRPr="000A3792">
        <w:rPr>
          <w:rFonts w:ascii="Arial" w:hAnsi="Arial" w:cs="Arial"/>
        </w:rPr>
        <w:t>Figura 4. SLPr en el subgrupo BRCA1/2 (por el investigador)</w:t>
      </w:r>
    </w:p>
    <w:p w14:paraId="080BF8E4" w14:textId="77777777" w:rsidR="00E358F6" w:rsidRPr="000A3792" w:rsidRDefault="00E358F6" w:rsidP="00E358F6">
      <w:pPr>
        <w:autoSpaceDE w:val="0"/>
        <w:autoSpaceDN w:val="0"/>
        <w:adjustRightInd w:val="0"/>
        <w:jc w:val="both"/>
        <w:rPr>
          <w:rFonts w:ascii="Arial" w:hAnsi="Arial" w:cs="Arial"/>
          <w:bCs/>
          <w:sz w:val="20"/>
          <w:szCs w:val="20"/>
        </w:rPr>
      </w:pPr>
    </w:p>
    <w:p w14:paraId="4E57FFBF" w14:textId="77777777" w:rsidR="00E358F6" w:rsidRPr="000A3792" w:rsidRDefault="00E358F6" w:rsidP="00E358F6">
      <w:pPr>
        <w:autoSpaceDE w:val="0"/>
        <w:autoSpaceDN w:val="0"/>
        <w:adjustRightInd w:val="0"/>
        <w:jc w:val="both"/>
        <w:rPr>
          <w:rFonts w:ascii="Arial" w:hAnsi="Arial" w:cs="Arial"/>
          <w:bCs/>
          <w:sz w:val="20"/>
          <w:szCs w:val="20"/>
        </w:rPr>
      </w:pPr>
    </w:p>
    <w:p w14:paraId="20FB26B5" w14:textId="77777777" w:rsidR="00E358F6" w:rsidRPr="000A3792" w:rsidRDefault="00E358F6" w:rsidP="00E358F6">
      <w:pPr>
        <w:autoSpaceDE w:val="0"/>
        <w:autoSpaceDN w:val="0"/>
        <w:adjustRightInd w:val="0"/>
        <w:jc w:val="both"/>
        <w:rPr>
          <w:rFonts w:ascii="Arial" w:hAnsi="Arial" w:cs="Arial"/>
          <w:bCs/>
          <w:sz w:val="20"/>
          <w:szCs w:val="20"/>
        </w:rPr>
      </w:pPr>
    </w:p>
    <w:p w14:paraId="10D28FEC" w14:textId="77777777" w:rsidR="00C91A7C" w:rsidRDefault="00C91A7C" w:rsidP="00C91A7C">
      <w:pPr>
        <w:snapToGrid w:val="0"/>
        <w:jc w:val="both"/>
        <w:rPr>
          <w:rFonts w:ascii="Arial" w:hAnsi="Arial" w:cs="Arial"/>
          <w:b/>
          <w:color w:val="000080"/>
          <w:sz w:val="20"/>
          <w:szCs w:val="20"/>
          <w:lang w:val="es-ES_tradnl"/>
        </w:rPr>
      </w:pPr>
    </w:p>
    <w:p w14:paraId="78E80362" w14:textId="3A6B2CEC" w:rsidR="00C91A7C" w:rsidRDefault="009C6417" w:rsidP="00C91A7C">
      <w:pPr>
        <w:keepNext/>
        <w:autoSpaceDE w:val="0"/>
        <w:autoSpaceDN w:val="0"/>
        <w:adjustRightInd w:val="0"/>
        <w:jc w:val="both"/>
      </w:pPr>
      <w:r>
        <w:rPr>
          <w:noProof/>
        </w:rPr>
        <w:drawing>
          <wp:inline distT="0" distB="0" distL="0" distR="0" wp14:anchorId="15F7AA18" wp14:editId="1E97A394">
            <wp:extent cx="3387090" cy="2465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9491"/>
                    <a:stretch>
                      <a:fillRect/>
                    </a:stretch>
                  </pic:blipFill>
                  <pic:spPr bwMode="auto">
                    <a:xfrm>
                      <a:off x="0" y="0"/>
                      <a:ext cx="3387090" cy="2465070"/>
                    </a:xfrm>
                    <a:prstGeom prst="rect">
                      <a:avLst/>
                    </a:prstGeom>
                    <a:noFill/>
                    <a:ln>
                      <a:noFill/>
                    </a:ln>
                  </pic:spPr>
                </pic:pic>
              </a:graphicData>
            </a:graphic>
          </wp:inline>
        </w:drawing>
      </w:r>
    </w:p>
    <w:p w14:paraId="77D6BEB5" w14:textId="77777777" w:rsidR="00C91A7C" w:rsidRPr="000A3792" w:rsidRDefault="001A0EA8" w:rsidP="00C91A7C">
      <w:pPr>
        <w:pStyle w:val="Descripcin1"/>
        <w:jc w:val="both"/>
        <w:rPr>
          <w:rFonts w:ascii="Arial" w:hAnsi="Arial" w:cs="Arial"/>
          <w:bCs w:val="0"/>
        </w:rPr>
      </w:pPr>
      <w:r w:rsidRPr="000A3792">
        <w:rPr>
          <w:rFonts w:ascii="Arial" w:hAnsi="Arial" w:cs="Arial"/>
        </w:rPr>
        <w:t>Figura 5. SLPr en la población HRR+ (por el investigador)</w:t>
      </w:r>
    </w:p>
    <w:p w14:paraId="045F2C8E" w14:textId="77777777" w:rsidR="00C91A7C" w:rsidRPr="00834E82" w:rsidRDefault="00C91A7C" w:rsidP="00C91A7C">
      <w:pPr>
        <w:snapToGrid w:val="0"/>
        <w:jc w:val="both"/>
        <w:rPr>
          <w:rFonts w:ascii="Arial" w:hAnsi="Arial" w:cs="Arial"/>
          <w:b/>
          <w:color w:val="000080"/>
          <w:sz w:val="20"/>
          <w:szCs w:val="20"/>
          <w:lang w:val="es-ES_tradnl"/>
        </w:rPr>
      </w:pPr>
    </w:p>
    <w:p w14:paraId="523CEE5F" w14:textId="77777777" w:rsidR="00C91A7C" w:rsidRPr="000A3792" w:rsidRDefault="00C91A7C" w:rsidP="00C91A7C">
      <w:pPr>
        <w:autoSpaceDE w:val="0"/>
        <w:autoSpaceDN w:val="0"/>
        <w:adjustRightInd w:val="0"/>
        <w:jc w:val="both"/>
        <w:rPr>
          <w:rFonts w:ascii="Arial" w:hAnsi="Arial" w:cs="Arial"/>
          <w:bCs/>
          <w:sz w:val="20"/>
          <w:szCs w:val="20"/>
        </w:rPr>
      </w:pPr>
    </w:p>
    <w:p w14:paraId="0691817D" w14:textId="154DE8A7" w:rsidR="00D64C45" w:rsidRPr="000A3792" w:rsidRDefault="001A0EA8" w:rsidP="00D64C45">
      <w:pPr>
        <w:autoSpaceDE w:val="0"/>
        <w:autoSpaceDN w:val="0"/>
        <w:adjustRightInd w:val="0"/>
        <w:jc w:val="both"/>
        <w:rPr>
          <w:rFonts w:ascii="Arial" w:hAnsi="Arial" w:cs="Arial"/>
          <w:bCs/>
          <w:sz w:val="20"/>
          <w:szCs w:val="20"/>
        </w:rPr>
      </w:pPr>
      <w:r w:rsidRPr="000A3792">
        <w:rPr>
          <w:rFonts w:ascii="Arial" w:hAnsi="Arial" w:cs="Arial"/>
          <w:bCs/>
          <w:sz w:val="20"/>
          <w:szCs w:val="20"/>
        </w:rPr>
        <w:t>Si bien se observó un claro beneficio en l</w:t>
      </w:r>
      <w:r w:rsidR="00834E82">
        <w:rPr>
          <w:rFonts w:ascii="Arial" w:hAnsi="Arial" w:cs="Arial"/>
          <w:bCs/>
          <w:sz w:val="20"/>
          <w:szCs w:val="20"/>
        </w:rPr>
        <w:t>o</w:t>
      </w:r>
      <w:r w:rsidRPr="000A3792">
        <w:rPr>
          <w:rFonts w:ascii="Arial" w:hAnsi="Arial" w:cs="Arial"/>
          <w:bCs/>
          <w:sz w:val="20"/>
          <w:szCs w:val="20"/>
        </w:rPr>
        <w:t xml:space="preserve">s pacientes con mutaciones BRCA, </w:t>
      </w:r>
      <w:r w:rsidR="00834E82">
        <w:rPr>
          <w:rFonts w:ascii="Arial" w:hAnsi="Arial" w:cs="Arial"/>
          <w:bCs/>
          <w:sz w:val="20"/>
          <w:szCs w:val="20"/>
        </w:rPr>
        <w:t>con</w:t>
      </w:r>
      <w:r w:rsidRPr="000A3792">
        <w:rPr>
          <w:rFonts w:ascii="Arial" w:hAnsi="Arial" w:cs="Arial"/>
          <w:bCs/>
          <w:sz w:val="20"/>
          <w:szCs w:val="20"/>
        </w:rPr>
        <w:t xml:space="preserve"> la adición de niraparib a AAP en los pacientes </w:t>
      </w:r>
      <w:r w:rsidRPr="000A3792">
        <w:rPr>
          <w:rFonts w:ascii="Arial" w:hAnsi="Arial" w:cs="Arial"/>
          <w:bCs/>
          <w:sz w:val="20"/>
          <w:szCs w:val="20"/>
          <w:u w:val="single"/>
        </w:rPr>
        <w:t>sin mutación de BRCA</w:t>
      </w:r>
      <w:r w:rsidRPr="000A3792">
        <w:rPr>
          <w:rFonts w:ascii="Arial" w:hAnsi="Arial" w:cs="Arial"/>
          <w:bCs/>
          <w:sz w:val="20"/>
          <w:szCs w:val="20"/>
        </w:rPr>
        <w:t xml:space="preserve"> no se observó un beneficio aparente para la SLPr (HR 0,99; 95% CI: 0,68, 1,45). La mediana de la SLPr en este subgrupo de pacientes fue de 14,75 meses en el brazo de niraparib+AAP y de 16,36 meses en el brazo placebo+AAP y no se observó separación de las curvas de Kaplan Meier (figura 6)</w:t>
      </w:r>
      <w:r w:rsidR="00834E82">
        <w:rPr>
          <w:rFonts w:ascii="Arial" w:hAnsi="Arial" w:cs="Arial"/>
          <w:bCs/>
          <w:sz w:val="20"/>
          <w:szCs w:val="20"/>
        </w:rPr>
        <w:t>.</w:t>
      </w:r>
    </w:p>
    <w:p w14:paraId="17215D1F" w14:textId="77777777" w:rsidR="00C91A7C" w:rsidRPr="00402F1A" w:rsidRDefault="00C91A7C" w:rsidP="00C91A7C">
      <w:pPr>
        <w:autoSpaceDE w:val="0"/>
        <w:autoSpaceDN w:val="0"/>
        <w:adjustRightInd w:val="0"/>
        <w:jc w:val="both"/>
        <w:rPr>
          <w:rFonts w:ascii="Calibri" w:hAnsi="Calibri" w:cs="Calibri"/>
          <w:bCs/>
          <w:sz w:val="22"/>
          <w:szCs w:val="20"/>
        </w:rPr>
      </w:pPr>
    </w:p>
    <w:p w14:paraId="75FE3764" w14:textId="22640E05" w:rsidR="00C91A7C" w:rsidRDefault="009C6417" w:rsidP="00C91A7C">
      <w:pPr>
        <w:keepNext/>
        <w:snapToGrid w:val="0"/>
        <w:jc w:val="both"/>
      </w:pPr>
      <w:r>
        <w:rPr>
          <w:noProof/>
        </w:rPr>
        <w:drawing>
          <wp:inline distT="0" distB="0" distL="0" distR="0" wp14:anchorId="59450E31" wp14:editId="2D293F09">
            <wp:extent cx="3442970" cy="25126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2970" cy="2512695"/>
                    </a:xfrm>
                    <a:prstGeom prst="rect">
                      <a:avLst/>
                    </a:prstGeom>
                    <a:noFill/>
                    <a:ln>
                      <a:noFill/>
                    </a:ln>
                  </pic:spPr>
                </pic:pic>
              </a:graphicData>
            </a:graphic>
          </wp:inline>
        </w:drawing>
      </w:r>
    </w:p>
    <w:p w14:paraId="349FDBF5" w14:textId="77777777" w:rsidR="00C91A7C" w:rsidRPr="00834E82" w:rsidRDefault="001A0EA8" w:rsidP="00C91A7C">
      <w:pPr>
        <w:pStyle w:val="Descripcin1"/>
        <w:jc w:val="both"/>
        <w:rPr>
          <w:rFonts w:ascii="Arial" w:hAnsi="Arial" w:cs="Arial"/>
          <w:b w:val="0"/>
          <w:color w:val="000080"/>
          <w:lang w:val="es-ES_tradnl"/>
        </w:rPr>
      </w:pPr>
      <w:r w:rsidRPr="000A3792">
        <w:rPr>
          <w:rFonts w:ascii="Arial" w:hAnsi="Arial" w:cs="Arial"/>
        </w:rPr>
        <w:t>Figura 6. SLPr en la cohorte 1 en subgrupo no BRCA</w:t>
      </w:r>
    </w:p>
    <w:p w14:paraId="73C61DBE" w14:textId="77777777" w:rsidR="00C91A7C" w:rsidRPr="000A3792" w:rsidRDefault="00C91A7C" w:rsidP="00C91A7C">
      <w:pPr>
        <w:autoSpaceDE w:val="0"/>
        <w:autoSpaceDN w:val="0"/>
        <w:adjustRightInd w:val="0"/>
        <w:jc w:val="both"/>
        <w:rPr>
          <w:rFonts w:ascii="Arial" w:hAnsi="Arial" w:cs="Arial"/>
          <w:bCs/>
          <w:sz w:val="20"/>
          <w:szCs w:val="20"/>
        </w:rPr>
      </w:pPr>
    </w:p>
    <w:p w14:paraId="126FF6C4" w14:textId="77777777" w:rsidR="00C91A7C" w:rsidRPr="000A3792" w:rsidRDefault="001A0EA8" w:rsidP="00C91A7C">
      <w:pPr>
        <w:autoSpaceDE w:val="0"/>
        <w:autoSpaceDN w:val="0"/>
        <w:adjustRightInd w:val="0"/>
        <w:jc w:val="both"/>
        <w:rPr>
          <w:rFonts w:ascii="Arial" w:hAnsi="Arial" w:cs="Arial"/>
          <w:bCs/>
          <w:sz w:val="20"/>
          <w:szCs w:val="20"/>
        </w:rPr>
      </w:pPr>
      <w:r w:rsidRPr="000A3792">
        <w:rPr>
          <w:rFonts w:ascii="Arial" w:hAnsi="Arial" w:cs="Arial"/>
          <w:bCs/>
          <w:sz w:val="20"/>
          <w:szCs w:val="20"/>
        </w:rPr>
        <w:t>En un análisis de sensibilidad planificado de pacientes con alteraciones de los HRR excluyendo BRCA1/2, alteraciones únicas de ATM o CDK12 y alteraciones concurrentes de ATM/CDK12 concurrentes, no se observaron diferencias estadísticamente significativas (HR, 0,87; IC 95%, 0,51 a 1,49).</w:t>
      </w:r>
    </w:p>
    <w:p w14:paraId="6C5A70AD" w14:textId="77777777" w:rsidR="00C91A7C" w:rsidRPr="000A3792" w:rsidRDefault="00C91A7C" w:rsidP="00C91A7C">
      <w:pPr>
        <w:autoSpaceDE w:val="0"/>
        <w:autoSpaceDN w:val="0"/>
        <w:adjustRightInd w:val="0"/>
        <w:jc w:val="both"/>
        <w:rPr>
          <w:rFonts w:ascii="Arial" w:hAnsi="Arial" w:cs="Arial"/>
          <w:bCs/>
          <w:sz w:val="20"/>
          <w:szCs w:val="20"/>
        </w:rPr>
      </w:pPr>
    </w:p>
    <w:p w14:paraId="64A194E2" w14:textId="77777777" w:rsidR="00B30494" w:rsidRPr="000A3792" w:rsidRDefault="001A0EA8" w:rsidP="00C91A7C">
      <w:pPr>
        <w:autoSpaceDE w:val="0"/>
        <w:autoSpaceDN w:val="0"/>
        <w:adjustRightInd w:val="0"/>
        <w:jc w:val="both"/>
        <w:rPr>
          <w:rFonts w:ascii="Arial" w:hAnsi="Arial" w:cs="Arial"/>
          <w:b/>
          <w:bCs/>
          <w:sz w:val="20"/>
          <w:szCs w:val="20"/>
          <w:u w:val="single"/>
        </w:rPr>
      </w:pPr>
      <w:r w:rsidRPr="000A3792">
        <w:rPr>
          <w:rFonts w:ascii="Arial" w:hAnsi="Arial" w:cs="Arial"/>
          <w:b/>
          <w:bCs/>
          <w:sz w:val="20"/>
          <w:szCs w:val="20"/>
          <w:u w:val="single"/>
        </w:rPr>
        <w:t>Variables secundarias</w:t>
      </w:r>
    </w:p>
    <w:p w14:paraId="25D97BA5" w14:textId="77777777" w:rsidR="00067BBA" w:rsidRPr="00834E82" w:rsidRDefault="00067BBA" w:rsidP="00BC3E8E">
      <w:pPr>
        <w:snapToGrid w:val="0"/>
        <w:jc w:val="both"/>
        <w:rPr>
          <w:rFonts w:ascii="Arial" w:hAnsi="Arial" w:cs="Arial"/>
          <w:b/>
          <w:color w:val="000080"/>
          <w:sz w:val="20"/>
          <w:szCs w:val="20"/>
          <w:lang w:val="es-ES_tradnl"/>
        </w:rPr>
      </w:pPr>
    </w:p>
    <w:p w14:paraId="23691EBE" w14:textId="77777777" w:rsidR="00B30494" w:rsidRPr="000A3792" w:rsidRDefault="001A0EA8" w:rsidP="000B5642">
      <w:pPr>
        <w:snapToGrid w:val="0"/>
        <w:jc w:val="both"/>
        <w:rPr>
          <w:rFonts w:ascii="Arial" w:hAnsi="Arial" w:cs="Arial"/>
          <w:bCs/>
          <w:sz w:val="20"/>
          <w:szCs w:val="20"/>
        </w:rPr>
      </w:pPr>
      <w:r w:rsidRPr="000A3792">
        <w:rPr>
          <w:rFonts w:ascii="Arial" w:hAnsi="Arial" w:cs="Arial"/>
          <w:bCs/>
          <w:sz w:val="20"/>
          <w:szCs w:val="20"/>
        </w:rPr>
        <w:t>Las variables secundarias (TPS, TIQ y SG) se evaluaron desde el punto de vista estadístico en el segundo análisis intermedio</w:t>
      </w:r>
      <w:r w:rsidRPr="000A3792">
        <w:rPr>
          <w:rStyle w:val="Refdenotaalfinal"/>
          <w:rFonts w:ascii="Arial" w:hAnsi="Arial" w:cs="Arial"/>
          <w:bCs/>
          <w:sz w:val="20"/>
          <w:szCs w:val="20"/>
        </w:rPr>
        <w:endnoteReference w:id="4"/>
      </w:r>
      <w:r w:rsidRPr="000A3792">
        <w:rPr>
          <w:rFonts w:ascii="Arial" w:hAnsi="Arial" w:cs="Arial"/>
          <w:bCs/>
          <w:sz w:val="20"/>
          <w:szCs w:val="20"/>
        </w:rPr>
        <w:t>. (24)</w:t>
      </w:r>
    </w:p>
    <w:p w14:paraId="12CD2289" w14:textId="77777777" w:rsidR="00A13BA1" w:rsidRPr="000A3792" w:rsidRDefault="00A13BA1" w:rsidP="000B5642">
      <w:pPr>
        <w:snapToGrid w:val="0"/>
        <w:jc w:val="both"/>
        <w:rPr>
          <w:rFonts w:ascii="Arial" w:hAnsi="Arial" w:cs="Arial"/>
          <w:bCs/>
          <w:sz w:val="20"/>
          <w:szCs w:val="20"/>
        </w:rPr>
      </w:pPr>
    </w:p>
    <w:p w14:paraId="62B2AE7F" w14:textId="77777777" w:rsidR="0036246E" w:rsidRPr="000A3792" w:rsidRDefault="001A0EA8" w:rsidP="0036246E">
      <w:pPr>
        <w:numPr>
          <w:ilvl w:val="1"/>
          <w:numId w:val="13"/>
        </w:numPr>
        <w:snapToGrid w:val="0"/>
        <w:jc w:val="both"/>
        <w:rPr>
          <w:rFonts w:ascii="Arial" w:hAnsi="Arial" w:cs="Arial"/>
          <w:bCs/>
          <w:sz w:val="20"/>
          <w:szCs w:val="20"/>
        </w:rPr>
      </w:pPr>
      <w:r w:rsidRPr="000A3792">
        <w:rPr>
          <w:rFonts w:ascii="Arial" w:hAnsi="Arial" w:cs="Arial"/>
          <w:bCs/>
          <w:sz w:val="20"/>
          <w:szCs w:val="20"/>
        </w:rPr>
        <w:t>Tiempo hasta inicio de quimioterapia (TIQ)</w:t>
      </w:r>
    </w:p>
    <w:p w14:paraId="7BDD17F9" w14:textId="77777777" w:rsidR="0036246E" w:rsidRPr="000A3792" w:rsidRDefault="0036246E" w:rsidP="000B5642">
      <w:pPr>
        <w:snapToGrid w:val="0"/>
        <w:jc w:val="both"/>
        <w:rPr>
          <w:rFonts w:ascii="Arial" w:hAnsi="Arial" w:cs="Arial"/>
          <w:bCs/>
          <w:sz w:val="20"/>
          <w:szCs w:val="20"/>
        </w:rPr>
      </w:pPr>
    </w:p>
    <w:p w14:paraId="6BEDA37D" w14:textId="77777777" w:rsidR="00A13BA1" w:rsidRPr="000A3792" w:rsidRDefault="001A0EA8" w:rsidP="00CB1922">
      <w:pPr>
        <w:snapToGrid w:val="0"/>
        <w:jc w:val="both"/>
        <w:rPr>
          <w:rFonts w:ascii="Arial" w:hAnsi="Arial" w:cs="Arial"/>
          <w:bCs/>
          <w:sz w:val="20"/>
          <w:szCs w:val="20"/>
        </w:rPr>
      </w:pPr>
      <w:r w:rsidRPr="000A3792">
        <w:rPr>
          <w:rFonts w:ascii="Arial" w:hAnsi="Arial" w:cs="Arial"/>
          <w:bCs/>
          <w:sz w:val="20"/>
          <w:szCs w:val="20"/>
        </w:rPr>
        <w:t xml:space="preserve">En la cohorte HRR+, no se alcanzó la mediana de meses hasta inicio de quimioterapia en ninguno de los dos grupos, pero sí se evidencia una diferencia estadísticamente significativa con la relación de sujetos sin evento hasta la fecha de corte del segundo análisis intermedio. HR 0,67 95% IC, 0,47 a 0,94; p = 0,02. </w:t>
      </w:r>
    </w:p>
    <w:p w14:paraId="16A5F251" w14:textId="1E76362C" w:rsidR="00CB1922" w:rsidRDefault="009C6417" w:rsidP="00CB1922">
      <w:pPr>
        <w:keepNext/>
        <w:snapToGrid w:val="0"/>
        <w:jc w:val="both"/>
      </w:pPr>
      <w:r>
        <w:rPr>
          <w:rFonts w:ascii="Calibri" w:hAnsi="Calibri" w:cs="Calibri"/>
          <w:noProof/>
          <w:sz w:val="22"/>
          <w:szCs w:val="20"/>
        </w:rPr>
        <w:drawing>
          <wp:inline distT="0" distB="0" distL="0" distR="0" wp14:anchorId="493E65D6" wp14:editId="3A45AFCE">
            <wp:extent cx="3355340" cy="24174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340" cy="2417445"/>
                    </a:xfrm>
                    <a:prstGeom prst="rect">
                      <a:avLst/>
                    </a:prstGeom>
                    <a:noFill/>
                    <a:ln>
                      <a:noFill/>
                    </a:ln>
                  </pic:spPr>
                </pic:pic>
              </a:graphicData>
            </a:graphic>
          </wp:inline>
        </w:drawing>
      </w:r>
    </w:p>
    <w:p w14:paraId="774DC34C" w14:textId="77777777" w:rsidR="00CB1922" w:rsidRPr="000A3792" w:rsidRDefault="001A0EA8" w:rsidP="00CB1922">
      <w:pPr>
        <w:pStyle w:val="Descripcin1"/>
        <w:jc w:val="both"/>
        <w:rPr>
          <w:rFonts w:ascii="Arial" w:hAnsi="Arial" w:cs="Arial"/>
        </w:rPr>
      </w:pPr>
      <w:r w:rsidRPr="000A3792">
        <w:rPr>
          <w:rFonts w:ascii="Arial" w:hAnsi="Arial" w:cs="Arial"/>
        </w:rPr>
        <w:t>Figura 7. TIQ en la cohorte HRR+</w:t>
      </w:r>
    </w:p>
    <w:p w14:paraId="7D4A2B73" w14:textId="77777777" w:rsidR="00CB1922" w:rsidRPr="000A3792" w:rsidRDefault="00CB1922" w:rsidP="00CB1922">
      <w:pPr>
        <w:rPr>
          <w:rFonts w:ascii="Arial" w:hAnsi="Arial" w:cs="Arial"/>
          <w:sz w:val="20"/>
          <w:szCs w:val="20"/>
        </w:rPr>
      </w:pPr>
    </w:p>
    <w:p w14:paraId="2171C9E6" w14:textId="77777777" w:rsidR="00CB1922" w:rsidRPr="000A3792" w:rsidRDefault="001A0EA8" w:rsidP="00CB1922">
      <w:pPr>
        <w:rPr>
          <w:rFonts w:ascii="Arial" w:hAnsi="Arial" w:cs="Arial"/>
          <w:bCs/>
          <w:sz w:val="20"/>
          <w:szCs w:val="20"/>
        </w:rPr>
      </w:pPr>
      <w:r w:rsidRPr="000A3792">
        <w:rPr>
          <w:rFonts w:ascii="Arial" w:hAnsi="Arial" w:cs="Arial"/>
          <w:bCs/>
          <w:sz w:val="20"/>
          <w:szCs w:val="20"/>
        </w:rPr>
        <w:t>En el subgrupo BRCA1/2 la mediana del TIQ fue de 27,27 meses en el grupo de placebo+AAP, mientras que en el grupo niraparib+AAP no se alcanzó (HR 0,55 (95% IC 0,35 a 0,90; p= 0,02)</w:t>
      </w:r>
    </w:p>
    <w:p w14:paraId="255B3E6B" w14:textId="77777777" w:rsidR="0036246E" w:rsidRPr="000A3792" w:rsidRDefault="0036246E" w:rsidP="00CB1922">
      <w:pPr>
        <w:rPr>
          <w:rFonts w:ascii="Arial" w:hAnsi="Arial" w:cs="Arial"/>
          <w:sz w:val="20"/>
          <w:szCs w:val="20"/>
        </w:rPr>
      </w:pPr>
    </w:p>
    <w:p w14:paraId="38765BC0" w14:textId="5A0A77FE" w:rsidR="0036246E" w:rsidRDefault="009C6417" w:rsidP="0036246E">
      <w:pPr>
        <w:keepNext/>
      </w:pPr>
      <w:r>
        <w:rPr>
          <w:rFonts w:ascii="Arial" w:hAnsi="Arial" w:cs="Arial"/>
          <w:noProof/>
          <w:sz w:val="20"/>
          <w:szCs w:val="20"/>
        </w:rPr>
        <w:drawing>
          <wp:inline distT="0" distB="0" distL="0" distR="0" wp14:anchorId="79D59C21" wp14:editId="2183D837">
            <wp:extent cx="3490595" cy="24885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0595" cy="2488565"/>
                    </a:xfrm>
                    <a:prstGeom prst="rect">
                      <a:avLst/>
                    </a:prstGeom>
                    <a:noFill/>
                    <a:ln>
                      <a:noFill/>
                    </a:ln>
                  </pic:spPr>
                </pic:pic>
              </a:graphicData>
            </a:graphic>
          </wp:inline>
        </w:drawing>
      </w:r>
    </w:p>
    <w:p w14:paraId="2FAA962A" w14:textId="77777777" w:rsidR="0036246E" w:rsidRPr="000A3792" w:rsidRDefault="001A0EA8" w:rsidP="0036246E">
      <w:pPr>
        <w:pStyle w:val="Descripcin1"/>
        <w:rPr>
          <w:rFonts w:ascii="Arial" w:hAnsi="Arial" w:cs="Arial"/>
        </w:rPr>
      </w:pPr>
      <w:r w:rsidRPr="000A3792">
        <w:rPr>
          <w:rFonts w:ascii="Arial" w:hAnsi="Arial" w:cs="Arial"/>
        </w:rPr>
        <w:t>Figura 8. TIQ en el subgrupo BRCA1/2</w:t>
      </w:r>
    </w:p>
    <w:p w14:paraId="3E4F92B0" w14:textId="77777777" w:rsidR="0036246E" w:rsidRPr="000A3792" w:rsidRDefault="0036246E" w:rsidP="0036246E">
      <w:pPr>
        <w:rPr>
          <w:rFonts w:ascii="Arial" w:hAnsi="Arial" w:cs="Arial"/>
          <w:sz w:val="20"/>
          <w:szCs w:val="20"/>
        </w:rPr>
      </w:pPr>
    </w:p>
    <w:p w14:paraId="0DBB4414" w14:textId="77777777" w:rsidR="0036246E" w:rsidRPr="000A3792" w:rsidRDefault="001A0EA8" w:rsidP="0036246E">
      <w:pPr>
        <w:numPr>
          <w:ilvl w:val="1"/>
          <w:numId w:val="13"/>
        </w:numPr>
        <w:rPr>
          <w:rFonts w:ascii="Arial" w:hAnsi="Arial" w:cs="Arial"/>
          <w:bCs/>
          <w:sz w:val="20"/>
          <w:szCs w:val="20"/>
        </w:rPr>
      </w:pPr>
      <w:r w:rsidRPr="000A3792">
        <w:rPr>
          <w:rFonts w:ascii="Arial" w:hAnsi="Arial" w:cs="Arial"/>
          <w:bCs/>
          <w:sz w:val="20"/>
          <w:szCs w:val="20"/>
        </w:rPr>
        <w:t>Tiempo hasta progresión sintomática.</w:t>
      </w:r>
    </w:p>
    <w:p w14:paraId="642F7A72" w14:textId="77777777" w:rsidR="00C038CB" w:rsidRPr="000A3792" w:rsidRDefault="00C038CB" w:rsidP="00C038CB">
      <w:pPr>
        <w:ind w:left="1440"/>
        <w:rPr>
          <w:rFonts w:ascii="Arial" w:hAnsi="Arial" w:cs="Arial"/>
          <w:bCs/>
          <w:sz w:val="20"/>
          <w:szCs w:val="20"/>
        </w:rPr>
      </w:pPr>
    </w:p>
    <w:p w14:paraId="0C7956B0" w14:textId="77777777" w:rsidR="0036246E" w:rsidRPr="000A3792" w:rsidRDefault="001A0EA8" w:rsidP="0036246E">
      <w:pPr>
        <w:rPr>
          <w:rFonts w:ascii="Arial" w:hAnsi="Arial" w:cs="Arial"/>
          <w:bCs/>
          <w:sz w:val="20"/>
          <w:szCs w:val="20"/>
        </w:rPr>
      </w:pPr>
      <w:r w:rsidRPr="000A3792">
        <w:rPr>
          <w:rFonts w:ascii="Arial" w:hAnsi="Arial" w:cs="Arial"/>
          <w:bCs/>
          <w:sz w:val="20"/>
          <w:szCs w:val="20"/>
        </w:rPr>
        <w:t>En la cohorte HRR+ la mediana TPS fue de 30,62 meses en el grupo de placebo+AAP mientras que no se alcanzó la mediana en el grupo de nirapatrib+AAP. (HR 0,60 (95% IC 0,42 a 0,84; p= 0,003)</w:t>
      </w:r>
    </w:p>
    <w:p w14:paraId="25FF474D" w14:textId="77777777" w:rsidR="000E0D5D" w:rsidRDefault="000E0D5D" w:rsidP="00CB1922">
      <w:pPr>
        <w:rPr>
          <w:rFonts w:ascii="Calibri" w:hAnsi="Calibri" w:cs="Calibri"/>
          <w:bCs/>
          <w:sz w:val="22"/>
          <w:szCs w:val="20"/>
        </w:rPr>
      </w:pPr>
    </w:p>
    <w:p w14:paraId="4D5F12A3" w14:textId="0664B9AE" w:rsidR="00CB1922" w:rsidRDefault="009C6417" w:rsidP="00CB1922">
      <w:pPr>
        <w:keepNext/>
      </w:pPr>
      <w:r>
        <w:rPr>
          <w:rFonts w:ascii="Calibri" w:hAnsi="Calibri" w:cs="Calibri"/>
          <w:noProof/>
          <w:sz w:val="22"/>
          <w:szCs w:val="20"/>
        </w:rPr>
        <w:drawing>
          <wp:inline distT="0" distB="0" distL="0" distR="0" wp14:anchorId="12D39294" wp14:editId="7F15E7A6">
            <wp:extent cx="3363595" cy="23774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3595" cy="2377440"/>
                    </a:xfrm>
                    <a:prstGeom prst="rect">
                      <a:avLst/>
                    </a:prstGeom>
                    <a:noFill/>
                    <a:ln>
                      <a:noFill/>
                    </a:ln>
                  </pic:spPr>
                </pic:pic>
              </a:graphicData>
            </a:graphic>
          </wp:inline>
        </w:drawing>
      </w:r>
    </w:p>
    <w:p w14:paraId="535AE3DC" w14:textId="77777777" w:rsidR="00CB1922" w:rsidRPr="000A3792" w:rsidRDefault="001A0EA8" w:rsidP="00CB1922">
      <w:pPr>
        <w:pStyle w:val="Descripcin1"/>
        <w:rPr>
          <w:rFonts w:ascii="Arial" w:hAnsi="Arial" w:cs="Arial"/>
        </w:rPr>
      </w:pPr>
      <w:r w:rsidRPr="000A3792">
        <w:rPr>
          <w:rFonts w:ascii="Arial" w:hAnsi="Arial" w:cs="Arial"/>
        </w:rPr>
        <w:t>Figura 9. TPS en la cohorte HRR+</w:t>
      </w:r>
    </w:p>
    <w:p w14:paraId="60E4574C" w14:textId="77777777" w:rsidR="000E0D5D" w:rsidRPr="000A3792" w:rsidRDefault="000E0D5D" w:rsidP="000E0D5D">
      <w:pPr>
        <w:rPr>
          <w:rFonts w:ascii="Arial" w:hAnsi="Arial" w:cs="Arial"/>
          <w:sz w:val="20"/>
          <w:szCs w:val="20"/>
        </w:rPr>
      </w:pPr>
    </w:p>
    <w:p w14:paraId="32F5D96C" w14:textId="77777777" w:rsidR="00C038CB" w:rsidRPr="000A3792" w:rsidRDefault="001A0EA8" w:rsidP="00C038CB">
      <w:pPr>
        <w:rPr>
          <w:rFonts w:ascii="Arial" w:hAnsi="Arial" w:cs="Arial"/>
          <w:bCs/>
          <w:sz w:val="20"/>
          <w:szCs w:val="20"/>
        </w:rPr>
      </w:pPr>
      <w:r w:rsidRPr="000A3792">
        <w:rPr>
          <w:rFonts w:ascii="Arial" w:hAnsi="Arial" w:cs="Arial"/>
          <w:bCs/>
          <w:sz w:val="20"/>
          <w:szCs w:val="20"/>
        </w:rPr>
        <w:t>Estos resultados se replicaron en el subgrupo BRCA1/2 donde la mediana TPS fue de 23,56 meses en el grupo de placebo+AAP mientras que no se alcanzó la mediana en el grupo de nirapatrib+AAP. (HR 0,54 (95% IC 0,42 a 0,85; p= 0,007).</w:t>
      </w:r>
    </w:p>
    <w:p w14:paraId="1CA2E3C5" w14:textId="77777777" w:rsidR="00C038CB" w:rsidRDefault="00C038CB" w:rsidP="00C038CB">
      <w:pPr>
        <w:rPr>
          <w:rFonts w:ascii="Calibri" w:hAnsi="Calibri" w:cs="Calibri"/>
          <w:bCs/>
          <w:sz w:val="22"/>
          <w:szCs w:val="20"/>
        </w:rPr>
      </w:pPr>
    </w:p>
    <w:p w14:paraId="3008C6BF" w14:textId="2CB4A2CD" w:rsidR="00C038CB" w:rsidRDefault="009C6417" w:rsidP="00C038CB">
      <w:pPr>
        <w:keepNext/>
      </w:pPr>
      <w:r>
        <w:rPr>
          <w:rFonts w:ascii="Calibri" w:hAnsi="Calibri" w:cs="Calibri"/>
          <w:noProof/>
          <w:sz w:val="22"/>
          <w:szCs w:val="20"/>
        </w:rPr>
        <w:drawing>
          <wp:inline distT="0" distB="0" distL="0" distR="0" wp14:anchorId="59AB0384" wp14:editId="6144EFE9">
            <wp:extent cx="3633470" cy="26079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3470" cy="2607945"/>
                    </a:xfrm>
                    <a:prstGeom prst="rect">
                      <a:avLst/>
                    </a:prstGeom>
                    <a:noFill/>
                    <a:ln>
                      <a:noFill/>
                    </a:ln>
                  </pic:spPr>
                </pic:pic>
              </a:graphicData>
            </a:graphic>
          </wp:inline>
        </w:drawing>
      </w:r>
    </w:p>
    <w:p w14:paraId="5BBD607B" w14:textId="77777777" w:rsidR="00C038CB" w:rsidRPr="000A3792" w:rsidRDefault="001A0EA8" w:rsidP="00C038CB">
      <w:pPr>
        <w:pStyle w:val="Descripcin1"/>
        <w:rPr>
          <w:rFonts w:ascii="Arial" w:hAnsi="Arial" w:cs="Arial"/>
          <w:bCs w:val="0"/>
        </w:rPr>
      </w:pPr>
      <w:r w:rsidRPr="000A3792">
        <w:rPr>
          <w:rFonts w:ascii="Arial" w:hAnsi="Arial" w:cs="Arial"/>
        </w:rPr>
        <w:t>Figura 10. TPS en el subgrupo BRCA1/2</w:t>
      </w:r>
    </w:p>
    <w:p w14:paraId="0B2B3963" w14:textId="77777777" w:rsidR="00C038CB" w:rsidRPr="000A3792" w:rsidRDefault="00C038CB" w:rsidP="00C038CB">
      <w:pPr>
        <w:rPr>
          <w:rFonts w:ascii="Arial" w:hAnsi="Arial" w:cs="Arial"/>
          <w:bCs/>
          <w:sz w:val="20"/>
          <w:szCs w:val="20"/>
        </w:rPr>
      </w:pPr>
    </w:p>
    <w:p w14:paraId="14453142" w14:textId="77777777" w:rsidR="00C038CB" w:rsidRPr="000A3792" w:rsidRDefault="00C038CB" w:rsidP="00C038CB">
      <w:pPr>
        <w:rPr>
          <w:rFonts w:ascii="Arial" w:hAnsi="Arial" w:cs="Arial"/>
          <w:bCs/>
          <w:sz w:val="20"/>
          <w:szCs w:val="20"/>
        </w:rPr>
      </w:pPr>
    </w:p>
    <w:p w14:paraId="3D7F5D7C" w14:textId="77777777" w:rsidR="000E0D5D" w:rsidRPr="000A3792" w:rsidRDefault="001A0EA8" w:rsidP="00C038CB">
      <w:pPr>
        <w:numPr>
          <w:ilvl w:val="1"/>
          <w:numId w:val="13"/>
        </w:numPr>
        <w:rPr>
          <w:rFonts w:ascii="Arial" w:hAnsi="Arial" w:cs="Arial"/>
          <w:bCs/>
          <w:sz w:val="20"/>
          <w:szCs w:val="20"/>
        </w:rPr>
      </w:pPr>
      <w:r w:rsidRPr="000A3792">
        <w:rPr>
          <w:rFonts w:ascii="Arial" w:hAnsi="Arial" w:cs="Arial"/>
          <w:bCs/>
          <w:sz w:val="20"/>
          <w:szCs w:val="20"/>
        </w:rPr>
        <w:t>Supervivencia global (SG)</w:t>
      </w:r>
    </w:p>
    <w:p w14:paraId="5A3233D7" w14:textId="77777777" w:rsidR="000E0D5D" w:rsidRPr="000A3792" w:rsidRDefault="000E0D5D" w:rsidP="000E0D5D">
      <w:pPr>
        <w:rPr>
          <w:rFonts w:ascii="Arial" w:hAnsi="Arial" w:cs="Arial"/>
          <w:sz w:val="20"/>
          <w:szCs w:val="20"/>
        </w:rPr>
      </w:pPr>
    </w:p>
    <w:p w14:paraId="52FB981F" w14:textId="77777777" w:rsidR="002E6691" w:rsidRPr="000A3792" w:rsidRDefault="001A0EA8" w:rsidP="000E0D5D">
      <w:pPr>
        <w:rPr>
          <w:rFonts w:ascii="Arial" w:hAnsi="Arial" w:cs="Arial"/>
          <w:bCs/>
          <w:sz w:val="20"/>
          <w:szCs w:val="20"/>
        </w:rPr>
      </w:pPr>
      <w:r w:rsidRPr="000A3792">
        <w:rPr>
          <w:rFonts w:ascii="Arial" w:hAnsi="Arial" w:cs="Arial"/>
          <w:bCs/>
          <w:sz w:val="20"/>
          <w:szCs w:val="20"/>
        </w:rPr>
        <w:t>En la cohorte HRR+, los datos de SG no son significativos en el primer análisis intermedio e inmaduros con un 46,3% de los eventos requeridos para el análisis final. HR 0,94 IC95% 0,65 – 1,36)</w:t>
      </w:r>
    </w:p>
    <w:p w14:paraId="1907AF03" w14:textId="77777777" w:rsidR="00EC1135" w:rsidRDefault="00EC1135" w:rsidP="000E0D5D">
      <w:pPr>
        <w:rPr>
          <w:rFonts w:ascii="Calibri" w:hAnsi="Calibri" w:cs="Calibri"/>
          <w:bCs/>
          <w:sz w:val="22"/>
          <w:szCs w:val="20"/>
        </w:rPr>
      </w:pPr>
    </w:p>
    <w:p w14:paraId="56D1C015" w14:textId="1780DCDA" w:rsidR="005B24BF" w:rsidRDefault="009C6417" w:rsidP="005B24BF">
      <w:pPr>
        <w:keepNext/>
      </w:pPr>
      <w:r>
        <w:rPr>
          <w:noProof/>
        </w:rPr>
        <w:drawing>
          <wp:inline distT="0" distB="0" distL="0" distR="0" wp14:anchorId="10B2D14C" wp14:editId="0C32E4D1">
            <wp:extent cx="3816350" cy="2917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0" cy="2917825"/>
                    </a:xfrm>
                    <a:prstGeom prst="rect">
                      <a:avLst/>
                    </a:prstGeom>
                    <a:noFill/>
                    <a:ln>
                      <a:noFill/>
                    </a:ln>
                  </pic:spPr>
                </pic:pic>
              </a:graphicData>
            </a:graphic>
          </wp:inline>
        </w:drawing>
      </w:r>
    </w:p>
    <w:p w14:paraId="47C2D619" w14:textId="77777777" w:rsidR="00EC1135" w:rsidRPr="000A3792" w:rsidRDefault="001A0EA8" w:rsidP="005B24BF">
      <w:pPr>
        <w:pStyle w:val="Descripcin1"/>
        <w:rPr>
          <w:rFonts w:ascii="Arial" w:hAnsi="Arial" w:cs="Arial"/>
          <w:bCs w:val="0"/>
        </w:rPr>
      </w:pPr>
      <w:r w:rsidRPr="000A3792">
        <w:rPr>
          <w:rFonts w:ascii="Arial" w:hAnsi="Arial" w:cs="Arial"/>
        </w:rPr>
        <w:t>Figura 11. SG en HRR+ en el primer análisis intermedio</w:t>
      </w:r>
    </w:p>
    <w:p w14:paraId="189C4936" w14:textId="77777777" w:rsidR="002E6691" w:rsidRPr="000A3792" w:rsidRDefault="002E6691" w:rsidP="000E0D5D">
      <w:pPr>
        <w:rPr>
          <w:rFonts w:ascii="Arial" w:hAnsi="Arial" w:cs="Arial"/>
          <w:bCs/>
          <w:sz w:val="20"/>
          <w:szCs w:val="20"/>
        </w:rPr>
      </w:pPr>
    </w:p>
    <w:p w14:paraId="3EB16513" w14:textId="77777777" w:rsidR="005B24BF" w:rsidRPr="000A3792" w:rsidRDefault="001A0EA8" w:rsidP="001B6100">
      <w:pPr>
        <w:jc w:val="both"/>
        <w:rPr>
          <w:rFonts w:ascii="Arial" w:hAnsi="Arial" w:cs="Arial"/>
          <w:bCs/>
          <w:sz w:val="20"/>
          <w:szCs w:val="20"/>
        </w:rPr>
      </w:pPr>
      <w:r w:rsidRPr="000A3792">
        <w:rPr>
          <w:rFonts w:ascii="Arial" w:hAnsi="Arial" w:cs="Arial"/>
          <w:bCs/>
          <w:sz w:val="20"/>
          <w:szCs w:val="20"/>
        </w:rPr>
        <w:t>En el segundo análisis intermedio, y con más eventos ocurridos en la cohorte 1 se disponen de los siguientes datos:</w:t>
      </w:r>
    </w:p>
    <w:p w14:paraId="367F562E" w14:textId="77777777" w:rsidR="00C038CB" w:rsidRPr="000A3792" w:rsidRDefault="001A0EA8" w:rsidP="001B6100">
      <w:pPr>
        <w:jc w:val="both"/>
        <w:rPr>
          <w:rFonts w:ascii="Arial" w:hAnsi="Arial" w:cs="Arial"/>
          <w:bCs/>
          <w:sz w:val="20"/>
          <w:szCs w:val="20"/>
        </w:rPr>
      </w:pPr>
      <w:r w:rsidRPr="000A3792">
        <w:rPr>
          <w:rFonts w:ascii="Arial" w:hAnsi="Arial" w:cs="Arial"/>
          <w:bCs/>
          <w:sz w:val="20"/>
          <w:szCs w:val="20"/>
        </w:rPr>
        <w:t>En la población HRR+ la mediana de SG fue de 32,2 (24,87 a NA) vs. 29,31 (27,7 a NA) meses en los grupos de placebo+AAP y niraparib+AAP respectivamente (HR 1,01 (95%IC 0,75 a 1,36; p= 0,95).</w:t>
      </w:r>
    </w:p>
    <w:p w14:paraId="4E19F91A" w14:textId="7BAE7859" w:rsidR="00AE1E7F" w:rsidRDefault="009C6417" w:rsidP="00AE1E7F">
      <w:pPr>
        <w:keepNext/>
        <w:jc w:val="both"/>
      </w:pPr>
      <w:r>
        <w:rPr>
          <w:rFonts w:ascii="Arial" w:hAnsi="Arial" w:cs="Arial"/>
          <w:noProof/>
          <w:sz w:val="20"/>
          <w:szCs w:val="20"/>
        </w:rPr>
        <w:drawing>
          <wp:inline distT="0" distB="0" distL="0" distR="0" wp14:anchorId="37140B21" wp14:editId="69625046">
            <wp:extent cx="3999230" cy="2774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230" cy="2774950"/>
                    </a:xfrm>
                    <a:prstGeom prst="rect">
                      <a:avLst/>
                    </a:prstGeom>
                    <a:noFill/>
                    <a:ln>
                      <a:noFill/>
                    </a:ln>
                  </pic:spPr>
                </pic:pic>
              </a:graphicData>
            </a:graphic>
          </wp:inline>
        </w:drawing>
      </w:r>
    </w:p>
    <w:p w14:paraId="557644D8" w14:textId="77777777" w:rsidR="005B24BF" w:rsidRPr="000A3792" w:rsidRDefault="001A0EA8" w:rsidP="00AE1E7F">
      <w:pPr>
        <w:pStyle w:val="Descripcin1"/>
        <w:jc w:val="both"/>
        <w:rPr>
          <w:rFonts w:ascii="Arial" w:hAnsi="Arial" w:cs="Arial"/>
        </w:rPr>
      </w:pPr>
      <w:r w:rsidRPr="000A3792">
        <w:rPr>
          <w:rFonts w:ascii="Arial" w:hAnsi="Arial" w:cs="Arial"/>
        </w:rPr>
        <w:t>Figura 12. SG en HRR+ en el segundo análisis intermedio</w:t>
      </w:r>
    </w:p>
    <w:p w14:paraId="353BE99D" w14:textId="77777777" w:rsidR="00AE1E7F" w:rsidRPr="000A3792" w:rsidRDefault="00AE1E7F" w:rsidP="00AE1E7F">
      <w:pPr>
        <w:rPr>
          <w:rFonts w:ascii="Arial" w:hAnsi="Arial" w:cs="Arial"/>
          <w:sz w:val="20"/>
          <w:szCs w:val="20"/>
        </w:rPr>
      </w:pPr>
    </w:p>
    <w:p w14:paraId="567DE907" w14:textId="77777777" w:rsidR="00C038CB" w:rsidRPr="000A3792" w:rsidRDefault="001A0EA8" w:rsidP="001B6100">
      <w:pPr>
        <w:jc w:val="both"/>
        <w:rPr>
          <w:rFonts w:ascii="Arial" w:hAnsi="Arial" w:cs="Arial"/>
          <w:bCs/>
          <w:sz w:val="20"/>
          <w:szCs w:val="20"/>
        </w:rPr>
      </w:pPr>
      <w:r w:rsidRPr="000A3792">
        <w:rPr>
          <w:rFonts w:ascii="Arial" w:hAnsi="Arial" w:cs="Arial"/>
          <w:bCs/>
          <w:sz w:val="20"/>
          <w:szCs w:val="20"/>
        </w:rPr>
        <w:t>Del mismo modo, en el subgrupo BRCA1/2 se continúa la tendencia. La SG fue de 28,55 (23,82 a 32,95) vs. 29,27 (27,70 a NA) meses en los grupos de placebo+AAP y niraparib+AAP respectivamente (HR 0,88 (95%IC 0,58 a 1,34; p= 0,55).</w:t>
      </w:r>
    </w:p>
    <w:p w14:paraId="376185D7" w14:textId="20B77B79" w:rsidR="00AE1E7F" w:rsidRDefault="009C6417" w:rsidP="00AE1E7F">
      <w:pPr>
        <w:keepNext/>
        <w:jc w:val="both"/>
      </w:pPr>
      <w:r>
        <w:rPr>
          <w:noProof/>
        </w:rPr>
        <w:drawing>
          <wp:inline distT="0" distB="0" distL="0" distR="0" wp14:anchorId="16FBC583" wp14:editId="3360B975">
            <wp:extent cx="3896360" cy="25203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6360" cy="2520315"/>
                    </a:xfrm>
                    <a:prstGeom prst="rect">
                      <a:avLst/>
                    </a:prstGeom>
                    <a:noFill/>
                    <a:ln>
                      <a:noFill/>
                    </a:ln>
                  </pic:spPr>
                </pic:pic>
              </a:graphicData>
            </a:graphic>
          </wp:inline>
        </w:drawing>
      </w:r>
    </w:p>
    <w:p w14:paraId="335849D8" w14:textId="77777777" w:rsidR="00AE1E7F" w:rsidRPr="000A3792" w:rsidRDefault="001A0EA8" w:rsidP="00AE1E7F">
      <w:pPr>
        <w:pStyle w:val="Descripcin1"/>
        <w:jc w:val="both"/>
        <w:rPr>
          <w:rFonts w:ascii="Arial" w:hAnsi="Arial" w:cs="Arial"/>
          <w:bCs w:val="0"/>
        </w:rPr>
      </w:pPr>
      <w:r w:rsidRPr="000A3792">
        <w:rPr>
          <w:rFonts w:ascii="Arial" w:hAnsi="Arial" w:cs="Arial"/>
        </w:rPr>
        <w:t>Figura 13 SG en BRCA1/2 mutado del segundo análisis intermedio</w:t>
      </w:r>
    </w:p>
    <w:p w14:paraId="5D15BAE9" w14:textId="77777777" w:rsidR="00C038CB" w:rsidRPr="000A3792" w:rsidRDefault="00C038CB" w:rsidP="001B6100">
      <w:pPr>
        <w:jc w:val="both"/>
        <w:rPr>
          <w:rFonts w:ascii="Arial" w:hAnsi="Arial" w:cs="Arial"/>
          <w:bCs/>
          <w:sz w:val="20"/>
          <w:szCs w:val="20"/>
        </w:rPr>
      </w:pPr>
    </w:p>
    <w:p w14:paraId="25B05583" w14:textId="77777777" w:rsidR="00C038CB" w:rsidRPr="000A3792" w:rsidRDefault="001A0EA8" w:rsidP="001B6100">
      <w:pPr>
        <w:jc w:val="both"/>
        <w:rPr>
          <w:rFonts w:ascii="Arial" w:hAnsi="Arial" w:cs="Arial"/>
          <w:bCs/>
          <w:sz w:val="20"/>
          <w:szCs w:val="20"/>
        </w:rPr>
      </w:pPr>
      <w:r w:rsidRPr="000A3792">
        <w:rPr>
          <w:rFonts w:ascii="Arial" w:hAnsi="Arial" w:cs="Arial"/>
          <w:bCs/>
          <w:sz w:val="20"/>
          <w:szCs w:val="20"/>
        </w:rPr>
        <w:t xml:space="preserve">En ambos casos apenas se aprecia distanciamiento, si no entrecruzamiento entre las líneas de SG en la gráfica de Kaplan Meier. </w:t>
      </w:r>
    </w:p>
    <w:p w14:paraId="78CD4666" w14:textId="77777777" w:rsidR="00D64C45" w:rsidRPr="000A3792" w:rsidRDefault="00D64C45" w:rsidP="001B6100">
      <w:pPr>
        <w:jc w:val="both"/>
        <w:rPr>
          <w:rFonts w:ascii="Arial" w:hAnsi="Arial" w:cs="Arial"/>
          <w:bCs/>
          <w:sz w:val="20"/>
          <w:szCs w:val="20"/>
        </w:rPr>
      </w:pPr>
    </w:p>
    <w:p w14:paraId="76129FA7" w14:textId="77777777" w:rsidR="00D64C45" w:rsidRPr="000A3792" w:rsidRDefault="001A0EA8" w:rsidP="00D64C45">
      <w:pPr>
        <w:jc w:val="both"/>
        <w:rPr>
          <w:rFonts w:ascii="Arial" w:hAnsi="Arial" w:cs="Arial"/>
          <w:bCs/>
          <w:sz w:val="20"/>
          <w:szCs w:val="20"/>
        </w:rPr>
      </w:pPr>
      <w:r w:rsidRPr="000A3792">
        <w:rPr>
          <w:rFonts w:ascii="Arial" w:hAnsi="Arial" w:cs="Arial"/>
          <w:bCs/>
          <w:sz w:val="20"/>
          <w:szCs w:val="20"/>
        </w:rPr>
        <w:t xml:space="preserve">Además, Los datos de SG en el subgrupo </w:t>
      </w:r>
      <w:r w:rsidRPr="000A3792">
        <w:rPr>
          <w:rFonts w:ascii="Arial" w:hAnsi="Arial" w:cs="Arial"/>
          <w:bCs/>
          <w:sz w:val="20"/>
          <w:szCs w:val="20"/>
          <w:u w:val="single"/>
        </w:rPr>
        <w:t>no BRCA</w:t>
      </w:r>
      <w:r w:rsidRPr="000A3792">
        <w:rPr>
          <w:rFonts w:ascii="Arial" w:hAnsi="Arial" w:cs="Arial"/>
          <w:bCs/>
          <w:sz w:val="20"/>
          <w:szCs w:val="20"/>
        </w:rPr>
        <w:t xml:space="preserve"> basados en el segundo análisis intermedio sugirieron un posible efecto perjudicial con niraparib+AAP en comparación con placebo+AAP (HR 1,16; IC del 95%: 0,76, 1,77), con una mediana de SG de 29,31 meses en el brazo de niraparib+AAP y no se alcanzó en el de placebo+APP, aunque no se alcanzó la significación estadística.</w:t>
      </w:r>
    </w:p>
    <w:p w14:paraId="4383B963" w14:textId="77777777" w:rsidR="00FC0EF1" w:rsidRDefault="00FC0EF1" w:rsidP="00D64C45">
      <w:pPr>
        <w:jc w:val="both"/>
        <w:rPr>
          <w:rFonts w:ascii="Calibri" w:hAnsi="Calibri" w:cs="Calibri"/>
          <w:bCs/>
          <w:sz w:val="22"/>
          <w:szCs w:val="20"/>
        </w:rPr>
      </w:pPr>
    </w:p>
    <w:p w14:paraId="2F6BDE36" w14:textId="538F1AFA" w:rsidR="00FC0EF1" w:rsidRDefault="009C6417" w:rsidP="00FC0EF1">
      <w:pPr>
        <w:keepNext/>
        <w:jc w:val="both"/>
      </w:pPr>
      <w:r>
        <w:rPr>
          <w:noProof/>
        </w:rPr>
        <w:drawing>
          <wp:inline distT="0" distB="0" distL="0" distR="0" wp14:anchorId="53D4E1DE" wp14:editId="11465DF4">
            <wp:extent cx="3665855" cy="26555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5855" cy="2655570"/>
                    </a:xfrm>
                    <a:prstGeom prst="rect">
                      <a:avLst/>
                    </a:prstGeom>
                    <a:noFill/>
                    <a:ln>
                      <a:noFill/>
                    </a:ln>
                  </pic:spPr>
                </pic:pic>
              </a:graphicData>
            </a:graphic>
          </wp:inline>
        </w:drawing>
      </w:r>
    </w:p>
    <w:p w14:paraId="58388FE3" w14:textId="77777777" w:rsidR="00FC0EF1" w:rsidRPr="000A3792" w:rsidRDefault="001A0EA8" w:rsidP="00FC0EF1">
      <w:pPr>
        <w:pStyle w:val="Descripcin1"/>
        <w:jc w:val="both"/>
        <w:rPr>
          <w:rFonts w:ascii="Arial" w:hAnsi="Arial" w:cs="Arial"/>
          <w:bCs w:val="0"/>
        </w:rPr>
      </w:pPr>
      <w:r w:rsidRPr="000A3792">
        <w:rPr>
          <w:rFonts w:ascii="Arial" w:hAnsi="Arial" w:cs="Arial"/>
        </w:rPr>
        <w:t>Figura 14. SG en mutaciones no BRCA del segundo análisis intermedio</w:t>
      </w:r>
    </w:p>
    <w:p w14:paraId="0CF4E23E" w14:textId="77777777" w:rsidR="00FC0EF1" w:rsidRPr="000A3792" w:rsidRDefault="00FC0EF1" w:rsidP="00D64C45">
      <w:pPr>
        <w:jc w:val="both"/>
        <w:rPr>
          <w:rFonts w:ascii="Arial" w:hAnsi="Arial" w:cs="Arial"/>
          <w:bCs/>
          <w:sz w:val="20"/>
          <w:szCs w:val="20"/>
        </w:rPr>
      </w:pPr>
    </w:p>
    <w:p w14:paraId="299811C8" w14:textId="77777777" w:rsidR="00FC0EF1" w:rsidRPr="000A3792" w:rsidRDefault="001A0EA8" w:rsidP="00D64C45">
      <w:pPr>
        <w:jc w:val="both"/>
        <w:rPr>
          <w:rFonts w:ascii="Arial" w:hAnsi="Arial" w:cs="Arial"/>
          <w:bCs/>
          <w:sz w:val="20"/>
          <w:szCs w:val="20"/>
        </w:rPr>
      </w:pPr>
      <w:r w:rsidRPr="000A3792">
        <w:rPr>
          <w:rFonts w:ascii="Arial" w:hAnsi="Arial" w:cs="Arial"/>
          <w:bCs/>
          <w:sz w:val="20"/>
          <w:szCs w:val="20"/>
        </w:rPr>
        <w:t>Los resultados comunicados plantearon dudas sobre el posible beneficio de niraparib+AAP en pacientes con mutaciones no BRCA, que representaban un subgrupo heterogéneo de pacientes con diferentes tipos de alteraciones genéticas HRR.</w:t>
      </w:r>
    </w:p>
    <w:p w14:paraId="49EEF468" w14:textId="77777777" w:rsidR="00FC0EF1" w:rsidRPr="000A3792" w:rsidRDefault="00FC0EF1" w:rsidP="00D64C45">
      <w:pPr>
        <w:jc w:val="both"/>
        <w:rPr>
          <w:rFonts w:ascii="Arial" w:hAnsi="Arial" w:cs="Arial"/>
          <w:bCs/>
          <w:sz w:val="20"/>
          <w:szCs w:val="20"/>
        </w:rPr>
      </w:pPr>
    </w:p>
    <w:p w14:paraId="6F230FF2" w14:textId="77777777" w:rsidR="00D64C45" w:rsidRPr="000A3792" w:rsidRDefault="001A0EA8" w:rsidP="00D64C45">
      <w:pPr>
        <w:jc w:val="both"/>
        <w:rPr>
          <w:rFonts w:ascii="Arial" w:hAnsi="Arial" w:cs="Arial"/>
          <w:bCs/>
          <w:sz w:val="20"/>
          <w:szCs w:val="20"/>
        </w:rPr>
      </w:pPr>
      <w:r w:rsidRPr="000A3792">
        <w:rPr>
          <w:rFonts w:ascii="Arial" w:hAnsi="Arial" w:cs="Arial"/>
          <w:bCs/>
          <w:sz w:val="20"/>
          <w:szCs w:val="20"/>
        </w:rPr>
        <w:t>Se proporcionó un análisis de los datos de eficacia por alteración génica en el subgrupo no BRCA. Sin embargo, la interpretación de los resultados se vio dificultada por el pequeño tamaño de los subgrupos.</w:t>
      </w:r>
    </w:p>
    <w:p w14:paraId="2F27B2C6" w14:textId="77777777" w:rsidR="00FC0EF1" w:rsidRPr="000A3792" w:rsidRDefault="00FC0EF1" w:rsidP="00D64C45">
      <w:pPr>
        <w:jc w:val="both"/>
        <w:rPr>
          <w:rFonts w:ascii="Arial" w:hAnsi="Arial" w:cs="Arial"/>
          <w:bCs/>
          <w:sz w:val="20"/>
          <w:szCs w:val="20"/>
        </w:rPr>
      </w:pPr>
    </w:p>
    <w:p w14:paraId="21021326" w14:textId="77777777" w:rsidR="00D64C45" w:rsidRPr="000A3792" w:rsidRDefault="001A0EA8" w:rsidP="00D64C45">
      <w:pPr>
        <w:jc w:val="both"/>
        <w:rPr>
          <w:rFonts w:ascii="Arial" w:hAnsi="Arial" w:cs="Arial"/>
          <w:bCs/>
          <w:sz w:val="20"/>
          <w:szCs w:val="20"/>
        </w:rPr>
      </w:pPr>
      <w:r w:rsidRPr="000A3792">
        <w:rPr>
          <w:rFonts w:ascii="Arial" w:hAnsi="Arial" w:cs="Arial"/>
          <w:bCs/>
          <w:sz w:val="20"/>
          <w:szCs w:val="20"/>
        </w:rPr>
        <w:t>Además, no se han presentado datos preclínicos que respalden el efecto beneficioso de la combinación de niraparib+AAP en modelos tumorales resistentes a la castración que albergan otras alteraciones HRR distintas de BRCA. En consecuencia, la indicación por la EMA se limitó a la población con una mutación BRCA, en la que se observó un claro beneficio</w:t>
      </w:r>
    </w:p>
    <w:p w14:paraId="67A55BA3" w14:textId="77777777" w:rsidR="001B6100" w:rsidRDefault="001B6100" w:rsidP="000E0D5D"/>
    <w:p w14:paraId="4DB97D51" w14:textId="77777777" w:rsidR="001B6100" w:rsidRPr="000A3792" w:rsidRDefault="001A0EA8" w:rsidP="000E0D5D">
      <w:pPr>
        <w:rPr>
          <w:rFonts w:ascii="Arial" w:hAnsi="Arial" w:cs="Arial"/>
          <w:b/>
          <w:sz w:val="20"/>
          <w:szCs w:val="20"/>
          <w:u w:val="single"/>
        </w:rPr>
      </w:pPr>
      <w:r w:rsidRPr="000A3792">
        <w:rPr>
          <w:rFonts w:ascii="Arial" w:hAnsi="Arial" w:cs="Arial"/>
          <w:b/>
          <w:sz w:val="20"/>
          <w:szCs w:val="20"/>
          <w:u w:val="single"/>
        </w:rPr>
        <w:t>Otras variables</w:t>
      </w:r>
    </w:p>
    <w:p w14:paraId="600964FD" w14:textId="77777777" w:rsidR="000E0D5D" w:rsidRPr="000A3792" w:rsidRDefault="000E0D5D" w:rsidP="000E0D5D">
      <w:pPr>
        <w:rPr>
          <w:rFonts w:ascii="Arial" w:hAnsi="Arial" w:cs="Arial"/>
          <w:sz w:val="20"/>
          <w:szCs w:val="20"/>
        </w:rPr>
      </w:pPr>
    </w:p>
    <w:p w14:paraId="63743292" w14:textId="77777777" w:rsidR="001B6100" w:rsidRPr="000A3792" w:rsidRDefault="001A0EA8" w:rsidP="004B297D">
      <w:pPr>
        <w:numPr>
          <w:ilvl w:val="1"/>
          <w:numId w:val="13"/>
        </w:numPr>
        <w:jc w:val="both"/>
        <w:rPr>
          <w:rFonts w:ascii="Arial" w:hAnsi="Arial" w:cs="Arial"/>
          <w:bCs/>
          <w:sz w:val="20"/>
          <w:szCs w:val="20"/>
        </w:rPr>
      </w:pPr>
      <w:r w:rsidRPr="000A3792">
        <w:rPr>
          <w:rFonts w:ascii="Arial" w:hAnsi="Arial" w:cs="Arial"/>
          <w:bCs/>
          <w:sz w:val="20"/>
          <w:szCs w:val="20"/>
        </w:rPr>
        <w:t>Tiempo hasta progresión del PSA (TPSA)</w:t>
      </w:r>
    </w:p>
    <w:p w14:paraId="7BC5041F" w14:textId="77777777" w:rsidR="001B6100" w:rsidRPr="000A3792" w:rsidRDefault="001B6100" w:rsidP="001B6100">
      <w:pPr>
        <w:rPr>
          <w:rFonts w:ascii="Arial" w:hAnsi="Arial" w:cs="Arial"/>
          <w:sz w:val="20"/>
          <w:szCs w:val="20"/>
        </w:rPr>
      </w:pPr>
    </w:p>
    <w:p w14:paraId="503C077B" w14:textId="77777777" w:rsidR="001B6100" w:rsidRPr="000A3792" w:rsidRDefault="001A0EA8" w:rsidP="001B6100">
      <w:pPr>
        <w:jc w:val="both"/>
        <w:rPr>
          <w:rFonts w:ascii="Arial" w:hAnsi="Arial" w:cs="Arial"/>
          <w:bCs/>
          <w:sz w:val="20"/>
          <w:szCs w:val="20"/>
        </w:rPr>
      </w:pPr>
      <w:r w:rsidRPr="000A3792">
        <w:rPr>
          <w:rFonts w:ascii="Arial" w:hAnsi="Arial" w:cs="Arial"/>
          <w:bCs/>
          <w:sz w:val="20"/>
          <w:szCs w:val="20"/>
        </w:rPr>
        <w:t>En la población HRR+, se observó una prolongación sustancial del TPSA en los sujetos</w:t>
      </w:r>
    </w:p>
    <w:p w14:paraId="29F7DB04" w14:textId="77777777" w:rsidR="001B6100" w:rsidRPr="000A3792" w:rsidRDefault="001A0EA8" w:rsidP="001B6100">
      <w:pPr>
        <w:jc w:val="both"/>
        <w:rPr>
          <w:rFonts w:ascii="Arial" w:hAnsi="Arial" w:cs="Arial"/>
          <w:bCs/>
          <w:sz w:val="20"/>
          <w:szCs w:val="20"/>
        </w:rPr>
      </w:pPr>
      <w:r w:rsidRPr="000A3792">
        <w:rPr>
          <w:rFonts w:ascii="Arial" w:hAnsi="Arial" w:cs="Arial"/>
          <w:bCs/>
          <w:sz w:val="20"/>
          <w:szCs w:val="20"/>
        </w:rPr>
        <w:t>tratados con el grupo niraparib+AAP en comparación con el grupo placebo+AAP en el segundo análisis intermedio</w:t>
      </w:r>
      <w:r w:rsidR="00407514">
        <w:rPr>
          <w:rFonts w:ascii="Arial" w:hAnsi="Arial" w:cs="Arial"/>
          <w:bCs/>
          <w:sz w:val="20"/>
          <w:szCs w:val="20"/>
        </w:rPr>
        <w:t xml:space="preserve"> </w:t>
      </w:r>
      <w:r w:rsidRPr="000A3792">
        <w:rPr>
          <w:rFonts w:ascii="Arial" w:hAnsi="Arial" w:cs="Arial"/>
          <w:bCs/>
          <w:sz w:val="20"/>
          <w:szCs w:val="20"/>
        </w:rPr>
        <w:t>(mediana de 18,37 meses nira</w:t>
      </w:r>
      <w:r w:rsidR="00407514">
        <w:rPr>
          <w:rFonts w:ascii="Arial" w:hAnsi="Arial" w:cs="Arial"/>
          <w:bCs/>
          <w:sz w:val="20"/>
          <w:szCs w:val="20"/>
        </w:rPr>
        <w:t>parib</w:t>
      </w:r>
      <w:r w:rsidRPr="000A3792">
        <w:rPr>
          <w:rFonts w:ascii="Arial" w:hAnsi="Arial" w:cs="Arial"/>
          <w:bCs/>
          <w:sz w:val="20"/>
          <w:szCs w:val="20"/>
        </w:rPr>
        <w:t>+AAP frente a 9,33 meses placebo+AAP). HR 0,602 (IC 95%: 0,462, 0,785); p=0.0002</w:t>
      </w:r>
    </w:p>
    <w:p w14:paraId="249A006C" w14:textId="77777777" w:rsidR="001B6100" w:rsidRPr="000A3792" w:rsidRDefault="001B6100" w:rsidP="001B6100">
      <w:pPr>
        <w:jc w:val="both"/>
        <w:rPr>
          <w:rFonts w:ascii="Arial" w:hAnsi="Arial" w:cs="Arial"/>
          <w:bCs/>
          <w:sz w:val="20"/>
          <w:szCs w:val="20"/>
        </w:rPr>
      </w:pPr>
    </w:p>
    <w:p w14:paraId="430EEC27" w14:textId="77777777" w:rsidR="001B6100" w:rsidRPr="000A3792" w:rsidRDefault="001A0EA8" w:rsidP="001B6100">
      <w:pPr>
        <w:jc w:val="both"/>
        <w:rPr>
          <w:rFonts w:ascii="Arial" w:hAnsi="Arial" w:cs="Arial"/>
          <w:bCs/>
          <w:sz w:val="20"/>
          <w:szCs w:val="20"/>
        </w:rPr>
      </w:pPr>
      <w:r w:rsidRPr="000A3792">
        <w:rPr>
          <w:rFonts w:ascii="Arial" w:hAnsi="Arial" w:cs="Arial"/>
          <w:bCs/>
          <w:sz w:val="20"/>
          <w:szCs w:val="20"/>
        </w:rPr>
        <w:t>Se observó un efecto similar del TSPA en el subgrupo BRCA1/2, con casi una duplicación de la mediana de TSPA en el grupo niraparib+AAP (18,43 meses) en comparación con el grupo placebo+AAP (9,23 meses) con un HR=0,478 (IC 95%: 0,328, 0,696); p &lt;0,0001</w:t>
      </w:r>
    </w:p>
    <w:p w14:paraId="2E86617F" w14:textId="77777777" w:rsidR="00B15E9A" w:rsidRPr="000A3792" w:rsidRDefault="00B15E9A" w:rsidP="001B6100">
      <w:pPr>
        <w:jc w:val="both"/>
        <w:rPr>
          <w:rFonts w:ascii="Arial" w:hAnsi="Arial" w:cs="Arial"/>
          <w:bCs/>
          <w:sz w:val="20"/>
          <w:szCs w:val="20"/>
        </w:rPr>
      </w:pPr>
    </w:p>
    <w:p w14:paraId="745709FE" w14:textId="77777777" w:rsidR="00B15E9A" w:rsidRPr="000A3792" w:rsidRDefault="001A0EA8" w:rsidP="00B15E9A">
      <w:pPr>
        <w:numPr>
          <w:ilvl w:val="1"/>
          <w:numId w:val="13"/>
        </w:numPr>
        <w:jc w:val="both"/>
        <w:rPr>
          <w:rFonts w:ascii="Arial" w:hAnsi="Arial" w:cs="Arial"/>
          <w:bCs/>
          <w:sz w:val="20"/>
          <w:szCs w:val="20"/>
        </w:rPr>
      </w:pPr>
      <w:r w:rsidRPr="000A3792">
        <w:rPr>
          <w:rFonts w:ascii="Arial" w:hAnsi="Arial" w:cs="Arial"/>
          <w:bCs/>
          <w:sz w:val="20"/>
          <w:szCs w:val="20"/>
        </w:rPr>
        <w:t>Duración de la respuesta (DR)</w:t>
      </w:r>
    </w:p>
    <w:p w14:paraId="4A2752B4" w14:textId="77777777" w:rsidR="00B15E9A" w:rsidRPr="000A3792" w:rsidRDefault="00B15E9A" w:rsidP="00B15E9A">
      <w:pPr>
        <w:jc w:val="both"/>
        <w:rPr>
          <w:rFonts w:ascii="Arial" w:hAnsi="Arial" w:cs="Arial"/>
          <w:bCs/>
          <w:sz w:val="20"/>
          <w:szCs w:val="20"/>
        </w:rPr>
      </w:pPr>
    </w:p>
    <w:p w14:paraId="619C9FED" w14:textId="1CFFE47D" w:rsidR="00B15E9A" w:rsidRPr="000A3792" w:rsidRDefault="001A0EA8" w:rsidP="00B15E9A">
      <w:pPr>
        <w:jc w:val="both"/>
        <w:rPr>
          <w:rFonts w:ascii="Arial" w:hAnsi="Arial" w:cs="Arial"/>
          <w:bCs/>
          <w:sz w:val="20"/>
          <w:szCs w:val="20"/>
        </w:rPr>
      </w:pPr>
      <w:r w:rsidRPr="000A3792">
        <w:rPr>
          <w:rFonts w:ascii="Arial" w:hAnsi="Arial" w:cs="Arial"/>
          <w:bCs/>
          <w:sz w:val="20"/>
          <w:szCs w:val="20"/>
        </w:rPr>
        <w:t>En la población H</w:t>
      </w:r>
      <w:r w:rsidR="00407514">
        <w:rPr>
          <w:rFonts w:ascii="Arial" w:hAnsi="Arial" w:cs="Arial"/>
          <w:bCs/>
          <w:sz w:val="20"/>
          <w:szCs w:val="20"/>
        </w:rPr>
        <w:t>RR</w:t>
      </w:r>
      <w:r w:rsidRPr="000A3792">
        <w:rPr>
          <w:rFonts w:ascii="Arial" w:hAnsi="Arial" w:cs="Arial"/>
          <w:bCs/>
          <w:sz w:val="20"/>
          <w:szCs w:val="20"/>
        </w:rPr>
        <w:t>+, la mediana de la duración de la respuesta de los sujetos con RC o RP entre los sujetos con enfermedad medible al inicio del estudio fue mayor en el grupo de niraparib+AAP con una mediana de 11,07 meses frente a 8,67 meses en el grupo placebo+AAP.</w:t>
      </w:r>
    </w:p>
    <w:p w14:paraId="50B02D73" w14:textId="77777777" w:rsidR="00B15E9A" w:rsidRPr="000A3792" w:rsidRDefault="001A0EA8" w:rsidP="00B15E9A">
      <w:pPr>
        <w:jc w:val="both"/>
        <w:rPr>
          <w:rFonts w:ascii="Arial" w:hAnsi="Arial" w:cs="Arial"/>
          <w:bCs/>
          <w:sz w:val="20"/>
          <w:szCs w:val="20"/>
        </w:rPr>
      </w:pPr>
      <w:r w:rsidRPr="000A3792">
        <w:rPr>
          <w:rFonts w:ascii="Arial" w:hAnsi="Arial" w:cs="Arial"/>
          <w:bCs/>
          <w:sz w:val="20"/>
          <w:szCs w:val="20"/>
        </w:rPr>
        <w:t>Los resultados en el subgrupo BRCA coincidieron con los de la población HRR+, observándose una mayor duración de la respuesta en el grupo niraparib+AAP.</w:t>
      </w:r>
    </w:p>
    <w:p w14:paraId="11CC7344" w14:textId="77777777" w:rsidR="00376C07" w:rsidRPr="000A3792" w:rsidRDefault="00376C07" w:rsidP="00B15E9A">
      <w:pPr>
        <w:jc w:val="both"/>
        <w:rPr>
          <w:rFonts w:ascii="Arial" w:hAnsi="Arial" w:cs="Arial"/>
          <w:bCs/>
          <w:sz w:val="20"/>
          <w:szCs w:val="20"/>
        </w:rPr>
      </w:pPr>
    </w:p>
    <w:p w14:paraId="6B6EAD0D" w14:textId="77777777" w:rsidR="00376C07" w:rsidRPr="000A3792" w:rsidRDefault="001A0EA8" w:rsidP="00376C07">
      <w:pPr>
        <w:numPr>
          <w:ilvl w:val="1"/>
          <w:numId w:val="13"/>
        </w:numPr>
        <w:jc w:val="both"/>
        <w:rPr>
          <w:rFonts w:ascii="Arial" w:hAnsi="Arial" w:cs="Arial"/>
          <w:bCs/>
          <w:sz w:val="20"/>
          <w:szCs w:val="20"/>
        </w:rPr>
      </w:pPr>
      <w:r w:rsidRPr="000A3792">
        <w:rPr>
          <w:rFonts w:ascii="Arial" w:hAnsi="Arial" w:cs="Arial"/>
          <w:bCs/>
          <w:sz w:val="20"/>
          <w:szCs w:val="20"/>
        </w:rPr>
        <w:t>Resultados reportados por los pacientes</w:t>
      </w:r>
    </w:p>
    <w:p w14:paraId="0FF1B227" w14:textId="77777777" w:rsidR="00376C07" w:rsidRPr="000A3792" w:rsidRDefault="00376C07" w:rsidP="00376C07">
      <w:pPr>
        <w:jc w:val="both"/>
        <w:rPr>
          <w:rFonts w:ascii="Arial" w:hAnsi="Arial" w:cs="Arial"/>
          <w:bCs/>
          <w:sz w:val="20"/>
          <w:szCs w:val="20"/>
        </w:rPr>
      </w:pPr>
    </w:p>
    <w:p w14:paraId="464C4155" w14:textId="77777777" w:rsidR="00376C07" w:rsidRPr="000A3792" w:rsidRDefault="001A0EA8" w:rsidP="00376C07">
      <w:pPr>
        <w:jc w:val="both"/>
        <w:rPr>
          <w:rFonts w:ascii="Arial" w:hAnsi="Arial" w:cs="Arial"/>
          <w:bCs/>
          <w:sz w:val="20"/>
          <w:szCs w:val="20"/>
        </w:rPr>
      </w:pPr>
      <w:r w:rsidRPr="000A3792">
        <w:rPr>
          <w:rFonts w:ascii="Arial" w:hAnsi="Arial" w:cs="Arial"/>
          <w:bCs/>
          <w:sz w:val="20"/>
          <w:szCs w:val="20"/>
        </w:rPr>
        <w:t>Primer análisis intermedio:</w:t>
      </w:r>
    </w:p>
    <w:p w14:paraId="7673386F" w14:textId="77777777" w:rsidR="00376C07" w:rsidRPr="000A3792" w:rsidRDefault="001A0EA8" w:rsidP="00376C07">
      <w:pPr>
        <w:jc w:val="both"/>
        <w:rPr>
          <w:rFonts w:ascii="Arial" w:hAnsi="Arial" w:cs="Arial"/>
          <w:bCs/>
          <w:sz w:val="20"/>
          <w:szCs w:val="20"/>
        </w:rPr>
      </w:pPr>
      <w:r w:rsidRPr="000A3792">
        <w:rPr>
          <w:rFonts w:ascii="Arial" w:hAnsi="Arial" w:cs="Arial"/>
          <w:bCs/>
          <w:sz w:val="20"/>
          <w:szCs w:val="20"/>
        </w:rPr>
        <w:t>No hubo diferencias clínicamente significativas en la calidad de vida global (FACT-P).</w:t>
      </w:r>
    </w:p>
    <w:p w14:paraId="3D49035E" w14:textId="77777777" w:rsidR="00E27179" w:rsidRPr="000A3792" w:rsidRDefault="00E27179" w:rsidP="00376C07">
      <w:pPr>
        <w:jc w:val="both"/>
        <w:rPr>
          <w:rFonts w:ascii="Arial" w:hAnsi="Arial" w:cs="Arial"/>
          <w:bCs/>
          <w:sz w:val="20"/>
          <w:szCs w:val="20"/>
        </w:rPr>
      </w:pPr>
    </w:p>
    <w:p w14:paraId="35130F88" w14:textId="77777777" w:rsidR="00376C07" w:rsidRPr="000A3792" w:rsidRDefault="001A0EA8" w:rsidP="00376C07">
      <w:pPr>
        <w:jc w:val="both"/>
        <w:rPr>
          <w:rFonts w:ascii="Arial" w:hAnsi="Arial" w:cs="Arial"/>
          <w:bCs/>
          <w:sz w:val="20"/>
          <w:szCs w:val="20"/>
        </w:rPr>
      </w:pPr>
      <w:r w:rsidRPr="000A3792">
        <w:rPr>
          <w:rFonts w:ascii="Arial" w:hAnsi="Arial" w:cs="Arial"/>
          <w:bCs/>
          <w:sz w:val="20"/>
          <w:szCs w:val="20"/>
        </w:rPr>
        <w:t>Segundo análisis intermedio (24)</w:t>
      </w:r>
    </w:p>
    <w:p w14:paraId="37479AD7" w14:textId="77777777" w:rsidR="00376C07" w:rsidRPr="000A3792" w:rsidRDefault="001A0EA8" w:rsidP="00376C07">
      <w:pPr>
        <w:jc w:val="both"/>
        <w:rPr>
          <w:rFonts w:ascii="Arial" w:hAnsi="Arial" w:cs="Arial"/>
          <w:bCs/>
          <w:sz w:val="20"/>
          <w:szCs w:val="20"/>
        </w:rPr>
      </w:pPr>
      <w:r w:rsidRPr="000A3792">
        <w:rPr>
          <w:rFonts w:ascii="Arial" w:hAnsi="Arial" w:cs="Arial"/>
          <w:bCs/>
          <w:sz w:val="20"/>
          <w:szCs w:val="20"/>
        </w:rPr>
        <w:t>Los pacientes BRCA tratados con niraparib+AAP experimentaron un retraso del tiempo hasta la peor intensidad del dolor (HR 0,70; IC 95%, 0,44-1,12; p=0,1338) y de la interferencia del dolor (HR 0,67; IC del 95%: 0,40-1,12; p nominal = 0,1275) en comparación con placebo+AAP pero estas diferencias no fueron estadísticamente significativas.</w:t>
      </w:r>
    </w:p>
    <w:p w14:paraId="510BFA0E" w14:textId="77777777" w:rsidR="004B297D" w:rsidRPr="000A3792" w:rsidRDefault="004B297D" w:rsidP="00376C07">
      <w:pPr>
        <w:jc w:val="both"/>
        <w:rPr>
          <w:rFonts w:ascii="Arial" w:hAnsi="Arial" w:cs="Arial"/>
          <w:bCs/>
          <w:sz w:val="20"/>
          <w:szCs w:val="20"/>
        </w:rPr>
      </w:pPr>
    </w:p>
    <w:p w14:paraId="5384BDA8" w14:textId="77777777" w:rsidR="000E0D5D" w:rsidRPr="000E0D5D" w:rsidRDefault="000E0D5D" w:rsidP="000E0D5D"/>
    <w:p w14:paraId="266CB651" w14:textId="77777777" w:rsidR="00442773" w:rsidRPr="00442773" w:rsidRDefault="00442773" w:rsidP="00442773">
      <w:pPr>
        <w:snapToGrid w:val="0"/>
        <w:jc w:val="both"/>
        <w:rPr>
          <w:rFonts w:ascii="Arial" w:hAnsi="Arial" w:cs="Arial"/>
          <w:b/>
          <w:color w:val="000080"/>
          <w:sz w:val="20"/>
          <w:szCs w:val="20"/>
          <w:lang w:val="es-ES_tradnl"/>
        </w:rPr>
      </w:pPr>
    </w:p>
    <w:p w14:paraId="339B0490"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5" w:name="_Toc344399636"/>
      <w:bookmarkStart w:id="56" w:name="_Toc348931363"/>
      <w:bookmarkStart w:id="57" w:name="_Toc153727195"/>
      <w:r w:rsidRPr="00E3472F">
        <w:rPr>
          <w:rFonts w:cs="Arial"/>
          <w:sz w:val="20"/>
        </w:rPr>
        <w:t>5.2.b Evaluación de la validez y de la utilidad práctica de los resultados</w:t>
      </w:r>
      <w:bookmarkEnd w:id="55"/>
      <w:bookmarkEnd w:id="56"/>
      <w:bookmarkEnd w:id="57"/>
      <w:r w:rsidRPr="00E3472F">
        <w:rPr>
          <w:rFonts w:cs="Arial"/>
          <w:sz w:val="20"/>
        </w:rPr>
        <w:t xml:space="preserve"> </w:t>
      </w:r>
    </w:p>
    <w:p w14:paraId="5D0AD88F" w14:textId="77777777" w:rsidR="00BC3E8E" w:rsidRDefault="00BC3E8E" w:rsidP="00BC3E8E">
      <w:pPr>
        <w:jc w:val="both"/>
        <w:rPr>
          <w:rFonts w:ascii="Arial" w:hAnsi="Arial" w:cs="Arial"/>
          <w:bCs/>
          <w:color w:val="000080"/>
          <w:sz w:val="20"/>
          <w:szCs w:val="20"/>
        </w:rPr>
      </w:pPr>
    </w:p>
    <w:p w14:paraId="0422D466" w14:textId="77777777"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58" w:name="_Toc344399637"/>
      <w:bookmarkStart w:id="59" w:name="_Toc348931364"/>
      <w:bookmarkStart w:id="60" w:name="_Toc153727196"/>
      <w:r w:rsidRPr="00EE2E78">
        <w:rPr>
          <w:bCs/>
          <w:color w:val="333300"/>
          <w:sz w:val="20"/>
        </w:rPr>
        <w:t>A. Validez interna. Limitaciones de diseño y/o comentarios:</w:t>
      </w:r>
      <w:bookmarkEnd w:id="58"/>
      <w:bookmarkEnd w:id="59"/>
      <w:bookmarkEnd w:id="60"/>
    </w:p>
    <w:p w14:paraId="68E48315" w14:textId="77777777" w:rsidR="00FF1361" w:rsidRPr="000A3792" w:rsidRDefault="00FF1361" w:rsidP="006656C4">
      <w:pPr>
        <w:autoSpaceDE w:val="0"/>
        <w:autoSpaceDN w:val="0"/>
        <w:adjustRightInd w:val="0"/>
        <w:jc w:val="both"/>
        <w:rPr>
          <w:rFonts w:ascii="Arial" w:hAnsi="Arial" w:cs="Arial"/>
          <w:bCs/>
          <w:sz w:val="20"/>
          <w:szCs w:val="20"/>
        </w:rPr>
      </w:pPr>
    </w:p>
    <w:p w14:paraId="2185BA49" w14:textId="77777777" w:rsidR="00FF1361" w:rsidRPr="000A3792" w:rsidRDefault="001A0EA8" w:rsidP="006656C4">
      <w:pPr>
        <w:autoSpaceDE w:val="0"/>
        <w:autoSpaceDN w:val="0"/>
        <w:adjustRightInd w:val="0"/>
        <w:jc w:val="both"/>
        <w:rPr>
          <w:rFonts w:ascii="Arial" w:hAnsi="Arial" w:cs="Arial"/>
          <w:bCs/>
          <w:sz w:val="20"/>
          <w:szCs w:val="20"/>
        </w:rPr>
      </w:pPr>
      <w:r w:rsidRPr="000A3792">
        <w:rPr>
          <w:rFonts w:ascii="Arial" w:hAnsi="Arial" w:cs="Arial"/>
          <w:bCs/>
          <w:sz w:val="20"/>
          <w:szCs w:val="20"/>
        </w:rPr>
        <w:t>La aleatorización se realizó en todos los centros del estudio mediante un sistema central interactivo de respuesta web (IWRS, por sus siglas en inglés).</w:t>
      </w:r>
    </w:p>
    <w:p w14:paraId="22484D73" w14:textId="77777777" w:rsidR="00423458" w:rsidRPr="000A3792" w:rsidRDefault="00423458" w:rsidP="006656C4">
      <w:pPr>
        <w:autoSpaceDE w:val="0"/>
        <w:autoSpaceDN w:val="0"/>
        <w:adjustRightInd w:val="0"/>
        <w:jc w:val="both"/>
        <w:rPr>
          <w:rFonts w:ascii="Arial" w:hAnsi="Arial" w:cs="Arial"/>
          <w:bCs/>
          <w:sz w:val="20"/>
          <w:szCs w:val="20"/>
        </w:rPr>
      </w:pPr>
    </w:p>
    <w:p w14:paraId="4E6623F9" w14:textId="6E0E3E6D" w:rsidR="00EB5196" w:rsidRPr="000A3792" w:rsidRDefault="001A0EA8" w:rsidP="006656C4">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Los sujetos se estratificaron en función de la exposición previa a quimioterapia con taxanos (sí frente a no), la exposición previa a terapias dirigidas contra el RA (terapia antiandrogénica </w:t>
      </w:r>
      <w:r w:rsidR="00B206A6">
        <w:rPr>
          <w:rFonts w:ascii="Arial" w:hAnsi="Arial" w:cs="Arial"/>
          <w:bCs/>
          <w:sz w:val="20"/>
          <w:szCs w:val="20"/>
        </w:rPr>
        <w:t>de nueva generación</w:t>
      </w:r>
      <w:r w:rsidRPr="000A3792">
        <w:rPr>
          <w:rFonts w:ascii="Arial" w:hAnsi="Arial" w:cs="Arial"/>
          <w:bCs/>
          <w:sz w:val="20"/>
          <w:szCs w:val="20"/>
        </w:rPr>
        <w:t xml:space="preserve"> previa, como enzalutamida, apalutamida, darolutamida frente a ninguna terapia antiandrogénica novedosa previa), y uso previo de AAP (sí frente a no). </w:t>
      </w:r>
    </w:p>
    <w:p w14:paraId="28BCACDE" w14:textId="77777777" w:rsidR="00423458" w:rsidRPr="000A3792" w:rsidRDefault="001A0EA8" w:rsidP="006656C4">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Para la Cohorte 1, también se realizó una estratificación por grupo de alteración genética (es decir, BRCA1 o BRCA2 frente a todas las demás alteraciones de los genes HRR). </w:t>
      </w:r>
    </w:p>
    <w:p w14:paraId="6940910B" w14:textId="77777777" w:rsidR="00423458" w:rsidRPr="000A3792" w:rsidRDefault="001A0EA8" w:rsidP="006656C4">
      <w:pPr>
        <w:autoSpaceDE w:val="0"/>
        <w:autoSpaceDN w:val="0"/>
        <w:adjustRightInd w:val="0"/>
        <w:jc w:val="both"/>
        <w:rPr>
          <w:rFonts w:ascii="Arial" w:hAnsi="Arial" w:cs="Arial"/>
          <w:bCs/>
          <w:sz w:val="20"/>
          <w:szCs w:val="20"/>
        </w:rPr>
      </w:pPr>
      <w:r w:rsidRPr="000A3792">
        <w:rPr>
          <w:rFonts w:ascii="Arial" w:hAnsi="Arial" w:cs="Arial"/>
          <w:bCs/>
          <w:sz w:val="20"/>
          <w:szCs w:val="20"/>
        </w:rPr>
        <w:t>La cohorte 3 fue abierta y no aleatorizada, aunque los revisores centrales independientes de diagnóstico por imagen no saben a qué cohorte están asignados los sujetos.</w:t>
      </w:r>
    </w:p>
    <w:p w14:paraId="6D094F60" w14:textId="77777777" w:rsidR="00423458" w:rsidRPr="000A3792" w:rsidRDefault="00423458" w:rsidP="006656C4">
      <w:pPr>
        <w:autoSpaceDE w:val="0"/>
        <w:autoSpaceDN w:val="0"/>
        <w:adjustRightInd w:val="0"/>
        <w:jc w:val="both"/>
        <w:rPr>
          <w:rFonts w:ascii="Arial" w:hAnsi="Arial" w:cs="Arial"/>
          <w:bCs/>
          <w:sz w:val="20"/>
          <w:szCs w:val="20"/>
        </w:rPr>
      </w:pPr>
    </w:p>
    <w:p w14:paraId="193703CC" w14:textId="77777777" w:rsidR="00423458" w:rsidRPr="000A3792" w:rsidRDefault="001A0EA8" w:rsidP="006656C4">
      <w:pPr>
        <w:autoSpaceDE w:val="0"/>
        <w:autoSpaceDN w:val="0"/>
        <w:adjustRightInd w:val="0"/>
        <w:jc w:val="both"/>
        <w:rPr>
          <w:rFonts w:ascii="Tahoma" w:hAnsi="Tahoma" w:cs="Tahoma"/>
          <w:bCs/>
          <w:sz w:val="20"/>
          <w:szCs w:val="20"/>
        </w:rPr>
      </w:pPr>
      <w:r w:rsidRPr="000A3792">
        <w:rPr>
          <w:rFonts w:ascii="Tahoma" w:hAnsi="Tahoma" w:cs="Tahoma"/>
          <w:bCs/>
          <w:sz w:val="20"/>
          <w:szCs w:val="20"/>
        </w:rPr>
        <w:t>Las cohortes 1 y 2 se realizaron a doble ciego.</w:t>
      </w:r>
    </w:p>
    <w:p w14:paraId="0F339921" w14:textId="77777777" w:rsidR="00423458" w:rsidRPr="000A3792" w:rsidRDefault="001A0EA8" w:rsidP="006656C4">
      <w:pPr>
        <w:autoSpaceDE w:val="0"/>
        <w:autoSpaceDN w:val="0"/>
        <w:adjustRightInd w:val="0"/>
        <w:jc w:val="both"/>
        <w:rPr>
          <w:rFonts w:ascii="Tahoma" w:hAnsi="Tahoma" w:cs="Tahoma"/>
          <w:bCs/>
          <w:sz w:val="20"/>
          <w:szCs w:val="20"/>
        </w:rPr>
      </w:pPr>
      <w:r w:rsidRPr="000A3792">
        <w:rPr>
          <w:rFonts w:ascii="Tahoma" w:hAnsi="Tahoma" w:cs="Tahoma"/>
          <w:bCs/>
          <w:sz w:val="20"/>
          <w:szCs w:val="20"/>
        </w:rPr>
        <w:t xml:space="preserve">Hubo 6 enmiendas globales al protocolo original. La primera enmienda se adoptó después de que comenzara el reclutamiento de sujetos. </w:t>
      </w:r>
    </w:p>
    <w:p w14:paraId="4986428E" w14:textId="77777777" w:rsidR="00423458" w:rsidRDefault="00423458" w:rsidP="006656C4">
      <w:pPr>
        <w:autoSpaceDE w:val="0"/>
        <w:autoSpaceDN w:val="0"/>
        <w:adjustRightInd w:val="0"/>
        <w:jc w:val="both"/>
        <w:rPr>
          <w:rFonts w:ascii="Tahoma" w:hAnsi="Tahoma" w:cs="Tahoma"/>
          <w:bCs/>
          <w:sz w:val="20"/>
          <w:szCs w:val="20"/>
        </w:rPr>
      </w:pPr>
    </w:p>
    <w:p w14:paraId="61BD0AA6" w14:textId="77777777" w:rsidR="00EB5196" w:rsidRPr="000A3792" w:rsidRDefault="00EB5196" w:rsidP="006656C4">
      <w:pPr>
        <w:autoSpaceDE w:val="0"/>
        <w:autoSpaceDN w:val="0"/>
        <w:adjustRightInd w:val="0"/>
        <w:jc w:val="both"/>
        <w:rPr>
          <w:rFonts w:ascii="Tahoma" w:hAnsi="Tahoma" w:cs="Tahoma"/>
          <w:bCs/>
          <w:sz w:val="20"/>
          <w:szCs w:val="20"/>
        </w:rPr>
      </w:pPr>
    </w:p>
    <w:p w14:paraId="3EB42AEF" w14:textId="77777777" w:rsidR="00423458" w:rsidRPr="000A3792" w:rsidRDefault="001A0EA8" w:rsidP="006656C4">
      <w:pPr>
        <w:autoSpaceDE w:val="0"/>
        <w:autoSpaceDN w:val="0"/>
        <w:adjustRightInd w:val="0"/>
        <w:jc w:val="both"/>
        <w:rPr>
          <w:rFonts w:ascii="Tahoma" w:hAnsi="Tahoma" w:cs="Tahoma"/>
          <w:bCs/>
          <w:sz w:val="20"/>
          <w:szCs w:val="20"/>
        </w:rPr>
      </w:pPr>
      <w:r w:rsidRPr="000A3792">
        <w:rPr>
          <w:rFonts w:ascii="Tahoma" w:hAnsi="Tahoma" w:cs="Tahoma"/>
          <w:bCs/>
          <w:sz w:val="20"/>
          <w:szCs w:val="20"/>
        </w:rPr>
        <w:t>Todas las desviaciones del protocolo en los criterios de elegibilidad y las desviaciones que pudieran afectar a la seguridad de los sujetos o a las variables principales se consideraron desviaciones importantes del protocolo.</w:t>
      </w:r>
    </w:p>
    <w:p w14:paraId="20DFFB80" w14:textId="77777777" w:rsidR="00423458" w:rsidRDefault="001A0EA8" w:rsidP="006656C4">
      <w:pPr>
        <w:autoSpaceDE w:val="0"/>
        <w:autoSpaceDN w:val="0"/>
        <w:adjustRightInd w:val="0"/>
        <w:jc w:val="both"/>
        <w:rPr>
          <w:rFonts w:ascii="Tahoma" w:hAnsi="Tahoma" w:cs="Tahoma"/>
          <w:bCs/>
          <w:sz w:val="20"/>
          <w:szCs w:val="20"/>
        </w:rPr>
      </w:pPr>
      <w:r w:rsidRPr="000A3792">
        <w:rPr>
          <w:rFonts w:ascii="Tahoma" w:hAnsi="Tahoma" w:cs="Tahoma"/>
          <w:bCs/>
          <w:sz w:val="20"/>
          <w:szCs w:val="20"/>
        </w:rPr>
        <w:t>Se identificaron desviaciones importantes del protocolo en 16 sujetos en total: 6 (2,8%) sujetos en el grupo niraparib+AAP y 10 (4,7%) sujetos en el grupo placebo+AAP.</w:t>
      </w:r>
    </w:p>
    <w:p w14:paraId="2E458B9F" w14:textId="77777777" w:rsidR="00EB5196" w:rsidRDefault="00EB5196" w:rsidP="006656C4">
      <w:pPr>
        <w:autoSpaceDE w:val="0"/>
        <w:autoSpaceDN w:val="0"/>
        <w:adjustRightInd w:val="0"/>
        <w:jc w:val="both"/>
        <w:rPr>
          <w:rFonts w:ascii="Tahoma" w:hAnsi="Tahoma" w:cs="Tahoma"/>
          <w:bCs/>
          <w:sz w:val="20"/>
          <w:szCs w:val="20"/>
        </w:rPr>
      </w:pPr>
    </w:p>
    <w:p w14:paraId="24EDFDDA" w14:textId="05D1A23C" w:rsidR="00EB5196" w:rsidRDefault="00EB5196" w:rsidP="00EB5196">
      <w:pPr>
        <w:autoSpaceDE w:val="0"/>
        <w:autoSpaceDN w:val="0"/>
        <w:adjustRightInd w:val="0"/>
        <w:jc w:val="both"/>
        <w:rPr>
          <w:rFonts w:ascii="Tahoma" w:hAnsi="Tahoma" w:cs="Tahoma"/>
          <w:bCs/>
          <w:sz w:val="20"/>
          <w:szCs w:val="20"/>
        </w:rPr>
      </w:pPr>
      <w:r>
        <w:rPr>
          <w:rFonts w:ascii="Tahoma" w:hAnsi="Tahoma" w:cs="Tahoma"/>
          <w:bCs/>
          <w:sz w:val="20"/>
          <w:szCs w:val="20"/>
        </w:rPr>
        <w:t xml:space="preserve">En la población incluida en el estudio, el 3% habían recibido de forma previa antiandrógenos de nueva generación de forma previa en la enfermedad no metastásica o metastásica hormonosensible, mientras que el 23% de los pacientes reclutados se encontraban en tratamiento con abiraterona ≤4 meses. </w:t>
      </w:r>
    </w:p>
    <w:p w14:paraId="71D21EA1" w14:textId="77777777" w:rsidR="00EB5196" w:rsidRPr="000A3792" w:rsidRDefault="00EB5196" w:rsidP="006656C4">
      <w:pPr>
        <w:autoSpaceDE w:val="0"/>
        <w:autoSpaceDN w:val="0"/>
        <w:adjustRightInd w:val="0"/>
        <w:jc w:val="both"/>
        <w:rPr>
          <w:rFonts w:ascii="Tahoma" w:hAnsi="Tahoma" w:cs="Tahoma"/>
          <w:bCs/>
          <w:sz w:val="20"/>
          <w:szCs w:val="20"/>
        </w:rPr>
      </w:pPr>
    </w:p>
    <w:p w14:paraId="4BC02DD3" w14:textId="77777777" w:rsidR="00F96F1F" w:rsidRPr="000A3792" w:rsidRDefault="00F96F1F" w:rsidP="006656C4">
      <w:pPr>
        <w:autoSpaceDE w:val="0"/>
        <w:autoSpaceDN w:val="0"/>
        <w:adjustRightInd w:val="0"/>
        <w:jc w:val="both"/>
        <w:rPr>
          <w:rFonts w:ascii="Tahoma" w:hAnsi="Tahoma" w:cs="Tahoma"/>
          <w:bCs/>
          <w:sz w:val="20"/>
          <w:szCs w:val="20"/>
        </w:rPr>
      </w:pPr>
    </w:p>
    <w:p w14:paraId="26AAC6B4" w14:textId="77777777" w:rsidR="006F579F" w:rsidRDefault="006F579F" w:rsidP="006F579F">
      <w:pPr>
        <w:pStyle w:val="Descripcin1"/>
        <w:keepNext/>
      </w:pPr>
      <w:r>
        <w:t xml:space="preserve">Tabla </w:t>
      </w:r>
      <w:r w:rsidR="002A6572">
        <w:t>8</w:t>
      </w:r>
      <w:r>
        <w:t xml:space="preserve"> </w:t>
      </w:r>
      <w:r w:rsidRPr="00333ED3">
        <w:t>Características Basales de los pacientes de la cohorte 1 (HRR+)</w:t>
      </w:r>
    </w:p>
    <w:p w14:paraId="0095B313" w14:textId="74A390EB" w:rsidR="00614E6B" w:rsidRDefault="009C6417" w:rsidP="00614E6B">
      <w:pPr>
        <w:autoSpaceDE w:val="0"/>
        <w:autoSpaceDN w:val="0"/>
        <w:adjustRightInd w:val="0"/>
        <w:rPr>
          <w:noProof/>
        </w:rPr>
      </w:pPr>
      <w:r>
        <w:rPr>
          <w:noProof/>
        </w:rPr>
        <w:drawing>
          <wp:inline distT="0" distB="0" distL="0" distR="0" wp14:anchorId="28E9F317" wp14:editId="5822EC7E">
            <wp:extent cx="4224049" cy="7511466"/>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427" cy="7521030"/>
                    </a:xfrm>
                    <a:prstGeom prst="rect">
                      <a:avLst/>
                    </a:prstGeom>
                    <a:noFill/>
                    <a:ln>
                      <a:noFill/>
                    </a:ln>
                  </pic:spPr>
                </pic:pic>
              </a:graphicData>
            </a:graphic>
          </wp:inline>
        </w:drawing>
      </w:r>
    </w:p>
    <w:p w14:paraId="0A037E8D" w14:textId="77777777" w:rsidR="00D64C45" w:rsidRDefault="00D64C45" w:rsidP="00614E6B">
      <w:pPr>
        <w:autoSpaceDE w:val="0"/>
        <w:autoSpaceDN w:val="0"/>
        <w:adjustRightInd w:val="0"/>
        <w:rPr>
          <w:noProof/>
        </w:rPr>
      </w:pPr>
    </w:p>
    <w:p w14:paraId="431AA5DD" w14:textId="77777777" w:rsidR="004B297D" w:rsidRDefault="004B297D" w:rsidP="00614E6B">
      <w:pPr>
        <w:autoSpaceDE w:val="0"/>
        <w:autoSpaceDN w:val="0"/>
        <w:adjustRightInd w:val="0"/>
        <w:rPr>
          <w:noProof/>
        </w:rPr>
      </w:pPr>
    </w:p>
    <w:p w14:paraId="7059EEEE" w14:textId="77777777" w:rsidR="00D64C45" w:rsidRPr="000A3792" w:rsidRDefault="001A0EA8" w:rsidP="00614E6B">
      <w:pPr>
        <w:autoSpaceDE w:val="0"/>
        <w:autoSpaceDN w:val="0"/>
        <w:adjustRightInd w:val="0"/>
        <w:rPr>
          <w:rFonts w:ascii="Arial" w:hAnsi="Arial" w:cs="Arial"/>
          <w:b/>
          <w:bCs/>
          <w:sz w:val="20"/>
          <w:szCs w:val="20"/>
        </w:rPr>
      </w:pPr>
      <w:r w:rsidRPr="000A3792">
        <w:rPr>
          <w:rFonts w:ascii="Arial" w:hAnsi="Arial" w:cs="Arial"/>
          <w:b/>
          <w:bCs/>
          <w:sz w:val="20"/>
          <w:szCs w:val="20"/>
        </w:rPr>
        <w:t>Cohorte 1:</w:t>
      </w:r>
    </w:p>
    <w:p w14:paraId="45300850" w14:textId="77777777" w:rsidR="00D64C45" w:rsidRPr="000A3792" w:rsidRDefault="00D64C45" w:rsidP="00614E6B">
      <w:pPr>
        <w:autoSpaceDE w:val="0"/>
        <w:autoSpaceDN w:val="0"/>
        <w:adjustRightInd w:val="0"/>
        <w:rPr>
          <w:rFonts w:ascii="Arial" w:hAnsi="Arial" w:cs="Arial"/>
          <w:noProof/>
          <w:sz w:val="22"/>
        </w:rPr>
      </w:pPr>
    </w:p>
    <w:p w14:paraId="5EBBB59C" w14:textId="77777777" w:rsidR="00D64C45" w:rsidRPr="000A3792" w:rsidRDefault="001A0EA8" w:rsidP="00A524FC">
      <w:pPr>
        <w:autoSpaceDE w:val="0"/>
        <w:autoSpaceDN w:val="0"/>
        <w:adjustRightInd w:val="0"/>
        <w:jc w:val="both"/>
        <w:rPr>
          <w:rFonts w:ascii="Arial" w:hAnsi="Arial" w:cs="Arial"/>
          <w:bCs/>
          <w:sz w:val="20"/>
          <w:szCs w:val="20"/>
        </w:rPr>
      </w:pPr>
      <w:r w:rsidRPr="000A3792">
        <w:rPr>
          <w:rFonts w:ascii="Arial" w:hAnsi="Arial" w:cs="Arial"/>
          <w:bCs/>
          <w:sz w:val="20"/>
          <w:szCs w:val="20"/>
        </w:rPr>
        <w:t>En el momento del primer análisis intermedio (8 de octubre de 2021), el 48% de los pacientes seguía en tratamiento (54% en el grupo de niraparib+AAP y 42% en el grupo de placebo+AAP. El principal motivo de interrupción en ambos grupos fue la progresión de la enfermedad (34% y 51%, respectivamente).</w:t>
      </w:r>
    </w:p>
    <w:p w14:paraId="623305A0" w14:textId="77777777" w:rsidR="006F579F" w:rsidRPr="000A3792" w:rsidRDefault="006F579F" w:rsidP="00614E6B">
      <w:pPr>
        <w:autoSpaceDE w:val="0"/>
        <w:autoSpaceDN w:val="0"/>
        <w:adjustRightInd w:val="0"/>
        <w:rPr>
          <w:rFonts w:ascii="Arial" w:hAnsi="Arial" w:cs="Arial"/>
          <w:bCs/>
          <w:sz w:val="20"/>
          <w:szCs w:val="20"/>
        </w:rPr>
      </w:pPr>
    </w:p>
    <w:p w14:paraId="5A6BB0CD"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Los pacientes incluidos en el estudio tenían una mediana de edad de 69 años (rango: 43, 100). La mayoría eran blancos (74%) y tenían un ECOG 0-1. Alrededor de la mitad de los pacientes fueron diagnosticados en un estadio metastásico (55%) y el 68% tenía una puntuación de Gleason ≥8 en el momento del diagnóstico inicial. Los niveles de testosterona (mediana) al inicio del estudio fueron de 1,21 (rango: 0,1, 3,1), lo que sugiere que algunos pacientes no tienen niveles castrados de testosterona (es decir, ≤50 ng/dL ≈ 1,74 nmol/L). Según el solicitante había 7 pacientes con niveles de testosterona &gt;50 ng/dL según el laboratorio central (6 en el brazo de control y 1 en el brazo experimental) pero según el laboratorio local estaban clínicamente castrados, por lo que no infringían los criterios de inclusión.</w:t>
      </w:r>
    </w:p>
    <w:p w14:paraId="706A94F7" w14:textId="77777777" w:rsidR="006F579F" w:rsidRPr="000A3792" w:rsidRDefault="006F579F" w:rsidP="006F579F">
      <w:pPr>
        <w:autoSpaceDE w:val="0"/>
        <w:autoSpaceDN w:val="0"/>
        <w:adjustRightInd w:val="0"/>
        <w:jc w:val="both"/>
        <w:rPr>
          <w:rFonts w:ascii="Arial" w:hAnsi="Arial" w:cs="Arial"/>
          <w:bCs/>
          <w:sz w:val="20"/>
          <w:szCs w:val="20"/>
        </w:rPr>
      </w:pPr>
    </w:p>
    <w:p w14:paraId="43E1C888"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Teniendo en cuenta el escaso número de pacientes, parece poco probable que esto haya podido influir en los resultados.</w:t>
      </w:r>
    </w:p>
    <w:p w14:paraId="47D6EC89" w14:textId="77777777" w:rsidR="006F579F" w:rsidRPr="000A3792" w:rsidRDefault="006F579F" w:rsidP="006F579F">
      <w:pPr>
        <w:autoSpaceDE w:val="0"/>
        <w:autoSpaceDN w:val="0"/>
        <w:adjustRightInd w:val="0"/>
        <w:jc w:val="both"/>
        <w:rPr>
          <w:rFonts w:ascii="Arial" w:hAnsi="Arial" w:cs="Arial"/>
          <w:bCs/>
          <w:sz w:val="20"/>
          <w:szCs w:val="20"/>
        </w:rPr>
      </w:pPr>
    </w:p>
    <w:p w14:paraId="1B3D2986"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Al inicio del estudio, la mayoría de los pacientes tenían metástasis óseas (83,5%), el 21,3% metástasis viscerales y el 49,2% metástasis ganglionares.</w:t>
      </w:r>
    </w:p>
    <w:p w14:paraId="146EC6C9"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Cabe destacar que la proporción de pacientes con metástasis visceral fue ligeramente superior en el brazo de niraparib+AAP (24,1% frente a 18,5%). La puntuación de dolor mediante el cuestionario breve para la evaluación del dolor (BPI-SF por sus siglas en inglés) fue de 0 en el 50% de los pacientes y de 1 a 3 en el 41,3%, según los criterios de inclusión.</w:t>
      </w:r>
    </w:p>
    <w:p w14:paraId="78CCBCF8" w14:textId="77777777" w:rsidR="00B76F50" w:rsidRPr="000A3792" w:rsidRDefault="00B76F50" w:rsidP="006F579F">
      <w:pPr>
        <w:autoSpaceDE w:val="0"/>
        <w:autoSpaceDN w:val="0"/>
        <w:adjustRightInd w:val="0"/>
        <w:jc w:val="both"/>
        <w:rPr>
          <w:rFonts w:ascii="Arial" w:hAnsi="Arial" w:cs="Arial"/>
          <w:bCs/>
          <w:sz w:val="20"/>
          <w:szCs w:val="20"/>
        </w:rPr>
      </w:pPr>
    </w:p>
    <w:p w14:paraId="617A7FE3"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Sin embargo, las puntuaciones de dolor se volvieron a evaluar el día 1 del ciclo 1, momento en el que 36 (8,6%) sujetos tenían una puntuación de dolor superior a 3. Las características basales generales eran comparables entre los subgrupos BRCA y no BRCA.</w:t>
      </w:r>
    </w:p>
    <w:p w14:paraId="338902CE" w14:textId="77777777" w:rsidR="001A0057" w:rsidRPr="000A3792" w:rsidRDefault="001A0057" w:rsidP="006F579F">
      <w:pPr>
        <w:autoSpaceDE w:val="0"/>
        <w:autoSpaceDN w:val="0"/>
        <w:adjustRightInd w:val="0"/>
        <w:jc w:val="both"/>
        <w:rPr>
          <w:rFonts w:ascii="Arial" w:hAnsi="Arial" w:cs="Arial"/>
          <w:bCs/>
          <w:sz w:val="20"/>
          <w:szCs w:val="20"/>
        </w:rPr>
      </w:pPr>
    </w:p>
    <w:p w14:paraId="2A3D5C6C"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Los pacientes del subgrupo con mutación BRCA eran ligeramente más jóvenes y una mayor proporción de pacientes había recibido previamente quimioterapia basada en taxanos y AAP. No se observan otras diferencias relevantes.</w:t>
      </w:r>
    </w:p>
    <w:p w14:paraId="0F0F6EEF" w14:textId="77777777" w:rsidR="000B5642" w:rsidRPr="000A3792" w:rsidRDefault="000B5642" w:rsidP="006F579F">
      <w:pPr>
        <w:autoSpaceDE w:val="0"/>
        <w:autoSpaceDN w:val="0"/>
        <w:adjustRightInd w:val="0"/>
        <w:jc w:val="both"/>
        <w:rPr>
          <w:rFonts w:ascii="Arial" w:hAnsi="Arial" w:cs="Arial"/>
          <w:bCs/>
          <w:sz w:val="20"/>
          <w:szCs w:val="20"/>
        </w:rPr>
      </w:pPr>
    </w:p>
    <w:p w14:paraId="5E1F762D" w14:textId="61CF4A60" w:rsidR="000B5642" w:rsidRPr="000A3792" w:rsidRDefault="001A0EA8" w:rsidP="000B5642">
      <w:pPr>
        <w:autoSpaceDE w:val="0"/>
        <w:autoSpaceDN w:val="0"/>
        <w:adjustRightInd w:val="0"/>
        <w:jc w:val="both"/>
        <w:rPr>
          <w:rFonts w:ascii="Arial" w:hAnsi="Arial" w:cs="Arial"/>
          <w:bCs/>
          <w:sz w:val="20"/>
          <w:szCs w:val="20"/>
        </w:rPr>
      </w:pPr>
      <w:r w:rsidRPr="000A3792">
        <w:rPr>
          <w:rFonts w:ascii="Arial" w:hAnsi="Arial" w:cs="Arial"/>
          <w:bCs/>
          <w:sz w:val="20"/>
          <w:szCs w:val="20"/>
        </w:rPr>
        <w:t>Todos los sujetos se habían sometido previamente a TPA mediante orquiectomía bilateral (14,7%) o mediante terapia con GnRHa (85,3%). La mayoría de los sujetos (95,7%) recibieron terapia hormonal previa.</w:t>
      </w:r>
    </w:p>
    <w:p w14:paraId="780594C1" w14:textId="77777777" w:rsidR="000B5642" w:rsidRPr="000A3792" w:rsidRDefault="000B5642" w:rsidP="006F579F">
      <w:pPr>
        <w:autoSpaceDE w:val="0"/>
        <w:autoSpaceDN w:val="0"/>
        <w:adjustRightInd w:val="0"/>
        <w:jc w:val="both"/>
        <w:rPr>
          <w:rFonts w:ascii="Arial" w:hAnsi="Arial" w:cs="Arial"/>
          <w:bCs/>
          <w:sz w:val="20"/>
          <w:szCs w:val="20"/>
        </w:rPr>
      </w:pPr>
    </w:p>
    <w:p w14:paraId="0928AC59"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Todos los pacientes incluidos en la Cohorte 1 presentaban una alteración del gen HRR. Hubo 229 (54,1%) pacientes con alteración de los genes BRCA1 o BRCA2, de las cuales 39 tenían alteraciones genéticas concurrentes. En cuanto a otras alteraciones ATM fue la más frecuente (85 [20,1%]). </w:t>
      </w:r>
    </w:p>
    <w:p w14:paraId="78688C19" w14:textId="77777777" w:rsidR="00A9090B" w:rsidRPr="000A3792" w:rsidRDefault="00A9090B" w:rsidP="006F579F">
      <w:pPr>
        <w:autoSpaceDE w:val="0"/>
        <w:autoSpaceDN w:val="0"/>
        <w:adjustRightInd w:val="0"/>
        <w:jc w:val="both"/>
        <w:rPr>
          <w:rFonts w:ascii="Arial" w:hAnsi="Arial" w:cs="Arial"/>
          <w:bCs/>
          <w:sz w:val="20"/>
          <w:szCs w:val="20"/>
        </w:rPr>
      </w:pPr>
    </w:p>
    <w:p w14:paraId="5DD39D02"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Con la modificación 3 del protocolo, las pacientes con ATM dejaron de incluirse en el estudio. La información sobre si estas mutaciones eran somáticas o de línea germinal no estaban disponibles, porque la técnica empleada no permitía distinguir entre mutaciones somáticas y de línea germinal.</w:t>
      </w:r>
    </w:p>
    <w:p w14:paraId="1A3B2E5F" w14:textId="77777777" w:rsidR="006F579F" w:rsidRPr="00E22B91" w:rsidRDefault="006F579F" w:rsidP="006F579F">
      <w:pPr>
        <w:autoSpaceDE w:val="0"/>
        <w:autoSpaceDN w:val="0"/>
        <w:adjustRightInd w:val="0"/>
        <w:jc w:val="both"/>
        <w:rPr>
          <w:rFonts w:ascii="Calibri" w:hAnsi="Calibri" w:cs="Calibri"/>
          <w:bCs/>
          <w:sz w:val="22"/>
          <w:szCs w:val="20"/>
        </w:rPr>
      </w:pPr>
    </w:p>
    <w:p w14:paraId="6B6EA16A"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En cuanto al tratamiento concomitante, más de la mitad de los pacientes recibieron analgésicos en ambos brazos de tratamiento, incluidos los opiáceos, pero el número de pacientes que recibieron opiáceos fue bajo y comparable entre los brazos de tratamiento.</w:t>
      </w:r>
    </w:p>
    <w:p w14:paraId="0E335479" w14:textId="77777777" w:rsidR="00B76F50" w:rsidRPr="000A3792" w:rsidRDefault="00B76F50" w:rsidP="006F579F">
      <w:pPr>
        <w:autoSpaceDE w:val="0"/>
        <w:autoSpaceDN w:val="0"/>
        <w:adjustRightInd w:val="0"/>
        <w:jc w:val="both"/>
        <w:rPr>
          <w:rFonts w:ascii="Arial" w:hAnsi="Arial" w:cs="Arial"/>
          <w:bCs/>
          <w:sz w:val="20"/>
          <w:szCs w:val="20"/>
        </w:rPr>
      </w:pPr>
    </w:p>
    <w:p w14:paraId="623C6E43"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El uso de antihipertensivos fue mayor en el brazo de niraparib+AAP, lo que no es inesperado teniendo en cuenta la toxicidad añadida de niraparib y AAP. Aproximadamente el 29% de los pacientes recibieron fármacos para el tratamiento de trastornos óseos (incluidos bifosfonatos y denosumab). Cabe destacar que la proporción de pacientes que recibieron denosumab fue casi el doble en el brazo de niraparib+AAP (15% frente a 8%).</w:t>
      </w:r>
    </w:p>
    <w:p w14:paraId="435EE50B" w14:textId="77777777" w:rsidR="00B76F50" w:rsidRPr="000A3792" w:rsidRDefault="00B76F50" w:rsidP="006F579F">
      <w:pPr>
        <w:autoSpaceDE w:val="0"/>
        <w:autoSpaceDN w:val="0"/>
        <w:adjustRightInd w:val="0"/>
        <w:jc w:val="both"/>
        <w:rPr>
          <w:rFonts w:ascii="Arial" w:hAnsi="Arial" w:cs="Arial"/>
          <w:bCs/>
          <w:sz w:val="20"/>
          <w:szCs w:val="20"/>
        </w:rPr>
      </w:pPr>
    </w:p>
    <w:p w14:paraId="2A85B5A2"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En la fecha de corte, entre los pacientes que habían interrumpido el tratamiento del estudio (97 en el brazo niraparib+AAP y 123 en el brazo placebo+AAP), el 47% y el 63% habían recibido tratamiento posterior, principalmente quimioterapia. </w:t>
      </w:r>
    </w:p>
    <w:p w14:paraId="6695CB23" w14:textId="77777777" w:rsidR="006F579F" w:rsidRPr="000A3792" w:rsidRDefault="001A0EA8" w:rsidP="006F579F">
      <w:pPr>
        <w:autoSpaceDE w:val="0"/>
        <w:autoSpaceDN w:val="0"/>
        <w:adjustRightInd w:val="0"/>
        <w:jc w:val="both"/>
        <w:rPr>
          <w:rFonts w:ascii="Arial" w:hAnsi="Arial" w:cs="Arial"/>
          <w:bCs/>
          <w:sz w:val="20"/>
          <w:szCs w:val="20"/>
        </w:rPr>
      </w:pPr>
      <w:r w:rsidRPr="000A3792">
        <w:rPr>
          <w:rFonts w:ascii="Arial" w:hAnsi="Arial" w:cs="Arial"/>
          <w:bCs/>
          <w:sz w:val="20"/>
          <w:szCs w:val="20"/>
        </w:rPr>
        <w:t>Unos 13 pacientes del grupo placebo+AAP recibieron tratamiento posterior con un iPARP, mientras que sólo 1 del grupo niraparib+AAP.</w:t>
      </w:r>
    </w:p>
    <w:p w14:paraId="1B9EDBE7" w14:textId="77777777" w:rsidR="0003400F" w:rsidRDefault="0003400F" w:rsidP="006F579F">
      <w:pPr>
        <w:autoSpaceDE w:val="0"/>
        <w:autoSpaceDN w:val="0"/>
        <w:adjustRightInd w:val="0"/>
        <w:jc w:val="both"/>
        <w:rPr>
          <w:rFonts w:ascii="Calibri" w:hAnsi="Calibri" w:cs="Calibri"/>
          <w:bCs/>
          <w:sz w:val="22"/>
          <w:szCs w:val="20"/>
        </w:rPr>
      </w:pPr>
    </w:p>
    <w:p w14:paraId="3866ECC2" w14:textId="77777777" w:rsidR="002A6572" w:rsidRDefault="002A6572" w:rsidP="002A6572">
      <w:pPr>
        <w:pStyle w:val="Descripcin1"/>
        <w:keepNext/>
        <w:jc w:val="both"/>
      </w:pPr>
      <w:r>
        <w:t>Tabla 9. Subgrupos</w:t>
      </w:r>
    </w:p>
    <w:p w14:paraId="5F959F06" w14:textId="1FDCA2BB" w:rsidR="0003400F" w:rsidRDefault="009C6417" w:rsidP="006F579F">
      <w:pPr>
        <w:autoSpaceDE w:val="0"/>
        <w:autoSpaceDN w:val="0"/>
        <w:adjustRightInd w:val="0"/>
        <w:jc w:val="both"/>
        <w:rPr>
          <w:noProof/>
        </w:rPr>
      </w:pPr>
      <w:r>
        <w:rPr>
          <w:noProof/>
        </w:rPr>
        <w:drawing>
          <wp:inline distT="0" distB="0" distL="0" distR="0" wp14:anchorId="321F9358" wp14:editId="57C446CA">
            <wp:extent cx="5605780" cy="40392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780" cy="4039235"/>
                    </a:xfrm>
                    <a:prstGeom prst="rect">
                      <a:avLst/>
                    </a:prstGeom>
                    <a:noFill/>
                    <a:ln>
                      <a:noFill/>
                    </a:ln>
                  </pic:spPr>
                </pic:pic>
              </a:graphicData>
            </a:graphic>
          </wp:inline>
        </w:drawing>
      </w:r>
    </w:p>
    <w:p w14:paraId="0A028D23" w14:textId="77777777" w:rsidR="0003400F" w:rsidRDefault="0003400F" w:rsidP="006F579F">
      <w:pPr>
        <w:autoSpaceDE w:val="0"/>
        <w:autoSpaceDN w:val="0"/>
        <w:adjustRightInd w:val="0"/>
        <w:jc w:val="both"/>
        <w:rPr>
          <w:noProof/>
        </w:rPr>
      </w:pPr>
    </w:p>
    <w:p w14:paraId="74F2FE11" w14:textId="4D86729F" w:rsidR="004F62BB" w:rsidRPr="000A3792" w:rsidRDefault="001A0EA8" w:rsidP="00A524FC">
      <w:pPr>
        <w:autoSpaceDE w:val="0"/>
        <w:autoSpaceDN w:val="0"/>
        <w:adjustRightInd w:val="0"/>
        <w:jc w:val="both"/>
        <w:rPr>
          <w:rFonts w:ascii="Arial" w:hAnsi="Arial" w:cs="Arial"/>
          <w:bCs/>
          <w:sz w:val="20"/>
          <w:szCs w:val="20"/>
        </w:rPr>
      </w:pPr>
      <w:r w:rsidRPr="000A3792">
        <w:rPr>
          <w:rFonts w:ascii="Arial" w:hAnsi="Arial" w:cs="Arial"/>
          <w:bCs/>
          <w:sz w:val="20"/>
          <w:szCs w:val="20"/>
        </w:rPr>
        <w:t>S</w:t>
      </w:r>
      <w:r w:rsidR="00407514">
        <w:rPr>
          <w:rFonts w:ascii="Arial" w:hAnsi="Arial" w:cs="Arial"/>
          <w:bCs/>
          <w:sz w:val="20"/>
          <w:szCs w:val="20"/>
        </w:rPr>
        <w:t>í</w:t>
      </w:r>
      <w:r w:rsidRPr="000A3792">
        <w:rPr>
          <w:rFonts w:ascii="Arial" w:hAnsi="Arial" w:cs="Arial"/>
          <w:bCs/>
          <w:sz w:val="20"/>
          <w:szCs w:val="20"/>
        </w:rPr>
        <w:t xml:space="preserve"> se observa </w:t>
      </w:r>
      <w:r w:rsidR="00DF5776">
        <w:rPr>
          <w:rFonts w:ascii="Arial" w:hAnsi="Arial" w:cs="Arial"/>
          <w:bCs/>
          <w:sz w:val="20"/>
          <w:szCs w:val="20"/>
        </w:rPr>
        <w:t>interacción</w:t>
      </w:r>
      <w:r w:rsidRPr="000A3792">
        <w:rPr>
          <w:rFonts w:ascii="Arial" w:hAnsi="Arial" w:cs="Arial"/>
          <w:bCs/>
          <w:sz w:val="20"/>
          <w:szCs w:val="20"/>
        </w:rPr>
        <w:t xml:space="preserve"> en el subgrupo de población con mutación BRCA respecto al resto de mutaciones HRR (P de interacción del tipo de mutación genética p=0,03)</w:t>
      </w:r>
      <w:r w:rsidR="00DF5776">
        <w:rPr>
          <w:rFonts w:ascii="Arial" w:hAnsi="Arial" w:cs="Arial"/>
          <w:bCs/>
          <w:sz w:val="20"/>
          <w:szCs w:val="20"/>
        </w:rPr>
        <w:t xml:space="preserve">. La plausibilidad biológica de esta observación es clara. </w:t>
      </w:r>
    </w:p>
    <w:p w14:paraId="13F80791" w14:textId="6F0F6652" w:rsidR="009D2340" w:rsidRDefault="009D2340" w:rsidP="00A524FC">
      <w:pPr>
        <w:autoSpaceDE w:val="0"/>
        <w:autoSpaceDN w:val="0"/>
        <w:adjustRightInd w:val="0"/>
        <w:jc w:val="both"/>
        <w:rPr>
          <w:rFonts w:ascii="Calibri" w:hAnsi="Calibri" w:cs="Calibri"/>
          <w:bCs/>
          <w:sz w:val="22"/>
          <w:szCs w:val="20"/>
        </w:rPr>
      </w:pPr>
    </w:p>
    <w:p w14:paraId="33E47C5E" w14:textId="77777777"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61" w:name="_Toc344399638"/>
      <w:bookmarkStart w:id="62" w:name="_Toc348931365"/>
      <w:bookmarkStart w:id="63" w:name="_Toc153727197"/>
      <w:r w:rsidRPr="00EE2E78">
        <w:rPr>
          <w:bCs/>
          <w:color w:val="333300"/>
          <w:sz w:val="20"/>
        </w:rPr>
        <w:t>B. Aplicabilidad del ensayo a la práctica del hospital</w:t>
      </w:r>
      <w:bookmarkEnd w:id="61"/>
      <w:bookmarkEnd w:id="62"/>
      <w:bookmarkEnd w:id="63"/>
    </w:p>
    <w:p w14:paraId="5F83F16C" w14:textId="6B699B0B" w:rsidR="00BC3E8E" w:rsidRDefault="00BC3E8E" w:rsidP="00BC3E8E">
      <w:pPr>
        <w:pStyle w:val="Textoindependiente3"/>
        <w:jc w:val="both"/>
        <w:rPr>
          <w:color w:val="000080"/>
          <w:sz w:val="20"/>
          <w:lang w:val="es-ES_tradnl"/>
        </w:rPr>
      </w:pPr>
    </w:p>
    <w:p w14:paraId="4D6DEF5A" w14:textId="2247F0C6" w:rsidR="00307211" w:rsidRPr="002A4DCD" w:rsidRDefault="00307211" w:rsidP="00BC3E8E">
      <w:pPr>
        <w:pStyle w:val="Textoindependiente3"/>
        <w:jc w:val="both"/>
        <w:rPr>
          <w:rFonts w:ascii="Arial" w:hAnsi="Arial" w:cs="Arial"/>
          <w:bCs/>
          <w:sz w:val="20"/>
          <w:szCs w:val="20"/>
        </w:rPr>
      </w:pPr>
      <w:r w:rsidRPr="002A4DCD">
        <w:rPr>
          <w:rFonts w:ascii="Arial" w:hAnsi="Arial" w:cs="Arial"/>
          <w:bCs/>
          <w:sz w:val="20"/>
          <w:szCs w:val="20"/>
        </w:rPr>
        <w:t xml:space="preserve">El 95% de los pacientes incluidos en el estudio no habían recibido de forma previa antiandrógenos de nueva generación y aproximadamente el 25% habían recibido docetaxel en el </w:t>
      </w:r>
      <w:r w:rsidR="002A4DCD" w:rsidRPr="002A4DCD">
        <w:rPr>
          <w:rFonts w:ascii="Arial" w:hAnsi="Arial" w:cs="Arial"/>
          <w:bCs/>
          <w:sz w:val="20"/>
          <w:szCs w:val="20"/>
        </w:rPr>
        <w:t>contexto</w:t>
      </w:r>
      <w:r w:rsidRPr="002A4DCD">
        <w:rPr>
          <w:rFonts w:ascii="Arial" w:hAnsi="Arial" w:cs="Arial"/>
          <w:bCs/>
          <w:sz w:val="20"/>
          <w:szCs w:val="20"/>
        </w:rPr>
        <w:t xml:space="preserve"> de </w:t>
      </w:r>
      <w:r w:rsidR="002A4DCD">
        <w:rPr>
          <w:rFonts w:ascii="Arial" w:hAnsi="Arial" w:cs="Arial"/>
          <w:bCs/>
          <w:sz w:val="20"/>
          <w:szCs w:val="20"/>
        </w:rPr>
        <w:t xml:space="preserve">enfermedad </w:t>
      </w:r>
      <w:r w:rsidRPr="002A4DCD">
        <w:rPr>
          <w:rFonts w:ascii="Arial" w:hAnsi="Arial" w:cs="Arial"/>
          <w:bCs/>
          <w:sz w:val="20"/>
          <w:szCs w:val="20"/>
        </w:rPr>
        <w:t>metastásic</w:t>
      </w:r>
      <w:r w:rsidR="002A4DCD">
        <w:rPr>
          <w:rFonts w:ascii="Arial" w:hAnsi="Arial" w:cs="Arial"/>
          <w:bCs/>
          <w:sz w:val="20"/>
          <w:szCs w:val="20"/>
        </w:rPr>
        <w:t>a</w:t>
      </w:r>
      <w:r w:rsidRPr="002A4DCD">
        <w:rPr>
          <w:rFonts w:ascii="Arial" w:hAnsi="Arial" w:cs="Arial"/>
          <w:bCs/>
          <w:sz w:val="20"/>
          <w:szCs w:val="20"/>
        </w:rPr>
        <w:t xml:space="preserve"> hormonosensible como </w:t>
      </w:r>
      <w:r w:rsidR="004D1990" w:rsidRPr="002A4DCD">
        <w:rPr>
          <w:rFonts w:ascii="Arial" w:hAnsi="Arial" w:cs="Arial"/>
          <w:bCs/>
          <w:sz w:val="20"/>
          <w:szCs w:val="20"/>
        </w:rPr>
        <w:t xml:space="preserve">enfermedad </w:t>
      </w:r>
      <w:r w:rsidRPr="002A4DCD">
        <w:rPr>
          <w:rFonts w:ascii="Arial" w:hAnsi="Arial" w:cs="Arial"/>
          <w:bCs/>
          <w:sz w:val="20"/>
          <w:szCs w:val="20"/>
        </w:rPr>
        <w:t>no metastásic</w:t>
      </w:r>
      <w:r w:rsidR="004D1990" w:rsidRPr="002A4DCD">
        <w:rPr>
          <w:rFonts w:ascii="Arial" w:hAnsi="Arial" w:cs="Arial"/>
          <w:bCs/>
          <w:sz w:val="20"/>
          <w:szCs w:val="20"/>
        </w:rPr>
        <w:t>a</w:t>
      </w:r>
      <w:r w:rsidRPr="002A4DCD">
        <w:rPr>
          <w:rFonts w:ascii="Arial" w:hAnsi="Arial" w:cs="Arial"/>
          <w:bCs/>
          <w:sz w:val="20"/>
          <w:szCs w:val="20"/>
        </w:rPr>
        <w:t>. En est</w:t>
      </w:r>
      <w:r w:rsidR="002A4DCD">
        <w:rPr>
          <w:rFonts w:ascii="Arial" w:hAnsi="Arial" w:cs="Arial"/>
          <w:bCs/>
          <w:sz w:val="20"/>
          <w:szCs w:val="20"/>
        </w:rPr>
        <w:t>a situación,</w:t>
      </w:r>
      <w:r w:rsidRPr="002A4DCD">
        <w:rPr>
          <w:rFonts w:ascii="Arial" w:hAnsi="Arial" w:cs="Arial"/>
          <w:bCs/>
          <w:sz w:val="20"/>
          <w:szCs w:val="20"/>
        </w:rPr>
        <w:t xml:space="preserve"> el tratamiento comparador con abiraterona se considera un tratamiento adecuado siendo los antiandrógenos de nueva generación un tratamiento estándar en </w:t>
      </w:r>
      <w:r w:rsidR="002A4DCD">
        <w:rPr>
          <w:rFonts w:ascii="Arial" w:hAnsi="Arial" w:cs="Arial"/>
          <w:bCs/>
          <w:sz w:val="20"/>
          <w:szCs w:val="20"/>
        </w:rPr>
        <w:t>la</w:t>
      </w:r>
      <w:r w:rsidRPr="002A4DCD">
        <w:rPr>
          <w:rFonts w:ascii="Arial" w:hAnsi="Arial" w:cs="Arial"/>
          <w:bCs/>
          <w:sz w:val="20"/>
          <w:szCs w:val="20"/>
        </w:rPr>
        <w:t xml:space="preserve"> primera línea de CPRCm</w:t>
      </w:r>
      <w:r w:rsidR="005B099C">
        <w:rPr>
          <w:rFonts w:ascii="Arial" w:hAnsi="Arial" w:cs="Arial"/>
          <w:bCs/>
          <w:sz w:val="20"/>
          <w:szCs w:val="20"/>
        </w:rPr>
        <w:t xml:space="preserve"> en pacientes que no lo han recibido de forma previa</w:t>
      </w:r>
      <w:r w:rsidRPr="002A4DCD">
        <w:rPr>
          <w:rFonts w:ascii="Arial" w:hAnsi="Arial" w:cs="Arial"/>
          <w:bCs/>
          <w:sz w:val="20"/>
          <w:szCs w:val="20"/>
        </w:rPr>
        <w:t>.</w:t>
      </w:r>
      <w:r w:rsidR="009D2340" w:rsidRPr="002A4DCD">
        <w:rPr>
          <w:rFonts w:ascii="Arial" w:hAnsi="Arial" w:cs="Arial"/>
          <w:bCs/>
          <w:sz w:val="20"/>
          <w:szCs w:val="20"/>
        </w:rPr>
        <w:t xml:space="preserve"> Se permitió incluir pacientes en tratamiento con abiraterona si no llevaban más de 4 meses antes de la entrada </w:t>
      </w:r>
      <w:r w:rsidR="00CB4CAD" w:rsidRPr="002A4DCD">
        <w:rPr>
          <w:rFonts w:ascii="Arial" w:hAnsi="Arial" w:cs="Arial"/>
          <w:bCs/>
          <w:sz w:val="20"/>
          <w:szCs w:val="20"/>
        </w:rPr>
        <w:t>en el</w:t>
      </w:r>
      <w:r w:rsidR="009D2340" w:rsidRPr="002A4DCD">
        <w:rPr>
          <w:rFonts w:ascii="Arial" w:hAnsi="Arial" w:cs="Arial"/>
          <w:bCs/>
          <w:sz w:val="20"/>
          <w:szCs w:val="20"/>
        </w:rPr>
        <w:t xml:space="preserve"> estudio</w:t>
      </w:r>
      <w:r w:rsidR="002A4DCD">
        <w:rPr>
          <w:rFonts w:ascii="Arial" w:hAnsi="Arial" w:cs="Arial"/>
          <w:bCs/>
          <w:sz w:val="20"/>
          <w:szCs w:val="20"/>
        </w:rPr>
        <w:t>, lo que supuso un 25% de la población</w:t>
      </w:r>
      <w:r w:rsidR="009D2340" w:rsidRPr="002A4DCD">
        <w:rPr>
          <w:rFonts w:ascii="Arial" w:hAnsi="Arial" w:cs="Arial"/>
          <w:bCs/>
          <w:sz w:val="20"/>
          <w:szCs w:val="20"/>
        </w:rPr>
        <w:t>.</w:t>
      </w:r>
    </w:p>
    <w:p w14:paraId="719CE072" w14:textId="0085F3A9" w:rsidR="00CB4CAD" w:rsidRPr="002A4DCD" w:rsidRDefault="00CB4CAD" w:rsidP="00BC3E8E">
      <w:pPr>
        <w:pStyle w:val="Textoindependiente3"/>
        <w:jc w:val="both"/>
        <w:rPr>
          <w:rFonts w:ascii="Arial" w:hAnsi="Arial" w:cs="Arial"/>
          <w:bCs/>
          <w:sz w:val="20"/>
          <w:szCs w:val="20"/>
        </w:rPr>
      </w:pPr>
    </w:p>
    <w:p w14:paraId="3A3277C3" w14:textId="177BB049" w:rsidR="004D1990" w:rsidRPr="002A4DCD" w:rsidRDefault="004D1990" w:rsidP="00BC3E8E">
      <w:pPr>
        <w:pStyle w:val="Textoindependiente3"/>
        <w:jc w:val="both"/>
        <w:rPr>
          <w:rFonts w:ascii="Arial" w:hAnsi="Arial" w:cs="Arial"/>
          <w:bCs/>
          <w:sz w:val="20"/>
          <w:szCs w:val="20"/>
        </w:rPr>
      </w:pPr>
      <w:r w:rsidRPr="002A4DCD">
        <w:rPr>
          <w:rFonts w:ascii="Arial" w:hAnsi="Arial" w:cs="Arial"/>
          <w:bCs/>
          <w:sz w:val="20"/>
          <w:szCs w:val="20"/>
        </w:rPr>
        <w:t xml:space="preserve">Por otro lado, la utilización en la primera línea de la enfermedad metastásica resistente a la castración </w:t>
      </w:r>
      <w:r w:rsidR="002A4DCD">
        <w:rPr>
          <w:rFonts w:ascii="Arial" w:hAnsi="Arial" w:cs="Arial"/>
          <w:bCs/>
          <w:sz w:val="20"/>
          <w:szCs w:val="20"/>
        </w:rPr>
        <w:t>la combinación con</w:t>
      </w:r>
      <w:r w:rsidRPr="002A4DCD">
        <w:rPr>
          <w:rFonts w:ascii="Arial" w:hAnsi="Arial" w:cs="Arial"/>
          <w:bCs/>
          <w:sz w:val="20"/>
          <w:szCs w:val="20"/>
        </w:rPr>
        <w:t xml:space="preserve"> </w:t>
      </w:r>
      <w:r w:rsidR="00CB4CAD" w:rsidRPr="002A4DCD">
        <w:rPr>
          <w:rFonts w:ascii="Arial" w:hAnsi="Arial" w:cs="Arial"/>
          <w:bCs/>
          <w:sz w:val="20"/>
          <w:szCs w:val="20"/>
        </w:rPr>
        <w:t xml:space="preserve">medicamentos </w:t>
      </w:r>
      <w:r w:rsidRPr="002A4DCD">
        <w:rPr>
          <w:rFonts w:ascii="Arial" w:hAnsi="Arial" w:cs="Arial"/>
          <w:bCs/>
          <w:sz w:val="20"/>
          <w:szCs w:val="20"/>
        </w:rPr>
        <w:t xml:space="preserve">inhibidores de PARP, pueden limitar futuras líneas terapéuticas </w:t>
      </w:r>
      <w:r w:rsidR="00CB4CAD" w:rsidRPr="002A4DCD">
        <w:rPr>
          <w:rFonts w:ascii="Arial" w:hAnsi="Arial" w:cs="Arial"/>
          <w:bCs/>
          <w:sz w:val="20"/>
          <w:szCs w:val="20"/>
        </w:rPr>
        <w:t>con</w:t>
      </w:r>
      <w:r w:rsidRPr="002A4DCD">
        <w:rPr>
          <w:rFonts w:ascii="Arial" w:hAnsi="Arial" w:cs="Arial"/>
          <w:bCs/>
          <w:sz w:val="20"/>
          <w:szCs w:val="20"/>
        </w:rPr>
        <w:t xml:space="preserve"> estos fármacos, ante la ausencia de evidencia de </w:t>
      </w:r>
      <w:r w:rsidR="00CB4CAD" w:rsidRPr="002A4DCD">
        <w:rPr>
          <w:rFonts w:ascii="Arial" w:hAnsi="Arial" w:cs="Arial"/>
          <w:bCs/>
          <w:sz w:val="20"/>
          <w:szCs w:val="20"/>
        </w:rPr>
        <w:t>la eficacia de iPARP</w:t>
      </w:r>
      <w:r w:rsidRPr="002A4DCD">
        <w:rPr>
          <w:rFonts w:ascii="Arial" w:hAnsi="Arial" w:cs="Arial"/>
          <w:bCs/>
          <w:sz w:val="20"/>
          <w:szCs w:val="20"/>
        </w:rPr>
        <w:t xml:space="preserve"> en pacientes previamente tratados</w:t>
      </w:r>
      <w:r w:rsidR="002A4DCD">
        <w:rPr>
          <w:rFonts w:ascii="Arial" w:hAnsi="Arial" w:cs="Arial"/>
          <w:bCs/>
          <w:sz w:val="20"/>
          <w:szCs w:val="20"/>
        </w:rPr>
        <w:t xml:space="preserve"> con estos</w:t>
      </w:r>
      <w:r w:rsidRPr="002A4DCD">
        <w:rPr>
          <w:rFonts w:ascii="Arial" w:hAnsi="Arial" w:cs="Arial"/>
          <w:bCs/>
          <w:sz w:val="20"/>
          <w:szCs w:val="20"/>
        </w:rPr>
        <w:t>.</w:t>
      </w:r>
    </w:p>
    <w:p w14:paraId="0D1DA2F4" w14:textId="77777777" w:rsidR="00BC3E8E" w:rsidRPr="002A4DCD"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bCs/>
          <w:sz w:val="20"/>
          <w:szCs w:val="20"/>
        </w:rPr>
      </w:pPr>
      <w:bookmarkStart w:id="64" w:name="_Toc344399639"/>
      <w:bookmarkStart w:id="65" w:name="_Toc348931366"/>
      <w:bookmarkStart w:id="66" w:name="_Toc153727198"/>
      <w:r w:rsidRPr="002A4DCD">
        <w:rPr>
          <w:rFonts w:ascii="Arial" w:hAnsi="Arial" w:cs="Arial"/>
          <w:bCs/>
          <w:sz w:val="20"/>
          <w:szCs w:val="20"/>
        </w:rPr>
        <w:t>C. Relevancia clínica de los resultados</w:t>
      </w:r>
      <w:bookmarkEnd w:id="64"/>
      <w:bookmarkEnd w:id="65"/>
      <w:bookmarkEnd w:id="66"/>
    </w:p>
    <w:p w14:paraId="4501344C" w14:textId="77777777" w:rsidR="00BC3E8E" w:rsidRDefault="00BC3E8E" w:rsidP="00BC3E8E">
      <w:pPr>
        <w:pStyle w:val="Textoindependiente3"/>
        <w:rPr>
          <w:color w:val="333300"/>
          <w:sz w:val="20"/>
        </w:rPr>
      </w:pPr>
    </w:p>
    <w:p w14:paraId="66BDC810" w14:textId="2A4536EF" w:rsidR="00A23CAA"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En el subgrupo BRCA, el criterio de valoración primario SLPr mostró un efecto estadísticamente significativo a favor de niraparib+AAP frente a placebo+AAP (HR 0,533; IC 95%: 0,361, 0,789). La mediana de la SLPr fue de 16,56 meses en el grupo niraparib+AAP y de 10,87 meses en el grupo placebo+AAP. Los datos actualizados muestran un aumento de </w:t>
      </w:r>
      <w:r w:rsidR="00FE54BB">
        <w:rPr>
          <w:rFonts w:ascii="Arial" w:hAnsi="Arial" w:cs="Arial"/>
          <w:bCs/>
          <w:sz w:val="20"/>
          <w:szCs w:val="20"/>
        </w:rPr>
        <w:t xml:space="preserve">la </w:t>
      </w:r>
      <w:r w:rsidRPr="000A3792">
        <w:rPr>
          <w:rFonts w:ascii="Arial" w:hAnsi="Arial" w:cs="Arial"/>
          <w:bCs/>
          <w:sz w:val="20"/>
          <w:szCs w:val="20"/>
        </w:rPr>
        <w:t xml:space="preserve">mediana de SLPr de </w:t>
      </w:r>
      <w:r w:rsidR="00FE54BB">
        <w:rPr>
          <w:rFonts w:ascii="Arial" w:hAnsi="Arial" w:cs="Arial"/>
          <w:bCs/>
          <w:sz w:val="20"/>
          <w:szCs w:val="20"/>
        </w:rPr>
        <w:t>5,1 meses (</w:t>
      </w:r>
      <w:r w:rsidRPr="000A3792">
        <w:rPr>
          <w:rFonts w:ascii="Arial" w:hAnsi="Arial" w:cs="Arial"/>
          <w:bCs/>
          <w:sz w:val="20"/>
          <w:szCs w:val="20"/>
        </w:rPr>
        <w:t xml:space="preserve">19 </w:t>
      </w:r>
      <w:r w:rsidRPr="000A3792">
        <w:rPr>
          <w:rFonts w:ascii="Arial" w:hAnsi="Arial" w:cs="Arial"/>
          <w:bCs/>
          <w:i/>
          <w:iCs/>
          <w:sz w:val="20"/>
          <w:szCs w:val="20"/>
        </w:rPr>
        <w:t>vs</w:t>
      </w:r>
      <w:r w:rsidRPr="000A3792">
        <w:rPr>
          <w:rFonts w:ascii="Arial" w:hAnsi="Arial" w:cs="Arial"/>
          <w:bCs/>
          <w:sz w:val="20"/>
          <w:szCs w:val="20"/>
        </w:rPr>
        <w:t xml:space="preserve"> 13,9 meses</w:t>
      </w:r>
      <w:r w:rsidR="00FE54BB">
        <w:rPr>
          <w:rFonts w:ascii="Arial" w:hAnsi="Arial" w:cs="Arial"/>
          <w:bCs/>
          <w:sz w:val="20"/>
          <w:szCs w:val="20"/>
        </w:rPr>
        <w:t>)</w:t>
      </w:r>
      <w:r w:rsidRPr="000A3792">
        <w:rPr>
          <w:rFonts w:ascii="Arial" w:hAnsi="Arial" w:cs="Arial"/>
          <w:bCs/>
          <w:sz w:val="20"/>
          <w:szCs w:val="20"/>
        </w:rPr>
        <w:t>; HR, 0,64; IC del 95%, 0,49 a 0,86; P = 0,002</w:t>
      </w:r>
      <w:r w:rsidR="00407514">
        <w:rPr>
          <w:rFonts w:ascii="Arial" w:hAnsi="Arial" w:cs="Arial"/>
          <w:bCs/>
          <w:sz w:val="20"/>
          <w:szCs w:val="20"/>
        </w:rPr>
        <w:t>.</w:t>
      </w:r>
    </w:p>
    <w:p w14:paraId="19B0FE35" w14:textId="77777777" w:rsidR="00A23CAA" w:rsidRPr="00A23CAA" w:rsidRDefault="00A23CAA" w:rsidP="00A23CAA">
      <w:pPr>
        <w:autoSpaceDE w:val="0"/>
        <w:autoSpaceDN w:val="0"/>
        <w:adjustRightInd w:val="0"/>
        <w:jc w:val="both"/>
        <w:rPr>
          <w:rFonts w:ascii="Calibri" w:hAnsi="Calibri" w:cs="Calibri"/>
          <w:bCs/>
          <w:sz w:val="22"/>
          <w:szCs w:val="20"/>
        </w:rPr>
      </w:pPr>
    </w:p>
    <w:p w14:paraId="3614FC6A" w14:textId="604786C2" w:rsidR="00A23CAA"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Los criterios de valoración secundarios TIQ y TPS también favorecieron al brazo de niraparib+AAP, con un HR de 0,558 (IC 95%: 0,346</w:t>
      </w:r>
      <w:r w:rsidR="00407514">
        <w:rPr>
          <w:rFonts w:ascii="Arial" w:hAnsi="Arial" w:cs="Arial"/>
          <w:bCs/>
          <w:sz w:val="20"/>
          <w:szCs w:val="20"/>
        </w:rPr>
        <w:t>-</w:t>
      </w:r>
      <w:r w:rsidRPr="000A3792">
        <w:rPr>
          <w:rFonts w:ascii="Arial" w:hAnsi="Arial" w:cs="Arial"/>
          <w:bCs/>
          <w:sz w:val="20"/>
          <w:szCs w:val="20"/>
        </w:rPr>
        <w:t>0,900) y 0,544 (IC 95%: 0,347</w:t>
      </w:r>
      <w:r w:rsidR="00407514">
        <w:rPr>
          <w:rFonts w:ascii="Arial" w:hAnsi="Arial" w:cs="Arial"/>
          <w:bCs/>
          <w:sz w:val="20"/>
          <w:szCs w:val="20"/>
        </w:rPr>
        <w:t>-</w:t>
      </w:r>
      <w:r w:rsidRPr="000A3792">
        <w:rPr>
          <w:rFonts w:ascii="Arial" w:hAnsi="Arial" w:cs="Arial"/>
          <w:bCs/>
          <w:sz w:val="20"/>
          <w:szCs w:val="20"/>
        </w:rPr>
        <w:t xml:space="preserve">0,853), respectivamente. </w:t>
      </w:r>
    </w:p>
    <w:p w14:paraId="5E243B15" w14:textId="77777777" w:rsidR="00767FF3" w:rsidRPr="000A3792" w:rsidRDefault="00767FF3" w:rsidP="00A23CAA">
      <w:pPr>
        <w:autoSpaceDE w:val="0"/>
        <w:autoSpaceDN w:val="0"/>
        <w:adjustRightInd w:val="0"/>
        <w:jc w:val="both"/>
        <w:rPr>
          <w:rFonts w:ascii="Arial" w:hAnsi="Arial" w:cs="Arial"/>
          <w:bCs/>
          <w:sz w:val="20"/>
          <w:szCs w:val="20"/>
        </w:rPr>
      </w:pPr>
    </w:p>
    <w:p w14:paraId="2EFB86E5" w14:textId="2734B60C" w:rsidR="00A23CAA"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En cuanto a la SG, no se observaron diferencias estadísticamente significativas entre los brazos de tratamiento para la SG en el subgrupo BRCA (HR 0,96; IC 95%: 0,565</w:t>
      </w:r>
      <w:r w:rsidR="00407514">
        <w:rPr>
          <w:rFonts w:ascii="Arial" w:hAnsi="Arial" w:cs="Arial"/>
          <w:bCs/>
          <w:sz w:val="20"/>
          <w:szCs w:val="20"/>
        </w:rPr>
        <w:t>-</w:t>
      </w:r>
      <w:r w:rsidRPr="000A3792">
        <w:rPr>
          <w:rFonts w:ascii="Arial" w:hAnsi="Arial" w:cs="Arial"/>
          <w:bCs/>
          <w:sz w:val="20"/>
          <w:szCs w:val="20"/>
        </w:rPr>
        <w:t>1,633) en el primer análisis intermedio, ni en el segundo análisis intermedio (~42% de madurez) (HR: 0,88 IC95%: 0,58 – 1,33).</w:t>
      </w:r>
    </w:p>
    <w:p w14:paraId="0272D91C" w14:textId="77777777" w:rsidR="00767FF3" w:rsidRPr="000A3792" w:rsidRDefault="00767FF3" w:rsidP="00A23CAA">
      <w:pPr>
        <w:autoSpaceDE w:val="0"/>
        <w:autoSpaceDN w:val="0"/>
        <w:adjustRightInd w:val="0"/>
        <w:jc w:val="both"/>
        <w:rPr>
          <w:rFonts w:ascii="Arial" w:hAnsi="Arial" w:cs="Arial"/>
          <w:bCs/>
          <w:sz w:val="20"/>
          <w:szCs w:val="20"/>
        </w:rPr>
      </w:pPr>
    </w:p>
    <w:p w14:paraId="0AFFB974" w14:textId="77777777" w:rsidR="00A23CAA"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 xml:space="preserve">En la cohorte 3 (forma farmacéutica combinada), que incluía una proporción de mutaciones BRCA comparable en la cohorte 1 (aprox. 53%) y la Cohorte 3 (aprox. 55%), las tasas libres de acontecimientos para la SLPr y la SG a 1 año fueron comparables a las obtenidas en la cohorte 1. </w:t>
      </w:r>
    </w:p>
    <w:p w14:paraId="0F7A460D" w14:textId="77777777" w:rsidR="00767FF3" w:rsidRPr="000A3792" w:rsidRDefault="00767FF3" w:rsidP="00A23CAA">
      <w:pPr>
        <w:autoSpaceDE w:val="0"/>
        <w:autoSpaceDN w:val="0"/>
        <w:adjustRightInd w:val="0"/>
        <w:jc w:val="both"/>
        <w:rPr>
          <w:rFonts w:ascii="Arial" w:hAnsi="Arial" w:cs="Arial"/>
          <w:bCs/>
          <w:sz w:val="20"/>
          <w:szCs w:val="20"/>
        </w:rPr>
      </w:pPr>
    </w:p>
    <w:p w14:paraId="60DE1FF3" w14:textId="77777777" w:rsidR="00A23CAA"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En cuanto a la relevancia de la formulación en forma farmacéutica combinada, la bioequivalencia de la concentración habitual (niraparib100 mg/AA 500 mg) a la combinación de agente único ha quedado adecuadamente demostrada.</w:t>
      </w:r>
    </w:p>
    <w:p w14:paraId="447CA9EC" w14:textId="77777777" w:rsidR="00C06F8A" w:rsidRPr="000A3792" w:rsidRDefault="00C06F8A" w:rsidP="00A23CAA">
      <w:pPr>
        <w:autoSpaceDE w:val="0"/>
        <w:autoSpaceDN w:val="0"/>
        <w:adjustRightInd w:val="0"/>
        <w:jc w:val="both"/>
        <w:rPr>
          <w:rFonts w:ascii="Arial" w:hAnsi="Arial" w:cs="Arial"/>
          <w:bCs/>
          <w:sz w:val="20"/>
          <w:szCs w:val="20"/>
        </w:rPr>
      </w:pPr>
    </w:p>
    <w:p w14:paraId="7D8F8F75" w14:textId="77777777" w:rsidR="001B1E49" w:rsidRPr="000A3792" w:rsidRDefault="001A0EA8" w:rsidP="00A23CAA">
      <w:pPr>
        <w:autoSpaceDE w:val="0"/>
        <w:autoSpaceDN w:val="0"/>
        <w:adjustRightInd w:val="0"/>
        <w:jc w:val="both"/>
        <w:rPr>
          <w:rFonts w:ascii="Arial" w:hAnsi="Arial" w:cs="Arial"/>
          <w:bCs/>
          <w:sz w:val="20"/>
          <w:szCs w:val="20"/>
        </w:rPr>
      </w:pPr>
      <w:r w:rsidRPr="000A3792">
        <w:rPr>
          <w:rFonts w:ascii="Arial" w:hAnsi="Arial" w:cs="Arial"/>
          <w:bCs/>
          <w:sz w:val="20"/>
          <w:szCs w:val="20"/>
        </w:rPr>
        <w:t>La puntuación obtenida en la escala de magnitud de beneficio clínico de la ESMO (25), según el formulario 2B para variables de SLP o equivalentes (</w:t>
      </w:r>
      <w:r w:rsidR="00C71777" w:rsidRPr="00407514">
        <w:rPr>
          <w:rFonts w:ascii="Arial" w:hAnsi="Arial" w:cs="Arial"/>
          <w:sz w:val="20"/>
          <w:szCs w:val="20"/>
        </w:rPr>
        <w:t xml:space="preserve">en el ensayo clínico se utiliza la SLPr considerándola equivalente en este contexto), </w:t>
      </w:r>
      <w:r w:rsidRPr="000A3792">
        <w:rPr>
          <w:rFonts w:ascii="Arial" w:hAnsi="Arial" w:cs="Arial"/>
          <w:bCs/>
          <w:sz w:val="20"/>
          <w:szCs w:val="20"/>
        </w:rPr>
        <w:t xml:space="preserve">se obtiene un resultado de 3, beneficio modesto. </w:t>
      </w:r>
    </w:p>
    <w:p w14:paraId="077F7BB6" w14:textId="77777777" w:rsidR="001B1E49" w:rsidRDefault="001B1E49" w:rsidP="00A23CAA">
      <w:pPr>
        <w:autoSpaceDE w:val="0"/>
        <w:autoSpaceDN w:val="0"/>
        <w:adjustRightInd w:val="0"/>
        <w:jc w:val="both"/>
        <w:rPr>
          <w:rFonts w:ascii="Calibri" w:hAnsi="Calibri" w:cs="Calibri"/>
          <w:bCs/>
          <w:sz w:val="22"/>
          <w:szCs w:val="20"/>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993"/>
        <w:gridCol w:w="3118"/>
        <w:gridCol w:w="1559"/>
        <w:gridCol w:w="1397"/>
      </w:tblGrid>
      <w:tr w:rsidR="001B1E49" w14:paraId="2C4F2EDC" w14:textId="77777777" w:rsidTr="00F315F7">
        <w:trPr>
          <w:cantSplit/>
          <w:trHeight w:val="333"/>
        </w:trPr>
        <w:tc>
          <w:tcPr>
            <w:tcW w:w="8838" w:type="dxa"/>
            <w:gridSpan w:val="5"/>
            <w:shd w:val="clear" w:color="auto" w:fill="C5E0B3"/>
          </w:tcPr>
          <w:p w14:paraId="40B9A080" w14:textId="77777777" w:rsidR="001B1E49" w:rsidRDefault="00796BDE" w:rsidP="00F315F7">
            <w:pPr>
              <w:jc w:val="center"/>
              <w:rPr>
                <w:rFonts w:ascii="Arial" w:hAnsi="Arial" w:cs="Arial"/>
                <w:b/>
                <w:sz w:val="16"/>
              </w:rPr>
            </w:pPr>
            <w:r>
              <w:rPr>
                <w:rFonts w:ascii="Arial" w:hAnsi="Arial" w:cs="Arial"/>
                <w:b/>
                <w:sz w:val="18"/>
                <w:szCs w:val="16"/>
                <w:lang w:val="es-ES_tradnl"/>
              </w:rPr>
              <w:t>Tabla</w:t>
            </w:r>
            <w:r w:rsidR="002A6572">
              <w:rPr>
                <w:rFonts w:ascii="Arial" w:hAnsi="Arial" w:cs="Arial"/>
                <w:b/>
                <w:sz w:val="18"/>
                <w:szCs w:val="16"/>
                <w:lang w:val="es-ES_tradnl"/>
              </w:rPr>
              <w:t xml:space="preserve"> 10</w:t>
            </w:r>
            <w:r>
              <w:rPr>
                <w:rFonts w:ascii="Arial" w:hAnsi="Arial" w:cs="Arial"/>
                <w:b/>
                <w:sz w:val="18"/>
                <w:szCs w:val="16"/>
                <w:lang w:val="es-ES_tradnl"/>
              </w:rPr>
              <w:t xml:space="preserve">. </w:t>
            </w:r>
            <w:r w:rsidR="001B1E49">
              <w:rPr>
                <w:rFonts w:ascii="Arial" w:hAnsi="Arial" w:cs="Arial"/>
                <w:b/>
                <w:sz w:val="18"/>
                <w:szCs w:val="16"/>
                <w:lang w:val="es-ES_tradnl"/>
              </w:rPr>
              <w:t>ESMO-MCBS versión 1.1</w:t>
            </w:r>
          </w:p>
        </w:tc>
      </w:tr>
      <w:tr w:rsidR="001743EE" w14:paraId="6D9AB5EB" w14:textId="77777777" w:rsidTr="00F315F7">
        <w:trPr>
          <w:cantSplit/>
          <w:trHeight w:val="847"/>
        </w:trPr>
        <w:tc>
          <w:tcPr>
            <w:tcW w:w="1771" w:type="dxa"/>
            <w:shd w:val="clear" w:color="auto" w:fill="E0E0E0"/>
          </w:tcPr>
          <w:p w14:paraId="74C57806" w14:textId="77777777" w:rsidR="001743EE" w:rsidRDefault="001743EE" w:rsidP="00F315F7">
            <w:pPr>
              <w:jc w:val="center"/>
              <w:rPr>
                <w:rFonts w:ascii="Arial" w:hAnsi="Arial" w:cs="Arial"/>
                <w:sz w:val="16"/>
                <w:lang w:val="es-ES_tradnl"/>
              </w:rPr>
            </w:pPr>
          </w:p>
        </w:tc>
        <w:tc>
          <w:tcPr>
            <w:tcW w:w="993" w:type="dxa"/>
            <w:shd w:val="clear" w:color="auto" w:fill="E0E0E0"/>
          </w:tcPr>
          <w:p w14:paraId="569A70AB" w14:textId="77777777" w:rsidR="001743EE" w:rsidRDefault="001743EE" w:rsidP="00F315F7">
            <w:pPr>
              <w:jc w:val="center"/>
              <w:rPr>
                <w:rFonts w:ascii="Arial" w:hAnsi="Arial" w:cs="Arial"/>
                <w:sz w:val="16"/>
                <w:lang w:val="es-ES_tradnl"/>
              </w:rPr>
            </w:pPr>
            <w:r>
              <w:rPr>
                <w:rFonts w:ascii="Arial" w:hAnsi="Arial" w:cs="Arial"/>
                <w:b/>
                <w:sz w:val="16"/>
              </w:rPr>
              <w:t>Formulario</w:t>
            </w:r>
          </w:p>
        </w:tc>
        <w:tc>
          <w:tcPr>
            <w:tcW w:w="3118" w:type="dxa"/>
            <w:shd w:val="clear" w:color="auto" w:fill="E0E0E0"/>
          </w:tcPr>
          <w:p w14:paraId="7DE13EF0" w14:textId="77777777" w:rsidR="001743EE" w:rsidRDefault="001743EE" w:rsidP="00F315F7">
            <w:pPr>
              <w:jc w:val="center"/>
              <w:rPr>
                <w:rFonts w:ascii="Arial" w:hAnsi="Arial" w:cs="Arial"/>
                <w:b/>
                <w:sz w:val="16"/>
                <w:lang w:val="es-ES_tradnl"/>
              </w:rPr>
            </w:pPr>
            <w:r>
              <w:rPr>
                <w:rFonts w:ascii="Arial" w:hAnsi="Arial" w:cs="Arial"/>
                <w:b/>
                <w:sz w:val="16"/>
                <w:lang w:val="es-ES_tradnl"/>
              </w:rPr>
              <w:t>Resultados eficacia</w:t>
            </w:r>
          </w:p>
        </w:tc>
        <w:tc>
          <w:tcPr>
            <w:tcW w:w="1559" w:type="dxa"/>
            <w:shd w:val="clear" w:color="auto" w:fill="E0E0E0"/>
          </w:tcPr>
          <w:p w14:paraId="45386FD4" w14:textId="77777777" w:rsidR="001743EE" w:rsidRDefault="001743EE" w:rsidP="00F315F7">
            <w:pPr>
              <w:jc w:val="center"/>
              <w:rPr>
                <w:rFonts w:ascii="Arial" w:hAnsi="Arial" w:cs="Arial"/>
                <w:b/>
                <w:sz w:val="16"/>
              </w:rPr>
            </w:pPr>
            <w:r>
              <w:rPr>
                <w:rFonts w:ascii="Arial" w:hAnsi="Arial" w:cs="Arial"/>
                <w:b/>
                <w:sz w:val="16"/>
                <w:lang w:val="es-ES_tradnl"/>
              </w:rPr>
              <w:t>Diferencia de medianas de SLPr (meses)</w:t>
            </w:r>
          </w:p>
        </w:tc>
        <w:tc>
          <w:tcPr>
            <w:tcW w:w="1397" w:type="dxa"/>
            <w:shd w:val="clear" w:color="auto" w:fill="E0E0E0"/>
          </w:tcPr>
          <w:p w14:paraId="2126EE8F" w14:textId="77777777" w:rsidR="001743EE" w:rsidRDefault="001743EE" w:rsidP="00F315F7">
            <w:pPr>
              <w:jc w:val="center"/>
              <w:rPr>
                <w:rFonts w:ascii="Arial" w:hAnsi="Arial" w:cs="Arial"/>
                <w:b/>
                <w:sz w:val="16"/>
              </w:rPr>
            </w:pPr>
            <w:r>
              <w:rPr>
                <w:rFonts w:ascii="Arial" w:hAnsi="Arial" w:cs="Arial"/>
                <w:b/>
                <w:sz w:val="16"/>
              </w:rPr>
              <w:t>Puntuación escala beneficio clínico ESMO</w:t>
            </w:r>
          </w:p>
        </w:tc>
      </w:tr>
      <w:tr w:rsidR="001743EE" w14:paraId="35995929" w14:textId="77777777" w:rsidTr="001743EE">
        <w:trPr>
          <w:cantSplit/>
          <w:trHeight w:val="248"/>
        </w:trPr>
        <w:tc>
          <w:tcPr>
            <w:tcW w:w="1771" w:type="dxa"/>
            <w:vAlign w:val="center"/>
          </w:tcPr>
          <w:p w14:paraId="6341EDA2" w14:textId="77777777" w:rsidR="001743EE" w:rsidRDefault="001743EE" w:rsidP="001743EE">
            <w:pPr>
              <w:jc w:val="center"/>
              <w:rPr>
                <w:rFonts w:ascii="Arial" w:hAnsi="Arial" w:cs="Arial"/>
                <w:sz w:val="16"/>
                <w:lang w:val="es-ES_tradnl"/>
              </w:rPr>
            </w:pPr>
            <w:r>
              <w:rPr>
                <w:rFonts w:ascii="Arial" w:hAnsi="Arial" w:cs="Arial"/>
                <w:sz w:val="16"/>
                <w:lang w:val="es-ES_tradnl"/>
              </w:rPr>
              <w:t>Variable principal subgrupo BRCA1/2</w:t>
            </w:r>
          </w:p>
        </w:tc>
        <w:tc>
          <w:tcPr>
            <w:tcW w:w="993" w:type="dxa"/>
            <w:vAlign w:val="center"/>
          </w:tcPr>
          <w:p w14:paraId="73464407" w14:textId="77777777" w:rsidR="001743EE" w:rsidRDefault="001743EE" w:rsidP="001743EE">
            <w:pPr>
              <w:jc w:val="center"/>
              <w:rPr>
                <w:rFonts w:ascii="Arial" w:hAnsi="Arial" w:cs="Arial"/>
                <w:sz w:val="16"/>
                <w:lang w:val="es-ES_tradnl"/>
              </w:rPr>
            </w:pPr>
            <w:r>
              <w:rPr>
                <w:rFonts w:ascii="Arial" w:hAnsi="Arial" w:cs="Arial"/>
                <w:sz w:val="16"/>
                <w:lang w:val="es-ES_tradnl"/>
              </w:rPr>
              <w:t>- 2B</w:t>
            </w:r>
          </w:p>
          <w:p w14:paraId="69ACBB20" w14:textId="77777777" w:rsidR="001743EE" w:rsidRDefault="001743EE" w:rsidP="001743EE">
            <w:pPr>
              <w:jc w:val="center"/>
              <w:rPr>
                <w:rFonts w:ascii="Arial" w:hAnsi="Arial" w:cs="Arial"/>
                <w:sz w:val="16"/>
                <w:lang w:val="es-ES_tradnl"/>
              </w:rPr>
            </w:pPr>
            <w:r>
              <w:rPr>
                <w:rFonts w:ascii="Arial" w:hAnsi="Arial" w:cs="Arial"/>
                <w:sz w:val="16"/>
                <w:lang w:val="es-ES_tradnl"/>
              </w:rPr>
              <w:t>- SLP &gt; 6 meses</w:t>
            </w:r>
          </w:p>
          <w:p w14:paraId="22939AC3" w14:textId="77777777" w:rsidR="001743EE" w:rsidRPr="001743EE" w:rsidRDefault="001743EE" w:rsidP="001743EE">
            <w:pPr>
              <w:jc w:val="center"/>
              <w:rPr>
                <w:rFonts w:ascii="Arial" w:hAnsi="Arial" w:cs="Arial"/>
                <w:sz w:val="16"/>
                <w:lang w:val="es-ES_tradnl"/>
              </w:rPr>
            </w:pPr>
            <w:r>
              <w:rPr>
                <w:rFonts w:ascii="Arial" w:hAnsi="Arial" w:cs="Arial"/>
                <w:sz w:val="16"/>
                <w:lang w:val="es-ES_tradnl"/>
              </w:rPr>
              <w:t>-</w:t>
            </w:r>
            <w:r w:rsidRPr="001743EE">
              <w:rPr>
                <w:rFonts w:ascii="Arial" w:hAnsi="Arial" w:cs="Arial"/>
                <w:sz w:val="16"/>
                <w:lang w:val="es-ES_tradnl"/>
              </w:rPr>
              <w:t xml:space="preserve"> HR ≤0.65 </w:t>
            </w:r>
            <w:r>
              <w:rPr>
                <w:rFonts w:ascii="Arial" w:hAnsi="Arial" w:cs="Arial"/>
                <w:sz w:val="16"/>
                <w:lang w:val="es-ES_tradnl"/>
              </w:rPr>
              <w:t>Y ganancia</w:t>
            </w:r>
            <w:r w:rsidRPr="001743EE">
              <w:rPr>
                <w:rFonts w:ascii="Arial" w:hAnsi="Arial" w:cs="Arial"/>
                <w:sz w:val="16"/>
                <w:lang w:val="es-ES_tradnl"/>
              </w:rPr>
              <w:t xml:space="preserve"> ≥3 </w:t>
            </w:r>
            <w:r>
              <w:rPr>
                <w:rFonts w:ascii="Arial" w:hAnsi="Arial" w:cs="Arial"/>
                <w:sz w:val="16"/>
                <w:lang w:val="es-ES_tradnl"/>
              </w:rPr>
              <w:t>meses</w:t>
            </w:r>
          </w:p>
          <w:p w14:paraId="13A4E00B" w14:textId="77777777" w:rsidR="001743EE" w:rsidRDefault="001743EE" w:rsidP="001743EE">
            <w:pPr>
              <w:jc w:val="center"/>
              <w:rPr>
                <w:rFonts w:ascii="Arial" w:hAnsi="Arial" w:cs="Arial"/>
                <w:sz w:val="16"/>
                <w:lang w:val="es-ES_tradnl"/>
              </w:rPr>
            </w:pPr>
          </w:p>
        </w:tc>
        <w:tc>
          <w:tcPr>
            <w:tcW w:w="3118" w:type="dxa"/>
            <w:vAlign w:val="center"/>
          </w:tcPr>
          <w:p w14:paraId="3733B820" w14:textId="77777777" w:rsidR="001743EE" w:rsidRPr="000A3792" w:rsidRDefault="001A0EA8" w:rsidP="001743EE">
            <w:pPr>
              <w:jc w:val="center"/>
              <w:rPr>
                <w:rFonts w:ascii="Arial" w:hAnsi="Arial"/>
                <w:sz w:val="16"/>
                <w:lang w:val="fr-FR"/>
              </w:rPr>
            </w:pPr>
            <w:r w:rsidRPr="000A3792">
              <w:rPr>
                <w:rFonts w:ascii="Arial" w:hAnsi="Arial"/>
                <w:sz w:val="16"/>
                <w:lang w:val="fr-FR"/>
              </w:rPr>
              <w:t>Niraparib+AAP: 16,56</w:t>
            </w:r>
          </w:p>
          <w:p w14:paraId="562B6AF5" w14:textId="77777777" w:rsidR="001743EE" w:rsidRPr="000A3792" w:rsidRDefault="001A0EA8" w:rsidP="001743EE">
            <w:pPr>
              <w:jc w:val="center"/>
              <w:rPr>
                <w:rFonts w:ascii="Arial" w:hAnsi="Arial"/>
                <w:sz w:val="16"/>
                <w:lang w:val="fr-FR"/>
              </w:rPr>
            </w:pPr>
            <w:r w:rsidRPr="000A3792">
              <w:rPr>
                <w:rFonts w:ascii="Arial" w:hAnsi="Arial"/>
                <w:sz w:val="16"/>
                <w:lang w:val="fr-FR"/>
              </w:rPr>
              <w:t>Placebo+AAP: 10,87</w:t>
            </w:r>
          </w:p>
          <w:p w14:paraId="5AB30FD8" w14:textId="39AA803A" w:rsidR="00664D68" w:rsidRPr="000A3792" w:rsidRDefault="001A0EA8" w:rsidP="00664D68">
            <w:pPr>
              <w:jc w:val="center"/>
              <w:rPr>
                <w:rFonts w:ascii="Arial" w:hAnsi="Arial"/>
                <w:i/>
                <w:sz w:val="16"/>
                <w:lang w:val="fr-FR"/>
              </w:rPr>
            </w:pPr>
            <w:r w:rsidRPr="000A3792">
              <w:rPr>
                <w:rFonts w:ascii="Arial" w:hAnsi="Arial"/>
                <w:i/>
                <w:sz w:val="16"/>
                <w:lang w:val="fr-FR"/>
              </w:rPr>
              <w:t>HR 0,53 (0,36-0,79)</w:t>
            </w:r>
          </w:p>
          <w:p w14:paraId="2273BF51" w14:textId="77777777" w:rsidR="001743EE" w:rsidRPr="000A3792" w:rsidRDefault="001743EE" w:rsidP="001743EE">
            <w:pPr>
              <w:keepNext/>
              <w:autoSpaceDE w:val="0"/>
              <w:autoSpaceDN w:val="0"/>
              <w:adjustRightInd w:val="0"/>
              <w:jc w:val="center"/>
              <w:outlineLvl w:val="0"/>
              <w:rPr>
                <w:rFonts w:ascii="Arial" w:hAnsi="Arial"/>
                <w:sz w:val="16"/>
                <w:lang w:val="fr-FR"/>
              </w:rPr>
            </w:pPr>
          </w:p>
          <w:p w14:paraId="4D7F44D7" w14:textId="77777777" w:rsidR="001743EE" w:rsidRPr="000A3792" w:rsidRDefault="001743EE" w:rsidP="001743EE">
            <w:pPr>
              <w:keepNext/>
              <w:autoSpaceDE w:val="0"/>
              <w:autoSpaceDN w:val="0"/>
              <w:adjustRightInd w:val="0"/>
              <w:jc w:val="center"/>
              <w:outlineLvl w:val="0"/>
              <w:rPr>
                <w:rFonts w:ascii="Arial" w:hAnsi="Arial"/>
                <w:sz w:val="16"/>
                <w:lang w:val="fr-FR"/>
              </w:rPr>
            </w:pPr>
          </w:p>
          <w:p w14:paraId="2680D1B6" w14:textId="77777777" w:rsidR="001743EE" w:rsidRPr="000A3792" w:rsidRDefault="001743EE" w:rsidP="001743EE">
            <w:pPr>
              <w:keepNext/>
              <w:autoSpaceDE w:val="0"/>
              <w:autoSpaceDN w:val="0"/>
              <w:adjustRightInd w:val="0"/>
              <w:jc w:val="center"/>
              <w:outlineLvl w:val="0"/>
              <w:rPr>
                <w:rFonts w:ascii="Arial" w:hAnsi="Arial"/>
                <w:sz w:val="16"/>
                <w:lang w:val="fr-FR"/>
              </w:rPr>
            </w:pPr>
          </w:p>
        </w:tc>
        <w:tc>
          <w:tcPr>
            <w:tcW w:w="1559" w:type="dxa"/>
            <w:vAlign w:val="center"/>
          </w:tcPr>
          <w:p w14:paraId="36F9F248" w14:textId="77777777" w:rsidR="001743EE" w:rsidRDefault="006027F6" w:rsidP="001743EE">
            <w:pPr>
              <w:jc w:val="center"/>
              <w:rPr>
                <w:rFonts w:ascii="Arial" w:hAnsi="Arial" w:cs="Arial"/>
                <w:sz w:val="16"/>
              </w:rPr>
            </w:pPr>
            <w:r>
              <w:rPr>
                <w:rFonts w:ascii="Arial" w:hAnsi="Arial" w:cs="Arial"/>
                <w:i/>
                <w:sz w:val="16"/>
              </w:rPr>
              <w:t>5,7</w:t>
            </w:r>
          </w:p>
        </w:tc>
        <w:tc>
          <w:tcPr>
            <w:tcW w:w="1397" w:type="dxa"/>
            <w:vAlign w:val="center"/>
          </w:tcPr>
          <w:p w14:paraId="2DD092B8" w14:textId="77777777" w:rsidR="001743EE" w:rsidRDefault="001743EE" w:rsidP="001743EE">
            <w:pPr>
              <w:jc w:val="center"/>
              <w:rPr>
                <w:rFonts w:ascii="Arial" w:hAnsi="Arial" w:cs="Arial"/>
                <w:sz w:val="16"/>
              </w:rPr>
            </w:pPr>
            <w:r>
              <w:rPr>
                <w:rFonts w:ascii="Arial" w:hAnsi="Arial" w:cs="Arial"/>
                <w:sz w:val="16"/>
              </w:rPr>
              <w:t>3</w:t>
            </w:r>
          </w:p>
        </w:tc>
      </w:tr>
    </w:tbl>
    <w:p w14:paraId="56FE5C33" w14:textId="77777777" w:rsidR="001B1E49" w:rsidRDefault="001B1E49" w:rsidP="00A23CAA">
      <w:pPr>
        <w:autoSpaceDE w:val="0"/>
        <w:autoSpaceDN w:val="0"/>
        <w:adjustRightInd w:val="0"/>
        <w:jc w:val="both"/>
        <w:rPr>
          <w:rFonts w:ascii="Calibri" w:hAnsi="Calibri" w:cs="Calibri"/>
          <w:bCs/>
          <w:sz w:val="22"/>
          <w:szCs w:val="20"/>
        </w:rPr>
      </w:pPr>
    </w:p>
    <w:p w14:paraId="7723F65A" w14:textId="77777777" w:rsidR="0075269E" w:rsidRPr="006F6ABB" w:rsidRDefault="0075269E" w:rsidP="00BC3E8E">
      <w:pPr>
        <w:pStyle w:val="Textoindependiente3"/>
        <w:rPr>
          <w:color w:val="333300"/>
          <w:sz w:val="20"/>
        </w:rPr>
      </w:pPr>
    </w:p>
    <w:p w14:paraId="39AED521" w14:textId="77777777"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rPr>
      </w:pPr>
      <w:bookmarkStart w:id="67" w:name="_Toc344399640"/>
      <w:bookmarkStart w:id="68" w:name="_Toc348931367"/>
      <w:bookmarkStart w:id="69" w:name="_Toc153727199"/>
      <w:r w:rsidRPr="00BE3C83">
        <w:rPr>
          <w:color w:val="333300"/>
          <w:sz w:val="20"/>
        </w:rPr>
        <w:t xml:space="preserve">C.1 Valorar si la </w:t>
      </w:r>
      <w:r w:rsidRPr="00BE3C83">
        <w:rPr>
          <w:color w:val="333300"/>
          <w:sz w:val="20"/>
          <w:u w:val="single"/>
        </w:rPr>
        <w:t>magnitud del efecto</w:t>
      </w:r>
      <w:r w:rsidRPr="00BE3C83">
        <w:rPr>
          <w:color w:val="333300"/>
          <w:sz w:val="20"/>
        </w:rPr>
        <w:t xml:space="preserve"> del tratamiento es de relevancia clínica.</w:t>
      </w:r>
      <w:bookmarkEnd w:id="67"/>
      <w:bookmarkEnd w:id="68"/>
      <w:bookmarkEnd w:id="69"/>
      <w:r w:rsidRPr="00BE3C83">
        <w:rPr>
          <w:color w:val="333300"/>
          <w:sz w:val="20"/>
        </w:rPr>
        <w:t xml:space="preserve"> </w:t>
      </w:r>
    </w:p>
    <w:p w14:paraId="03332557" w14:textId="342971B4" w:rsidR="00BC3E8E" w:rsidRDefault="00BC3E8E" w:rsidP="00BC3E8E">
      <w:pPr>
        <w:pStyle w:val="Textoindependiente3"/>
        <w:ind w:left="708"/>
        <w:jc w:val="both"/>
        <w:rPr>
          <w:color w:val="000080"/>
          <w:sz w:val="20"/>
          <w:lang w:val="es-ES_tradnl"/>
        </w:rPr>
      </w:pPr>
    </w:p>
    <w:p w14:paraId="34FBDC7C" w14:textId="43D2E36C" w:rsidR="00A456AA" w:rsidRPr="00A456AA" w:rsidRDefault="00A456AA" w:rsidP="00A456AA">
      <w:pPr>
        <w:pStyle w:val="Textoindependiente3"/>
        <w:jc w:val="both"/>
        <w:rPr>
          <w:rFonts w:ascii="Arial" w:hAnsi="Arial" w:cs="Arial"/>
          <w:sz w:val="20"/>
          <w:szCs w:val="20"/>
          <w:lang w:eastAsia="zh-CN"/>
        </w:rPr>
      </w:pPr>
      <w:r>
        <w:rPr>
          <w:rFonts w:ascii="Arial" w:hAnsi="Arial" w:cs="Arial"/>
          <w:sz w:val="20"/>
          <w:szCs w:val="20"/>
          <w:lang w:eastAsia="zh-CN"/>
        </w:rPr>
        <w:t>En relación a la magnitud del efecto, e</w:t>
      </w:r>
      <w:r w:rsidRPr="00A456AA">
        <w:rPr>
          <w:rFonts w:ascii="Arial" w:hAnsi="Arial" w:cs="Arial"/>
          <w:sz w:val="20"/>
          <w:szCs w:val="20"/>
          <w:lang w:eastAsia="zh-CN"/>
        </w:rPr>
        <w:t>s importante destacar qu</w:t>
      </w:r>
      <w:r>
        <w:rPr>
          <w:rFonts w:ascii="Arial" w:hAnsi="Arial" w:cs="Arial"/>
          <w:sz w:val="20"/>
          <w:szCs w:val="20"/>
          <w:lang w:eastAsia="zh-CN"/>
        </w:rPr>
        <w:t xml:space="preserve">e se ha utilizado como variable </w:t>
      </w:r>
      <w:r w:rsidRPr="00A456AA">
        <w:rPr>
          <w:rFonts w:ascii="Arial" w:hAnsi="Arial" w:cs="Arial"/>
          <w:sz w:val="20"/>
          <w:szCs w:val="20"/>
          <w:lang w:eastAsia="zh-CN"/>
        </w:rPr>
        <w:t xml:space="preserve">primaria </w:t>
      </w:r>
      <w:r>
        <w:rPr>
          <w:rFonts w:ascii="Arial" w:hAnsi="Arial" w:cs="Arial"/>
          <w:sz w:val="20"/>
          <w:szCs w:val="20"/>
          <w:lang w:eastAsia="zh-CN"/>
        </w:rPr>
        <w:t xml:space="preserve">del estudio </w:t>
      </w:r>
      <w:r w:rsidRPr="00A456AA">
        <w:rPr>
          <w:rFonts w:ascii="Arial" w:hAnsi="Arial" w:cs="Arial"/>
          <w:sz w:val="20"/>
          <w:szCs w:val="20"/>
          <w:lang w:eastAsia="zh-CN"/>
        </w:rPr>
        <w:t>la SLPr, variable intermedia</w:t>
      </w:r>
      <w:r w:rsidR="003D403B">
        <w:rPr>
          <w:rFonts w:ascii="Arial" w:hAnsi="Arial" w:cs="Arial"/>
          <w:sz w:val="20"/>
          <w:szCs w:val="20"/>
          <w:lang w:eastAsia="zh-CN"/>
        </w:rPr>
        <w:t>.</w:t>
      </w:r>
      <w:r w:rsidRPr="00A456AA">
        <w:rPr>
          <w:rFonts w:ascii="Arial" w:hAnsi="Arial" w:cs="Arial"/>
          <w:sz w:val="20"/>
          <w:szCs w:val="20"/>
          <w:lang w:eastAsia="zh-CN"/>
        </w:rPr>
        <w:t xml:space="preserve"> </w:t>
      </w:r>
      <w:r>
        <w:rPr>
          <w:rFonts w:ascii="Arial" w:hAnsi="Arial" w:cs="Arial"/>
          <w:sz w:val="20"/>
          <w:szCs w:val="20"/>
          <w:lang w:eastAsia="zh-CN"/>
        </w:rPr>
        <w:t>En este contexto de la enfermedad CPRCm</w:t>
      </w:r>
      <w:r w:rsidRPr="00A456AA">
        <w:rPr>
          <w:rFonts w:ascii="Arial" w:hAnsi="Arial" w:cs="Arial"/>
          <w:sz w:val="20"/>
          <w:szCs w:val="20"/>
          <w:lang w:eastAsia="zh-CN"/>
        </w:rPr>
        <w:t xml:space="preserve">, la SG es la mejor medida para poder </w:t>
      </w:r>
      <w:r w:rsidR="00486C9F">
        <w:rPr>
          <w:rFonts w:ascii="Arial" w:hAnsi="Arial" w:cs="Arial"/>
          <w:sz w:val="20"/>
          <w:szCs w:val="20"/>
          <w:lang w:eastAsia="zh-CN"/>
        </w:rPr>
        <w:t xml:space="preserve">establecer </w:t>
      </w:r>
      <w:r w:rsidR="003D403B">
        <w:rPr>
          <w:rFonts w:ascii="Arial" w:hAnsi="Arial" w:cs="Arial"/>
          <w:sz w:val="20"/>
          <w:szCs w:val="20"/>
          <w:lang w:eastAsia="zh-CN"/>
        </w:rPr>
        <w:t>la</w:t>
      </w:r>
      <w:r w:rsidR="00486C9F">
        <w:rPr>
          <w:rFonts w:ascii="Arial" w:hAnsi="Arial" w:cs="Arial"/>
          <w:sz w:val="20"/>
          <w:szCs w:val="20"/>
          <w:lang w:eastAsia="zh-CN"/>
        </w:rPr>
        <w:t xml:space="preserve"> </w:t>
      </w:r>
      <w:r>
        <w:rPr>
          <w:rFonts w:ascii="Arial" w:hAnsi="Arial" w:cs="Arial"/>
          <w:sz w:val="20"/>
          <w:szCs w:val="20"/>
          <w:lang w:eastAsia="zh-CN"/>
        </w:rPr>
        <w:t>relevancia</w:t>
      </w:r>
      <w:r w:rsidR="003D403B">
        <w:rPr>
          <w:rFonts w:ascii="Arial" w:hAnsi="Arial" w:cs="Arial"/>
          <w:sz w:val="20"/>
          <w:szCs w:val="20"/>
          <w:lang w:eastAsia="zh-CN"/>
        </w:rPr>
        <w:t xml:space="preserve"> clínica del fármaco</w:t>
      </w:r>
      <w:r w:rsidR="001714EF">
        <w:rPr>
          <w:rFonts w:ascii="Arial" w:hAnsi="Arial" w:cs="Arial"/>
          <w:sz w:val="20"/>
          <w:szCs w:val="20"/>
          <w:lang w:eastAsia="zh-CN"/>
        </w:rPr>
        <w:t xml:space="preserve">. Con los datos actuales, </w:t>
      </w:r>
      <w:r w:rsidR="00486C9F">
        <w:rPr>
          <w:rFonts w:ascii="Arial" w:hAnsi="Arial" w:cs="Arial"/>
          <w:sz w:val="20"/>
          <w:szCs w:val="20"/>
          <w:lang w:eastAsia="zh-CN"/>
        </w:rPr>
        <w:t xml:space="preserve">sin </w:t>
      </w:r>
      <w:r w:rsidR="003D403B">
        <w:rPr>
          <w:rFonts w:ascii="Arial" w:hAnsi="Arial" w:cs="Arial"/>
          <w:sz w:val="20"/>
          <w:szCs w:val="20"/>
          <w:lang w:eastAsia="zh-CN"/>
        </w:rPr>
        <w:t xml:space="preserve">haber demostrado niraparib/abiraterona </w:t>
      </w:r>
      <w:r w:rsidR="002A4DCD">
        <w:rPr>
          <w:rFonts w:ascii="Arial" w:hAnsi="Arial" w:cs="Arial"/>
          <w:sz w:val="20"/>
          <w:szCs w:val="20"/>
          <w:lang w:eastAsia="zh-CN"/>
        </w:rPr>
        <w:t>una mejora estadísticamente significativa</w:t>
      </w:r>
      <w:r w:rsidR="003D403B">
        <w:rPr>
          <w:rFonts w:ascii="Arial" w:hAnsi="Arial" w:cs="Arial"/>
          <w:sz w:val="20"/>
          <w:szCs w:val="20"/>
          <w:lang w:eastAsia="zh-CN"/>
        </w:rPr>
        <w:t xml:space="preserve"> </w:t>
      </w:r>
      <w:r w:rsidRPr="00A456AA">
        <w:rPr>
          <w:rFonts w:ascii="Arial" w:hAnsi="Arial" w:cs="Arial"/>
          <w:sz w:val="20"/>
          <w:szCs w:val="20"/>
          <w:lang w:eastAsia="zh-CN"/>
        </w:rPr>
        <w:t xml:space="preserve">de </w:t>
      </w:r>
      <w:r w:rsidR="001714EF">
        <w:rPr>
          <w:rFonts w:ascii="Arial" w:hAnsi="Arial" w:cs="Arial"/>
          <w:sz w:val="20"/>
          <w:szCs w:val="20"/>
          <w:lang w:eastAsia="zh-CN"/>
        </w:rPr>
        <w:t xml:space="preserve">la </w:t>
      </w:r>
      <w:r w:rsidRPr="00A456AA">
        <w:rPr>
          <w:rFonts w:ascii="Arial" w:hAnsi="Arial" w:cs="Arial"/>
          <w:sz w:val="20"/>
          <w:szCs w:val="20"/>
          <w:lang w:eastAsia="zh-CN"/>
        </w:rPr>
        <w:t>SG frente a abiraterona en monoterapia</w:t>
      </w:r>
      <w:r>
        <w:rPr>
          <w:rFonts w:ascii="Arial" w:hAnsi="Arial" w:cs="Arial"/>
          <w:sz w:val="20"/>
          <w:szCs w:val="20"/>
          <w:lang w:eastAsia="zh-CN"/>
        </w:rPr>
        <w:t xml:space="preserve"> (HR: 0,88, IC95% 0,58-1,34)</w:t>
      </w:r>
      <w:r w:rsidR="001714EF">
        <w:rPr>
          <w:rFonts w:ascii="Arial" w:hAnsi="Arial" w:cs="Arial"/>
          <w:sz w:val="20"/>
          <w:szCs w:val="20"/>
          <w:lang w:eastAsia="zh-CN"/>
        </w:rPr>
        <w:t xml:space="preserve">, </w:t>
      </w:r>
      <w:r w:rsidRPr="00A456AA">
        <w:rPr>
          <w:rFonts w:ascii="Arial" w:hAnsi="Arial" w:cs="Arial"/>
          <w:sz w:val="20"/>
          <w:szCs w:val="20"/>
          <w:lang w:eastAsia="zh-CN"/>
        </w:rPr>
        <w:t xml:space="preserve">no se puede considerar que </w:t>
      </w:r>
      <w:r w:rsidR="003D403B">
        <w:rPr>
          <w:rFonts w:ascii="Arial" w:hAnsi="Arial" w:cs="Arial"/>
          <w:sz w:val="20"/>
          <w:szCs w:val="20"/>
          <w:lang w:eastAsia="zh-CN"/>
        </w:rPr>
        <w:t xml:space="preserve">los resultados de eficacia de </w:t>
      </w:r>
      <w:r w:rsidR="001714EF">
        <w:rPr>
          <w:rFonts w:ascii="Arial" w:hAnsi="Arial" w:cs="Arial"/>
          <w:sz w:val="20"/>
          <w:szCs w:val="20"/>
          <w:lang w:eastAsia="zh-CN"/>
        </w:rPr>
        <w:t xml:space="preserve">la combinación </w:t>
      </w:r>
      <w:r w:rsidRPr="00A456AA">
        <w:rPr>
          <w:rFonts w:ascii="Arial" w:hAnsi="Arial" w:cs="Arial"/>
          <w:sz w:val="20"/>
          <w:szCs w:val="20"/>
          <w:lang w:eastAsia="zh-CN"/>
        </w:rPr>
        <w:t xml:space="preserve">presente relevancia clínica </w:t>
      </w:r>
      <w:r w:rsidR="001714EF">
        <w:rPr>
          <w:rFonts w:ascii="Arial" w:hAnsi="Arial" w:cs="Arial"/>
          <w:sz w:val="20"/>
          <w:szCs w:val="20"/>
          <w:lang w:eastAsia="zh-CN"/>
        </w:rPr>
        <w:t>frente a</w:t>
      </w:r>
      <w:r w:rsidR="00486C9F">
        <w:rPr>
          <w:rFonts w:ascii="Arial" w:hAnsi="Arial" w:cs="Arial"/>
          <w:sz w:val="20"/>
          <w:szCs w:val="20"/>
          <w:lang w:eastAsia="zh-CN"/>
        </w:rPr>
        <w:t xml:space="preserve">l tratamiento </w:t>
      </w:r>
      <w:r w:rsidR="003D403B">
        <w:rPr>
          <w:rFonts w:ascii="Arial" w:hAnsi="Arial" w:cs="Arial"/>
          <w:sz w:val="20"/>
          <w:szCs w:val="20"/>
          <w:lang w:eastAsia="zh-CN"/>
        </w:rPr>
        <w:t>comparador para el tratamiento de</w:t>
      </w:r>
      <w:r w:rsidRPr="00A456AA">
        <w:rPr>
          <w:rFonts w:ascii="Arial" w:hAnsi="Arial" w:cs="Arial"/>
          <w:sz w:val="20"/>
          <w:szCs w:val="20"/>
          <w:lang w:eastAsia="zh-CN"/>
        </w:rPr>
        <w:t xml:space="preserve"> </w:t>
      </w:r>
      <w:r w:rsidR="00486C9F">
        <w:rPr>
          <w:rFonts w:ascii="Arial" w:hAnsi="Arial" w:cs="Arial"/>
          <w:sz w:val="20"/>
          <w:szCs w:val="20"/>
          <w:lang w:eastAsia="zh-CN"/>
        </w:rPr>
        <w:t>CPRCm</w:t>
      </w:r>
      <w:r w:rsidRPr="00A456AA">
        <w:rPr>
          <w:rFonts w:ascii="Arial" w:hAnsi="Arial" w:cs="Arial"/>
          <w:sz w:val="20"/>
          <w:szCs w:val="20"/>
          <w:lang w:eastAsia="zh-CN"/>
        </w:rPr>
        <w:t>.</w:t>
      </w:r>
    </w:p>
    <w:p w14:paraId="7A1F7E77" w14:textId="77777777" w:rsidR="001376BA" w:rsidRDefault="001376BA" w:rsidP="001376BA">
      <w:pPr>
        <w:widowControl w:val="0"/>
        <w:ind w:right="-42" w:hanging="2"/>
        <w:jc w:val="both"/>
        <w:rPr>
          <w:rFonts w:ascii="Arial" w:eastAsia="Arial" w:hAnsi="Arial" w:cs="Arial"/>
          <w:sz w:val="20"/>
          <w:szCs w:val="20"/>
        </w:rPr>
      </w:pPr>
    </w:p>
    <w:p w14:paraId="35B1EEA7" w14:textId="77777777"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rPr>
      </w:pPr>
      <w:bookmarkStart w:id="70" w:name="_Toc344399641"/>
      <w:bookmarkStart w:id="71" w:name="_Toc348931368"/>
      <w:bookmarkStart w:id="72" w:name="_Toc153727200"/>
      <w:r w:rsidRPr="00BE3C83">
        <w:rPr>
          <w:bCs/>
          <w:sz w:val="20"/>
        </w:rPr>
        <w:t>C.2 La evidencia de equivalencia terapéutica.</w:t>
      </w:r>
      <w:bookmarkEnd w:id="70"/>
      <w:bookmarkEnd w:id="71"/>
      <w:bookmarkEnd w:id="72"/>
      <w:r w:rsidRPr="00BE3C83">
        <w:rPr>
          <w:bCs/>
          <w:sz w:val="20"/>
        </w:rPr>
        <w:t xml:space="preserve"> </w:t>
      </w:r>
    </w:p>
    <w:p w14:paraId="061D56D0" w14:textId="77777777" w:rsidR="00BC3E8E" w:rsidRDefault="00BC3E8E" w:rsidP="00BC3E8E">
      <w:pPr>
        <w:pStyle w:val="Textoindependiente3"/>
        <w:ind w:left="708"/>
        <w:jc w:val="both"/>
        <w:rPr>
          <w:color w:val="000080"/>
          <w:sz w:val="20"/>
          <w:lang w:val="es-ES_tradnl"/>
        </w:rPr>
      </w:pPr>
    </w:p>
    <w:p w14:paraId="6005A039" w14:textId="27D18485" w:rsidR="004C3C4C" w:rsidRDefault="004C3C4C" w:rsidP="006A00F0">
      <w:pPr>
        <w:jc w:val="both"/>
        <w:rPr>
          <w:rFonts w:ascii="Arial" w:hAnsi="Arial" w:cs="Arial"/>
          <w:bCs/>
          <w:sz w:val="20"/>
          <w:szCs w:val="20"/>
        </w:rPr>
      </w:pPr>
      <w:r>
        <w:rPr>
          <w:rFonts w:ascii="Arial" w:hAnsi="Arial" w:cs="Arial"/>
          <w:bCs/>
          <w:sz w:val="20"/>
          <w:szCs w:val="20"/>
        </w:rPr>
        <w:t xml:space="preserve">No se dispone de comparaciones directas o indirectas ajustadas con otras alternativas disponibles para el tratamiento de CPRCm. </w:t>
      </w:r>
    </w:p>
    <w:p w14:paraId="141A4DA9" w14:textId="74851958" w:rsidR="006A00F0" w:rsidRPr="000603A2" w:rsidRDefault="004C3C4C" w:rsidP="00BC3E8E">
      <w:pPr>
        <w:jc w:val="both"/>
        <w:rPr>
          <w:rFonts w:ascii="Arial" w:hAnsi="Arial" w:cs="Arial"/>
          <w:bCs/>
          <w:sz w:val="20"/>
          <w:szCs w:val="20"/>
        </w:rPr>
      </w:pPr>
      <w:r>
        <w:rPr>
          <w:rFonts w:ascii="Arial" w:hAnsi="Arial" w:cs="Arial"/>
          <w:bCs/>
          <w:sz w:val="20"/>
          <w:szCs w:val="20"/>
        </w:rPr>
        <w:t xml:space="preserve"> </w:t>
      </w:r>
    </w:p>
    <w:p w14:paraId="50221214" w14:textId="77777777"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rPr>
      </w:pPr>
      <w:bookmarkStart w:id="73" w:name="_Toc344399642"/>
      <w:bookmarkStart w:id="74" w:name="_Toc348931369"/>
      <w:bookmarkStart w:id="75" w:name="_Toc153727201"/>
      <w:r w:rsidRPr="00BE3C83">
        <w:rPr>
          <w:bCs/>
          <w:sz w:val="20"/>
        </w:rPr>
        <w:t>C.3 Alternativas terapéuticas equivalentes (ATE)</w:t>
      </w:r>
      <w:bookmarkEnd w:id="73"/>
      <w:bookmarkEnd w:id="74"/>
      <w:bookmarkEnd w:id="75"/>
      <w:r w:rsidRPr="00BE3C83">
        <w:rPr>
          <w:bCs/>
          <w:sz w:val="20"/>
        </w:rPr>
        <w:t xml:space="preserve"> </w:t>
      </w:r>
    </w:p>
    <w:p w14:paraId="461C6042" w14:textId="77777777" w:rsidR="00BC3E8E" w:rsidRDefault="00BC3E8E" w:rsidP="00BC3E8E">
      <w:pPr>
        <w:jc w:val="both"/>
        <w:rPr>
          <w:rFonts w:ascii="Arial" w:hAnsi="Arial" w:cs="Arial"/>
          <w:b/>
          <w:color w:val="0000FF"/>
          <w:sz w:val="20"/>
          <w:szCs w:val="20"/>
          <w:lang w:val="es-ES_tradnl"/>
        </w:rPr>
      </w:pPr>
    </w:p>
    <w:p w14:paraId="49A59965" w14:textId="3C36BBD5" w:rsidR="006A00F0" w:rsidRDefault="00F22355" w:rsidP="00BC3E8E">
      <w:pPr>
        <w:jc w:val="both"/>
        <w:rPr>
          <w:rFonts w:ascii="Arial" w:hAnsi="Arial" w:cs="Arial"/>
          <w:b/>
          <w:color w:val="0000FF"/>
          <w:sz w:val="20"/>
          <w:szCs w:val="20"/>
          <w:lang w:val="es-ES_tradnl"/>
        </w:rPr>
      </w:pPr>
      <w:r>
        <w:rPr>
          <w:rFonts w:ascii="Calibri" w:hAnsi="Calibri" w:cs="Calibri"/>
          <w:sz w:val="22"/>
          <w:szCs w:val="20"/>
        </w:rPr>
        <w:t xml:space="preserve">No </w:t>
      </w:r>
      <w:r w:rsidR="004C3C4C">
        <w:rPr>
          <w:rFonts w:ascii="Calibri" w:hAnsi="Calibri" w:cs="Calibri"/>
          <w:sz w:val="22"/>
          <w:szCs w:val="20"/>
        </w:rPr>
        <w:t>se dispone de alternativas terapéuticas equivalentes.</w:t>
      </w:r>
    </w:p>
    <w:p w14:paraId="70FA943A" w14:textId="77777777" w:rsidR="00BC3E8E" w:rsidRPr="006F6ABB" w:rsidRDefault="00BC3E8E" w:rsidP="00BC3E8E">
      <w:pPr>
        <w:jc w:val="right"/>
        <w:rPr>
          <w:rFonts w:ascii="Arial" w:hAnsi="Arial" w:cs="Arial"/>
          <w:color w:val="FF0000"/>
          <w:sz w:val="16"/>
          <w:szCs w:val="16"/>
        </w:rPr>
      </w:pPr>
    </w:p>
    <w:p w14:paraId="58155B6C" w14:textId="77777777" w:rsidR="00BC3E8E" w:rsidRPr="003C4FAD"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76" w:name="_Toc344399643"/>
      <w:bookmarkStart w:id="77" w:name="_Toc348931370"/>
      <w:bookmarkStart w:id="78" w:name="_Toc153727202"/>
      <w:r w:rsidRPr="00E3472F">
        <w:rPr>
          <w:rFonts w:cs="Arial"/>
          <w:sz w:val="20"/>
        </w:rPr>
        <w:t>5.2.c Evaluación de las pruebas de cribado utilizadas</w:t>
      </w:r>
      <w:bookmarkEnd w:id="76"/>
      <w:bookmarkEnd w:id="77"/>
      <w:r w:rsidRPr="00E3472F">
        <w:rPr>
          <w:rFonts w:cs="Arial"/>
          <w:sz w:val="20"/>
        </w:rPr>
        <w:t xml:space="preserve"> </w:t>
      </w:r>
      <w:r w:rsidR="003C4FAD">
        <w:rPr>
          <w:rFonts w:cs="Arial"/>
          <w:sz w:val="20"/>
        </w:rPr>
        <w:t>(8, 20)</w:t>
      </w:r>
      <w:bookmarkEnd w:id="78"/>
    </w:p>
    <w:p w14:paraId="46611CDE" w14:textId="77777777" w:rsidR="00AC7E7E" w:rsidRDefault="00AC7E7E" w:rsidP="00BC3E8E">
      <w:pPr>
        <w:jc w:val="right"/>
        <w:rPr>
          <w:rFonts w:ascii="Arial" w:hAnsi="Arial" w:cs="Arial"/>
          <w:color w:val="FF0000"/>
          <w:sz w:val="20"/>
          <w:szCs w:val="20"/>
        </w:rPr>
      </w:pPr>
    </w:p>
    <w:p w14:paraId="169D5A4D" w14:textId="77777777" w:rsidR="00F96F1F" w:rsidRDefault="00F96F1F" w:rsidP="00BC3E8E">
      <w:pPr>
        <w:jc w:val="right"/>
        <w:rPr>
          <w:rFonts w:ascii="Arial" w:hAnsi="Arial" w:cs="Arial"/>
          <w:color w:val="FF0000"/>
          <w:sz w:val="20"/>
          <w:szCs w:val="20"/>
        </w:rPr>
      </w:pPr>
    </w:p>
    <w:p w14:paraId="2D9DF3CC" w14:textId="77777777" w:rsidR="00F96F1F" w:rsidRPr="002013E1" w:rsidRDefault="001A0EA8" w:rsidP="00F96F1F">
      <w:pPr>
        <w:jc w:val="both"/>
        <w:rPr>
          <w:rFonts w:ascii="Arial" w:hAnsi="Arial" w:cs="Arial"/>
          <w:bCs/>
          <w:sz w:val="20"/>
          <w:szCs w:val="20"/>
        </w:rPr>
      </w:pPr>
      <w:r w:rsidRPr="002013E1">
        <w:rPr>
          <w:rFonts w:ascii="Arial" w:hAnsi="Arial" w:cs="Arial"/>
          <w:bCs/>
          <w:sz w:val="20"/>
          <w:szCs w:val="20"/>
        </w:rPr>
        <w:t>Los pacientes preseleccionados se sometían a pruebas para determinar el estado de los biomarcadores HRR mediante un ensayo requerido en muestras de tejido y/o muestras de sangre (FoundationOne tissue test [FoundationO-neCDx], prueba plasmática de deficiencia de recombinación homóloga de Resolution Bioscience, ensayos de sangre y tejidos de AmoyDx, o bien pruebas de biomarcadores de laboratorios locales acreditados con revisión central que demuestre una alteración somática patogénica incluida en el panel de genes biomarcadores del estudio).</w:t>
      </w:r>
    </w:p>
    <w:p w14:paraId="1F9E98F3" w14:textId="252762BE" w:rsidR="00F96F1F" w:rsidRPr="002013E1" w:rsidRDefault="001A0EA8" w:rsidP="00F96F1F">
      <w:pPr>
        <w:jc w:val="both"/>
        <w:rPr>
          <w:rFonts w:ascii="Arial" w:hAnsi="Arial" w:cs="Arial"/>
          <w:bCs/>
          <w:sz w:val="20"/>
          <w:szCs w:val="20"/>
        </w:rPr>
      </w:pPr>
      <w:r w:rsidRPr="002013E1">
        <w:rPr>
          <w:rFonts w:ascii="Arial" w:hAnsi="Arial" w:cs="Arial"/>
          <w:bCs/>
          <w:sz w:val="20"/>
          <w:szCs w:val="20"/>
        </w:rPr>
        <w:t>Los pacientes deb</w:t>
      </w:r>
      <w:r w:rsidR="00407514">
        <w:rPr>
          <w:rFonts w:ascii="Arial" w:hAnsi="Arial" w:cs="Arial"/>
          <w:bCs/>
          <w:sz w:val="20"/>
          <w:szCs w:val="20"/>
        </w:rPr>
        <w:t>ían</w:t>
      </w:r>
      <w:r w:rsidRPr="002013E1">
        <w:rPr>
          <w:rFonts w:ascii="Arial" w:hAnsi="Arial" w:cs="Arial"/>
          <w:bCs/>
          <w:sz w:val="20"/>
          <w:szCs w:val="20"/>
        </w:rPr>
        <w:t xml:space="preserve"> haber sido sometidos a pruebas de tejidos y plasma para ser asignados aleatoriamente a la cohorte HRR-. Los pacientes debían tener una alteración genética detectada mediante un ensayo o más para ser elegibles para la cohorte HRR+.</w:t>
      </w:r>
    </w:p>
    <w:p w14:paraId="225E72D4" w14:textId="77777777" w:rsidR="00F96F1F" w:rsidRPr="002013E1" w:rsidRDefault="00F96F1F" w:rsidP="00F96F1F">
      <w:pPr>
        <w:jc w:val="both"/>
        <w:rPr>
          <w:rFonts w:ascii="Arial" w:hAnsi="Arial" w:cs="Arial"/>
          <w:bCs/>
          <w:sz w:val="20"/>
          <w:szCs w:val="20"/>
        </w:rPr>
      </w:pPr>
    </w:p>
    <w:p w14:paraId="1C67EC9C" w14:textId="099C52B2" w:rsidR="00AC7E7E" w:rsidRPr="002013E1" w:rsidRDefault="001A0EA8" w:rsidP="00AC7E7E">
      <w:pPr>
        <w:jc w:val="both"/>
        <w:rPr>
          <w:rFonts w:ascii="Arial" w:hAnsi="Arial" w:cs="Arial"/>
          <w:bCs/>
          <w:sz w:val="20"/>
          <w:szCs w:val="20"/>
        </w:rPr>
      </w:pPr>
      <w:r w:rsidRPr="002013E1">
        <w:rPr>
          <w:rFonts w:ascii="Arial" w:hAnsi="Arial" w:cs="Arial"/>
          <w:bCs/>
          <w:sz w:val="20"/>
          <w:szCs w:val="20"/>
        </w:rPr>
        <w:t xml:space="preserve">En este estudio, las muestras de biomarcadores (sangre y tejido tumoral) se </w:t>
      </w:r>
      <w:r w:rsidR="00407514">
        <w:rPr>
          <w:rFonts w:ascii="Arial" w:hAnsi="Arial" w:cs="Arial"/>
          <w:bCs/>
          <w:sz w:val="20"/>
          <w:szCs w:val="20"/>
        </w:rPr>
        <w:t>recogieron</w:t>
      </w:r>
      <w:r w:rsidRPr="002013E1">
        <w:rPr>
          <w:rFonts w:ascii="Arial" w:hAnsi="Arial" w:cs="Arial"/>
          <w:bCs/>
          <w:sz w:val="20"/>
          <w:szCs w:val="20"/>
        </w:rPr>
        <w:t xml:space="preserve"> y se procesa</w:t>
      </w:r>
      <w:r w:rsidR="00407514">
        <w:rPr>
          <w:rFonts w:ascii="Arial" w:hAnsi="Arial" w:cs="Arial"/>
          <w:bCs/>
          <w:sz w:val="20"/>
          <w:szCs w:val="20"/>
        </w:rPr>
        <w:t>ro</w:t>
      </w:r>
      <w:r w:rsidRPr="002013E1">
        <w:rPr>
          <w:rFonts w:ascii="Arial" w:hAnsi="Arial" w:cs="Arial"/>
          <w:bCs/>
          <w:sz w:val="20"/>
          <w:szCs w:val="20"/>
        </w:rPr>
        <w:t xml:space="preserve">n prospectivamente durante la fase de preselección para garantizar que los sujetos incluidos en una cohorte de alteración del gen HRR (p. ej., cohorte 1 y cohorte 3) </w:t>
      </w:r>
      <w:r w:rsidR="00407514">
        <w:rPr>
          <w:rFonts w:ascii="Arial" w:hAnsi="Arial" w:cs="Arial"/>
          <w:bCs/>
          <w:sz w:val="20"/>
          <w:szCs w:val="20"/>
        </w:rPr>
        <w:t>eran</w:t>
      </w:r>
      <w:r w:rsidRPr="002013E1">
        <w:rPr>
          <w:rFonts w:ascii="Arial" w:hAnsi="Arial" w:cs="Arial"/>
          <w:bCs/>
          <w:sz w:val="20"/>
          <w:szCs w:val="20"/>
        </w:rPr>
        <w:t xml:space="preserve"> positivos para biomarcadores.</w:t>
      </w:r>
    </w:p>
    <w:p w14:paraId="59ECDBFC" w14:textId="77777777" w:rsidR="003F52F3" w:rsidRPr="002013E1" w:rsidRDefault="001A0EA8" w:rsidP="003F52F3">
      <w:pPr>
        <w:jc w:val="both"/>
        <w:rPr>
          <w:rFonts w:ascii="Arial" w:hAnsi="Arial" w:cs="Arial"/>
          <w:bCs/>
          <w:sz w:val="20"/>
          <w:szCs w:val="20"/>
        </w:rPr>
      </w:pPr>
      <w:r w:rsidRPr="002013E1">
        <w:rPr>
          <w:rFonts w:ascii="Arial" w:hAnsi="Arial" w:cs="Arial"/>
          <w:bCs/>
          <w:sz w:val="20"/>
          <w:szCs w:val="20"/>
        </w:rPr>
        <w:t xml:space="preserve">El estado de alteración del gen HRR de los sujetos debe evaluarse mediante los ensayos exigidos por el patrocinador. Si un resultado previo de las pruebas exigidas por el promotor o pruebas locales (realizadas por un laboratorio con certificación CLIA o equivalente) muestran una alteración patogénica de la línea germinal o somática del gen HRR para uno de los genes seleccionados, tras la revisión de los resultados por parte del promotor, el sujeto puede entrar en el cribado y ser aleatorizado (si es elegible). Se debe recoger y enviar sangre y tejido tumoral de todos los sujetos. </w:t>
      </w:r>
    </w:p>
    <w:p w14:paraId="6EC03F0A" w14:textId="77777777" w:rsidR="003F52F3" w:rsidRPr="002013E1" w:rsidRDefault="001A0EA8" w:rsidP="003F52F3">
      <w:pPr>
        <w:jc w:val="both"/>
        <w:rPr>
          <w:rFonts w:ascii="Arial" w:hAnsi="Arial" w:cs="Arial"/>
          <w:bCs/>
          <w:sz w:val="20"/>
          <w:szCs w:val="20"/>
        </w:rPr>
      </w:pPr>
      <w:r w:rsidRPr="002013E1">
        <w:rPr>
          <w:rFonts w:ascii="Arial" w:hAnsi="Arial" w:cs="Arial"/>
          <w:bCs/>
          <w:sz w:val="20"/>
          <w:szCs w:val="20"/>
        </w:rPr>
        <w:t>Los biomarcadores para este estudio se enumeran en la Tabla 6. La asignación de cohortes será realizada por el patrocinador, como se detalla en la Tabla 5.</w:t>
      </w:r>
    </w:p>
    <w:p w14:paraId="603F636F" w14:textId="77777777" w:rsidR="006D7138" w:rsidRPr="002013E1" w:rsidRDefault="001A0EA8" w:rsidP="003F52F3">
      <w:pPr>
        <w:jc w:val="both"/>
        <w:rPr>
          <w:rFonts w:ascii="Arial" w:hAnsi="Arial" w:cs="Arial"/>
          <w:bCs/>
          <w:sz w:val="20"/>
          <w:szCs w:val="20"/>
        </w:rPr>
      </w:pPr>
      <w:r w:rsidRPr="002013E1">
        <w:rPr>
          <w:rFonts w:ascii="Arial" w:hAnsi="Arial" w:cs="Arial"/>
          <w:bCs/>
          <w:sz w:val="20"/>
          <w:szCs w:val="20"/>
        </w:rPr>
        <w:t xml:space="preserve">Si bien la elegibilidad para el ensayo se basa en el estado de alteración del gen HRR, tal como se define en la Tabla 11, se obtendrán datos adicionales para determinar el estado de alteración bialélica del gen HRR (por ejemplo, una deleción homocigota o una lesión genómica requerida/necesaria para la positividad en combinación con una deleción o pérdida de heterocigosidad en el mismo gen). </w:t>
      </w:r>
    </w:p>
    <w:p w14:paraId="7AD67C73" w14:textId="77777777" w:rsidR="000F1EEB" w:rsidRDefault="000F1EEB" w:rsidP="003F52F3">
      <w:pPr>
        <w:jc w:val="both"/>
        <w:rPr>
          <w:rFonts w:ascii="Calibri" w:hAnsi="Calibri" w:cs="Calibri"/>
          <w:bCs/>
          <w:sz w:val="22"/>
          <w:szCs w:val="20"/>
        </w:rPr>
      </w:pPr>
    </w:p>
    <w:p w14:paraId="117153E5" w14:textId="77777777" w:rsidR="00FF1361" w:rsidRDefault="00796BDE" w:rsidP="00FF1361">
      <w:pPr>
        <w:pStyle w:val="Descripcin1"/>
        <w:keepNext/>
        <w:jc w:val="both"/>
      </w:pPr>
      <w:r>
        <w:t xml:space="preserve">Tabla </w:t>
      </w:r>
      <w:r w:rsidR="002A6572">
        <w:t>11</w:t>
      </w:r>
      <w:r w:rsidR="00FF1361">
        <w:t>. Panel de biomarcadores</w:t>
      </w:r>
    </w:p>
    <w:p w14:paraId="43AC4571" w14:textId="1621D241" w:rsidR="000F1EEB" w:rsidRDefault="009C6417" w:rsidP="003F52F3">
      <w:pPr>
        <w:jc w:val="both"/>
        <w:rPr>
          <w:rFonts w:ascii="Calibri" w:hAnsi="Calibri" w:cs="Calibri"/>
          <w:bCs/>
          <w:sz w:val="22"/>
          <w:szCs w:val="20"/>
        </w:rPr>
      </w:pPr>
      <w:r>
        <w:rPr>
          <w:rFonts w:ascii="Calibri" w:hAnsi="Calibri" w:cs="Calibri"/>
          <w:noProof/>
          <w:sz w:val="22"/>
          <w:szCs w:val="20"/>
        </w:rPr>
        <w:drawing>
          <wp:inline distT="0" distB="0" distL="0" distR="0" wp14:anchorId="00647695" wp14:editId="5B3833A3">
            <wp:extent cx="5549900" cy="20751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9900" cy="2075180"/>
                    </a:xfrm>
                    <a:prstGeom prst="rect">
                      <a:avLst/>
                    </a:prstGeom>
                    <a:noFill/>
                    <a:ln>
                      <a:noFill/>
                    </a:ln>
                  </pic:spPr>
                </pic:pic>
              </a:graphicData>
            </a:graphic>
          </wp:inline>
        </w:drawing>
      </w:r>
    </w:p>
    <w:p w14:paraId="42F0E44E" w14:textId="77777777" w:rsidR="003F52F3" w:rsidRPr="002013E1" w:rsidRDefault="001A0EA8" w:rsidP="003F52F3">
      <w:pPr>
        <w:jc w:val="both"/>
        <w:rPr>
          <w:rFonts w:ascii="Arial" w:hAnsi="Arial" w:cs="Arial"/>
          <w:bCs/>
          <w:sz w:val="20"/>
          <w:szCs w:val="20"/>
        </w:rPr>
      </w:pPr>
      <w:r w:rsidRPr="002013E1">
        <w:rPr>
          <w:rFonts w:ascii="Arial" w:hAnsi="Arial" w:cs="Arial"/>
          <w:bCs/>
          <w:sz w:val="20"/>
          <w:szCs w:val="20"/>
          <w:vertAlign w:val="superscript"/>
        </w:rPr>
        <w:t>1</w:t>
      </w:r>
      <w:r w:rsidRPr="002013E1">
        <w:rPr>
          <w:rFonts w:ascii="Arial" w:hAnsi="Arial" w:cs="Arial"/>
          <w:bCs/>
          <w:sz w:val="20"/>
          <w:szCs w:val="20"/>
        </w:rPr>
        <w:t>Tras la aplicación de la Enmienda 3 al Protocolo, se suspendió la inscripción de sujetos con alteración ATM. La inscripción restante para la Cohorte 1 puede ajustarse aún más para incluir sujetos adicionales con alteraciones específicas del gen HRR en base a pruebas de datos externos.</w:t>
      </w:r>
    </w:p>
    <w:p w14:paraId="2E735F86" w14:textId="77777777" w:rsidR="006D7138" w:rsidRPr="002013E1" w:rsidRDefault="006D7138" w:rsidP="003F52F3">
      <w:pPr>
        <w:jc w:val="both"/>
        <w:rPr>
          <w:rFonts w:ascii="Arial" w:hAnsi="Arial" w:cs="Arial"/>
          <w:bCs/>
          <w:sz w:val="20"/>
          <w:szCs w:val="20"/>
        </w:rPr>
      </w:pPr>
    </w:p>
    <w:p w14:paraId="1B2473B2" w14:textId="77777777" w:rsidR="00FF1361" w:rsidRDefault="00796BDE" w:rsidP="00FF1361">
      <w:pPr>
        <w:pStyle w:val="Descripcin1"/>
        <w:keepNext/>
        <w:jc w:val="both"/>
      </w:pPr>
      <w:r>
        <w:t>Tabla 1</w:t>
      </w:r>
      <w:r w:rsidR="002A6572">
        <w:t>2</w:t>
      </w:r>
      <w:r w:rsidR="00FF1361">
        <w:t>. Asignación a cohortes</w:t>
      </w:r>
    </w:p>
    <w:p w14:paraId="6077293C" w14:textId="38584FFF" w:rsidR="00FF1361" w:rsidRDefault="009C6417" w:rsidP="003F52F3">
      <w:pPr>
        <w:jc w:val="both"/>
        <w:rPr>
          <w:rFonts w:ascii="Calibri" w:hAnsi="Calibri" w:cs="Calibri"/>
          <w:bCs/>
          <w:sz w:val="22"/>
          <w:szCs w:val="20"/>
        </w:rPr>
      </w:pPr>
      <w:r>
        <w:rPr>
          <w:rFonts w:ascii="Calibri" w:hAnsi="Calibri" w:cs="Calibri"/>
          <w:noProof/>
          <w:sz w:val="22"/>
          <w:szCs w:val="20"/>
        </w:rPr>
        <w:drawing>
          <wp:inline distT="0" distB="0" distL="0" distR="0" wp14:anchorId="2925DCEA" wp14:editId="4CC18D58">
            <wp:extent cx="5542280" cy="1550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2280" cy="1550670"/>
                    </a:xfrm>
                    <a:prstGeom prst="rect">
                      <a:avLst/>
                    </a:prstGeom>
                    <a:noFill/>
                    <a:ln>
                      <a:noFill/>
                    </a:ln>
                  </pic:spPr>
                </pic:pic>
              </a:graphicData>
            </a:graphic>
          </wp:inline>
        </w:drawing>
      </w:r>
    </w:p>
    <w:p w14:paraId="5675DE21" w14:textId="77777777" w:rsidR="006D7138" w:rsidRDefault="006D7138" w:rsidP="003F52F3">
      <w:pPr>
        <w:jc w:val="both"/>
        <w:rPr>
          <w:rFonts w:ascii="Calibri" w:hAnsi="Calibri" w:cs="Calibri"/>
          <w:bCs/>
          <w:sz w:val="22"/>
          <w:szCs w:val="20"/>
        </w:rPr>
      </w:pPr>
    </w:p>
    <w:p w14:paraId="02D77115" w14:textId="77777777" w:rsidR="004B297D" w:rsidRDefault="004B297D" w:rsidP="003F52F3">
      <w:pPr>
        <w:jc w:val="both"/>
        <w:rPr>
          <w:rFonts w:ascii="Calibri" w:hAnsi="Calibri" w:cs="Calibri"/>
          <w:bCs/>
          <w:sz w:val="22"/>
          <w:szCs w:val="20"/>
        </w:rPr>
      </w:pPr>
    </w:p>
    <w:p w14:paraId="561109B7" w14:textId="77777777" w:rsidR="004B297D" w:rsidRPr="00AC7E7E" w:rsidRDefault="004B297D" w:rsidP="003F52F3">
      <w:pPr>
        <w:jc w:val="both"/>
        <w:rPr>
          <w:rFonts w:ascii="Calibri" w:hAnsi="Calibri" w:cs="Calibri"/>
          <w:bCs/>
          <w:sz w:val="22"/>
          <w:szCs w:val="20"/>
        </w:rPr>
      </w:pPr>
    </w:p>
    <w:p w14:paraId="66AE9762"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79" w:name="_Toc344399644"/>
      <w:bookmarkStart w:id="80" w:name="_Toc348931371"/>
      <w:bookmarkStart w:id="81" w:name="_Toc153727203"/>
      <w:r w:rsidRPr="00E3472F">
        <w:rPr>
          <w:rFonts w:cs="Arial"/>
          <w:sz w:val="20"/>
        </w:rPr>
        <w:t>5.3 Revisiones sistemáticas publicadas, comparaciones indirectas y sus conclusiones</w:t>
      </w:r>
      <w:bookmarkEnd w:id="79"/>
      <w:bookmarkEnd w:id="80"/>
      <w:bookmarkEnd w:id="81"/>
      <w:r w:rsidRPr="006F6ABB">
        <w:rPr>
          <w:rFonts w:cs="Arial"/>
          <w:sz w:val="20"/>
        </w:rPr>
        <w:t xml:space="preserve"> </w:t>
      </w:r>
    </w:p>
    <w:p w14:paraId="52F265A3" w14:textId="77777777" w:rsidR="00BC3E8E" w:rsidRDefault="00BC3E8E" w:rsidP="00BC3E8E">
      <w:pPr>
        <w:jc w:val="both"/>
        <w:rPr>
          <w:rFonts w:ascii="Arial" w:hAnsi="Arial" w:cs="Arial"/>
          <w:color w:val="000080"/>
          <w:sz w:val="20"/>
          <w:szCs w:val="20"/>
        </w:rPr>
      </w:pPr>
    </w:p>
    <w:p w14:paraId="383212A7" w14:textId="77777777" w:rsidR="009F379D" w:rsidRPr="002013E1" w:rsidRDefault="001A0EA8" w:rsidP="009F379D">
      <w:pPr>
        <w:spacing w:after="120" w:line="280" w:lineRule="exact"/>
        <w:jc w:val="both"/>
        <w:rPr>
          <w:rFonts w:ascii="Arial" w:hAnsi="Arial" w:cs="Arial"/>
          <w:bCs/>
          <w:sz w:val="20"/>
          <w:szCs w:val="20"/>
        </w:rPr>
      </w:pPr>
      <w:r w:rsidRPr="002013E1">
        <w:rPr>
          <w:rFonts w:ascii="Arial" w:hAnsi="Arial" w:cs="Arial"/>
          <w:bCs/>
          <w:sz w:val="20"/>
          <w:szCs w:val="20"/>
        </w:rPr>
        <w:t>En agosto de 2023 se realizó una búsqueda bibliográfica en PUBMED con los términos [Prostate cancer AND metasta* AND poly (adenosine diphosphate-ribose) polymerase inhibitor OR iPARP] y se filtró dicha búsqueda mediante los criterios article type: “meta-analysis” o “systematic review”.</w:t>
      </w:r>
    </w:p>
    <w:p w14:paraId="740274D8" w14:textId="77777777" w:rsidR="009F379D" w:rsidRPr="002013E1" w:rsidRDefault="001A0EA8" w:rsidP="009F379D">
      <w:pPr>
        <w:spacing w:after="120" w:line="280" w:lineRule="exact"/>
        <w:jc w:val="both"/>
        <w:rPr>
          <w:rFonts w:ascii="Arial" w:hAnsi="Arial" w:cs="Arial"/>
          <w:bCs/>
          <w:sz w:val="20"/>
          <w:szCs w:val="20"/>
        </w:rPr>
      </w:pPr>
      <w:r w:rsidRPr="002013E1">
        <w:rPr>
          <w:rFonts w:ascii="Arial" w:hAnsi="Arial" w:cs="Arial"/>
          <w:bCs/>
          <w:sz w:val="20"/>
          <w:szCs w:val="20"/>
        </w:rPr>
        <w:t>Se localiza</w:t>
      </w:r>
      <w:r w:rsidR="00B03FEA">
        <w:rPr>
          <w:rFonts w:ascii="Arial" w:hAnsi="Arial" w:cs="Arial"/>
          <w:bCs/>
          <w:sz w:val="20"/>
          <w:szCs w:val="20"/>
        </w:rPr>
        <w:t>ro</w:t>
      </w:r>
      <w:r w:rsidRPr="002013E1">
        <w:rPr>
          <w:rFonts w:ascii="Arial" w:hAnsi="Arial" w:cs="Arial"/>
          <w:bCs/>
          <w:sz w:val="20"/>
          <w:szCs w:val="20"/>
        </w:rPr>
        <w:t>n las siguiente revisiones sistemáticas y meta</w:t>
      </w:r>
      <w:r w:rsidR="00B03FEA">
        <w:rPr>
          <w:rFonts w:ascii="Arial" w:hAnsi="Arial" w:cs="Arial"/>
          <w:bCs/>
          <w:sz w:val="20"/>
          <w:szCs w:val="20"/>
        </w:rPr>
        <w:t>a</w:t>
      </w:r>
      <w:r w:rsidRPr="002013E1">
        <w:rPr>
          <w:rFonts w:ascii="Arial" w:hAnsi="Arial" w:cs="Arial"/>
          <w:bCs/>
          <w:sz w:val="20"/>
          <w:szCs w:val="20"/>
        </w:rPr>
        <w:t>nálisis:</w:t>
      </w:r>
    </w:p>
    <w:p w14:paraId="1D497D0E" w14:textId="77777777" w:rsidR="00C20DBB" w:rsidRPr="002013E1" w:rsidRDefault="001A0EA8" w:rsidP="002E4B29">
      <w:pPr>
        <w:numPr>
          <w:ilvl w:val="1"/>
          <w:numId w:val="13"/>
        </w:numPr>
        <w:spacing w:after="120" w:line="280" w:lineRule="exact"/>
        <w:jc w:val="both"/>
        <w:rPr>
          <w:rFonts w:ascii="Arial" w:hAnsi="Arial" w:cs="Arial"/>
          <w:bCs/>
          <w:sz w:val="20"/>
          <w:szCs w:val="20"/>
        </w:rPr>
      </w:pPr>
      <w:r w:rsidRPr="002013E1">
        <w:rPr>
          <w:rFonts w:ascii="Arial" w:hAnsi="Arial" w:cs="Arial"/>
          <w:bCs/>
          <w:sz w:val="20"/>
          <w:szCs w:val="20"/>
          <w:lang w:val="en-GB"/>
        </w:rPr>
        <w:t xml:space="preserve">Sayyid RK, Klaassen Z, Berlin A, et al. Poly(adenosine diphosphate-ribose) polymerase inhibitor combinations in first-line metastatic castrate-resistant prostate cancer setting: a systematic review and meta-analysis. BJU Int. 2023 Jul 17. doi: 10.1111/bju.16130. Epub ahead of print. PMID: 37461140. </w:t>
      </w:r>
      <w:r w:rsidRPr="002013E1">
        <w:rPr>
          <w:rFonts w:ascii="Arial" w:hAnsi="Arial" w:cs="Arial"/>
          <w:bCs/>
          <w:sz w:val="20"/>
          <w:szCs w:val="20"/>
        </w:rPr>
        <w:t>(26)</w:t>
      </w:r>
    </w:p>
    <w:p w14:paraId="274F3BDC" w14:textId="77777777" w:rsidR="002E4B29" w:rsidRPr="002013E1" w:rsidRDefault="001A0EA8" w:rsidP="002E4B29">
      <w:pPr>
        <w:numPr>
          <w:ilvl w:val="1"/>
          <w:numId w:val="13"/>
        </w:numPr>
        <w:spacing w:after="120" w:line="280" w:lineRule="exact"/>
        <w:jc w:val="both"/>
        <w:rPr>
          <w:rFonts w:ascii="Arial" w:hAnsi="Arial" w:cs="Arial"/>
          <w:bCs/>
          <w:sz w:val="20"/>
          <w:szCs w:val="20"/>
        </w:rPr>
      </w:pPr>
      <w:r w:rsidRPr="00B26609">
        <w:rPr>
          <w:rFonts w:ascii="Arial" w:hAnsi="Arial"/>
          <w:sz w:val="20"/>
          <w:lang w:val="en-GB"/>
        </w:rPr>
        <w:t xml:space="preserve">Messina C, Giunta EF, Signori A, Rebuzzi SE, Banna GL, Maniam A, Buti S, Cattrini C, Fornarini G, Bauckneht M, Greystoke A, Plummer R, Oing C, Rescigno P. Combining PARP Inhibitors and Androgen Receptor Signalling Inhibitors in Metastatic Prostate Cancer: A Quantitative Synthesis and Meta-analysis. </w:t>
      </w:r>
      <w:r w:rsidRPr="002013E1">
        <w:rPr>
          <w:rFonts w:ascii="Arial" w:hAnsi="Arial" w:cs="Arial"/>
          <w:bCs/>
          <w:sz w:val="20"/>
          <w:szCs w:val="20"/>
          <w:lang w:val="en-GB"/>
        </w:rPr>
        <w:t xml:space="preserve">Eur Urol Oncol. 2023 Aug 11:S2588-9311(23)00155-4. doi: 10.1016/j.euo.2023.07.013. Epub ahead of print. </w:t>
      </w:r>
      <w:r w:rsidRPr="002013E1">
        <w:rPr>
          <w:rFonts w:ascii="Arial" w:hAnsi="Arial" w:cs="Arial"/>
          <w:bCs/>
          <w:sz w:val="20"/>
          <w:szCs w:val="20"/>
        </w:rPr>
        <w:t>PMID: 37574390. (27)</w:t>
      </w:r>
    </w:p>
    <w:p w14:paraId="25B81C1F" w14:textId="1E294105" w:rsidR="00FB6A1E" w:rsidRPr="002013E1" w:rsidRDefault="001A0EA8" w:rsidP="009F379D">
      <w:pPr>
        <w:spacing w:after="120" w:line="280" w:lineRule="exact"/>
        <w:jc w:val="both"/>
        <w:rPr>
          <w:rFonts w:ascii="Arial" w:hAnsi="Arial" w:cs="Arial"/>
          <w:bCs/>
          <w:sz w:val="20"/>
          <w:szCs w:val="20"/>
        </w:rPr>
      </w:pPr>
      <w:r w:rsidRPr="002013E1">
        <w:rPr>
          <w:rFonts w:ascii="Arial" w:hAnsi="Arial" w:cs="Arial"/>
          <w:bCs/>
          <w:sz w:val="20"/>
          <w:szCs w:val="20"/>
        </w:rPr>
        <w:t>Este segundo metanálisis usa los datos de los ensayos clínicos reportados por el investigador, teniendo datos del comité independiente.</w:t>
      </w:r>
    </w:p>
    <w:p w14:paraId="231BA9C1" w14:textId="77777777" w:rsidR="00FB6A1E" w:rsidRPr="002013E1" w:rsidRDefault="001A0EA8" w:rsidP="009F379D">
      <w:pPr>
        <w:spacing w:after="120" w:line="280" w:lineRule="exact"/>
        <w:jc w:val="both"/>
        <w:rPr>
          <w:rFonts w:ascii="Arial" w:hAnsi="Arial" w:cs="Arial"/>
          <w:bCs/>
          <w:sz w:val="20"/>
          <w:szCs w:val="20"/>
        </w:rPr>
      </w:pPr>
      <w:r w:rsidRPr="002013E1">
        <w:rPr>
          <w:rFonts w:ascii="Arial" w:hAnsi="Arial" w:cs="Arial"/>
          <w:bCs/>
          <w:sz w:val="20"/>
          <w:szCs w:val="20"/>
        </w:rPr>
        <w:t>Además, no reporta los datos obtenidos para población BRCA1/2+. En la valoración de los HRR-, para el ensayo talazoparib + enzalutamida vs enzalutamida + placebo, reporta los resultados de la población con HRR- o desconocido. En el primer metanálisis, reporta los resultados de SLPr de la población HRR- aunque éstos se testaron a posteriori.</w:t>
      </w:r>
    </w:p>
    <w:p w14:paraId="774C1871" w14:textId="77777777" w:rsidR="002E4B29" w:rsidRPr="002013E1" w:rsidRDefault="001A0EA8" w:rsidP="009F379D">
      <w:pPr>
        <w:spacing w:after="120" w:line="280" w:lineRule="exact"/>
        <w:jc w:val="both"/>
        <w:rPr>
          <w:rFonts w:ascii="Arial" w:hAnsi="Arial" w:cs="Arial"/>
          <w:bCs/>
          <w:sz w:val="20"/>
          <w:szCs w:val="20"/>
        </w:rPr>
      </w:pPr>
      <w:r w:rsidRPr="002013E1">
        <w:rPr>
          <w:rFonts w:ascii="Arial" w:hAnsi="Arial" w:cs="Arial"/>
          <w:bCs/>
          <w:sz w:val="20"/>
          <w:szCs w:val="20"/>
        </w:rPr>
        <w:t>En cambio, el primer metanálisis, sí analiza los datos según los resultados de un comité de evaluación independiente.</w:t>
      </w:r>
    </w:p>
    <w:p w14:paraId="3D52A442" w14:textId="77777777" w:rsidR="009237C3" w:rsidRPr="006F6ABB" w:rsidRDefault="009237C3" w:rsidP="00BC3E8E">
      <w:pPr>
        <w:rPr>
          <w:rFonts w:ascii="Arial" w:hAnsi="Arial" w:cs="Arial"/>
          <w:color w:val="000080"/>
          <w:sz w:val="20"/>
          <w:szCs w:val="20"/>
        </w:rPr>
      </w:pPr>
    </w:p>
    <w:p w14:paraId="26743F89"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2" w:name="_Toc344399645"/>
      <w:bookmarkStart w:id="83" w:name="_Toc348931372"/>
      <w:bookmarkStart w:id="84" w:name="_Toc153727204"/>
      <w:r w:rsidRPr="00B35A86">
        <w:rPr>
          <w:rFonts w:cs="Arial"/>
          <w:sz w:val="20"/>
        </w:rPr>
        <w:t>5.3.a Revisiones sistemáticas publicadas</w:t>
      </w:r>
      <w:bookmarkEnd w:id="82"/>
      <w:bookmarkEnd w:id="83"/>
      <w:bookmarkEnd w:id="84"/>
    </w:p>
    <w:p w14:paraId="54B63027" w14:textId="77777777" w:rsidR="00FF1361" w:rsidRDefault="00BC3E8E" w:rsidP="00BC3E8E">
      <w:pPr>
        <w:rPr>
          <w:rFonts w:ascii="Arial" w:hAnsi="Arial" w:cs="Arial"/>
          <w:color w:val="FF0000"/>
          <w:sz w:val="20"/>
          <w:szCs w:val="20"/>
        </w:rPr>
      </w:pPr>
      <w:r w:rsidRPr="006F6ABB">
        <w:rPr>
          <w:rFonts w:ascii="Arial" w:hAnsi="Arial" w:cs="Arial"/>
          <w:color w:val="FF0000"/>
          <w:sz w:val="20"/>
          <w:szCs w:val="20"/>
        </w:rPr>
        <w:t xml:space="preserve">          </w:t>
      </w:r>
    </w:p>
    <w:p w14:paraId="6C6229A6" w14:textId="6DC6FD6C" w:rsidR="00707ECA" w:rsidRPr="002013E1" w:rsidRDefault="001A0EA8" w:rsidP="003A67D1">
      <w:pPr>
        <w:spacing w:after="120" w:line="280" w:lineRule="exact"/>
        <w:jc w:val="both"/>
        <w:rPr>
          <w:rFonts w:ascii="Arial" w:hAnsi="Arial" w:cs="Arial"/>
          <w:bCs/>
          <w:sz w:val="20"/>
          <w:szCs w:val="20"/>
        </w:rPr>
      </w:pPr>
      <w:r w:rsidRPr="002013E1">
        <w:rPr>
          <w:rFonts w:ascii="Arial" w:hAnsi="Arial" w:cs="Arial"/>
          <w:bCs/>
          <w:sz w:val="20"/>
          <w:szCs w:val="20"/>
        </w:rPr>
        <w:t>Sayyid et al. (26) realizaron una revisión sistemática y metaanálisis de todos los ensayos clínicos fase 3 controlados publicados en las bases de datos EMBASE, PUBMED y Cochrane (registrados hasta el 6 de junio de 2023). Se usó el riesgo de sesgos de la herramienta Cochrane y el sistema GRADE (Grading Recommendations, Assesment, Development, and Evaluations frameworks) para evaluar la calidad de los ensayos y de las recomendaciones.</w:t>
      </w:r>
    </w:p>
    <w:p w14:paraId="0CE4AB36" w14:textId="2E46EF7E" w:rsidR="00707ECA" w:rsidRPr="002013E1" w:rsidRDefault="001A0EA8" w:rsidP="003A67D1">
      <w:pPr>
        <w:spacing w:after="120" w:line="280" w:lineRule="exact"/>
        <w:jc w:val="both"/>
        <w:rPr>
          <w:rFonts w:ascii="Arial" w:hAnsi="Arial" w:cs="Arial"/>
          <w:bCs/>
          <w:sz w:val="20"/>
          <w:szCs w:val="20"/>
        </w:rPr>
      </w:pPr>
      <w:r w:rsidRPr="002013E1">
        <w:rPr>
          <w:rFonts w:ascii="Arial" w:hAnsi="Arial" w:cs="Arial"/>
          <w:bCs/>
          <w:sz w:val="20"/>
          <w:szCs w:val="20"/>
        </w:rPr>
        <w:t>Se incluyeron tres ensayos: PROpel, MAGNITUDE y TALAPRO-2</w:t>
      </w:r>
    </w:p>
    <w:p w14:paraId="3B88EB4B" w14:textId="77777777" w:rsidR="004B297D" w:rsidRDefault="004B297D" w:rsidP="003A67D1">
      <w:pPr>
        <w:spacing w:after="120" w:line="280" w:lineRule="exact"/>
        <w:jc w:val="both"/>
        <w:rPr>
          <w:rFonts w:ascii="Calibri" w:hAnsi="Calibri" w:cs="Calibri"/>
          <w:bCs/>
          <w:sz w:val="22"/>
          <w:szCs w:val="20"/>
        </w:rPr>
      </w:pPr>
    </w:p>
    <w:p w14:paraId="0EB76A53" w14:textId="77777777" w:rsidR="004B297D" w:rsidRDefault="004B297D" w:rsidP="003A67D1">
      <w:pPr>
        <w:spacing w:after="120" w:line="280" w:lineRule="exact"/>
        <w:jc w:val="both"/>
        <w:rPr>
          <w:rFonts w:ascii="Calibri" w:hAnsi="Calibri" w:cs="Calibri"/>
          <w:bCs/>
          <w:sz w:val="22"/>
          <w:szCs w:val="20"/>
        </w:rPr>
      </w:pPr>
    </w:p>
    <w:p w14:paraId="2D76AFF8" w14:textId="77777777" w:rsidR="004B297D" w:rsidRDefault="004B297D" w:rsidP="003A67D1">
      <w:pPr>
        <w:spacing w:after="120" w:line="280" w:lineRule="exact"/>
        <w:jc w:val="both"/>
        <w:rPr>
          <w:rFonts w:ascii="Calibri" w:hAnsi="Calibri" w:cs="Calibri"/>
          <w:bCs/>
          <w:sz w:val="22"/>
          <w:szCs w:val="20"/>
        </w:rPr>
      </w:pPr>
    </w:p>
    <w:p w14:paraId="3D499150" w14:textId="77777777" w:rsidR="004B297D" w:rsidRDefault="004B297D" w:rsidP="003A67D1">
      <w:pPr>
        <w:spacing w:after="120" w:line="280" w:lineRule="exact"/>
        <w:jc w:val="both"/>
        <w:rPr>
          <w:rFonts w:ascii="Calibri" w:hAnsi="Calibri" w:cs="Calibri"/>
          <w:bCs/>
          <w:sz w:val="22"/>
          <w:szCs w:val="20"/>
        </w:rPr>
      </w:pPr>
    </w:p>
    <w:p w14:paraId="4A588A32" w14:textId="77777777" w:rsidR="004B297D" w:rsidRDefault="004B297D" w:rsidP="003A67D1">
      <w:pPr>
        <w:spacing w:after="120" w:line="280" w:lineRule="exact"/>
        <w:jc w:val="both"/>
        <w:rPr>
          <w:rFonts w:ascii="Calibri" w:hAnsi="Calibri" w:cs="Calibri"/>
          <w:bCs/>
          <w:sz w:val="22"/>
          <w:szCs w:val="20"/>
        </w:rPr>
      </w:pPr>
    </w:p>
    <w:p w14:paraId="41BA7BBA" w14:textId="77777777" w:rsidR="004B297D" w:rsidRDefault="004B297D" w:rsidP="003A67D1">
      <w:pPr>
        <w:spacing w:after="120" w:line="280" w:lineRule="exact"/>
        <w:jc w:val="both"/>
        <w:rPr>
          <w:rFonts w:ascii="Calibri" w:hAnsi="Calibri" w:cs="Calibri"/>
          <w:bCs/>
          <w:sz w:val="22"/>
          <w:szCs w:val="20"/>
        </w:rPr>
      </w:pPr>
    </w:p>
    <w:p w14:paraId="2A296710" w14:textId="77777777" w:rsidR="004B297D" w:rsidRPr="003A67D1" w:rsidRDefault="004B297D" w:rsidP="003A67D1">
      <w:pPr>
        <w:spacing w:after="120" w:line="280" w:lineRule="exact"/>
        <w:jc w:val="both"/>
        <w:rPr>
          <w:rFonts w:ascii="Calibri" w:hAnsi="Calibri" w:cs="Calibri"/>
          <w:bCs/>
          <w:sz w:val="22"/>
          <w:szCs w:val="20"/>
        </w:rPr>
      </w:pPr>
    </w:p>
    <w:p w14:paraId="11639826" w14:textId="77777777" w:rsidR="00010979" w:rsidRPr="003A67D1" w:rsidRDefault="00010979" w:rsidP="003A67D1">
      <w:pPr>
        <w:spacing w:after="120" w:line="280" w:lineRule="exact"/>
        <w:jc w:val="both"/>
        <w:rPr>
          <w:rFonts w:ascii="Calibri" w:hAnsi="Calibri" w:cs="Calibri"/>
          <w:bCs/>
          <w:sz w:val="22"/>
          <w:szCs w:val="20"/>
        </w:rPr>
      </w:pPr>
    </w:p>
    <w:p w14:paraId="34D09A49" w14:textId="77777777" w:rsidR="009F21CF" w:rsidRPr="00426A27" w:rsidRDefault="00053FAA" w:rsidP="00BC3E8E">
      <w:pPr>
        <w:rPr>
          <w:rFonts w:ascii="Arial" w:hAnsi="Arial" w:cs="Arial"/>
          <w:sz w:val="20"/>
          <w:szCs w:val="20"/>
        </w:rPr>
      </w:pPr>
      <w:r w:rsidRPr="00426A27">
        <w:rPr>
          <w:rFonts w:ascii="Arial" w:hAnsi="Arial" w:cs="Arial"/>
          <w:sz w:val="20"/>
          <w:szCs w:val="20"/>
        </w:rPr>
        <w:t>Tabla</w:t>
      </w:r>
      <w:r w:rsidR="002A6572">
        <w:rPr>
          <w:rFonts w:ascii="Arial" w:hAnsi="Arial" w:cs="Arial"/>
          <w:sz w:val="20"/>
          <w:szCs w:val="20"/>
        </w:rPr>
        <w:t xml:space="preserve"> 13</w:t>
      </w:r>
      <w:r w:rsidRPr="00426A27">
        <w:rPr>
          <w:rFonts w:ascii="Arial" w:hAnsi="Arial" w:cs="Arial"/>
          <w:sz w:val="20"/>
          <w:szCs w:val="20"/>
        </w:rPr>
        <w:t xml:space="preserve">. </w:t>
      </w:r>
      <w:r w:rsidR="009F21CF" w:rsidRPr="00426A27">
        <w:rPr>
          <w:rFonts w:ascii="Arial" w:hAnsi="Arial" w:cs="Arial"/>
          <w:sz w:val="20"/>
          <w:szCs w:val="20"/>
        </w:rPr>
        <w:t xml:space="preserve">Características de los estudios de fase 3 que evalúan la combinación de iPARP + </w:t>
      </w:r>
      <w:r w:rsidR="0098256A" w:rsidRPr="00426A27">
        <w:rPr>
          <w:rFonts w:ascii="Arial" w:hAnsi="Arial" w:cs="Arial"/>
          <w:sz w:val="20"/>
          <w:szCs w:val="20"/>
        </w:rPr>
        <w:t>inhibidores de receptor androgénico</w:t>
      </w:r>
      <w:r w:rsidR="00C12D4E" w:rsidRPr="00426A27">
        <w:rPr>
          <w:rFonts w:ascii="Arial" w:hAnsi="Arial" w:cs="Arial"/>
          <w:sz w:val="20"/>
          <w:szCs w:val="20"/>
        </w:rPr>
        <w:t xml:space="preserve"> (iRA)</w:t>
      </w:r>
      <w:r w:rsidR="0098256A" w:rsidRPr="00426A27">
        <w:rPr>
          <w:rFonts w:ascii="Arial" w:hAnsi="Arial" w:cs="Arial"/>
          <w:sz w:val="20"/>
          <w:szCs w:val="20"/>
        </w:rPr>
        <w:t xml:space="preserve"> de nueva generación vs placebo + </w:t>
      </w:r>
      <w:r w:rsidR="00C12D4E" w:rsidRPr="00426A27">
        <w:rPr>
          <w:rFonts w:ascii="Arial" w:hAnsi="Arial" w:cs="Arial"/>
          <w:sz w:val="20"/>
          <w:szCs w:val="20"/>
        </w:rPr>
        <w:t>iRA</w:t>
      </w:r>
      <w:r w:rsidR="0098256A" w:rsidRPr="00426A27">
        <w:rPr>
          <w:rFonts w:ascii="Arial" w:hAnsi="Arial" w:cs="Arial"/>
          <w:sz w:val="20"/>
          <w:szCs w:val="20"/>
        </w:rPr>
        <w:t xml:space="preserve"> de nueva generación en primera línea para pacientes con CPRCm</w:t>
      </w:r>
    </w:p>
    <w:tbl>
      <w:tblPr>
        <w:tblW w:w="1077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0"/>
        <w:gridCol w:w="993"/>
        <w:gridCol w:w="1134"/>
        <w:gridCol w:w="1701"/>
        <w:gridCol w:w="1417"/>
        <w:gridCol w:w="1134"/>
        <w:gridCol w:w="992"/>
        <w:gridCol w:w="1417"/>
      </w:tblGrid>
      <w:tr w:rsidR="003A67D1" w:rsidRPr="007E6A86" w14:paraId="46394896" w14:textId="77777777" w:rsidTr="007E6A86">
        <w:tc>
          <w:tcPr>
            <w:tcW w:w="1135" w:type="dxa"/>
            <w:shd w:val="clear" w:color="auto" w:fill="auto"/>
          </w:tcPr>
          <w:p w14:paraId="41BBAA00"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Estudios principales</w:t>
            </w:r>
          </w:p>
        </w:tc>
        <w:tc>
          <w:tcPr>
            <w:tcW w:w="850" w:type="dxa"/>
            <w:shd w:val="clear" w:color="auto" w:fill="auto"/>
          </w:tcPr>
          <w:p w14:paraId="5775A6C7"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Intervención</w:t>
            </w:r>
          </w:p>
        </w:tc>
        <w:tc>
          <w:tcPr>
            <w:tcW w:w="993" w:type="dxa"/>
            <w:shd w:val="clear" w:color="auto" w:fill="auto"/>
          </w:tcPr>
          <w:p w14:paraId="578C05E5"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Control</w:t>
            </w:r>
          </w:p>
        </w:tc>
        <w:tc>
          <w:tcPr>
            <w:tcW w:w="1134" w:type="dxa"/>
            <w:shd w:val="clear" w:color="auto" w:fill="auto"/>
          </w:tcPr>
          <w:p w14:paraId="31CB07B8"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Uso previo de taxano</w:t>
            </w:r>
          </w:p>
        </w:tc>
        <w:tc>
          <w:tcPr>
            <w:tcW w:w="1701" w:type="dxa"/>
            <w:shd w:val="clear" w:color="auto" w:fill="auto"/>
          </w:tcPr>
          <w:p w14:paraId="54F3FC67"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Antiandrogénicos previos</w:t>
            </w:r>
          </w:p>
        </w:tc>
        <w:tc>
          <w:tcPr>
            <w:tcW w:w="1417" w:type="dxa"/>
            <w:shd w:val="clear" w:color="auto" w:fill="auto"/>
          </w:tcPr>
          <w:p w14:paraId="2F26DE1A" w14:textId="77777777" w:rsidR="00053FAA" w:rsidRPr="007E6A86" w:rsidRDefault="00053FAA" w:rsidP="00BC3E8E">
            <w:pPr>
              <w:rPr>
                <w:rFonts w:ascii="Arial" w:hAnsi="Arial" w:cs="Arial"/>
                <w:b/>
                <w:color w:val="000000"/>
                <w:sz w:val="16"/>
                <w:szCs w:val="20"/>
              </w:rPr>
            </w:pPr>
            <w:r w:rsidRPr="007E6A86">
              <w:rPr>
                <w:rFonts w:ascii="Arial" w:hAnsi="Arial" w:cs="Arial"/>
                <w:b/>
                <w:color w:val="000000"/>
                <w:sz w:val="16"/>
                <w:szCs w:val="20"/>
              </w:rPr>
              <w:t>Fecha de corte (mediana de seguimiento, meses)</w:t>
            </w:r>
          </w:p>
        </w:tc>
        <w:tc>
          <w:tcPr>
            <w:tcW w:w="1134" w:type="dxa"/>
            <w:shd w:val="clear" w:color="auto" w:fill="auto"/>
          </w:tcPr>
          <w:p w14:paraId="01234764" w14:textId="77777777" w:rsidR="00053FAA" w:rsidRPr="007E6A86" w:rsidRDefault="00053FAA" w:rsidP="00032913">
            <w:pPr>
              <w:rPr>
                <w:rFonts w:ascii="Arial" w:hAnsi="Arial" w:cs="Arial"/>
                <w:b/>
                <w:color w:val="000000"/>
                <w:sz w:val="16"/>
                <w:szCs w:val="20"/>
              </w:rPr>
            </w:pPr>
            <w:r w:rsidRPr="007E6A86">
              <w:rPr>
                <w:rFonts w:ascii="Arial" w:hAnsi="Arial" w:cs="Arial"/>
                <w:b/>
                <w:color w:val="000000"/>
                <w:sz w:val="16"/>
                <w:szCs w:val="20"/>
              </w:rPr>
              <w:t>Edad (años) y mediana (rango)</w:t>
            </w:r>
          </w:p>
        </w:tc>
        <w:tc>
          <w:tcPr>
            <w:tcW w:w="992" w:type="dxa"/>
            <w:shd w:val="clear" w:color="auto" w:fill="auto"/>
          </w:tcPr>
          <w:p w14:paraId="417686CB" w14:textId="77777777" w:rsidR="00053FAA" w:rsidRPr="007E6A86" w:rsidRDefault="00053FAA" w:rsidP="00032913">
            <w:pPr>
              <w:rPr>
                <w:rFonts w:ascii="Arial" w:hAnsi="Arial" w:cs="Arial"/>
                <w:b/>
                <w:color w:val="000000"/>
                <w:sz w:val="16"/>
                <w:szCs w:val="20"/>
              </w:rPr>
            </w:pPr>
            <w:r w:rsidRPr="007E6A86">
              <w:rPr>
                <w:rFonts w:ascii="Arial" w:hAnsi="Arial" w:cs="Arial"/>
                <w:b/>
                <w:color w:val="000000"/>
                <w:sz w:val="16"/>
                <w:szCs w:val="20"/>
              </w:rPr>
              <w:t>Variable principal</w:t>
            </w:r>
          </w:p>
        </w:tc>
        <w:tc>
          <w:tcPr>
            <w:tcW w:w="1417" w:type="dxa"/>
            <w:shd w:val="clear" w:color="auto" w:fill="auto"/>
          </w:tcPr>
          <w:p w14:paraId="7B1DEDD0" w14:textId="77777777" w:rsidR="00053FAA" w:rsidRPr="007E6A86" w:rsidRDefault="00053FAA" w:rsidP="00032913">
            <w:pPr>
              <w:rPr>
                <w:rFonts w:ascii="Arial" w:hAnsi="Arial" w:cs="Arial"/>
                <w:b/>
                <w:color w:val="000000"/>
                <w:sz w:val="16"/>
                <w:szCs w:val="20"/>
              </w:rPr>
            </w:pPr>
            <w:r w:rsidRPr="007E6A86">
              <w:rPr>
                <w:rFonts w:ascii="Arial" w:hAnsi="Arial" w:cs="Arial"/>
                <w:b/>
                <w:color w:val="000000"/>
                <w:sz w:val="16"/>
                <w:szCs w:val="20"/>
              </w:rPr>
              <w:t>Estado de alteración gen HRR</w:t>
            </w:r>
            <w:r w:rsidR="003A67D1" w:rsidRPr="007E6A86">
              <w:rPr>
                <w:rFonts w:ascii="Arial" w:hAnsi="Arial" w:cs="Arial"/>
                <w:b/>
                <w:color w:val="000000"/>
                <w:sz w:val="16"/>
                <w:szCs w:val="20"/>
              </w:rPr>
              <w:t xml:space="preserve"> (%)</w:t>
            </w:r>
          </w:p>
        </w:tc>
      </w:tr>
      <w:tr w:rsidR="003A67D1" w:rsidRPr="007E6A86" w14:paraId="0F6E8E13" w14:textId="77777777" w:rsidTr="007E6A86">
        <w:tc>
          <w:tcPr>
            <w:tcW w:w="1135" w:type="dxa"/>
            <w:shd w:val="clear" w:color="auto" w:fill="auto"/>
          </w:tcPr>
          <w:p w14:paraId="1EA27E6E" w14:textId="77777777" w:rsidR="00053FAA" w:rsidRPr="002013E1" w:rsidRDefault="001A0EA8" w:rsidP="00BC3E8E">
            <w:pPr>
              <w:rPr>
                <w:rFonts w:ascii="Arial" w:hAnsi="Arial"/>
                <w:color w:val="000000"/>
                <w:sz w:val="16"/>
                <w:lang w:val="fr-FR"/>
              </w:rPr>
            </w:pPr>
            <w:r w:rsidRPr="002013E1">
              <w:rPr>
                <w:rFonts w:ascii="Arial" w:hAnsi="Arial"/>
                <w:color w:val="000000"/>
                <w:sz w:val="16"/>
                <w:lang w:val="fr-FR"/>
              </w:rPr>
              <w:t>PROpel</w:t>
            </w:r>
          </w:p>
          <w:p w14:paraId="5551818D" w14:textId="2415AE30" w:rsidR="00053FAA" w:rsidRPr="002013E1" w:rsidRDefault="001A0EA8" w:rsidP="00BC3E8E">
            <w:pPr>
              <w:rPr>
                <w:rFonts w:ascii="Arial" w:hAnsi="Arial"/>
                <w:color w:val="000000"/>
                <w:sz w:val="16"/>
                <w:lang w:val="fr-FR"/>
              </w:rPr>
            </w:pPr>
            <w:r w:rsidRPr="002013E1">
              <w:rPr>
                <w:rFonts w:ascii="Arial" w:hAnsi="Arial"/>
                <w:color w:val="000000"/>
                <w:sz w:val="16"/>
                <w:lang w:val="fr-FR"/>
              </w:rPr>
              <w:t>Clarke et al 2023 (2</w:t>
            </w:r>
            <w:r w:rsidR="00925DD9">
              <w:rPr>
                <w:rFonts w:ascii="Arial" w:hAnsi="Arial"/>
                <w:color w:val="000000"/>
                <w:sz w:val="16"/>
                <w:lang w:val="fr-FR"/>
              </w:rPr>
              <w:t>8,29</w:t>
            </w:r>
            <w:r w:rsidRPr="002013E1">
              <w:rPr>
                <w:rFonts w:ascii="Arial" w:hAnsi="Arial"/>
                <w:color w:val="000000"/>
                <w:sz w:val="16"/>
                <w:lang w:val="fr-FR"/>
              </w:rPr>
              <w:t>)</w:t>
            </w:r>
          </w:p>
        </w:tc>
        <w:tc>
          <w:tcPr>
            <w:tcW w:w="850" w:type="dxa"/>
            <w:shd w:val="clear" w:color="auto" w:fill="auto"/>
          </w:tcPr>
          <w:p w14:paraId="32E3D6F0"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Olaparib + AAP</w:t>
            </w:r>
            <w:r w:rsidR="009E33C7" w:rsidRPr="007E6A86">
              <w:rPr>
                <w:rFonts w:ascii="Arial" w:hAnsi="Arial" w:cs="Arial"/>
                <w:color w:val="000000"/>
                <w:sz w:val="16"/>
                <w:szCs w:val="20"/>
              </w:rPr>
              <w:t xml:space="preserve"> (n=399)</w:t>
            </w:r>
          </w:p>
        </w:tc>
        <w:tc>
          <w:tcPr>
            <w:tcW w:w="993" w:type="dxa"/>
            <w:shd w:val="clear" w:color="auto" w:fill="auto"/>
          </w:tcPr>
          <w:p w14:paraId="69B9916C" w14:textId="77777777" w:rsidR="00053FAA" w:rsidRPr="007E6A86" w:rsidRDefault="00053FAA" w:rsidP="004F0AD4">
            <w:pPr>
              <w:rPr>
                <w:rFonts w:ascii="Arial" w:hAnsi="Arial" w:cs="Arial"/>
                <w:color w:val="000000"/>
                <w:sz w:val="16"/>
                <w:szCs w:val="20"/>
              </w:rPr>
            </w:pPr>
            <w:r w:rsidRPr="007E6A86">
              <w:rPr>
                <w:rFonts w:ascii="Arial" w:hAnsi="Arial" w:cs="Arial"/>
                <w:color w:val="000000"/>
                <w:sz w:val="16"/>
                <w:szCs w:val="20"/>
              </w:rPr>
              <w:t>Placebo + AAP</w:t>
            </w:r>
            <w:r w:rsidR="009E33C7" w:rsidRPr="007E6A86">
              <w:rPr>
                <w:rFonts w:ascii="Arial" w:hAnsi="Arial" w:cs="Arial"/>
                <w:color w:val="000000"/>
                <w:sz w:val="16"/>
                <w:szCs w:val="20"/>
              </w:rPr>
              <w:t xml:space="preserve"> (n=397)</w:t>
            </w:r>
          </w:p>
        </w:tc>
        <w:tc>
          <w:tcPr>
            <w:tcW w:w="1134" w:type="dxa"/>
            <w:shd w:val="clear" w:color="auto" w:fill="auto"/>
          </w:tcPr>
          <w:p w14:paraId="0F0CCD14"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Sí, durante el CPHSm</w:t>
            </w:r>
          </w:p>
        </w:tc>
        <w:tc>
          <w:tcPr>
            <w:tcW w:w="1701" w:type="dxa"/>
            <w:shd w:val="clear" w:color="auto" w:fill="auto"/>
          </w:tcPr>
          <w:p w14:paraId="792440DE" w14:textId="6B5821E4" w:rsidR="00053FAA" w:rsidRPr="007E6A86" w:rsidRDefault="00B03FEA" w:rsidP="00B03FEA">
            <w:pPr>
              <w:rPr>
                <w:rFonts w:ascii="Arial" w:hAnsi="Arial" w:cs="Arial"/>
                <w:color w:val="000000"/>
                <w:sz w:val="16"/>
                <w:szCs w:val="20"/>
              </w:rPr>
            </w:pPr>
            <w:r>
              <w:rPr>
                <w:rFonts w:ascii="Arial" w:hAnsi="Arial" w:cs="Arial"/>
                <w:color w:val="000000"/>
                <w:sz w:val="16"/>
                <w:szCs w:val="20"/>
              </w:rPr>
              <w:t xml:space="preserve">Sin tratamiento con </w:t>
            </w:r>
            <w:r w:rsidR="00053FAA" w:rsidRPr="007E6A86">
              <w:rPr>
                <w:rFonts w:ascii="Arial" w:hAnsi="Arial" w:cs="Arial"/>
                <w:color w:val="000000"/>
                <w:sz w:val="16"/>
                <w:szCs w:val="20"/>
              </w:rPr>
              <w:t xml:space="preserve">AAP </w:t>
            </w:r>
            <w:r>
              <w:rPr>
                <w:rFonts w:ascii="Arial" w:hAnsi="Arial" w:cs="Arial"/>
                <w:color w:val="000000"/>
                <w:sz w:val="16"/>
                <w:szCs w:val="20"/>
              </w:rPr>
              <w:t>previo</w:t>
            </w:r>
            <w:r w:rsidR="00053FAA" w:rsidRPr="007E6A86">
              <w:rPr>
                <w:rFonts w:ascii="Arial" w:hAnsi="Arial" w:cs="Arial"/>
                <w:color w:val="000000"/>
                <w:sz w:val="16"/>
                <w:szCs w:val="20"/>
              </w:rPr>
              <w:t>, otros agentes antiandrógenos permitidos si interrumpidos, al menos, 12 meses previos al inicio</w:t>
            </w:r>
          </w:p>
        </w:tc>
        <w:tc>
          <w:tcPr>
            <w:tcW w:w="1417" w:type="dxa"/>
            <w:shd w:val="clear" w:color="auto" w:fill="auto"/>
          </w:tcPr>
          <w:p w14:paraId="7ED98539"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-30 julio 2021 (19,4)</w:t>
            </w:r>
          </w:p>
          <w:p w14:paraId="79D8D038" w14:textId="77777777" w:rsidR="00053FAA" w:rsidRPr="007E6A86" w:rsidRDefault="00053FAA" w:rsidP="00BC3E8E">
            <w:pPr>
              <w:rPr>
                <w:rFonts w:ascii="Arial" w:hAnsi="Arial" w:cs="Arial"/>
                <w:color w:val="000000"/>
                <w:sz w:val="16"/>
                <w:szCs w:val="20"/>
              </w:rPr>
            </w:pPr>
          </w:p>
          <w:p w14:paraId="0DB8DF92"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-12 octubre 2022 (36,6)</w:t>
            </w:r>
          </w:p>
          <w:p w14:paraId="086594D2" w14:textId="77777777" w:rsidR="00053FAA" w:rsidRPr="007E6A86" w:rsidRDefault="00053FAA" w:rsidP="00BC3E8E">
            <w:pPr>
              <w:rPr>
                <w:rFonts w:ascii="Arial" w:hAnsi="Arial" w:cs="Arial"/>
                <w:color w:val="000000"/>
                <w:sz w:val="16"/>
                <w:szCs w:val="20"/>
              </w:rPr>
            </w:pPr>
          </w:p>
          <w:p w14:paraId="3C0AF948" w14:textId="77777777" w:rsidR="00053FAA" w:rsidRPr="007E6A86" w:rsidRDefault="00053FAA" w:rsidP="00BC3E8E">
            <w:pPr>
              <w:rPr>
                <w:rFonts w:ascii="Arial" w:hAnsi="Arial" w:cs="Arial"/>
                <w:color w:val="000000"/>
                <w:sz w:val="16"/>
                <w:szCs w:val="20"/>
              </w:rPr>
            </w:pPr>
          </w:p>
        </w:tc>
        <w:tc>
          <w:tcPr>
            <w:tcW w:w="1134" w:type="dxa"/>
            <w:shd w:val="clear" w:color="auto" w:fill="auto"/>
          </w:tcPr>
          <w:p w14:paraId="0C0A1374"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 xml:space="preserve">Intervención: </w:t>
            </w:r>
            <w:r w:rsidR="003D347A">
              <w:rPr>
                <w:rFonts w:ascii="Arial" w:hAnsi="Arial" w:cs="Arial"/>
                <w:color w:val="000000"/>
                <w:sz w:val="16"/>
                <w:szCs w:val="20"/>
              </w:rPr>
              <w:t>69 (43-91</w:t>
            </w:r>
            <w:r w:rsidRPr="007E6A86">
              <w:rPr>
                <w:rFonts w:ascii="Arial" w:hAnsi="Arial" w:cs="Arial"/>
                <w:color w:val="000000"/>
                <w:sz w:val="16"/>
                <w:szCs w:val="20"/>
              </w:rPr>
              <w:t>)</w:t>
            </w:r>
          </w:p>
          <w:p w14:paraId="799909E0" w14:textId="77777777" w:rsidR="00053FAA" w:rsidRPr="007E6A86" w:rsidRDefault="00053FAA" w:rsidP="00032913">
            <w:pPr>
              <w:rPr>
                <w:rFonts w:ascii="Arial" w:hAnsi="Arial" w:cs="Arial"/>
                <w:color w:val="000000"/>
                <w:sz w:val="16"/>
                <w:szCs w:val="20"/>
              </w:rPr>
            </w:pPr>
          </w:p>
          <w:p w14:paraId="7F1CD42D"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Control: 70 (46-88)</w:t>
            </w:r>
          </w:p>
        </w:tc>
        <w:tc>
          <w:tcPr>
            <w:tcW w:w="992" w:type="dxa"/>
            <w:shd w:val="clear" w:color="auto" w:fill="auto"/>
          </w:tcPr>
          <w:p w14:paraId="1004C1A7"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SLPr</w:t>
            </w:r>
            <w:r w:rsidR="00F24D54" w:rsidRPr="007E6A86">
              <w:rPr>
                <w:rFonts w:ascii="Arial" w:hAnsi="Arial" w:cs="Arial"/>
                <w:color w:val="000000"/>
                <w:sz w:val="16"/>
                <w:szCs w:val="20"/>
              </w:rPr>
              <w:t>, evaluada por investigador en cohorte global</w:t>
            </w:r>
          </w:p>
        </w:tc>
        <w:tc>
          <w:tcPr>
            <w:tcW w:w="1417" w:type="dxa"/>
            <w:shd w:val="clear" w:color="auto" w:fill="auto"/>
          </w:tcPr>
          <w:p w14:paraId="2185EE86"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Biomarcador no seleccionado</w:t>
            </w:r>
            <w:r w:rsidR="003A67D1" w:rsidRPr="007E6A86">
              <w:rPr>
                <w:rFonts w:ascii="Arial" w:hAnsi="Arial" w:cs="Arial"/>
                <w:color w:val="000000"/>
                <w:sz w:val="16"/>
                <w:szCs w:val="20"/>
              </w:rPr>
              <w:t>.</w:t>
            </w:r>
          </w:p>
          <w:p w14:paraId="2A1C4FC4"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Intervención:</w:t>
            </w:r>
          </w:p>
          <w:p w14:paraId="1B2CD7D0"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27,8</w:t>
            </w:r>
          </w:p>
          <w:p w14:paraId="22601697"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69,9</w:t>
            </w:r>
          </w:p>
          <w:p w14:paraId="5B4F5208"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 xml:space="preserve"> </w:t>
            </w:r>
            <w:r w:rsidRPr="007E6A86">
              <w:rPr>
                <w:rFonts w:ascii="Arial" w:hAnsi="Arial" w:cs="Arial"/>
                <w:color w:val="000000"/>
                <w:sz w:val="16"/>
                <w:szCs w:val="20"/>
              </w:rPr>
              <w:t>desconocido: 2,3</w:t>
            </w:r>
          </w:p>
          <w:p w14:paraId="0D0AD912"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 xml:space="preserve">Control: </w:t>
            </w:r>
          </w:p>
          <w:p w14:paraId="74364B0C"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29,0</w:t>
            </w:r>
          </w:p>
          <w:p w14:paraId="61E9FE73"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68,8%</w:t>
            </w:r>
          </w:p>
          <w:p w14:paraId="68D35B9D"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 desconocido: 2,3%</w:t>
            </w:r>
          </w:p>
        </w:tc>
      </w:tr>
      <w:tr w:rsidR="003A67D1" w:rsidRPr="007E6A86" w14:paraId="56126780" w14:textId="77777777" w:rsidTr="007E6A86">
        <w:tc>
          <w:tcPr>
            <w:tcW w:w="1135" w:type="dxa"/>
            <w:shd w:val="clear" w:color="auto" w:fill="auto"/>
          </w:tcPr>
          <w:p w14:paraId="1F4D21EE"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MAGNITUDE</w:t>
            </w:r>
          </w:p>
          <w:p w14:paraId="6D1B75AF" w14:textId="0FC4B3C3"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Chi et al 2023</w:t>
            </w:r>
            <w:r w:rsidR="005B099C">
              <w:rPr>
                <w:rFonts w:ascii="Arial" w:hAnsi="Arial" w:cs="Arial"/>
                <w:color w:val="000000"/>
                <w:sz w:val="16"/>
                <w:szCs w:val="20"/>
              </w:rPr>
              <w:t xml:space="preserve"> (20)</w:t>
            </w:r>
          </w:p>
        </w:tc>
        <w:tc>
          <w:tcPr>
            <w:tcW w:w="850" w:type="dxa"/>
            <w:shd w:val="clear" w:color="auto" w:fill="auto"/>
          </w:tcPr>
          <w:p w14:paraId="517EACB0"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Niraparib + AAP</w:t>
            </w:r>
          </w:p>
          <w:p w14:paraId="03B3CE5B" w14:textId="77777777" w:rsidR="009E33C7" w:rsidRPr="007E6A86" w:rsidRDefault="009E33C7" w:rsidP="00BC3E8E">
            <w:pPr>
              <w:rPr>
                <w:rFonts w:ascii="Arial" w:hAnsi="Arial" w:cs="Arial"/>
                <w:color w:val="000000"/>
                <w:sz w:val="16"/>
                <w:szCs w:val="20"/>
              </w:rPr>
            </w:pPr>
            <w:r w:rsidRPr="007E6A86">
              <w:rPr>
                <w:rFonts w:ascii="Arial" w:hAnsi="Arial" w:cs="Arial"/>
                <w:color w:val="000000"/>
                <w:sz w:val="16"/>
                <w:szCs w:val="20"/>
              </w:rPr>
              <w:t>(n=329)</w:t>
            </w:r>
          </w:p>
        </w:tc>
        <w:tc>
          <w:tcPr>
            <w:tcW w:w="993" w:type="dxa"/>
            <w:shd w:val="clear" w:color="auto" w:fill="auto"/>
          </w:tcPr>
          <w:p w14:paraId="24003A8C"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Placebo + AAP</w:t>
            </w:r>
          </w:p>
          <w:p w14:paraId="37D2DD42" w14:textId="77777777" w:rsidR="009E33C7" w:rsidRPr="007E6A86" w:rsidRDefault="009E33C7" w:rsidP="00BC3E8E">
            <w:pPr>
              <w:rPr>
                <w:rFonts w:ascii="Arial" w:hAnsi="Arial" w:cs="Arial"/>
                <w:color w:val="000000"/>
                <w:sz w:val="16"/>
                <w:szCs w:val="20"/>
              </w:rPr>
            </w:pPr>
            <w:r w:rsidRPr="007E6A86">
              <w:rPr>
                <w:rFonts w:ascii="Arial" w:hAnsi="Arial" w:cs="Arial"/>
                <w:color w:val="000000"/>
                <w:sz w:val="16"/>
                <w:szCs w:val="20"/>
              </w:rPr>
              <w:t>(N=327)</w:t>
            </w:r>
          </w:p>
        </w:tc>
        <w:tc>
          <w:tcPr>
            <w:tcW w:w="1134" w:type="dxa"/>
            <w:shd w:val="clear" w:color="auto" w:fill="auto"/>
          </w:tcPr>
          <w:p w14:paraId="2F7F02FF"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Sí, durante el CPHSm</w:t>
            </w:r>
          </w:p>
        </w:tc>
        <w:tc>
          <w:tcPr>
            <w:tcW w:w="1701" w:type="dxa"/>
            <w:shd w:val="clear" w:color="auto" w:fill="auto"/>
          </w:tcPr>
          <w:p w14:paraId="36A2B832"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Permitida enzalutamida para CPRCnm o CPHSm.</w:t>
            </w:r>
          </w:p>
          <w:p w14:paraId="1B811B8D"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AAP en primera línea permitido en CPPRCm si interrumpido, al menos, 4 meses previos al inicio del estudio</w:t>
            </w:r>
          </w:p>
        </w:tc>
        <w:tc>
          <w:tcPr>
            <w:tcW w:w="1417" w:type="dxa"/>
            <w:shd w:val="clear" w:color="auto" w:fill="auto"/>
          </w:tcPr>
          <w:p w14:paraId="430AAB57"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28 octubre 2021 (18,6)</w:t>
            </w:r>
          </w:p>
        </w:tc>
        <w:tc>
          <w:tcPr>
            <w:tcW w:w="1134" w:type="dxa"/>
            <w:shd w:val="clear" w:color="auto" w:fill="auto"/>
          </w:tcPr>
          <w:p w14:paraId="0B5C0E83"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HRR+</w:t>
            </w:r>
          </w:p>
          <w:p w14:paraId="65A56C43"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Intervención: 69 (45-100)</w:t>
            </w:r>
          </w:p>
          <w:p w14:paraId="16373AC8"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Control: 69 (43-88)</w:t>
            </w:r>
          </w:p>
          <w:p w14:paraId="5FD6C878"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HRR-</w:t>
            </w:r>
          </w:p>
          <w:p w14:paraId="4DD59E2D"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Intervención: 72 (53+87)</w:t>
            </w:r>
          </w:p>
          <w:p w14:paraId="1722047C"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Control: 71 (52-85)</w:t>
            </w:r>
          </w:p>
        </w:tc>
        <w:tc>
          <w:tcPr>
            <w:tcW w:w="992" w:type="dxa"/>
            <w:shd w:val="clear" w:color="auto" w:fill="auto"/>
          </w:tcPr>
          <w:p w14:paraId="0F12BE40"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SLPr</w:t>
            </w:r>
            <w:r w:rsidR="00F24D54" w:rsidRPr="007E6A86">
              <w:rPr>
                <w:rFonts w:ascii="Arial" w:hAnsi="Arial" w:cs="Arial"/>
                <w:color w:val="000000"/>
                <w:sz w:val="16"/>
                <w:szCs w:val="20"/>
              </w:rPr>
              <w:t>, evaluada por comité independiente para BRCA1/2, seguida de pacientes HRRm</w:t>
            </w:r>
          </w:p>
        </w:tc>
        <w:tc>
          <w:tcPr>
            <w:tcW w:w="1417" w:type="dxa"/>
            <w:shd w:val="clear" w:color="auto" w:fill="auto"/>
          </w:tcPr>
          <w:p w14:paraId="5D194F60" w14:textId="77777777" w:rsidR="00053FAA" w:rsidRPr="007E6A86" w:rsidRDefault="003A67D1" w:rsidP="00032913">
            <w:pPr>
              <w:rPr>
                <w:rFonts w:ascii="Arial" w:hAnsi="Arial" w:cs="Arial"/>
                <w:color w:val="000000"/>
                <w:sz w:val="16"/>
                <w:szCs w:val="20"/>
              </w:rPr>
            </w:pPr>
            <w:r w:rsidRPr="007E6A86">
              <w:rPr>
                <w:rFonts w:ascii="Arial" w:hAnsi="Arial" w:cs="Arial"/>
                <w:color w:val="000000"/>
                <w:sz w:val="16"/>
                <w:szCs w:val="20"/>
              </w:rPr>
              <w:t>Biomarcador seleccionado</w:t>
            </w:r>
          </w:p>
          <w:p w14:paraId="2F070392"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Intervención: HRR</w:t>
            </w:r>
            <w:r w:rsidR="00C12D4E" w:rsidRPr="007E6A86">
              <w:rPr>
                <w:rFonts w:ascii="Arial" w:hAnsi="Arial" w:cs="Arial"/>
                <w:color w:val="000000"/>
                <w:sz w:val="16"/>
                <w:szCs w:val="20"/>
              </w:rPr>
              <w:t>+</w:t>
            </w:r>
            <w:r w:rsidRPr="007E6A86">
              <w:rPr>
                <w:rFonts w:ascii="Arial" w:hAnsi="Arial" w:cs="Arial"/>
                <w:color w:val="000000"/>
                <w:sz w:val="16"/>
                <w:szCs w:val="20"/>
              </w:rPr>
              <w:t>: 64,4</w:t>
            </w:r>
          </w:p>
          <w:p w14:paraId="3B20CEE2"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35,6</w:t>
            </w:r>
          </w:p>
          <w:p w14:paraId="74AD7B95"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Control:</w:t>
            </w:r>
          </w:p>
          <w:p w14:paraId="3E6AE7E8"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64,5</w:t>
            </w:r>
          </w:p>
          <w:p w14:paraId="264F94F6" w14:textId="77777777" w:rsidR="003A67D1" w:rsidRPr="007E6A86" w:rsidRDefault="003A67D1" w:rsidP="00032913">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35,5</w:t>
            </w:r>
          </w:p>
        </w:tc>
      </w:tr>
      <w:tr w:rsidR="003A67D1" w:rsidRPr="007E6A86" w14:paraId="645B3876" w14:textId="77777777" w:rsidTr="007E6A86">
        <w:tc>
          <w:tcPr>
            <w:tcW w:w="1135" w:type="dxa"/>
            <w:shd w:val="clear" w:color="auto" w:fill="auto"/>
          </w:tcPr>
          <w:p w14:paraId="1B1973F1"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TALAPRO-2</w:t>
            </w:r>
          </w:p>
          <w:p w14:paraId="3A81A13E"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Agarwal et al 2023.</w:t>
            </w:r>
            <w:r w:rsidR="00B51204">
              <w:rPr>
                <w:rFonts w:ascii="Arial" w:hAnsi="Arial" w:cs="Arial"/>
                <w:color w:val="000000"/>
                <w:sz w:val="16"/>
                <w:szCs w:val="20"/>
              </w:rPr>
              <w:t>(30)</w:t>
            </w:r>
          </w:p>
        </w:tc>
        <w:tc>
          <w:tcPr>
            <w:tcW w:w="850" w:type="dxa"/>
            <w:shd w:val="clear" w:color="auto" w:fill="auto"/>
          </w:tcPr>
          <w:p w14:paraId="1A13A64F"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Talazoparib + Enzalutamida</w:t>
            </w:r>
          </w:p>
          <w:p w14:paraId="7EDFF5EB" w14:textId="77777777" w:rsidR="009E33C7" w:rsidRPr="007E6A86" w:rsidRDefault="009E33C7" w:rsidP="00BC3E8E">
            <w:pPr>
              <w:rPr>
                <w:rFonts w:ascii="Arial" w:hAnsi="Arial" w:cs="Arial"/>
                <w:color w:val="000000"/>
                <w:sz w:val="16"/>
                <w:szCs w:val="20"/>
              </w:rPr>
            </w:pPr>
            <w:r w:rsidRPr="007E6A86">
              <w:rPr>
                <w:rFonts w:ascii="Arial" w:hAnsi="Arial" w:cs="Arial"/>
                <w:color w:val="000000"/>
                <w:sz w:val="16"/>
                <w:szCs w:val="20"/>
              </w:rPr>
              <w:t>(n=402)</w:t>
            </w:r>
          </w:p>
        </w:tc>
        <w:tc>
          <w:tcPr>
            <w:tcW w:w="993" w:type="dxa"/>
            <w:shd w:val="clear" w:color="auto" w:fill="auto"/>
          </w:tcPr>
          <w:p w14:paraId="70EA34AD"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Placebo + Enzalutamida</w:t>
            </w:r>
          </w:p>
          <w:p w14:paraId="63F3B7DF" w14:textId="77777777" w:rsidR="009E33C7" w:rsidRPr="007E6A86" w:rsidRDefault="009E33C7" w:rsidP="00BC3E8E">
            <w:pPr>
              <w:rPr>
                <w:rFonts w:ascii="Arial" w:hAnsi="Arial" w:cs="Arial"/>
                <w:color w:val="000000"/>
                <w:sz w:val="16"/>
                <w:szCs w:val="20"/>
              </w:rPr>
            </w:pPr>
            <w:r w:rsidRPr="007E6A86">
              <w:rPr>
                <w:rFonts w:ascii="Arial" w:hAnsi="Arial" w:cs="Arial"/>
                <w:color w:val="000000"/>
                <w:sz w:val="16"/>
                <w:szCs w:val="20"/>
              </w:rPr>
              <w:t>(n=403)</w:t>
            </w:r>
          </w:p>
        </w:tc>
        <w:tc>
          <w:tcPr>
            <w:tcW w:w="1134" w:type="dxa"/>
            <w:shd w:val="clear" w:color="auto" w:fill="auto"/>
          </w:tcPr>
          <w:p w14:paraId="17E1DCED"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Sí, pero 6 meses previos al inicio del ensayo</w:t>
            </w:r>
          </w:p>
        </w:tc>
        <w:tc>
          <w:tcPr>
            <w:tcW w:w="1701" w:type="dxa"/>
            <w:shd w:val="clear" w:color="auto" w:fill="auto"/>
          </w:tcPr>
          <w:p w14:paraId="4EE52DB0"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Enzalutamida no permitida.</w:t>
            </w:r>
          </w:p>
          <w:p w14:paraId="49169E9D" w14:textId="77777777" w:rsidR="00053FAA" w:rsidRPr="007E6A86" w:rsidRDefault="00053FAA" w:rsidP="0098256A">
            <w:pPr>
              <w:rPr>
                <w:rFonts w:ascii="Arial" w:hAnsi="Arial" w:cs="Arial"/>
                <w:color w:val="000000"/>
                <w:sz w:val="16"/>
                <w:szCs w:val="20"/>
              </w:rPr>
            </w:pPr>
            <w:r w:rsidRPr="007E6A86">
              <w:rPr>
                <w:rFonts w:ascii="Arial" w:hAnsi="Arial" w:cs="Arial"/>
                <w:color w:val="000000"/>
                <w:sz w:val="16"/>
                <w:szCs w:val="20"/>
              </w:rPr>
              <w:t>AAP permitida en CPHSm</w:t>
            </w:r>
          </w:p>
        </w:tc>
        <w:tc>
          <w:tcPr>
            <w:tcW w:w="1417" w:type="dxa"/>
            <w:shd w:val="clear" w:color="auto" w:fill="auto"/>
          </w:tcPr>
          <w:p w14:paraId="03CFD989"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No disponible (24,8)</w:t>
            </w:r>
          </w:p>
        </w:tc>
        <w:tc>
          <w:tcPr>
            <w:tcW w:w="1134" w:type="dxa"/>
            <w:shd w:val="clear" w:color="auto" w:fill="auto"/>
          </w:tcPr>
          <w:p w14:paraId="57D910D8"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Intervención: 71 (41-90)</w:t>
            </w:r>
          </w:p>
          <w:p w14:paraId="3D681186" w14:textId="77777777" w:rsidR="00053FAA" w:rsidRPr="007E6A86" w:rsidRDefault="00053FAA" w:rsidP="00032913">
            <w:pPr>
              <w:rPr>
                <w:rFonts w:ascii="Arial" w:hAnsi="Arial" w:cs="Arial"/>
                <w:color w:val="000000"/>
                <w:sz w:val="16"/>
                <w:szCs w:val="20"/>
              </w:rPr>
            </w:pPr>
            <w:r w:rsidRPr="007E6A86">
              <w:rPr>
                <w:rFonts w:ascii="Arial" w:hAnsi="Arial" w:cs="Arial"/>
                <w:color w:val="000000"/>
                <w:sz w:val="16"/>
                <w:szCs w:val="20"/>
              </w:rPr>
              <w:t>Control: 71 (36-91)</w:t>
            </w:r>
          </w:p>
        </w:tc>
        <w:tc>
          <w:tcPr>
            <w:tcW w:w="992" w:type="dxa"/>
            <w:shd w:val="clear" w:color="auto" w:fill="auto"/>
          </w:tcPr>
          <w:p w14:paraId="5C752076" w14:textId="77777777" w:rsidR="00053FAA" w:rsidRPr="007E6A86" w:rsidRDefault="00053FAA" w:rsidP="00BC3E8E">
            <w:pPr>
              <w:rPr>
                <w:rFonts w:ascii="Arial" w:hAnsi="Arial" w:cs="Arial"/>
                <w:color w:val="000000"/>
                <w:sz w:val="16"/>
                <w:szCs w:val="20"/>
              </w:rPr>
            </w:pPr>
            <w:r w:rsidRPr="007E6A86">
              <w:rPr>
                <w:rFonts w:ascii="Arial" w:hAnsi="Arial" w:cs="Arial"/>
                <w:color w:val="000000"/>
                <w:sz w:val="16"/>
                <w:szCs w:val="20"/>
              </w:rPr>
              <w:t>SLPr</w:t>
            </w:r>
            <w:r w:rsidR="00F24D54" w:rsidRPr="007E6A86">
              <w:rPr>
                <w:rFonts w:ascii="Arial" w:hAnsi="Arial" w:cs="Arial"/>
                <w:color w:val="000000"/>
                <w:sz w:val="16"/>
                <w:szCs w:val="20"/>
              </w:rPr>
              <w:t>, Evaluada por comité independiente para la cohorte global</w:t>
            </w:r>
          </w:p>
        </w:tc>
        <w:tc>
          <w:tcPr>
            <w:tcW w:w="1417" w:type="dxa"/>
            <w:shd w:val="clear" w:color="auto" w:fill="auto"/>
          </w:tcPr>
          <w:p w14:paraId="146B4675" w14:textId="77777777" w:rsidR="00053FAA" w:rsidRPr="007E6A86" w:rsidRDefault="003A67D1" w:rsidP="00BC3E8E">
            <w:pPr>
              <w:rPr>
                <w:rFonts w:ascii="Arial" w:hAnsi="Arial" w:cs="Arial"/>
                <w:color w:val="000000"/>
                <w:sz w:val="16"/>
                <w:szCs w:val="20"/>
              </w:rPr>
            </w:pPr>
            <w:r w:rsidRPr="007E6A86">
              <w:rPr>
                <w:rFonts w:ascii="Arial" w:hAnsi="Arial" w:cs="Arial"/>
                <w:color w:val="000000"/>
                <w:sz w:val="16"/>
                <w:szCs w:val="20"/>
              </w:rPr>
              <w:t xml:space="preserve">Biomarcador no seleccionado: </w:t>
            </w:r>
          </w:p>
          <w:p w14:paraId="727AA615" w14:textId="77777777" w:rsidR="003A67D1" w:rsidRPr="007E6A86" w:rsidRDefault="003A67D1" w:rsidP="00BC3E8E">
            <w:pPr>
              <w:rPr>
                <w:rFonts w:ascii="Arial" w:hAnsi="Arial" w:cs="Arial"/>
                <w:color w:val="000000"/>
                <w:sz w:val="16"/>
                <w:szCs w:val="20"/>
              </w:rPr>
            </w:pPr>
            <w:r w:rsidRPr="007E6A86">
              <w:rPr>
                <w:rFonts w:ascii="Arial" w:hAnsi="Arial" w:cs="Arial"/>
                <w:color w:val="000000"/>
                <w:sz w:val="16"/>
                <w:szCs w:val="20"/>
              </w:rPr>
              <w:t>Intervención</w:t>
            </w:r>
          </w:p>
          <w:p w14:paraId="66425A94" w14:textId="77777777" w:rsidR="003A67D1" w:rsidRPr="007E6A86" w:rsidRDefault="003A67D1" w:rsidP="00BC3E8E">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21,1</w:t>
            </w:r>
          </w:p>
          <w:p w14:paraId="1A99CFC9" w14:textId="77777777" w:rsidR="003A67D1" w:rsidRPr="007E6A86" w:rsidRDefault="003A67D1" w:rsidP="00BC3E8E">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o desconocido: 78,9</w:t>
            </w:r>
          </w:p>
          <w:p w14:paraId="19C51AB4" w14:textId="77777777" w:rsidR="003A67D1" w:rsidRPr="007E6A86" w:rsidRDefault="003A67D1" w:rsidP="00BC3E8E">
            <w:pPr>
              <w:rPr>
                <w:rFonts w:ascii="Arial" w:hAnsi="Arial" w:cs="Arial"/>
                <w:color w:val="000000"/>
                <w:sz w:val="16"/>
                <w:szCs w:val="20"/>
              </w:rPr>
            </w:pPr>
            <w:r w:rsidRPr="007E6A86">
              <w:rPr>
                <w:rFonts w:ascii="Arial" w:hAnsi="Arial" w:cs="Arial"/>
                <w:color w:val="000000"/>
                <w:sz w:val="16"/>
                <w:szCs w:val="20"/>
              </w:rPr>
              <w:t>Control.</w:t>
            </w:r>
          </w:p>
          <w:p w14:paraId="399E2636" w14:textId="77777777" w:rsidR="003A67D1" w:rsidRPr="007E6A86" w:rsidRDefault="003A67D1" w:rsidP="00BC3E8E">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20,8</w:t>
            </w:r>
          </w:p>
          <w:p w14:paraId="032CAFA6" w14:textId="77777777" w:rsidR="003A67D1" w:rsidRPr="007E6A86" w:rsidRDefault="003A67D1" w:rsidP="00C12D4E">
            <w:pPr>
              <w:rPr>
                <w:rFonts w:ascii="Arial" w:hAnsi="Arial" w:cs="Arial"/>
                <w:color w:val="000000"/>
                <w:sz w:val="16"/>
                <w:szCs w:val="20"/>
              </w:rPr>
            </w:pPr>
            <w:r w:rsidRPr="007E6A86">
              <w:rPr>
                <w:rFonts w:ascii="Arial" w:hAnsi="Arial" w:cs="Arial"/>
                <w:color w:val="000000"/>
                <w:sz w:val="16"/>
                <w:szCs w:val="20"/>
              </w:rPr>
              <w:t>HRR</w:t>
            </w:r>
            <w:r w:rsidR="00C12D4E" w:rsidRPr="007E6A86">
              <w:rPr>
                <w:rFonts w:ascii="Arial" w:hAnsi="Arial" w:cs="Arial"/>
                <w:color w:val="000000"/>
                <w:sz w:val="16"/>
                <w:szCs w:val="20"/>
              </w:rPr>
              <w:t>-</w:t>
            </w:r>
            <w:r w:rsidRPr="007E6A86">
              <w:rPr>
                <w:rFonts w:ascii="Arial" w:hAnsi="Arial" w:cs="Arial"/>
                <w:color w:val="000000"/>
                <w:sz w:val="16"/>
                <w:szCs w:val="20"/>
              </w:rPr>
              <w:t>: 79,2</w:t>
            </w:r>
          </w:p>
        </w:tc>
      </w:tr>
    </w:tbl>
    <w:p w14:paraId="1A91F9D0" w14:textId="77777777" w:rsidR="008337ED" w:rsidRDefault="008337ED" w:rsidP="00BC3E8E">
      <w:pPr>
        <w:rPr>
          <w:rFonts w:ascii="Arial" w:hAnsi="Arial" w:cs="Arial"/>
          <w:color w:val="FF0000"/>
          <w:sz w:val="20"/>
          <w:szCs w:val="20"/>
        </w:rPr>
      </w:pPr>
    </w:p>
    <w:p w14:paraId="6D295D1A" w14:textId="77777777" w:rsidR="00010979" w:rsidRDefault="00010979" w:rsidP="00BC3E8E">
      <w:pPr>
        <w:rPr>
          <w:rFonts w:ascii="Arial" w:hAnsi="Arial" w:cs="Arial"/>
          <w:color w:val="FF0000"/>
          <w:sz w:val="20"/>
          <w:szCs w:val="20"/>
        </w:rPr>
      </w:pPr>
    </w:p>
    <w:p w14:paraId="66E5A5A7" w14:textId="77777777" w:rsidR="00F24D54" w:rsidRDefault="00F24D54" w:rsidP="00F24D54">
      <w:pPr>
        <w:rPr>
          <w:rFonts w:ascii="Arial" w:hAnsi="Arial" w:cs="Arial"/>
          <w:color w:val="000080"/>
          <w:sz w:val="20"/>
          <w:szCs w:val="20"/>
        </w:rPr>
      </w:pPr>
    </w:p>
    <w:tbl>
      <w:tblPr>
        <w:tblW w:w="8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2"/>
        <w:gridCol w:w="1162"/>
        <w:gridCol w:w="1379"/>
        <w:gridCol w:w="1378"/>
        <w:gridCol w:w="1685"/>
        <w:gridCol w:w="1134"/>
      </w:tblGrid>
      <w:tr w:rsidR="00ED6F80" w:rsidRPr="006F6ABB" w14:paraId="0CF67834" w14:textId="77777777" w:rsidTr="00ED6F80">
        <w:trPr>
          <w:cantSplit/>
        </w:trPr>
        <w:tc>
          <w:tcPr>
            <w:tcW w:w="8080" w:type="dxa"/>
            <w:gridSpan w:val="6"/>
            <w:shd w:val="clear" w:color="auto" w:fill="CCFFCC"/>
          </w:tcPr>
          <w:p w14:paraId="1310F793" w14:textId="77777777" w:rsidR="00ED6F80" w:rsidRPr="00A379A0" w:rsidRDefault="00ED6F80" w:rsidP="00F24D54">
            <w:pPr>
              <w:pStyle w:val="Textoindependiente"/>
              <w:rPr>
                <w:rFonts w:ascii="Arial" w:hAnsi="Arial" w:cs="Arial"/>
                <w:b/>
                <w:bCs/>
                <w:sz w:val="18"/>
                <w:szCs w:val="16"/>
              </w:rPr>
            </w:pPr>
            <w:r w:rsidRPr="00A379A0">
              <w:rPr>
                <w:rFonts w:ascii="Arial" w:hAnsi="Arial" w:cs="Arial"/>
                <w:b/>
                <w:bCs/>
                <w:sz w:val="18"/>
                <w:szCs w:val="16"/>
              </w:rPr>
              <w:t>Tabla</w:t>
            </w:r>
            <w:r w:rsidR="002A6572">
              <w:rPr>
                <w:rFonts w:ascii="Arial" w:hAnsi="Arial" w:cs="Arial"/>
                <w:b/>
                <w:bCs/>
                <w:sz w:val="18"/>
                <w:szCs w:val="16"/>
              </w:rPr>
              <w:t xml:space="preserve"> 14</w:t>
            </w:r>
            <w:r w:rsidRPr="00A379A0">
              <w:rPr>
                <w:rFonts w:ascii="Arial" w:hAnsi="Arial" w:cs="Arial"/>
                <w:b/>
                <w:bCs/>
                <w:sz w:val="18"/>
                <w:szCs w:val="16"/>
              </w:rPr>
              <w:t xml:space="preserve"> RESULTADOS DE</w:t>
            </w:r>
            <w:r>
              <w:rPr>
                <w:rFonts w:ascii="Arial" w:hAnsi="Arial" w:cs="Arial"/>
                <w:b/>
                <w:bCs/>
                <w:sz w:val="18"/>
                <w:szCs w:val="16"/>
              </w:rPr>
              <w:t>L META</w:t>
            </w:r>
            <w:r w:rsidR="00B03FEA">
              <w:rPr>
                <w:rFonts w:ascii="Arial" w:hAnsi="Arial" w:cs="Arial"/>
                <w:b/>
                <w:bCs/>
                <w:sz w:val="18"/>
                <w:szCs w:val="16"/>
              </w:rPr>
              <w:t>A</w:t>
            </w:r>
            <w:r>
              <w:rPr>
                <w:rFonts w:ascii="Arial" w:hAnsi="Arial" w:cs="Arial"/>
                <w:b/>
                <w:bCs/>
                <w:sz w:val="18"/>
                <w:szCs w:val="16"/>
              </w:rPr>
              <w:t>NALISIS en un modelo de efectos aleatorios</w:t>
            </w:r>
            <w:r w:rsidR="009E33C7">
              <w:rPr>
                <w:rFonts w:ascii="Arial" w:hAnsi="Arial" w:cs="Arial"/>
                <w:b/>
                <w:bCs/>
                <w:sz w:val="18"/>
                <w:szCs w:val="16"/>
              </w:rPr>
              <w:t xml:space="preserve"> y resultados evaluados por comité independiente</w:t>
            </w:r>
            <w:r w:rsidR="00B51204">
              <w:rPr>
                <w:rFonts w:ascii="Arial" w:hAnsi="Arial" w:cs="Arial"/>
                <w:b/>
                <w:bCs/>
                <w:sz w:val="18"/>
                <w:szCs w:val="16"/>
              </w:rPr>
              <w:t xml:space="preserve"> (26)</w:t>
            </w:r>
          </w:p>
        </w:tc>
      </w:tr>
      <w:tr w:rsidR="00ED6F80" w:rsidRPr="006F6ABB" w14:paraId="2AC40A25" w14:textId="77777777" w:rsidTr="00ED6F80">
        <w:trPr>
          <w:cantSplit/>
        </w:trPr>
        <w:tc>
          <w:tcPr>
            <w:tcW w:w="8080" w:type="dxa"/>
            <w:gridSpan w:val="6"/>
            <w:shd w:val="clear" w:color="auto" w:fill="E0E0E0"/>
          </w:tcPr>
          <w:p w14:paraId="666E2666" w14:textId="77777777" w:rsidR="00ED6F80" w:rsidRPr="00A379A0" w:rsidRDefault="00ED6F80" w:rsidP="00032913">
            <w:pPr>
              <w:pStyle w:val="Textoindependiente"/>
              <w:jc w:val="center"/>
              <w:rPr>
                <w:rFonts w:ascii="Arial" w:hAnsi="Arial" w:cs="Arial"/>
                <w:sz w:val="16"/>
                <w:szCs w:val="16"/>
              </w:rPr>
            </w:pPr>
            <w:r>
              <w:rPr>
                <w:rFonts w:ascii="Arial" w:hAnsi="Arial" w:cs="Arial"/>
                <w:sz w:val="16"/>
                <w:szCs w:val="16"/>
              </w:rPr>
              <w:t>COHORTE GLOBAL</w:t>
            </w:r>
          </w:p>
        </w:tc>
      </w:tr>
      <w:tr w:rsidR="00ED6F80" w:rsidRPr="006F6ABB" w14:paraId="3A0ED5AF" w14:textId="77777777" w:rsidTr="00ED6F80">
        <w:trPr>
          <w:cantSplit/>
        </w:trPr>
        <w:tc>
          <w:tcPr>
            <w:tcW w:w="1342" w:type="dxa"/>
            <w:shd w:val="clear" w:color="auto" w:fill="E0E0E0"/>
          </w:tcPr>
          <w:p w14:paraId="3DC60748" w14:textId="77777777" w:rsidR="00ED6F80" w:rsidRPr="00A379A0" w:rsidRDefault="00ED6F80" w:rsidP="00032913">
            <w:pPr>
              <w:pStyle w:val="Textoindependiente"/>
              <w:rPr>
                <w:rFonts w:ascii="Arial" w:hAnsi="Arial" w:cs="Arial"/>
                <w:sz w:val="16"/>
                <w:szCs w:val="16"/>
              </w:rPr>
            </w:pPr>
            <w:r w:rsidRPr="00A379A0">
              <w:rPr>
                <w:rFonts w:ascii="Arial" w:hAnsi="Arial" w:cs="Arial"/>
                <w:sz w:val="16"/>
                <w:szCs w:val="16"/>
              </w:rPr>
              <w:t>Variable principal estudiada</w:t>
            </w:r>
          </w:p>
        </w:tc>
        <w:tc>
          <w:tcPr>
            <w:tcW w:w="1162" w:type="dxa"/>
            <w:shd w:val="clear" w:color="auto" w:fill="E0E0E0"/>
          </w:tcPr>
          <w:p w14:paraId="711226D3"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PROpel</w:t>
            </w:r>
          </w:p>
        </w:tc>
        <w:tc>
          <w:tcPr>
            <w:tcW w:w="1379" w:type="dxa"/>
            <w:shd w:val="clear" w:color="auto" w:fill="E0E0E0"/>
          </w:tcPr>
          <w:p w14:paraId="60686C67"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MAGNITUDE</w:t>
            </w:r>
          </w:p>
        </w:tc>
        <w:tc>
          <w:tcPr>
            <w:tcW w:w="1378" w:type="dxa"/>
            <w:shd w:val="clear" w:color="auto" w:fill="E0E0E0"/>
          </w:tcPr>
          <w:p w14:paraId="2113A015"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TALAPRO-2</w:t>
            </w:r>
          </w:p>
        </w:tc>
        <w:tc>
          <w:tcPr>
            <w:tcW w:w="1685" w:type="dxa"/>
            <w:shd w:val="clear" w:color="auto" w:fill="E0E0E0"/>
          </w:tcPr>
          <w:p w14:paraId="08F1185A" w14:textId="77777777" w:rsidR="00ED6F80" w:rsidRPr="006F6ABB" w:rsidRDefault="00ED6F80" w:rsidP="00032913">
            <w:pPr>
              <w:pStyle w:val="Textoindependiente"/>
              <w:jc w:val="center"/>
              <w:rPr>
                <w:rFonts w:ascii="Arial" w:hAnsi="Arial" w:cs="Arial"/>
                <w:sz w:val="16"/>
                <w:szCs w:val="16"/>
                <w:lang w:val="de-DE"/>
              </w:rPr>
            </w:pPr>
            <w:r>
              <w:rPr>
                <w:rFonts w:ascii="Arial" w:hAnsi="Arial" w:cs="Arial"/>
                <w:sz w:val="16"/>
                <w:szCs w:val="16"/>
                <w:lang w:val="de-DE"/>
              </w:rPr>
              <w:t>HR</w:t>
            </w:r>
            <w:r w:rsidRPr="006F6ABB">
              <w:rPr>
                <w:rFonts w:ascii="Arial" w:hAnsi="Arial" w:cs="Arial"/>
                <w:sz w:val="16"/>
                <w:szCs w:val="16"/>
                <w:lang w:val="de-DE"/>
              </w:rPr>
              <w:t xml:space="preserve"> (IC 95%)</w:t>
            </w:r>
          </w:p>
        </w:tc>
        <w:tc>
          <w:tcPr>
            <w:tcW w:w="1134" w:type="dxa"/>
            <w:shd w:val="clear" w:color="auto" w:fill="E0E0E0"/>
          </w:tcPr>
          <w:p w14:paraId="243FFC8E" w14:textId="77777777" w:rsidR="00ED6F80" w:rsidRPr="00A379A0" w:rsidRDefault="00ED6F80" w:rsidP="00032913">
            <w:pPr>
              <w:pStyle w:val="Textoindependiente"/>
              <w:jc w:val="center"/>
              <w:rPr>
                <w:rFonts w:ascii="Arial" w:hAnsi="Arial" w:cs="Arial"/>
                <w:sz w:val="16"/>
                <w:szCs w:val="16"/>
              </w:rPr>
            </w:pPr>
            <w:r>
              <w:rPr>
                <w:rFonts w:ascii="Arial" w:hAnsi="Arial" w:cs="Arial"/>
                <w:sz w:val="16"/>
                <w:szCs w:val="16"/>
              </w:rPr>
              <w:t>I</w:t>
            </w:r>
            <w:r w:rsidR="001A0EA8">
              <w:rPr>
                <w:rFonts w:ascii="Arial" w:hAnsi="Arial" w:cs="Arial"/>
                <w:sz w:val="16"/>
                <w:szCs w:val="16"/>
                <w:vertAlign w:val="superscript"/>
              </w:rPr>
              <w:t>2</w:t>
            </w:r>
            <w:r>
              <w:rPr>
                <w:rFonts w:ascii="Arial" w:hAnsi="Arial" w:cs="Arial"/>
                <w:sz w:val="16"/>
                <w:szCs w:val="16"/>
              </w:rPr>
              <w:t xml:space="preserve"> (%), P</w:t>
            </w:r>
          </w:p>
          <w:p w14:paraId="45C88E7B" w14:textId="77777777" w:rsidR="00ED6F80" w:rsidRPr="006F6ABB" w:rsidRDefault="00ED6F80" w:rsidP="00032913">
            <w:pPr>
              <w:pStyle w:val="Textoindependiente"/>
              <w:jc w:val="center"/>
              <w:rPr>
                <w:rFonts w:ascii="Arial" w:hAnsi="Arial" w:cs="Arial"/>
                <w:sz w:val="16"/>
                <w:szCs w:val="16"/>
                <w:lang w:val="en-US"/>
              </w:rPr>
            </w:pPr>
          </w:p>
        </w:tc>
      </w:tr>
      <w:tr w:rsidR="00ED6F80" w:rsidRPr="006F6ABB" w14:paraId="58ECBA6C" w14:textId="77777777" w:rsidTr="00ED6F80">
        <w:trPr>
          <w:cantSplit/>
        </w:trPr>
        <w:tc>
          <w:tcPr>
            <w:tcW w:w="1342" w:type="dxa"/>
          </w:tcPr>
          <w:p w14:paraId="66285B9C"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SLPr</w:t>
            </w:r>
          </w:p>
        </w:tc>
        <w:tc>
          <w:tcPr>
            <w:tcW w:w="1162" w:type="dxa"/>
          </w:tcPr>
          <w:p w14:paraId="354F62FD" w14:textId="77777777" w:rsidR="00ED6F80" w:rsidRDefault="00ED6F80" w:rsidP="00032913">
            <w:pPr>
              <w:pStyle w:val="Textoindependiente"/>
              <w:rPr>
                <w:rFonts w:ascii="Arial" w:hAnsi="Arial" w:cs="Arial"/>
                <w:sz w:val="16"/>
                <w:szCs w:val="16"/>
                <w:lang w:val="en-US"/>
              </w:rPr>
            </w:pPr>
            <w:r>
              <w:rPr>
                <w:rFonts w:ascii="Arial" w:hAnsi="Arial" w:cs="Arial"/>
                <w:sz w:val="16"/>
                <w:szCs w:val="16"/>
                <w:lang w:val="en-US"/>
              </w:rPr>
              <w:t>0,61(0,49-0,76)</w:t>
            </w:r>
          </w:p>
          <w:p w14:paraId="41954C4B" w14:textId="77777777" w:rsidR="00ED6F80" w:rsidRPr="006F6ABB" w:rsidRDefault="00ED6F80" w:rsidP="00032913">
            <w:pPr>
              <w:pStyle w:val="Textoindependiente"/>
              <w:rPr>
                <w:rFonts w:ascii="Arial" w:hAnsi="Arial" w:cs="Arial"/>
                <w:sz w:val="16"/>
                <w:szCs w:val="16"/>
                <w:lang w:val="en-US"/>
              </w:rPr>
            </w:pPr>
          </w:p>
        </w:tc>
        <w:tc>
          <w:tcPr>
            <w:tcW w:w="1379" w:type="dxa"/>
          </w:tcPr>
          <w:p w14:paraId="179C9E8F"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0,81 (0,59 – 1,11)</w:t>
            </w:r>
          </w:p>
        </w:tc>
        <w:tc>
          <w:tcPr>
            <w:tcW w:w="1378" w:type="dxa"/>
          </w:tcPr>
          <w:p w14:paraId="6E7B8819" w14:textId="77777777" w:rsidR="00ED6F80" w:rsidRDefault="00ED6F80" w:rsidP="00032913">
            <w:pPr>
              <w:pStyle w:val="Textoindependiente"/>
              <w:rPr>
                <w:rFonts w:ascii="Arial" w:hAnsi="Arial" w:cs="Arial"/>
                <w:sz w:val="16"/>
                <w:szCs w:val="16"/>
                <w:lang w:val="en-US"/>
              </w:rPr>
            </w:pPr>
            <w:r>
              <w:rPr>
                <w:rFonts w:ascii="Arial" w:hAnsi="Arial" w:cs="Arial"/>
                <w:sz w:val="16"/>
                <w:szCs w:val="16"/>
                <w:lang w:val="en-US"/>
              </w:rPr>
              <w:t>0,63 (0,51 – 0,78)</w:t>
            </w:r>
          </w:p>
        </w:tc>
        <w:tc>
          <w:tcPr>
            <w:tcW w:w="1685" w:type="dxa"/>
          </w:tcPr>
          <w:p w14:paraId="1421111C"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0,65 (0,56 – 0,76)</w:t>
            </w:r>
          </w:p>
        </w:tc>
        <w:tc>
          <w:tcPr>
            <w:tcW w:w="1134" w:type="dxa"/>
          </w:tcPr>
          <w:p w14:paraId="539A138C"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11, &lt;0,00001</w:t>
            </w:r>
          </w:p>
        </w:tc>
      </w:tr>
    </w:tbl>
    <w:p w14:paraId="0CB8B5E7" w14:textId="77777777" w:rsidR="00F24D54" w:rsidRDefault="00F24D54" w:rsidP="00F24D54">
      <w:pPr>
        <w:tabs>
          <w:tab w:val="left" w:pos="1870"/>
        </w:tabs>
      </w:pPr>
      <w:r>
        <w:tab/>
      </w:r>
    </w:p>
    <w:p w14:paraId="25270B47" w14:textId="5B7D7BDD" w:rsidR="00F24D54" w:rsidRDefault="009C6417" w:rsidP="00F24D54">
      <w:pPr>
        <w:tabs>
          <w:tab w:val="left" w:pos="1870"/>
        </w:tabs>
        <w:rPr>
          <w:noProof/>
        </w:rPr>
      </w:pPr>
      <w:r>
        <w:rPr>
          <w:noProof/>
        </w:rPr>
        <w:drawing>
          <wp:inline distT="0" distB="0" distL="0" distR="0" wp14:anchorId="2C98CBFC" wp14:editId="6517C215">
            <wp:extent cx="5629275" cy="1009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1009650"/>
                    </a:xfrm>
                    <a:prstGeom prst="rect">
                      <a:avLst/>
                    </a:prstGeom>
                    <a:noFill/>
                    <a:ln>
                      <a:noFill/>
                    </a:ln>
                  </pic:spPr>
                </pic:pic>
              </a:graphicData>
            </a:graphic>
          </wp:inline>
        </w:drawing>
      </w:r>
    </w:p>
    <w:p w14:paraId="65E86AA6" w14:textId="77777777" w:rsidR="009E33C7" w:rsidRDefault="009E33C7" w:rsidP="00F24D54">
      <w:pPr>
        <w:tabs>
          <w:tab w:val="left" w:pos="1870"/>
        </w:tabs>
        <w:rPr>
          <w:noProof/>
        </w:rPr>
      </w:pPr>
    </w:p>
    <w:p w14:paraId="20504390" w14:textId="20084BE7" w:rsidR="00AE1E7F" w:rsidRPr="002013E1" w:rsidRDefault="001A0EA8" w:rsidP="00A524FC">
      <w:pPr>
        <w:tabs>
          <w:tab w:val="left" w:pos="1870"/>
        </w:tabs>
        <w:jc w:val="both"/>
        <w:rPr>
          <w:rFonts w:ascii="Arial" w:hAnsi="Arial" w:cs="Arial"/>
          <w:bCs/>
          <w:sz w:val="20"/>
          <w:szCs w:val="20"/>
        </w:rPr>
      </w:pPr>
      <w:r w:rsidRPr="002013E1">
        <w:rPr>
          <w:rFonts w:ascii="Arial" w:hAnsi="Arial" w:cs="Arial"/>
          <w:bCs/>
          <w:sz w:val="20"/>
          <w:szCs w:val="20"/>
        </w:rPr>
        <w:t xml:space="preserve">El análisis agrupado de la SLPr, evaluada mediante comité independiente, demostró que la combinación de iPARP/iRA, en comparación con placebo/iRA, se asoció con una disminución del 35% del riesgo de SLPr en </w:t>
      </w:r>
      <w:r w:rsidR="00807DE7">
        <w:rPr>
          <w:rFonts w:ascii="Arial" w:hAnsi="Arial" w:cs="Arial"/>
          <w:bCs/>
          <w:sz w:val="20"/>
          <w:szCs w:val="20"/>
        </w:rPr>
        <w:t>el agregado</w:t>
      </w:r>
      <w:r w:rsidRPr="002013E1">
        <w:rPr>
          <w:rFonts w:ascii="Arial" w:hAnsi="Arial" w:cs="Arial"/>
          <w:bCs/>
          <w:sz w:val="20"/>
          <w:szCs w:val="20"/>
        </w:rPr>
        <w:t xml:space="preserve"> global (HR 0,65; IC del 95%: 0,56-0,76; P&lt;0,001; I</w:t>
      </w:r>
      <w:r w:rsidRPr="002013E1">
        <w:rPr>
          <w:rFonts w:ascii="Arial" w:hAnsi="Arial" w:cs="Arial"/>
          <w:bCs/>
          <w:sz w:val="20"/>
          <w:szCs w:val="20"/>
          <w:vertAlign w:val="superscript"/>
        </w:rPr>
        <w:t>2</w:t>
      </w:r>
      <w:r w:rsidRPr="002013E1">
        <w:rPr>
          <w:rFonts w:ascii="Arial" w:hAnsi="Arial" w:cs="Arial"/>
          <w:bCs/>
          <w:sz w:val="20"/>
          <w:szCs w:val="20"/>
        </w:rPr>
        <w:t xml:space="preserve">=11%). Los resultados de la SLPr en el estudio MAGNITUDE se comunicaron por separado para las cohortes con y </w:t>
      </w:r>
      <w:r w:rsidR="003A273A">
        <w:rPr>
          <w:rFonts w:ascii="Arial" w:hAnsi="Arial" w:cs="Arial"/>
          <w:bCs/>
          <w:sz w:val="20"/>
          <w:szCs w:val="20"/>
        </w:rPr>
        <w:t>sin HRR mutado dado que el estudio en la cohorte HRR- se desestimó durante el mismo por falta de eficacia frente al brazo comparador.</w:t>
      </w:r>
    </w:p>
    <w:p w14:paraId="423CBC4F" w14:textId="77777777" w:rsidR="009E33C7" w:rsidRPr="002013E1" w:rsidRDefault="001A0EA8" w:rsidP="00A524FC">
      <w:pPr>
        <w:tabs>
          <w:tab w:val="left" w:pos="1870"/>
        </w:tabs>
        <w:jc w:val="both"/>
        <w:rPr>
          <w:rFonts w:ascii="Arial" w:hAnsi="Arial" w:cs="Arial"/>
          <w:bCs/>
          <w:sz w:val="20"/>
          <w:szCs w:val="20"/>
        </w:rPr>
      </w:pPr>
      <w:r w:rsidRPr="002013E1">
        <w:rPr>
          <w:rFonts w:ascii="Arial" w:hAnsi="Arial" w:cs="Arial"/>
          <w:bCs/>
          <w:sz w:val="20"/>
          <w:szCs w:val="20"/>
        </w:rPr>
        <w:t>Se calculó una estimación combinada resumida para los fines de este análisis mediante un meta</w:t>
      </w:r>
      <w:r w:rsidR="00807DE7">
        <w:rPr>
          <w:rFonts w:ascii="Arial" w:hAnsi="Arial" w:cs="Arial"/>
          <w:bCs/>
          <w:sz w:val="20"/>
          <w:szCs w:val="20"/>
        </w:rPr>
        <w:t>a</w:t>
      </w:r>
      <w:r w:rsidRPr="002013E1">
        <w:rPr>
          <w:rFonts w:ascii="Arial" w:hAnsi="Arial" w:cs="Arial"/>
          <w:bCs/>
          <w:sz w:val="20"/>
          <w:szCs w:val="20"/>
        </w:rPr>
        <w:t>nálisis de efectos aleatorios.</w:t>
      </w:r>
    </w:p>
    <w:p w14:paraId="2F110A1A" w14:textId="77777777" w:rsidR="00F24D54" w:rsidRDefault="00F24D54" w:rsidP="00A524FC">
      <w:pPr>
        <w:tabs>
          <w:tab w:val="left" w:pos="1870"/>
        </w:tabs>
        <w:jc w:val="both"/>
      </w:pPr>
    </w:p>
    <w:tbl>
      <w:tblPr>
        <w:tblW w:w="89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2"/>
        <w:gridCol w:w="1431"/>
        <w:gridCol w:w="1611"/>
        <w:gridCol w:w="2182"/>
        <w:gridCol w:w="1080"/>
        <w:gridCol w:w="1005"/>
      </w:tblGrid>
      <w:tr w:rsidR="00ED6F80" w:rsidRPr="00A379A0" w14:paraId="695B956F" w14:textId="77777777" w:rsidTr="00032913">
        <w:trPr>
          <w:cantSplit/>
        </w:trPr>
        <w:tc>
          <w:tcPr>
            <w:tcW w:w="8951" w:type="dxa"/>
            <w:gridSpan w:val="6"/>
            <w:shd w:val="clear" w:color="auto" w:fill="E0E0E0"/>
          </w:tcPr>
          <w:p w14:paraId="3BBD5466" w14:textId="77777777" w:rsidR="00ED6F80" w:rsidRDefault="00ED6F80" w:rsidP="00032913">
            <w:pPr>
              <w:pStyle w:val="Textoindependiente"/>
              <w:jc w:val="center"/>
              <w:rPr>
                <w:rFonts w:ascii="Arial" w:hAnsi="Arial" w:cs="Arial"/>
                <w:sz w:val="16"/>
                <w:szCs w:val="16"/>
              </w:rPr>
            </w:pPr>
            <w:r>
              <w:rPr>
                <w:rFonts w:ascii="Arial" w:hAnsi="Arial" w:cs="Arial"/>
                <w:sz w:val="16"/>
                <w:szCs w:val="16"/>
              </w:rPr>
              <w:t>HRR+</w:t>
            </w:r>
          </w:p>
        </w:tc>
      </w:tr>
      <w:tr w:rsidR="00ED6F80" w:rsidRPr="006F6ABB" w14:paraId="1531261C" w14:textId="77777777" w:rsidTr="00ED6F80">
        <w:trPr>
          <w:cantSplit/>
        </w:trPr>
        <w:tc>
          <w:tcPr>
            <w:tcW w:w="1642" w:type="dxa"/>
            <w:shd w:val="clear" w:color="auto" w:fill="E0E0E0"/>
          </w:tcPr>
          <w:p w14:paraId="7980AEFE" w14:textId="77777777" w:rsidR="00ED6F80" w:rsidRPr="00A379A0" w:rsidRDefault="00ED6F80" w:rsidP="00032913">
            <w:pPr>
              <w:pStyle w:val="Textoindependiente"/>
              <w:rPr>
                <w:rFonts w:ascii="Arial" w:hAnsi="Arial" w:cs="Arial"/>
                <w:sz w:val="16"/>
                <w:szCs w:val="16"/>
              </w:rPr>
            </w:pPr>
            <w:r w:rsidRPr="00A379A0">
              <w:rPr>
                <w:rFonts w:ascii="Arial" w:hAnsi="Arial" w:cs="Arial"/>
                <w:sz w:val="16"/>
                <w:szCs w:val="16"/>
              </w:rPr>
              <w:t>Variable principal estudiada</w:t>
            </w:r>
          </w:p>
        </w:tc>
        <w:tc>
          <w:tcPr>
            <w:tcW w:w="1431" w:type="dxa"/>
            <w:shd w:val="clear" w:color="auto" w:fill="E0E0E0"/>
          </w:tcPr>
          <w:p w14:paraId="58C64726"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PROpel</w:t>
            </w:r>
          </w:p>
        </w:tc>
        <w:tc>
          <w:tcPr>
            <w:tcW w:w="1611" w:type="dxa"/>
            <w:shd w:val="clear" w:color="auto" w:fill="E0E0E0"/>
          </w:tcPr>
          <w:p w14:paraId="49A466D4"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MAGNITUDE</w:t>
            </w:r>
          </w:p>
        </w:tc>
        <w:tc>
          <w:tcPr>
            <w:tcW w:w="2182" w:type="dxa"/>
            <w:shd w:val="clear" w:color="auto" w:fill="E0E0E0"/>
          </w:tcPr>
          <w:p w14:paraId="4309ADAE"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TALAPRO-2</w:t>
            </w:r>
          </w:p>
        </w:tc>
        <w:tc>
          <w:tcPr>
            <w:tcW w:w="1080" w:type="dxa"/>
            <w:shd w:val="clear" w:color="auto" w:fill="E0E0E0"/>
          </w:tcPr>
          <w:p w14:paraId="6558BDCE" w14:textId="77777777" w:rsidR="00ED6F80" w:rsidRPr="006F6ABB" w:rsidRDefault="00ED6F80" w:rsidP="00032913">
            <w:pPr>
              <w:pStyle w:val="Textoindependiente"/>
              <w:jc w:val="center"/>
              <w:rPr>
                <w:rFonts w:ascii="Arial" w:hAnsi="Arial" w:cs="Arial"/>
                <w:sz w:val="16"/>
                <w:szCs w:val="16"/>
                <w:lang w:val="de-DE"/>
              </w:rPr>
            </w:pPr>
            <w:r>
              <w:rPr>
                <w:rFonts w:ascii="Arial" w:hAnsi="Arial" w:cs="Arial"/>
                <w:sz w:val="16"/>
                <w:szCs w:val="16"/>
                <w:lang w:val="de-DE"/>
              </w:rPr>
              <w:t>HR</w:t>
            </w:r>
            <w:r w:rsidRPr="006F6ABB">
              <w:rPr>
                <w:rFonts w:ascii="Arial" w:hAnsi="Arial" w:cs="Arial"/>
                <w:sz w:val="16"/>
                <w:szCs w:val="16"/>
                <w:lang w:val="de-DE"/>
              </w:rPr>
              <w:t xml:space="preserve"> (IC 95%)</w:t>
            </w:r>
          </w:p>
        </w:tc>
        <w:tc>
          <w:tcPr>
            <w:tcW w:w="1005" w:type="dxa"/>
            <w:shd w:val="clear" w:color="auto" w:fill="E0E0E0"/>
          </w:tcPr>
          <w:p w14:paraId="187680A0"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I</w:t>
            </w:r>
            <w:r w:rsidR="001A0EA8">
              <w:rPr>
                <w:rFonts w:ascii="Arial" w:hAnsi="Arial" w:cs="Arial"/>
                <w:sz w:val="16"/>
                <w:szCs w:val="16"/>
                <w:vertAlign w:val="superscript"/>
                <w:lang w:val="de-DE"/>
              </w:rPr>
              <w:t xml:space="preserve">2 </w:t>
            </w:r>
            <w:r>
              <w:rPr>
                <w:rFonts w:ascii="Arial" w:hAnsi="Arial" w:cs="Arial"/>
                <w:sz w:val="16"/>
                <w:szCs w:val="16"/>
                <w:lang w:val="de-DE"/>
              </w:rPr>
              <w:t>(%), P</w:t>
            </w:r>
          </w:p>
        </w:tc>
      </w:tr>
      <w:tr w:rsidR="00ED6F80" w:rsidRPr="006F6ABB" w14:paraId="68EBE4BA" w14:textId="77777777" w:rsidTr="00ED6F80">
        <w:trPr>
          <w:cantSplit/>
        </w:trPr>
        <w:tc>
          <w:tcPr>
            <w:tcW w:w="1642" w:type="dxa"/>
          </w:tcPr>
          <w:p w14:paraId="198FCB8D"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SLPr</w:t>
            </w:r>
          </w:p>
        </w:tc>
        <w:tc>
          <w:tcPr>
            <w:tcW w:w="1431" w:type="dxa"/>
          </w:tcPr>
          <w:p w14:paraId="3C80AFB9"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0,45 (0,31-0,65)</w:t>
            </w:r>
          </w:p>
        </w:tc>
        <w:tc>
          <w:tcPr>
            <w:tcW w:w="1611" w:type="dxa"/>
          </w:tcPr>
          <w:p w14:paraId="2FE21B55"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0,73 (0,56-0,95)</w:t>
            </w:r>
          </w:p>
        </w:tc>
        <w:tc>
          <w:tcPr>
            <w:tcW w:w="2182" w:type="dxa"/>
          </w:tcPr>
          <w:p w14:paraId="103F5E87" w14:textId="77777777" w:rsidR="00ED6F80" w:rsidRPr="006F6ABB" w:rsidRDefault="00807DE7" w:rsidP="00032913">
            <w:pPr>
              <w:pStyle w:val="Textoindependiente"/>
              <w:rPr>
                <w:rFonts w:ascii="Arial" w:hAnsi="Arial" w:cs="Arial"/>
                <w:sz w:val="16"/>
                <w:szCs w:val="16"/>
                <w:lang w:val="en-US"/>
              </w:rPr>
            </w:pPr>
            <w:r>
              <w:rPr>
                <w:rFonts w:ascii="Arial" w:hAnsi="Arial" w:cs="Arial"/>
                <w:sz w:val="16"/>
                <w:szCs w:val="16"/>
                <w:lang w:val="en-US"/>
              </w:rPr>
              <w:t>0,46 (</w:t>
            </w:r>
            <w:r w:rsidR="00ED6F80">
              <w:rPr>
                <w:rFonts w:ascii="Arial" w:hAnsi="Arial" w:cs="Arial"/>
                <w:sz w:val="16"/>
                <w:szCs w:val="16"/>
                <w:lang w:val="en-US"/>
              </w:rPr>
              <w:t>0,30-0,71)</w:t>
            </w:r>
          </w:p>
        </w:tc>
        <w:tc>
          <w:tcPr>
            <w:tcW w:w="1080" w:type="dxa"/>
          </w:tcPr>
          <w:p w14:paraId="6A1A21EE"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0,55 (0,39 – 0,77)</w:t>
            </w:r>
          </w:p>
        </w:tc>
        <w:tc>
          <w:tcPr>
            <w:tcW w:w="1005" w:type="dxa"/>
          </w:tcPr>
          <w:p w14:paraId="07948CD8" w14:textId="77777777" w:rsidR="00ED6F80" w:rsidRDefault="00ED6F80" w:rsidP="00032913">
            <w:pPr>
              <w:pStyle w:val="Textoindependiente"/>
              <w:rPr>
                <w:rFonts w:ascii="Arial" w:hAnsi="Arial" w:cs="Arial"/>
                <w:sz w:val="16"/>
                <w:szCs w:val="16"/>
                <w:lang w:val="en-US"/>
              </w:rPr>
            </w:pPr>
            <w:r>
              <w:rPr>
                <w:rFonts w:ascii="Arial" w:hAnsi="Arial" w:cs="Arial"/>
                <w:sz w:val="16"/>
                <w:szCs w:val="16"/>
                <w:lang w:val="en-US"/>
              </w:rPr>
              <w:t>66, P=0006</w:t>
            </w:r>
          </w:p>
        </w:tc>
      </w:tr>
    </w:tbl>
    <w:p w14:paraId="3CB29E7E" w14:textId="7A718145" w:rsidR="00F24D54" w:rsidRDefault="009C6417" w:rsidP="00F24D54">
      <w:pPr>
        <w:rPr>
          <w:noProof/>
        </w:rPr>
      </w:pPr>
      <w:r>
        <w:rPr>
          <w:noProof/>
        </w:rPr>
        <w:drawing>
          <wp:inline distT="0" distB="0" distL="0" distR="0" wp14:anchorId="7CD655A4" wp14:editId="0ADA7970">
            <wp:extent cx="5613400" cy="11131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113155"/>
                    </a:xfrm>
                    <a:prstGeom prst="rect">
                      <a:avLst/>
                    </a:prstGeom>
                    <a:noFill/>
                    <a:ln>
                      <a:noFill/>
                    </a:ln>
                  </pic:spPr>
                </pic:pic>
              </a:graphicData>
            </a:graphic>
          </wp:inline>
        </w:drawing>
      </w:r>
    </w:p>
    <w:p w14:paraId="2B772955" w14:textId="77777777" w:rsidR="00ED6F80" w:rsidRDefault="00ED6F80" w:rsidP="00F24D54"/>
    <w:p w14:paraId="15796864" w14:textId="77777777" w:rsidR="00ED6F80" w:rsidRDefault="00ED6F80" w:rsidP="00F24D54"/>
    <w:tbl>
      <w:tblPr>
        <w:tblW w:w="89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2"/>
        <w:gridCol w:w="1431"/>
        <w:gridCol w:w="1611"/>
        <w:gridCol w:w="2182"/>
        <w:gridCol w:w="1080"/>
        <w:gridCol w:w="1005"/>
      </w:tblGrid>
      <w:tr w:rsidR="00ED6F80" w:rsidRPr="00A379A0" w14:paraId="25DED08E" w14:textId="77777777" w:rsidTr="00032913">
        <w:trPr>
          <w:cantSplit/>
        </w:trPr>
        <w:tc>
          <w:tcPr>
            <w:tcW w:w="8951" w:type="dxa"/>
            <w:gridSpan w:val="6"/>
            <w:shd w:val="clear" w:color="auto" w:fill="E0E0E0"/>
          </w:tcPr>
          <w:p w14:paraId="6DA674E1" w14:textId="77777777" w:rsidR="00ED6F80" w:rsidRDefault="00ED6F80" w:rsidP="00032913">
            <w:pPr>
              <w:pStyle w:val="Textoindependiente"/>
              <w:jc w:val="center"/>
              <w:rPr>
                <w:rFonts w:ascii="Arial" w:hAnsi="Arial" w:cs="Arial"/>
                <w:sz w:val="16"/>
                <w:szCs w:val="16"/>
              </w:rPr>
            </w:pPr>
            <w:r>
              <w:rPr>
                <w:rFonts w:ascii="Arial" w:hAnsi="Arial" w:cs="Arial"/>
                <w:sz w:val="16"/>
                <w:szCs w:val="16"/>
              </w:rPr>
              <w:t>HRR-</w:t>
            </w:r>
          </w:p>
        </w:tc>
      </w:tr>
      <w:tr w:rsidR="00ED6F80" w:rsidRPr="006F6ABB" w14:paraId="46EBA9F5" w14:textId="77777777" w:rsidTr="00ED6F80">
        <w:trPr>
          <w:cantSplit/>
        </w:trPr>
        <w:tc>
          <w:tcPr>
            <w:tcW w:w="1642" w:type="dxa"/>
            <w:shd w:val="clear" w:color="auto" w:fill="E0E0E0"/>
          </w:tcPr>
          <w:p w14:paraId="6FF391F4" w14:textId="77777777" w:rsidR="00ED6F80" w:rsidRPr="00A379A0" w:rsidRDefault="00ED6F80" w:rsidP="00032913">
            <w:pPr>
              <w:pStyle w:val="Textoindependiente"/>
              <w:rPr>
                <w:rFonts w:ascii="Arial" w:hAnsi="Arial" w:cs="Arial"/>
                <w:sz w:val="16"/>
                <w:szCs w:val="16"/>
              </w:rPr>
            </w:pPr>
            <w:r w:rsidRPr="00A379A0">
              <w:rPr>
                <w:rFonts w:ascii="Arial" w:hAnsi="Arial" w:cs="Arial"/>
                <w:sz w:val="16"/>
                <w:szCs w:val="16"/>
              </w:rPr>
              <w:t>Variable principal estudiada</w:t>
            </w:r>
          </w:p>
        </w:tc>
        <w:tc>
          <w:tcPr>
            <w:tcW w:w="1431" w:type="dxa"/>
            <w:shd w:val="clear" w:color="auto" w:fill="E0E0E0"/>
          </w:tcPr>
          <w:p w14:paraId="6E332A95"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PROpel</w:t>
            </w:r>
          </w:p>
        </w:tc>
        <w:tc>
          <w:tcPr>
            <w:tcW w:w="1611" w:type="dxa"/>
            <w:shd w:val="clear" w:color="auto" w:fill="E0E0E0"/>
          </w:tcPr>
          <w:p w14:paraId="3BF59A87"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MAGNITUDE</w:t>
            </w:r>
          </w:p>
        </w:tc>
        <w:tc>
          <w:tcPr>
            <w:tcW w:w="2182" w:type="dxa"/>
            <w:shd w:val="clear" w:color="auto" w:fill="E0E0E0"/>
          </w:tcPr>
          <w:p w14:paraId="58360562"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TALAPRO-2</w:t>
            </w:r>
          </w:p>
        </w:tc>
        <w:tc>
          <w:tcPr>
            <w:tcW w:w="1080" w:type="dxa"/>
            <w:shd w:val="clear" w:color="auto" w:fill="E0E0E0"/>
          </w:tcPr>
          <w:p w14:paraId="2B79605D" w14:textId="77777777" w:rsidR="00ED6F80" w:rsidRPr="006F6ABB" w:rsidRDefault="00ED6F80" w:rsidP="00032913">
            <w:pPr>
              <w:pStyle w:val="Textoindependiente"/>
              <w:jc w:val="center"/>
              <w:rPr>
                <w:rFonts w:ascii="Arial" w:hAnsi="Arial" w:cs="Arial"/>
                <w:sz w:val="16"/>
                <w:szCs w:val="16"/>
                <w:lang w:val="de-DE"/>
              </w:rPr>
            </w:pPr>
            <w:r>
              <w:rPr>
                <w:rFonts w:ascii="Arial" w:hAnsi="Arial" w:cs="Arial"/>
                <w:sz w:val="16"/>
                <w:szCs w:val="16"/>
                <w:lang w:val="de-DE"/>
              </w:rPr>
              <w:t>HR</w:t>
            </w:r>
            <w:r w:rsidRPr="006F6ABB">
              <w:rPr>
                <w:rFonts w:ascii="Arial" w:hAnsi="Arial" w:cs="Arial"/>
                <w:sz w:val="16"/>
                <w:szCs w:val="16"/>
                <w:lang w:val="de-DE"/>
              </w:rPr>
              <w:t xml:space="preserve"> (IC 95%)</w:t>
            </w:r>
          </w:p>
        </w:tc>
        <w:tc>
          <w:tcPr>
            <w:tcW w:w="1005" w:type="dxa"/>
            <w:shd w:val="clear" w:color="auto" w:fill="E0E0E0"/>
          </w:tcPr>
          <w:p w14:paraId="6A728881"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I</w:t>
            </w:r>
            <w:r w:rsidR="001A0EA8">
              <w:rPr>
                <w:rFonts w:ascii="Arial" w:hAnsi="Arial" w:cs="Arial"/>
                <w:sz w:val="16"/>
                <w:szCs w:val="16"/>
                <w:vertAlign w:val="superscript"/>
                <w:lang w:val="de-DE"/>
              </w:rPr>
              <w:t>2</w:t>
            </w:r>
            <w:r>
              <w:rPr>
                <w:rFonts w:ascii="Arial" w:hAnsi="Arial" w:cs="Arial"/>
                <w:sz w:val="16"/>
                <w:szCs w:val="16"/>
                <w:lang w:val="de-DE"/>
              </w:rPr>
              <w:t xml:space="preserve"> (%), P</w:t>
            </w:r>
          </w:p>
        </w:tc>
      </w:tr>
      <w:tr w:rsidR="00ED6F80" w:rsidRPr="006F6ABB" w14:paraId="6781AF68" w14:textId="77777777" w:rsidTr="00ED6F80">
        <w:trPr>
          <w:cantSplit/>
        </w:trPr>
        <w:tc>
          <w:tcPr>
            <w:tcW w:w="1642" w:type="dxa"/>
          </w:tcPr>
          <w:p w14:paraId="59E407D3"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SLPr</w:t>
            </w:r>
          </w:p>
        </w:tc>
        <w:tc>
          <w:tcPr>
            <w:tcW w:w="1431" w:type="dxa"/>
          </w:tcPr>
          <w:p w14:paraId="1C0D121B"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0,72 (0,56-0,93)</w:t>
            </w:r>
          </w:p>
        </w:tc>
        <w:tc>
          <w:tcPr>
            <w:tcW w:w="1611" w:type="dxa"/>
          </w:tcPr>
          <w:p w14:paraId="3C7C513A"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1,03 (0,63-1,68)</w:t>
            </w:r>
          </w:p>
        </w:tc>
        <w:tc>
          <w:tcPr>
            <w:tcW w:w="2182" w:type="dxa"/>
          </w:tcPr>
          <w:p w14:paraId="0844F97D"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0,66</w:t>
            </w:r>
            <w:r w:rsidR="00807DE7">
              <w:rPr>
                <w:rFonts w:ascii="Arial" w:hAnsi="Arial" w:cs="Arial"/>
                <w:sz w:val="16"/>
                <w:szCs w:val="16"/>
                <w:lang w:val="en-US"/>
              </w:rPr>
              <w:t xml:space="preserve"> </w:t>
            </w:r>
            <w:r>
              <w:rPr>
                <w:rFonts w:ascii="Arial" w:hAnsi="Arial" w:cs="Arial"/>
                <w:sz w:val="16"/>
                <w:szCs w:val="16"/>
                <w:lang w:val="en-US"/>
              </w:rPr>
              <w:t>(0,48-0,91)</w:t>
            </w:r>
          </w:p>
        </w:tc>
        <w:tc>
          <w:tcPr>
            <w:tcW w:w="1080" w:type="dxa"/>
          </w:tcPr>
          <w:p w14:paraId="5923D499"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0,74</w:t>
            </w:r>
            <w:r w:rsidR="00807DE7">
              <w:rPr>
                <w:rFonts w:ascii="Arial" w:hAnsi="Arial" w:cs="Arial"/>
                <w:sz w:val="16"/>
                <w:szCs w:val="16"/>
                <w:lang w:val="en-US"/>
              </w:rPr>
              <w:t xml:space="preserve"> </w:t>
            </w:r>
            <w:r>
              <w:rPr>
                <w:rFonts w:ascii="Arial" w:hAnsi="Arial" w:cs="Arial"/>
                <w:sz w:val="16"/>
                <w:szCs w:val="16"/>
                <w:lang w:val="en-US"/>
              </w:rPr>
              <w:t>(0,61-0,90)</w:t>
            </w:r>
          </w:p>
        </w:tc>
        <w:tc>
          <w:tcPr>
            <w:tcW w:w="1005" w:type="dxa"/>
          </w:tcPr>
          <w:p w14:paraId="4E9FE785"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12, P=0,003</w:t>
            </w:r>
          </w:p>
        </w:tc>
      </w:tr>
    </w:tbl>
    <w:p w14:paraId="75331DAB" w14:textId="7908507A" w:rsidR="00F24D54" w:rsidRDefault="009C6417" w:rsidP="00F24D54">
      <w:r>
        <w:rPr>
          <w:noProof/>
        </w:rPr>
        <w:drawing>
          <wp:inline distT="0" distB="0" distL="0" distR="0" wp14:anchorId="45A05F47" wp14:editId="439CFFA6">
            <wp:extent cx="5613400" cy="10890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1089025"/>
                    </a:xfrm>
                    <a:prstGeom prst="rect">
                      <a:avLst/>
                    </a:prstGeom>
                    <a:noFill/>
                    <a:ln>
                      <a:noFill/>
                    </a:ln>
                  </pic:spPr>
                </pic:pic>
              </a:graphicData>
            </a:graphic>
          </wp:inline>
        </w:drawing>
      </w:r>
    </w:p>
    <w:p w14:paraId="450610BF" w14:textId="77777777" w:rsidR="00ED6F80" w:rsidRPr="002013E1" w:rsidRDefault="001A0EA8" w:rsidP="00A524FC">
      <w:pPr>
        <w:jc w:val="both"/>
        <w:rPr>
          <w:rFonts w:ascii="Arial" w:hAnsi="Arial" w:cs="Arial"/>
          <w:bCs/>
          <w:sz w:val="20"/>
          <w:szCs w:val="20"/>
        </w:rPr>
      </w:pPr>
      <w:r w:rsidRPr="002013E1">
        <w:rPr>
          <w:rFonts w:ascii="Arial" w:hAnsi="Arial" w:cs="Arial"/>
          <w:bCs/>
          <w:sz w:val="20"/>
          <w:szCs w:val="20"/>
        </w:rPr>
        <w:t>La combinación PARPi/iRA demostró beneficios evaluados por comité independiente para los análisis agrupados de SLPr tanto en el subgrupo HRR+ (HR 0,55, IC 95% 0,39-,77;P&lt;0,001,I</w:t>
      </w:r>
      <w:r w:rsidRPr="002013E1">
        <w:rPr>
          <w:rFonts w:ascii="Arial" w:hAnsi="Arial" w:cs="Arial"/>
          <w:bCs/>
          <w:sz w:val="20"/>
          <w:szCs w:val="20"/>
          <w:vertAlign w:val="superscript"/>
        </w:rPr>
        <w:t>2</w:t>
      </w:r>
      <w:r w:rsidRPr="002013E1">
        <w:rPr>
          <w:rFonts w:ascii="Arial" w:hAnsi="Arial" w:cs="Arial"/>
          <w:bCs/>
          <w:sz w:val="20"/>
          <w:szCs w:val="20"/>
        </w:rPr>
        <w:t>=66%) como en el subgrupo HRR- (HR 0,74, IC 95% 0,61-0,90;P=0,003,I</w:t>
      </w:r>
      <w:r w:rsidRPr="002013E1">
        <w:rPr>
          <w:rFonts w:ascii="Arial" w:hAnsi="Arial" w:cs="Arial"/>
          <w:bCs/>
          <w:sz w:val="20"/>
          <w:szCs w:val="20"/>
          <w:vertAlign w:val="superscript"/>
        </w:rPr>
        <w:t>2</w:t>
      </w:r>
      <w:r w:rsidRPr="002013E1">
        <w:rPr>
          <w:rFonts w:ascii="Arial" w:hAnsi="Arial" w:cs="Arial"/>
          <w:bCs/>
          <w:sz w:val="20"/>
          <w:szCs w:val="20"/>
        </w:rPr>
        <w:t>=12%), con una magnitud del efecto no significativamente diferente (prueba de diferencias entre subgrupos P=0,15).</w:t>
      </w:r>
    </w:p>
    <w:p w14:paraId="14BD5152" w14:textId="77777777" w:rsidR="00ED6F80" w:rsidRDefault="00ED6F80" w:rsidP="00A524FC">
      <w:pPr>
        <w:jc w:val="both"/>
      </w:pPr>
    </w:p>
    <w:tbl>
      <w:tblPr>
        <w:tblW w:w="89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2"/>
        <w:gridCol w:w="1431"/>
        <w:gridCol w:w="1611"/>
        <w:gridCol w:w="2182"/>
        <w:gridCol w:w="1080"/>
        <w:gridCol w:w="1005"/>
      </w:tblGrid>
      <w:tr w:rsidR="00ED6F80" w:rsidRPr="00A379A0" w14:paraId="277D899B" w14:textId="77777777" w:rsidTr="00032913">
        <w:trPr>
          <w:cantSplit/>
        </w:trPr>
        <w:tc>
          <w:tcPr>
            <w:tcW w:w="8951" w:type="dxa"/>
            <w:gridSpan w:val="6"/>
            <w:shd w:val="clear" w:color="auto" w:fill="E0E0E0"/>
          </w:tcPr>
          <w:p w14:paraId="3DE579C7" w14:textId="77777777" w:rsidR="00ED6F80" w:rsidRDefault="00ED6F80" w:rsidP="00032913">
            <w:pPr>
              <w:pStyle w:val="Textoindependiente"/>
              <w:jc w:val="center"/>
              <w:rPr>
                <w:rFonts w:ascii="Arial" w:hAnsi="Arial" w:cs="Arial"/>
                <w:sz w:val="16"/>
                <w:szCs w:val="16"/>
              </w:rPr>
            </w:pPr>
            <w:r>
              <w:rPr>
                <w:rFonts w:ascii="Arial" w:hAnsi="Arial" w:cs="Arial"/>
                <w:sz w:val="16"/>
                <w:szCs w:val="16"/>
              </w:rPr>
              <w:t>BRCA1/2</w:t>
            </w:r>
          </w:p>
        </w:tc>
      </w:tr>
      <w:tr w:rsidR="00ED6F80" w:rsidRPr="006F6ABB" w14:paraId="4DBDC957" w14:textId="77777777" w:rsidTr="00ED6F80">
        <w:trPr>
          <w:cantSplit/>
        </w:trPr>
        <w:tc>
          <w:tcPr>
            <w:tcW w:w="1642" w:type="dxa"/>
            <w:shd w:val="clear" w:color="auto" w:fill="E0E0E0"/>
          </w:tcPr>
          <w:p w14:paraId="1614CFA2" w14:textId="77777777" w:rsidR="00ED6F80" w:rsidRPr="00A379A0" w:rsidRDefault="00ED6F80" w:rsidP="00032913">
            <w:pPr>
              <w:pStyle w:val="Textoindependiente"/>
              <w:rPr>
                <w:rFonts w:ascii="Arial" w:hAnsi="Arial" w:cs="Arial"/>
                <w:sz w:val="16"/>
                <w:szCs w:val="16"/>
              </w:rPr>
            </w:pPr>
            <w:r w:rsidRPr="00A379A0">
              <w:rPr>
                <w:rFonts w:ascii="Arial" w:hAnsi="Arial" w:cs="Arial"/>
                <w:sz w:val="16"/>
                <w:szCs w:val="16"/>
              </w:rPr>
              <w:t>Variable principal estudiada</w:t>
            </w:r>
          </w:p>
        </w:tc>
        <w:tc>
          <w:tcPr>
            <w:tcW w:w="1431" w:type="dxa"/>
            <w:shd w:val="clear" w:color="auto" w:fill="E0E0E0"/>
          </w:tcPr>
          <w:p w14:paraId="376E48E7"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PROpel</w:t>
            </w:r>
          </w:p>
        </w:tc>
        <w:tc>
          <w:tcPr>
            <w:tcW w:w="1611" w:type="dxa"/>
            <w:shd w:val="clear" w:color="auto" w:fill="E0E0E0"/>
          </w:tcPr>
          <w:p w14:paraId="1CEF9199" w14:textId="77777777" w:rsidR="00ED6F80" w:rsidRPr="00A379A0" w:rsidRDefault="00ED6F80" w:rsidP="00032913">
            <w:pPr>
              <w:pStyle w:val="Textoindependiente"/>
              <w:rPr>
                <w:rFonts w:ascii="Arial" w:hAnsi="Arial" w:cs="Arial"/>
                <w:sz w:val="16"/>
                <w:szCs w:val="16"/>
              </w:rPr>
            </w:pPr>
            <w:r>
              <w:rPr>
                <w:rFonts w:ascii="Arial" w:hAnsi="Arial" w:cs="Arial"/>
                <w:sz w:val="16"/>
                <w:szCs w:val="16"/>
              </w:rPr>
              <w:t>MAGNITUDE</w:t>
            </w:r>
          </w:p>
        </w:tc>
        <w:tc>
          <w:tcPr>
            <w:tcW w:w="2182" w:type="dxa"/>
            <w:shd w:val="clear" w:color="auto" w:fill="E0E0E0"/>
          </w:tcPr>
          <w:p w14:paraId="2DB15F98"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TALAPRO-2</w:t>
            </w:r>
          </w:p>
        </w:tc>
        <w:tc>
          <w:tcPr>
            <w:tcW w:w="1080" w:type="dxa"/>
            <w:shd w:val="clear" w:color="auto" w:fill="E0E0E0"/>
          </w:tcPr>
          <w:p w14:paraId="08AD08DD" w14:textId="77777777" w:rsidR="00ED6F80" w:rsidRPr="006F6ABB" w:rsidRDefault="00ED6F80" w:rsidP="00032913">
            <w:pPr>
              <w:pStyle w:val="Textoindependiente"/>
              <w:jc w:val="center"/>
              <w:rPr>
                <w:rFonts w:ascii="Arial" w:hAnsi="Arial" w:cs="Arial"/>
                <w:sz w:val="16"/>
                <w:szCs w:val="16"/>
                <w:lang w:val="de-DE"/>
              </w:rPr>
            </w:pPr>
            <w:r>
              <w:rPr>
                <w:rFonts w:ascii="Arial" w:hAnsi="Arial" w:cs="Arial"/>
                <w:sz w:val="16"/>
                <w:szCs w:val="16"/>
                <w:lang w:val="de-DE"/>
              </w:rPr>
              <w:t>HR</w:t>
            </w:r>
            <w:r w:rsidRPr="006F6ABB">
              <w:rPr>
                <w:rFonts w:ascii="Arial" w:hAnsi="Arial" w:cs="Arial"/>
                <w:sz w:val="16"/>
                <w:szCs w:val="16"/>
                <w:lang w:val="de-DE"/>
              </w:rPr>
              <w:t xml:space="preserve"> (IC 95%)</w:t>
            </w:r>
          </w:p>
        </w:tc>
        <w:tc>
          <w:tcPr>
            <w:tcW w:w="1005" w:type="dxa"/>
            <w:shd w:val="clear" w:color="auto" w:fill="E0E0E0"/>
          </w:tcPr>
          <w:p w14:paraId="7139B410" w14:textId="77777777" w:rsidR="00ED6F80" w:rsidRDefault="00ED6F80" w:rsidP="00032913">
            <w:pPr>
              <w:pStyle w:val="Textoindependiente"/>
              <w:jc w:val="center"/>
              <w:rPr>
                <w:rFonts w:ascii="Arial" w:hAnsi="Arial" w:cs="Arial"/>
                <w:sz w:val="16"/>
                <w:szCs w:val="16"/>
                <w:lang w:val="de-DE"/>
              </w:rPr>
            </w:pPr>
            <w:r>
              <w:rPr>
                <w:rFonts w:ascii="Arial" w:hAnsi="Arial" w:cs="Arial"/>
                <w:sz w:val="16"/>
                <w:szCs w:val="16"/>
                <w:lang w:val="de-DE"/>
              </w:rPr>
              <w:t>I</w:t>
            </w:r>
            <w:r w:rsidR="001A0EA8">
              <w:rPr>
                <w:rFonts w:ascii="Arial" w:hAnsi="Arial" w:cs="Arial"/>
                <w:sz w:val="16"/>
                <w:szCs w:val="16"/>
                <w:vertAlign w:val="superscript"/>
                <w:lang w:val="de-DE"/>
              </w:rPr>
              <w:t>2</w:t>
            </w:r>
            <w:r>
              <w:rPr>
                <w:rFonts w:ascii="Arial" w:hAnsi="Arial" w:cs="Arial"/>
                <w:sz w:val="16"/>
                <w:szCs w:val="16"/>
                <w:lang w:val="de-DE"/>
              </w:rPr>
              <w:t xml:space="preserve"> (%), P</w:t>
            </w:r>
          </w:p>
        </w:tc>
      </w:tr>
      <w:tr w:rsidR="00ED6F80" w:rsidRPr="006F6ABB" w14:paraId="447567BC" w14:textId="77777777" w:rsidTr="00ED6F80">
        <w:trPr>
          <w:cantSplit/>
        </w:trPr>
        <w:tc>
          <w:tcPr>
            <w:tcW w:w="1642" w:type="dxa"/>
          </w:tcPr>
          <w:p w14:paraId="04E1EE71" w14:textId="77777777" w:rsidR="00ED6F80" w:rsidRPr="006F6ABB" w:rsidRDefault="00ED6F80" w:rsidP="00032913">
            <w:pPr>
              <w:pStyle w:val="Textoindependiente"/>
              <w:rPr>
                <w:rFonts w:ascii="Arial" w:hAnsi="Arial" w:cs="Arial"/>
                <w:sz w:val="16"/>
                <w:szCs w:val="16"/>
                <w:lang w:val="en-US"/>
              </w:rPr>
            </w:pPr>
            <w:r>
              <w:rPr>
                <w:rFonts w:ascii="Arial" w:hAnsi="Arial" w:cs="Arial"/>
                <w:sz w:val="16"/>
                <w:szCs w:val="16"/>
                <w:lang w:val="en-US"/>
              </w:rPr>
              <w:t>SLPr</w:t>
            </w:r>
          </w:p>
        </w:tc>
        <w:tc>
          <w:tcPr>
            <w:tcW w:w="1431" w:type="dxa"/>
          </w:tcPr>
          <w:p w14:paraId="6A8524BD" w14:textId="77777777" w:rsidR="00ED6F80" w:rsidRPr="006F6ABB" w:rsidRDefault="009E33C7" w:rsidP="00032913">
            <w:pPr>
              <w:pStyle w:val="Textoindependiente"/>
              <w:rPr>
                <w:rFonts w:ascii="Arial" w:hAnsi="Arial" w:cs="Arial"/>
                <w:sz w:val="16"/>
                <w:szCs w:val="16"/>
                <w:lang w:val="en-US"/>
              </w:rPr>
            </w:pPr>
            <w:r>
              <w:rPr>
                <w:rFonts w:ascii="Arial" w:hAnsi="Arial" w:cs="Arial"/>
                <w:sz w:val="16"/>
                <w:szCs w:val="16"/>
                <w:lang w:val="en-US"/>
              </w:rPr>
              <w:t>0,23(0,12-0,44)</w:t>
            </w:r>
          </w:p>
        </w:tc>
        <w:tc>
          <w:tcPr>
            <w:tcW w:w="1611" w:type="dxa"/>
          </w:tcPr>
          <w:p w14:paraId="10DF4FA3" w14:textId="77777777" w:rsidR="00ED6F80" w:rsidRPr="006F6ABB" w:rsidRDefault="009E33C7" w:rsidP="00032913">
            <w:pPr>
              <w:pStyle w:val="Textoindependiente"/>
              <w:rPr>
                <w:rFonts w:ascii="Arial" w:hAnsi="Arial" w:cs="Arial"/>
                <w:sz w:val="16"/>
                <w:szCs w:val="16"/>
                <w:lang w:val="en-US"/>
              </w:rPr>
            </w:pPr>
            <w:r>
              <w:rPr>
                <w:rFonts w:ascii="Arial" w:hAnsi="Arial" w:cs="Arial"/>
                <w:sz w:val="16"/>
                <w:szCs w:val="16"/>
                <w:lang w:val="en-US"/>
              </w:rPr>
              <w:t>0,53 (0,12-0,44)</w:t>
            </w:r>
          </w:p>
        </w:tc>
        <w:tc>
          <w:tcPr>
            <w:tcW w:w="2182" w:type="dxa"/>
          </w:tcPr>
          <w:p w14:paraId="61FEE60C" w14:textId="77777777" w:rsidR="00ED6F80" w:rsidRPr="006F6ABB" w:rsidRDefault="009E33C7" w:rsidP="00032913">
            <w:pPr>
              <w:pStyle w:val="Textoindependiente"/>
              <w:rPr>
                <w:rFonts w:ascii="Arial" w:hAnsi="Arial" w:cs="Arial"/>
                <w:sz w:val="16"/>
                <w:szCs w:val="16"/>
                <w:lang w:val="en-US"/>
              </w:rPr>
            </w:pPr>
            <w:r>
              <w:rPr>
                <w:rFonts w:ascii="Arial" w:hAnsi="Arial" w:cs="Arial"/>
                <w:sz w:val="16"/>
                <w:szCs w:val="16"/>
                <w:lang w:val="en-US"/>
              </w:rPr>
              <w:t>0,23 (0,10-0,53)</w:t>
            </w:r>
          </w:p>
        </w:tc>
        <w:tc>
          <w:tcPr>
            <w:tcW w:w="1080" w:type="dxa"/>
          </w:tcPr>
          <w:p w14:paraId="0ACC3F4B" w14:textId="77777777" w:rsidR="00ED6F80" w:rsidRPr="006F6ABB" w:rsidRDefault="009E33C7" w:rsidP="00032913">
            <w:pPr>
              <w:pStyle w:val="Textoindependiente"/>
              <w:rPr>
                <w:rFonts w:ascii="Arial" w:hAnsi="Arial" w:cs="Arial"/>
                <w:sz w:val="16"/>
                <w:szCs w:val="16"/>
                <w:lang w:val="en-US"/>
              </w:rPr>
            </w:pPr>
            <w:r>
              <w:rPr>
                <w:rFonts w:ascii="Arial" w:hAnsi="Arial" w:cs="Arial"/>
                <w:sz w:val="16"/>
                <w:szCs w:val="16"/>
                <w:lang w:val="en-US"/>
              </w:rPr>
              <w:t>0,32 (0,17-0,61)</w:t>
            </w:r>
          </w:p>
        </w:tc>
        <w:tc>
          <w:tcPr>
            <w:tcW w:w="1005" w:type="dxa"/>
          </w:tcPr>
          <w:p w14:paraId="58A4C70F" w14:textId="77777777" w:rsidR="00ED6F80" w:rsidRPr="006F6ABB" w:rsidRDefault="009E33C7" w:rsidP="00032913">
            <w:pPr>
              <w:pStyle w:val="Textoindependiente"/>
              <w:rPr>
                <w:rFonts w:ascii="Arial" w:hAnsi="Arial" w:cs="Arial"/>
                <w:sz w:val="16"/>
                <w:szCs w:val="16"/>
                <w:lang w:val="en-US"/>
              </w:rPr>
            </w:pPr>
            <w:r>
              <w:rPr>
                <w:rFonts w:ascii="Arial" w:hAnsi="Arial" w:cs="Arial"/>
                <w:sz w:val="16"/>
                <w:szCs w:val="16"/>
                <w:lang w:val="en-US"/>
              </w:rPr>
              <w:t>69, P=0,04</w:t>
            </w:r>
          </w:p>
        </w:tc>
      </w:tr>
    </w:tbl>
    <w:p w14:paraId="6719769B" w14:textId="0EC7DC0D" w:rsidR="00F24D54" w:rsidRDefault="009C6417" w:rsidP="00F24D54">
      <w:r>
        <w:rPr>
          <w:noProof/>
        </w:rPr>
        <w:drawing>
          <wp:inline distT="0" distB="0" distL="0" distR="0" wp14:anchorId="3473F372" wp14:editId="2F05DBA4">
            <wp:extent cx="5613400" cy="10496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1049655"/>
                    </a:xfrm>
                    <a:prstGeom prst="rect">
                      <a:avLst/>
                    </a:prstGeom>
                    <a:noFill/>
                    <a:ln>
                      <a:noFill/>
                    </a:ln>
                  </pic:spPr>
                </pic:pic>
              </a:graphicData>
            </a:graphic>
          </wp:inline>
        </w:drawing>
      </w:r>
    </w:p>
    <w:p w14:paraId="56E7F3F2" w14:textId="77777777" w:rsidR="00707ECA" w:rsidRPr="002013E1" w:rsidRDefault="001A0EA8" w:rsidP="00A524FC">
      <w:pPr>
        <w:jc w:val="both"/>
        <w:rPr>
          <w:rFonts w:ascii="Arial" w:hAnsi="Arial" w:cs="Arial"/>
          <w:bCs/>
          <w:sz w:val="20"/>
          <w:szCs w:val="20"/>
        </w:rPr>
      </w:pPr>
      <w:r w:rsidRPr="002013E1">
        <w:rPr>
          <w:rFonts w:ascii="Arial" w:hAnsi="Arial" w:cs="Arial"/>
          <w:bCs/>
          <w:sz w:val="20"/>
          <w:szCs w:val="20"/>
        </w:rPr>
        <w:t>Los pacientes con BRCA1/2m que recibieron la combinación PARPi/iRA presentaron una mejora del 68% en la tasa de SLPr (HR 0,32; IC del 95%: 0,17-0,61; P&lt;0,001; I</w:t>
      </w:r>
      <w:r w:rsidRPr="002013E1">
        <w:rPr>
          <w:rFonts w:ascii="Arial" w:hAnsi="Arial" w:cs="Arial"/>
          <w:bCs/>
          <w:sz w:val="20"/>
          <w:szCs w:val="20"/>
          <w:vertAlign w:val="superscript"/>
        </w:rPr>
        <w:t>2</w:t>
      </w:r>
      <w:r w:rsidRPr="002013E1">
        <w:rPr>
          <w:rFonts w:ascii="Arial" w:hAnsi="Arial" w:cs="Arial"/>
          <w:bCs/>
          <w:sz w:val="20"/>
          <w:szCs w:val="20"/>
        </w:rPr>
        <w:t>=69%). El análisis agrupado de la SLPr evaluada por el investigador en las cohortes global y de HRR+ demostró beneficios significativos a favor de la combinación PARPi/iRA. No se realizó la SLPr evaluada por el investigador en la cohorte HRR-, ya que este resultado no estaba disponible para MAGNITUDE/TALAPRO-2.</w:t>
      </w:r>
    </w:p>
    <w:p w14:paraId="1B866A60" w14:textId="77777777" w:rsidR="00C12D4E" w:rsidRPr="002013E1" w:rsidRDefault="00C12D4E" w:rsidP="00A524FC">
      <w:pPr>
        <w:jc w:val="both"/>
        <w:rPr>
          <w:rFonts w:ascii="Arial" w:hAnsi="Arial" w:cs="Arial"/>
          <w:bCs/>
          <w:sz w:val="20"/>
          <w:szCs w:val="20"/>
        </w:rPr>
      </w:pPr>
    </w:p>
    <w:p w14:paraId="0EABA817" w14:textId="77777777" w:rsidR="00C12D4E" w:rsidRPr="002013E1" w:rsidRDefault="001A0EA8" w:rsidP="00A524FC">
      <w:pPr>
        <w:jc w:val="both"/>
        <w:rPr>
          <w:rFonts w:ascii="Arial" w:hAnsi="Arial" w:cs="Arial"/>
          <w:bCs/>
          <w:sz w:val="20"/>
          <w:szCs w:val="20"/>
        </w:rPr>
      </w:pPr>
      <w:r w:rsidRPr="002013E1">
        <w:rPr>
          <w:rFonts w:ascii="Arial" w:hAnsi="Arial" w:cs="Arial"/>
          <w:bCs/>
          <w:sz w:val="20"/>
          <w:szCs w:val="20"/>
        </w:rPr>
        <w:t>En este metaanálisis de PROpel, MAGNITUDE, TALAPRO-2, demuestra que la combinación de un iPARP/iRA, en comparación con placebo/iRA, se asocia a una mejor SLPr en todos los subgrupos de pacientes. Se observó un gradiente de efectos en función del estado mutacional de RHH, con un mayor beneficio entre los pacientes con mutaciones en la RHH (45%) en comparación con los pacientes RHH- (26%), con un efecto intermedio en la cohorte global (35%). La mayor magnitud del beneficio en la SLPr se observó en los pacien</w:t>
      </w:r>
      <w:r w:rsidR="00C12D4E" w:rsidRPr="00B03FEA">
        <w:t>t</w:t>
      </w:r>
      <w:r w:rsidRPr="002013E1">
        <w:rPr>
          <w:rFonts w:ascii="Arial" w:hAnsi="Arial" w:cs="Arial"/>
          <w:bCs/>
          <w:sz w:val="20"/>
          <w:szCs w:val="20"/>
        </w:rPr>
        <w:t>es con BRCA1/2m (HR  0,32; IC del 95%: 0,17-0,61).</w:t>
      </w:r>
    </w:p>
    <w:p w14:paraId="6A5C2B35" w14:textId="77777777" w:rsidR="00BC3E8E" w:rsidRPr="006F6ABB" w:rsidRDefault="00BC3E8E" w:rsidP="00BC3E8E">
      <w:pPr>
        <w:jc w:val="right"/>
        <w:rPr>
          <w:rFonts w:ascii="Arial" w:hAnsi="Arial" w:cs="Arial"/>
          <w:sz w:val="20"/>
          <w:szCs w:val="20"/>
        </w:rPr>
      </w:pPr>
    </w:p>
    <w:p w14:paraId="6CF27A93"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5" w:name="_Toc344399646"/>
      <w:bookmarkStart w:id="86" w:name="_Toc348931373"/>
      <w:bookmarkStart w:id="87" w:name="_Toc153727205"/>
      <w:r w:rsidRPr="00B35A86">
        <w:rPr>
          <w:rFonts w:cs="Arial"/>
          <w:sz w:val="20"/>
        </w:rPr>
        <w:t>5.3.b Comparaciones indirectas (CCII)</w:t>
      </w:r>
      <w:bookmarkEnd w:id="85"/>
      <w:bookmarkEnd w:id="86"/>
      <w:bookmarkEnd w:id="87"/>
    </w:p>
    <w:p w14:paraId="2D554FF1" w14:textId="77777777" w:rsidR="00BC3E8E" w:rsidRDefault="00BC3E8E" w:rsidP="00BC3E8E">
      <w:pPr>
        <w:rPr>
          <w:rFonts w:ascii="Arial" w:hAnsi="Arial" w:cs="Arial"/>
          <w:b/>
          <w:bCs/>
          <w:sz w:val="20"/>
          <w:szCs w:val="20"/>
          <w:highlight w:val="yellow"/>
        </w:rPr>
      </w:pPr>
    </w:p>
    <w:p w14:paraId="3CE891D0" w14:textId="77777777" w:rsidR="00FF1361" w:rsidRPr="006F6ABB" w:rsidRDefault="00FF1361" w:rsidP="00BC3E8E">
      <w:pPr>
        <w:rPr>
          <w:rFonts w:ascii="Arial" w:hAnsi="Arial" w:cs="Arial"/>
          <w:b/>
          <w:bCs/>
          <w:sz w:val="20"/>
          <w:szCs w:val="20"/>
          <w:highlight w:val="yellow"/>
        </w:rPr>
      </w:pPr>
    </w:p>
    <w:p w14:paraId="412EBA6B"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8" w:name="_Toc344399647"/>
      <w:bookmarkStart w:id="89" w:name="_Toc348931374"/>
      <w:bookmarkStart w:id="90" w:name="_Toc153727206"/>
      <w:r w:rsidRPr="00B35A86">
        <w:rPr>
          <w:rFonts w:cs="Arial"/>
          <w:sz w:val="20"/>
        </w:rPr>
        <w:t>5.3.b.1 Comparaciones Indirectas publicadas</w:t>
      </w:r>
      <w:bookmarkEnd w:id="88"/>
      <w:bookmarkEnd w:id="89"/>
      <w:bookmarkEnd w:id="90"/>
    </w:p>
    <w:p w14:paraId="38B27D41" w14:textId="77777777" w:rsidR="00BC3E8E" w:rsidRPr="006F6ABB" w:rsidRDefault="00BC3E8E" w:rsidP="00BC3E8E">
      <w:pPr>
        <w:rPr>
          <w:rFonts w:ascii="Arial" w:hAnsi="Arial" w:cs="Arial"/>
          <w:b/>
          <w:bCs/>
          <w:color w:val="FF0000"/>
          <w:sz w:val="20"/>
          <w:szCs w:val="20"/>
        </w:rPr>
      </w:pPr>
    </w:p>
    <w:p w14:paraId="327BED0C" w14:textId="77777777" w:rsidR="00BC3E8E" w:rsidRPr="008853F7" w:rsidRDefault="00EE7350" w:rsidP="00BC3E8E">
      <w:pPr>
        <w:rPr>
          <w:rFonts w:ascii="Arial" w:hAnsi="Arial" w:cs="Arial"/>
          <w:sz w:val="20"/>
          <w:szCs w:val="20"/>
        </w:rPr>
      </w:pPr>
      <w:r w:rsidRPr="008853F7">
        <w:rPr>
          <w:rFonts w:ascii="Arial" w:hAnsi="Arial" w:cs="Arial"/>
          <w:sz w:val="20"/>
          <w:szCs w:val="20"/>
        </w:rPr>
        <w:t>No se encuentran</w:t>
      </w:r>
    </w:p>
    <w:p w14:paraId="5741B54F" w14:textId="77777777" w:rsidR="003D10E1" w:rsidRDefault="003D10E1" w:rsidP="00BC3E8E">
      <w:pPr>
        <w:rPr>
          <w:rFonts w:ascii="Arial" w:hAnsi="Arial" w:cs="Arial"/>
          <w:b/>
          <w:bCs/>
          <w:color w:val="FF0000"/>
          <w:sz w:val="20"/>
          <w:szCs w:val="20"/>
        </w:rPr>
      </w:pPr>
    </w:p>
    <w:p w14:paraId="0ED56A46" w14:textId="77777777" w:rsidR="003D10E1" w:rsidRPr="006F6ABB" w:rsidRDefault="003D10E1" w:rsidP="00BC3E8E">
      <w:pPr>
        <w:rPr>
          <w:rFonts w:ascii="Arial" w:hAnsi="Arial" w:cs="Arial"/>
          <w:b/>
          <w:bCs/>
          <w:color w:val="FF0000"/>
          <w:sz w:val="20"/>
          <w:szCs w:val="20"/>
        </w:rPr>
      </w:pPr>
    </w:p>
    <w:p w14:paraId="2C5AB95A"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1" w:name="_Toc344399648"/>
      <w:bookmarkStart w:id="92" w:name="_Toc348931375"/>
      <w:bookmarkStart w:id="93" w:name="_Toc153727207"/>
      <w:r w:rsidRPr="00B35A86">
        <w:rPr>
          <w:rFonts w:cs="Arial"/>
          <w:sz w:val="20"/>
        </w:rPr>
        <w:t>5.3.b.2 Comparaciones indirectas de elaboración propia</w:t>
      </w:r>
      <w:bookmarkEnd w:id="91"/>
      <w:bookmarkEnd w:id="92"/>
      <w:bookmarkEnd w:id="93"/>
    </w:p>
    <w:p w14:paraId="2F8574D5" w14:textId="77777777" w:rsidR="00BC3E8E" w:rsidRDefault="00BC3E8E" w:rsidP="00BC3E8E">
      <w:pPr>
        <w:rPr>
          <w:rFonts w:ascii="Arial" w:hAnsi="Arial" w:cs="Arial"/>
          <w:color w:val="FF0000"/>
          <w:sz w:val="20"/>
          <w:szCs w:val="20"/>
        </w:rPr>
      </w:pPr>
      <w:r w:rsidRPr="006F6ABB">
        <w:rPr>
          <w:rFonts w:ascii="Arial" w:hAnsi="Arial" w:cs="Arial"/>
          <w:color w:val="FF0000"/>
          <w:sz w:val="20"/>
          <w:szCs w:val="20"/>
        </w:rPr>
        <w:t xml:space="preserve">   </w:t>
      </w:r>
    </w:p>
    <w:p w14:paraId="2DDFDFA1" w14:textId="2365B8BE" w:rsidR="003651D4" w:rsidRPr="006E4A51" w:rsidRDefault="001A0EA8" w:rsidP="005B5564">
      <w:pPr>
        <w:jc w:val="both"/>
        <w:rPr>
          <w:rFonts w:ascii="Arial" w:hAnsi="Arial" w:cs="Arial"/>
          <w:bCs/>
          <w:sz w:val="20"/>
          <w:szCs w:val="20"/>
        </w:rPr>
      </w:pPr>
      <w:r w:rsidRPr="006E4A51">
        <w:rPr>
          <w:rFonts w:ascii="Arial" w:hAnsi="Arial" w:cs="Arial"/>
          <w:bCs/>
          <w:sz w:val="20"/>
          <w:szCs w:val="20"/>
        </w:rPr>
        <w:t xml:space="preserve">En estos momentos, se dispone de 3 combinaciones de fármacos iPARP/ antiandrógeno de nueva generación para el tratamiento de CPRCm en pacientes sin tratamiento sistémico previo para </w:t>
      </w:r>
      <w:r w:rsidR="003D403B" w:rsidRPr="006E4A51">
        <w:rPr>
          <w:rFonts w:ascii="Arial" w:hAnsi="Arial" w:cs="Arial"/>
          <w:bCs/>
          <w:sz w:val="20"/>
          <w:szCs w:val="20"/>
        </w:rPr>
        <w:t>la enfermedad</w:t>
      </w:r>
      <w:r w:rsidRPr="006E4A51">
        <w:rPr>
          <w:rFonts w:ascii="Arial" w:hAnsi="Arial" w:cs="Arial"/>
          <w:bCs/>
          <w:sz w:val="20"/>
          <w:szCs w:val="20"/>
        </w:rPr>
        <w:t xml:space="preserve"> metastásic</w:t>
      </w:r>
      <w:r w:rsidR="003D403B" w:rsidRPr="006E4A51">
        <w:rPr>
          <w:rFonts w:ascii="Arial" w:hAnsi="Arial" w:cs="Arial"/>
          <w:bCs/>
          <w:sz w:val="20"/>
          <w:szCs w:val="20"/>
        </w:rPr>
        <w:t>a</w:t>
      </w:r>
      <w:r w:rsidRPr="006E4A51">
        <w:rPr>
          <w:rFonts w:ascii="Arial" w:hAnsi="Arial" w:cs="Arial"/>
          <w:bCs/>
          <w:sz w:val="20"/>
          <w:szCs w:val="20"/>
        </w:rPr>
        <w:t xml:space="preserve"> resistente a la castración</w:t>
      </w:r>
      <w:r w:rsidR="003D403B" w:rsidRPr="006E4A51">
        <w:rPr>
          <w:rFonts w:ascii="Arial" w:hAnsi="Arial" w:cs="Arial"/>
          <w:bCs/>
          <w:sz w:val="20"/>
          <w:szCs w:val="20"/>
        </w:rPr>
        <w:t>:</w:t>
      </w:r>
    </w:p>
    <w:p w14:paraId="0092EB93" w14:textId="77777777" w:rsidR="003651D4" w:rsidRPr="006E4A51" w:rsidRDefault="003651D4" w:rsidP="005B5564">
      <w:pPr>
        <w:jc w:val="both"/>
        <w:rPr>
          <w:rFonts w:ascii="Arial" w:hAnsi="Arial" w:cs="Arial"/>
          <w:bCs/>
          <w:sz w:val="20"/>
          <w:szCs w:val="20"/>
        </w:rPr>
      </w:pPr>
    </w:p>
    <w:p w14:paraId="1F640FD7" w14:textId="7BC18F14" w:rsidR="003651D4" w:rsidRPr="006E4A51" w:rsidRDefault="001A0EA8" w:rsidP="005B5564">
      <w:pPr>
        <w:numPr>
          <w:ilvl w:val="1"/>
          <w:numId w:val="13"/>
        </w:numPr>
        <w:jc w:val="both"/>
        <w:rPr>
          <w:rFonts w:ascii="Arial" w:hAnsi="Arial" w:cs="Arial"/>
          <w:sz w:val="20"/>
          <w:szCs w:val="22"/>
        </w:rPr>
      </w:pPr>
      <w:r w:rsidRPr="006E4A51">
        <w:rPr>
          <w:rFonts w:ascii="Arial" w:hAnsi="Arial" w:cs="Arial"/>
          <w:sz w:val="20"/>
          <w:szCs w:val="22"/>
        </w:rPr>
        <w:t>Niraparib/abiraterona: con indicación aprobada para pacientes con mutación en BRCA 1-2</w:t>
      </w:r>
      <w:r w:rsidR="003D403B" w:rsidRPr="006E4A51">
        <w:rPr>
          <w:rFonts w:ascii="Arial" w:hAnsi="Arial" w:cs="Arial"/>
          <w:sz w:val="20"/>
          <w:szCs w:val="22"/>
        </w:rPr>
        <w:t xml:space="preserve"> en los que la quimioterapia no está indicada</w:t>
      </w:r>
      <w:r w:rsidR="00807DE7" w:rsidRPr="006E4A51">
        <w:rPr>
          <w:rFonts w:ascii="Arial" w:hAnsi="Arial" w:cs="Arial"/>
          <w:sz w:val="20"/>
          <w:szCs w:val="22"/>
        </w:rPr>
        <w:t>.</w:t>
      </w:r>
    </w:p>
    <w:p w14:paraId="5CC06FBD" w14:textId="1DEF7E32" w:rsidR="003651D4" w:rsidRPr="006E4A51" w:rsidRDefault="001A0EA8" w:rsidP="005B5564">
      <w:pPr>
        <w:numPr>
          <w:ilvl w:val="1"/>
          <w:numId w:val="13"/>
        </w:numPr>
        <w:jc w:val="both"/>
        <w:rPr>
          <w:rFonts w:ascii="Arial" w:hAnsi="Arial" w:cs="Arial"/>
          <w:sz w:val="20"/>
          <w:szCs w:val="22"/>
        </w:rPr>
      </w:pPr>
      <w:r w:rsidRPr="006E4A51">
        <w:rPr>
          <w:rFonts w:ascii="Arial" w:hAnsi="Arial" w:cs="Arial"/>
          <w:sz w:val="20"/>
          <w:szCs w:val="22"/>
        </w:rPr>
        <w:t>Olaparib/abiraterona: con indicación aprobada para pacientes con CPRCm en los que la quimioterapia no está indicada</w:t>
      </w:r>
      <w:r w:rsidR="004F6767" w:rsidRPr="006E4A51">
        <w:rPr>
          <w:rFonts w:ascii="Arial" w:hAnsi="Arial" w:cs="Arial"/>
          <w:sz w:val="20"/>
          <w:szCs w:val="22"/>
        </w:rPr>
        <w:t xml:space="preserve"> (EMA) o población </w:t>
      </w:r>
      <w:r w:rsidR="009B25C4" w:rsidRPr="006E4A51">
        <w:rPr>
          <w:rFonts w:ascii="Arial" w:hAnsi="Arial" w:cs="Arial"/>
          <w:sz w:val="20"/>
          <w:szCs w:val="22"/>
        </w:rPr>
        <w:t xml:space="preserve">de </w:t>
      </w:r>
      <w:r w:rsidR="004F6767" w:rsidRPr="006E4A51">
        <w:rPr>
          <w:rFonts w:ascii="Arial" w:hAnsi="Arial" w:cs="Arial"/>
          <w:sz w:val="20"/>
          <w:szCs w:val="22"/>
        </w:rPr>
        <w:t>pacientes BRCA+ (FDA)</w:t>
      </w:r>
    </w:p>
    <w:p w14:paraId="5D8B99AF" w14:textId="0D1B1930" w:rsidR="003651D4" w:rsidRPr="006E4A51" w:rsidRDefault="001A0EA8" w:rsidP="005B5564">
      <w:pPr>
        <w:numPr>
          <w:ilvl w:val="1"/>
          <w:numId w:val="13"/>
        </w:numPr>
        <w:jc w:val="both"/>
        <w:rPr>
          <w:rFonts w:ascii="Arial" w:hAnsi="Arial" w:cs="Arial"/>
          <w:sz w:val="20"/>
          <w:szCs w:val="20"/>
        </w:rPr>
      </w:pPr>
      <w:r w:rsidRPr="006E4A51">
        <w:rPr>
          <w:rFonts w:ascii="Arial" w:hAnsi="Arial" w:cs="Arial"/>
          <w:sz w:val="20"/>
          <w:szCs w:val="20"/>
        </w:rPr>
        <w:t>Talazoparib/enzalutamida: pendiente de aprobación para pacientes con CPRCm</w:t>
      </w:r>
      <w:r w:rsidR="00687B7B" w:rsidRPr="006E4A51">
        <w:rPr>
          <w:rFonts w:ascii="Arial" w:hAnsi="Arial" w:cs="Arial"/>
          <w:sz w:val="20"/>
          <w:szCs w:val="20"/>
        </w:rPr>
        <w:t>.</w:t>
      </w:r>
    </w:p>
    <w:p w14:paraId="5A7B7AF8" w14:textId="77777777" w:rsidR="00687B7B" w:rsidRPr="006E4A51" w:rsidRDefault="00687B7B" w:rsidP="00687B7B">
      <w:pPr>
        <w:ind w:left="1440"/>
        <w:jc w:val="both"/>
        <w:rPr>
          <w:rFonts w:ascii="Arial" w:hAnsi="Arial" w:cs="Arial"/>
          <w:sz w:val="20"/>
          <w:szCs w:val="20"/>
        </w:rPr>
      </w:pPr>
    </w:p>
    <w:p w14:paraId="73CFE9BE" w14:textId="0250995D" w:rsidR="004F6767" w:rsidRPr="006E4A51" w:rsidRDefault="004F6767" w:rsidP="004F6767">
      <w:pPr>
        <w:autoSpaceDE w:val="0"/>
        <w:autoSpaceDN w:val="0"/>
        <w:adjustRightInd w:val="0"/>
        <w:jc w:val="both"/>
        <w:rPr>
          <w:rFonts w:ascii="Arial" w:hAnsi="Arial" w:cs="Arial"/>
          <w:bCs/>
          <w:sz w:val="22"/>
          <w:szCs w:val="20"/>
        </w:rPr>
      </w:pPr>
      <w:r w:rsidRPr="006E4A51">
        <w:rPr>
          <w:rFonts w:ascii="Arial" w:hAnsi="Arial" w:cs="Arial"/>
          <w:bCs/>
          <w:sz w:val="22"/>
          <w:szCs w:val="20"/>
        </w:rPr>
        <w:t>En este escenario, CPRCm 1º línea, la combinación olaparib/abiraterona, con mecanismo de acción similar, se ha estudiado en el estudio PROpel (2</w:t>
      </w:r>
      <w:r w:rsidR="005B099C" w:rsidRPr="006E4A51">
        <w:rPr>
          <w:rFonts w:ascii="Arial" w:hAnsi="Arial" w:cs="Arial"/>
          <w:bCs/>
          <w:sz w:val="22"/>
          <w:szCs w:val="20"/>
        </w:rPr>
        <w:t>8</w:t>
      </w:r>
      <w:r w:rsidRPr="006E4A51">
        <w:rPr>
          <w:rFonts w:ascii="Arial" w:hAnsi="Arial" w:cs="Arial"/>
          <w:bCs/>
          <w:sz w:val="22"/>
          <w:szCs w:val="20"/>
        </w:rPr>
        <w:t>). En las características de los tratamientos previos de los pacientes, comparado con el estudio M</w:t>
      </w:r>
      <w:r w:rsidR="00687B7B" w:rsidRPr="006E4A51">
        <w:rPr>
          <w:rFonts w:ascii="Arial" w:hAnsi="Arial" w:cs="Arial"/>
          <w:bCs/>
          <w:sz w:val="22"/>
          <w:szCs w:val="20"/>
        </w:rPr>
        <w:t>a</w:t>
      </w:r>
      <w:r w:rsidRPr="006E4A51">
        <w:rPr>
          <w:rFonts w:ascii="Arial" w:hAnsi="Arial" w:cs="Arial"/>
          <w:bCs/>
          <w:sz w:val="22"/>
          <w:szCs w:val="20"/>
        </w:rPr>
        <w:t>gnitude de niraparib</w:t>
      </w:r>
      <w:r w:rsidR="00F515E7" w:rsidRPr="006E4A51">
        <w:rPr>
          <w:rFonts w:ascii="Arial" w:hAnsi="Arial" w:cs="Arial"/>
          <w:bCs/>
          <w:sz w:val="22"/>
          <w:szCs w:val="20"/>
        </w:rPr>
        <w:t>/</w:t>
      </w:r>
      <w:r w:rsidRPr="006E4A51">
        <w:rPr>
          <w:rFonts w:ascii="Arial" w:hAnsi="Arial" w:cs="Arial"/>
          <w:bCs/>
          <w:sz w:val="22"/>
          <w:szCs w:val="20"/>
        </w:rPr>
        <w:t xml:space="preserve">abiraterona, el porcentaje de pacientes tratados con docetaxel </w:t>
      </w:r>
      <w:r w:rsidR="00687B7B" w:rsidRPr="006E4A51">
        <w:rPr>
          <w:rFonts w:ascii="Arial" w:hAnsi="Arial" w:cs="Arial"/>
          <w:bCs/>
          <w:sz w:val="22"/>
          <w:szCs w:val="20"/>
        </w:rPr>
        <w:t>en la enfermedad no metastásica o hormonosensible</w:t>
      </w:r>
      <w:r w:rsidRPr="006E4A51">
        <w:rPr>
          <w:rFonts w:ascii="Arial" w:hAnsi="Arial" w:cs="Arial"/>
          <w:bCs/>
          <w:sz w:val="22"/>
          <w:szCs w:val="20"/>
        </w:rPr>
        <w:t xml:space="preserve"> fue similar (aproximadamente un 25%) y no se incluyeron pacientes tratados </w:t>
      </w:r>
      <w:r w:rsidR="00F515E7" w:rsidRPr="006E4A51">
        <w:rPr>
          <w:rFonts w:ascii="Arial" w:hAnsi="Arial" w:cs="Arial"/>
          <w:bCs/>
          <w:sz w:val="22"/>
          <w:szCs w:val="20"/>
        </w:rPr>
        <w:t>previamente</w:t>
      </w:r>
      <w:r w:rsidRPr="006E4A51">
        <w:rPr>
          <w:rFonts w:ascii="Arial" w:hAnsi="Arial" w:cs="Arial"/>
          <w:bCs/>
          <w:sz w:val="22"/>
          <w:szCs w:val="20"/>
        </w:rPr>
        <w:t xml:space="preserve"> con terapia hormonal de nueva generación. Una de las principales diferencias entre ambos estudios es la población incluida en relación al estado de mutación HRR. Mientras que el estudio de niraparib/abiraterona se estudió finalmente solo en la cohorte HRR+</w:t>
      </w:r>
      <w:r w:rsidR="00687B7B" w:rsidRPr="006E4A51">
        <w:rPr>
          <w:rFonts w:ascii="Arial" w:hAnsi="Arial" w:cs="Arial"/>
          <w:bCs/>
          <w:sz w:val="22"/>
          <w:szCs w:val="20"/>
        </w:rPr>
        <w:t xml:space="preserve"> por falta de eficacia demostrada en población HRR-</w:t>
      </w:r>
      <w:r w:rsidRPr="006E4A51">
        <w:rPr>
          <w:rFonts w:ascii="Arial" w:hAnsi="Arial" w:cs="Arial"/>
          <w:bCs/>
          <w:sz w:val="22"/>
          <w:szCs w:val="20"/>
        </w:rPr>
        <w:t xml:space="preserve">, siendo </w:t>
      </w:r>
      <w:r w:rsidR="00687B7B" w:rsidRPr="006E4A51">
        <w:rPr>
          <w:rFonts w:ascii="Arial" w:hAnsi="Arial" w:cs="Arial"/>
          <w:bCs/>
          <w:sz w:val="22"/>
          <w:szCs w:val="20"/>
        </w:rPr>
        <w:t xml:space="preserve">en dicha población HRR+ correspondiente a mutación BRCA 1/2 </w:t>
      </w:r>
      <w:r w:rsidRPr="006E4A51">
        <w:rPr>
          <w:rFonts w:ascii="Arial" w:hAnsi="Arial" w:cs="Arial"/>
          <w:bCs/>
          <w:sz w:val="22"/>
          <w:szCs w:val="20"/>
        </w:rPr>
        <w:t>aproximadamente el 50</w:t>
      </w:r>
      <w:r w:rsidR="00687B7B" w:rsidRPr="006E4A51">
        <w:rPr>
          <w:rFonts w:ascii="Arial" w:hAnsi="Arial" w:cs="Arial"/>
          <w:bCs/>
          <w:sz w:val="22"/>
          <w:szCs w:val="20"/>
        </w:rPr>
        <w:t>%</w:t>
      </w:r>
      <w:r w:rsidRPr="006E4A51">
        <w:rPr>
          <w:rFonts w:ascii="Arial" w:hAnsi="Arial" w:cs="Arial"/>
          <w:bCs/>
          <w:sz w:val="22"/>
          <w:szCs w:val="20"/>
        </w:rPr>
        <w:t xml:space="preserve">, </w:t>
      </w:r>
      <w:r w:rsidR="00687B7B" w:rsidRPr="006E4A51">
        <w:rPr>
          <w:rFonts w:ascii="Arial" w:hAnsi="Arial" w:cs="Arial"/>
          <w:bCs/>
          <w:sz w:val="22"/>
          <w:szCs w:val="20"/>
        </w:rPr>
        <w:t xml:space="preserve">el estudio PROpel de </w:t>
      </w:r>
      <w:r w:rsidRPr="006E4A51">
        <w:rPr>
          <w:rFonts w:ascii="Arial" w:hAnsi="Arial" w:cs="Arial"/>
          <w:bCs/>
          <w:sz w:val="22"/>
          <w:szCs w:val="20"/>
        </w:rPr>
        <w:t xml:space="preserve">olaparib/abiraterona incluyó a pacientes independientemente del estado de mutación HRR, </w:t>
      </w:r>
      <w:r w:rsidR="009B25C4" w:rsidRPr="006E4A51">
        <w:rPr>
          <w:rFonts w:ascii="Arial" w:hAnsi="Arial" w:cs="Arial"/>
          <w:bCs/>
          <w:sz w:val="22"/>
          <w:szCs w:val="20"/>
        </w:rPr>
        <w:t>realizando</w:t>
      </w:r>
      <w:r w:rsidRPr="006E4A51">
        <w:rPr>
          <w:rFonts w:ascii="Arial" w:hAnsi="Arial" w:cs="Arial"/>
          <w:bCs/>
          <w:sz w:val="22"/>
          <w:szCs w:val="20"/>
        </w:rPr>
        <w:t xml:space="preserve"> un análisis post-hoc</w:t>
      </w:r>
      <w:r w:rsidR="00687B7B" w:rsidRPr="006E4A51">
        <w:rPr>
          <w:rFonts w:ascii="Arial" w:hAnsi="Arial" w:cs="Arial"/>
          <w:bCs/>
          <w:sz w:val="22"/>
          <w:szCs w:val="20"/>
        </w:rPr>
        <w:t xml:space="preserve"> no preespecificado </w:t>
      </w:r>
      <w:r w:rsidRPr="006E4A51">
        <w:rPr>
          <w:rFonts w:ascii="Arial" w:hAnsi="Arial" w:cs="Arial"/>
          <w:bCs/>
          <w:sz w:val="22"/>
          <w:szCs w:val="20"/>
        </w:rPr>
        <w:t xml:space="preserve">en dicha población con mutación con HRR+ así como </w:t>
      </w:r>
      <w:r w:rsidR="009B25C4" w:rsidRPr="006E4A51">
        <w:rPr>
          <w:rFonts w:ascii="Arial" w:hAnsi="Arial" w:cs="Arial"/>
          <w:bCs/>
          <w:sz w:val="22"/>
          <w:szCs w:val="20"/>
        </w:rPr>
        <w:t xml:space="preserve">en población </w:t>
      </w:r>
      <w:r w:rsidRPr="006E4A51">
        <w:rPr>
          <w:rFonts w:ascii="Arial" w:hAnsi="Arial" w:cs="Arial"/>
          <w:bCs/>
          <w:sz w:val="22"/>
          <w:szCs w:val="20"/>
        </w:rPr>
        <w:t xml:space="preserve">BRCA 1/2. El 72% de los pacientes incluidos en el estudio PROpel no presentaba mutación HRR, siendo la población BRCAm correspondiente al 10-12% del estudio. </w:t>
      </w:r>
      <w:r w:rsidR="00687B7B" w:rsidRPr="006E4A51">
        <w:rPr>
          <w:rFonts w:ascii="Arial" w:hAnsi="Arial" w:cs="Arial"/>
          <w:bCs/>
          <w:sz w:val="22"/>
          <w:szCs w:val="20"/>
        </w:rPr>
        <w:t>Los datos de eficacia de olaparib/abiraterona muestran un aumento estadísticamente significativo en su</w:t>
      </w:r>
      <w:r w:rsidR="009B25C4" w:rsidRPr="006E4A51">
        <w:rPr>
          <w:rFonts w:ascii="Arial" w:hAnsi="Arial" w:cs="Arial"/>
          <w:bCs/>
          <w:sz w:val="22"/>
          <w:szCs w:val="20"/>
        </w:rPr>
        <w:t xml:space="preserve"> variable principal, SLPr, </w:t>
      </w:r>
      <w:r w:rsidRPr="006E4A51">
        <w:rPr>
          <w:rFonts w:ascii="Arial" w:hAnsi="Arial" w:cs="Arial"/>
          <w:bCs/>
          <w:sz w:val="22"/>
          <w:szCs w:val="20"/>
        </w:rPr>
        <w:t xml:space="preserve">frente a abiraterona monoterapia. En relación a la SG en la población general, no se </w:t>
      </w:r>
      <w:r w:rsidR="009B25C4" w:rsidRPr="006E4A51">
        <w:rPr>
          <w:rFonts w:ascii="Arial" w:hAnsi="Arial" w:cs="Arial"/>
          <w:bCs/>
          <w:sz w:val="22"/>
          <w:szCs w:val="20"/>
        </w:rPr>
        <w:t>encontraron</w:t>
      </w:r>
      <w:r w:rsidRPr="006E4A51">
        <w:rPr>
          <w:rFonts w:ascii="Arial" w:hAnsi="Arial" w:cs="Arial"/>
          <w:bCs/>
          <w:sz w:val="22"/>
          <w:szCs w:val="20"/>
        </w:rPr>
        <w:t xml:space="preserve"> diferencias estadísticamente significativas entre ambos tratamientos. S</w:t>
      </w:r>
      <w:r w:rsidR="00B36BB1" w:rsidRPr="006E4A51">
        <w:rPr>
          <w:rFonts w:ascii="Arial" w:hAnsi="Arial" w:cs="Arial"/>
          <w:bCs/>
          <w:sz w:val="22"/>
          <w:szCs w:val="20"/>
        </w:rPr>
        <w:t>i</w:t>
      </w:r>
      <w:r w:rsidRPr="006E4A51">
        <w:rPr>
          <w:rFonts w:ascii="Arial" w:hAnsi="Arial" w:cs="Arial"/>
          <w:bCs/>
          <w:sz w:val="22"/>
          <w:szCs w:val="20"/>
        </w:rPr>
        <w:t xml:space="preserve"> bien, </w:t>
      </w:r>
      <w:r w:rsidR="00B36BB1" w:rsidRPr="006E4A51">
        <w:rPr>
          <w:rFonts w:ascii="Arial" w:hAnsi="Arial" w:cs="Arial"/>
          <w:bCs/>
          <w:sz w:val="22"/>
          <w:szCs w:val="20"/>
        </w:rPr>
        <w:t>en el análisis</w:t>
      </w:r>
      <w:r w:rsidRPr="006E4A51">
        <w:rPr>
          <w:rFonts w:ascii="Arial" w:hAnsi="Arial" w:cs="Arial"/>
          <w:bCs/>
          <w:sz w:val="22"/>
          <w:szCs w:val="20"/>
        </w:rPr>
        <w:t xml:space="preserve"> por subgrupos, en la población HRR+ present</w:t>
      </w:r>
      <w:r w:rsidR="009B25C4" w:rsidRPr="006E4A51">
        <w:rPr>
          <w:rFonts w:ascii="Arial" w:hAnsi="Arial" w:cs="Arial"/>
          <w:bCs/>
          <w:sz w:val="22"/>
          <w:szCs w:val="20"/>
        </w:rPr>
        <w:t>ó</w:t>
      </w:r>
      <w:r w:rsidRPr="006E4A51">
        <w:rPr>
          <w:rFonts w:ascii="Arial" w:hAnsi="Arial" w:cs="Arial"/>
          <w:bCs/>
          <w:sz w:val="22"/>
          <w:szCs w:val="20"/>
        </w:rPr>
        <w:t xml:space="preserve"> un beneficio estadísticamente significativo</w:t>
      </w:r>
      <w:r w:rsidR="00687B7B" w:rsidRPr="006E4A51">
        <w:rPr>
          <w:rFonts w:ascii="Arial" w:hAnsi="Arial" w:cs="Arial"/>
          <w:bCs/>
          <w:sz w:val="22"/>
          <w:szCs w:val="20"/>
        </w:rPr>
        <w:t xml:space="preserve">, </w:t>
      </w:r>
      <w:r w:rsidRPr="006E4A51">
        <w:rPr>
          <w:rFonts w:ascii="Arial" w:hAnsi="Arial" w:cs="Arial"/>
          <w:bCs/>
          <w:sz w:val="22"/>
          <w:szCs w:val="20"/>
        </w:rPr>
        <w:t>HR: 0,66 (</w:t>
      </w:r>
      <w:r w:rsidR="00687B7B" w:rsidRPr="006E4A51">
        <w:rPr>
          <w:rFonts w:ascii="Arial" w:hAnsi="Arial" w:cs="Arial"/>
          <w:bCs/>
          <w:sz w:val="22"/>
          <w:szCs w:val="20"/>
        </w:rPr>
        <w:t xml:space="preserve">IC95% </w:t>
      </w:r>
      <w:r w:rsidRPr="006E4A51">
        <w:rPr>
          <w:rFonts w:ascii="Arial" w:hAnsi="Arial" w:cs="Arial"/>
          <w:bCs/>
          <w:sz w:val="22"/>
          <w:szCs w:val="20"/>
        </w:rPr>
        <w:t>0,45-0,95</w:t>
      </w:r>
      <w:r w:rsidR="00687B7B" w:rsidRPr="006E4A51">
        <w:rPr>
          <w:rFonts w:ascii="Arial" w:hAnsi="Arial" w:cs="Arial"/>
          <w:bCs/>
          <w:sz w:val="22"/>
          <w:szCs w:val="20"/>
        </w:rPr>
        <w:t>),</w:t>
      </w:r>
      <w:r w:rsidRPr="006E4A51">
        <w:rPr>
          <w:rFonts w:ascii="Arial" w:hAnsi="Arial" w:cs="Arial"/>
          <w:bCs/>
          <w:sz w:val="22"/>
          <w:szCs w:val="20"/>
        </w:rPr>
        <w:t xml:space="preserve"> siendo la mayor ganancia para el subgrupo BRCAm </w:t>
      </w:r>
      <w:r w:rsidR="00687B7B" w:rsidRPr="006E4A51">
        <w:rPr>
          <w:rFonts w:ascii="Arial" w:hAnsi="Arial" w:cs="Arial"/>
          <w:bCs/>
          <w:sz w:val="22"/>
          <w:szCs w:val="20"/>
        </w:rPr>
        <w:t xml:space="preserve">con un </w:t>
      </w:r>
      <w:r w:rsidRPr="006E4A51">
        <w:rPr>
          <w:rFonts w:ascii="Arial" w:hAnsi="Arial" w:cs="Arial"/>
          <w:bCs/>
          <w:sz w:val="22"/>
          <w:szCs w:val="20"/>
        </w:rPr>
        <w:t>HR: 0,29 (</w:t>
      </w:r>
      <w:r w:rsidR="00687B7B" w:rsidRPr="006E4A51">
        <w:rPr>
          <w:rFonts w:ascii="Arial" w:hAnsi="Arial" w:cs="Arial"/>
          <w:bCs/>
          <w:sz w:val="22"/>
          <w:szCs w:val="20"/>
        </w:rPr>
        <w:t xml:space="preserve">IC95% </w:t>
      </w:r>
      <w:r w:rsidRPr="006E4A51">
        <w:rPr>
          <w:rFonts w:ascii="Arial" w:hAnsi="Arial" w:cs="Arial"/>
          <w:bCs/>
          <w:sz w:val="22"/>
          <w:szCs w:val="20"/>
        </w:rPr>
        <w:t>0,14-0,56)</w:t>
      </w:r>
      <w:r w:rsidR="005B099C" w:rsidRPr="006E4A51">
        <w:rPr>
          <w:rFonts w:ascii="Arial" w:hAnsi="Arial" w:cs="Arial"/>
          <w:bCs/>
          <w:sz w:val="22"/>
          <w:szCs w:val="20"/>
        </w:rPr>
        <w:t xml:space="preserve"> (29).</w:t>
      </w:r>
    </w:p>
    <w:p w14:paraId="72386498" w14:textId="6727919F" w:rsidR="000966BB" w:rsidRPr="006E4A51" w:rsidRDefault="009C6417" w:rsidP="005B5564">
      <w:pPr>
        <w:jc w:val="both"/>
        <w:rPr>
          <w:rFonts w:ascii="Arial" w:hAnsi="Arial" w:cs="Arial"/>
          <w:sz w:val="20"/>
          <w:szCs w:val="20"/>
        </w:rPr>
      </w:pPr>
      <w:r w:rsidRPr="006E4A51">
        <w:rPr>
          <w:rFonts w:ascii="Arial" w:hAnsi="Arial" w:cs="Arial"/>
          <w:noProof/>
          <w:sz w:val="20"/>
          <w:szCs w:val="20"/>
        </w:rPr>
        <w:drawing>
          <wp:inline distT="0" distB="0" distL="0" distR="0" wp14:anchorId="7BD5D94F" wp14:editId="4446651E">
            <wp:extent cx="5549900" cy="1670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00" cy="1670050"/>
                    </a:xfrm>
                    <a:prstGeom prst="rect">
                      <a:avLst/>
                    </a:prstGeom>
                    <a:noFill/>
                    <a:ln>
                      <a:noFill/>
                    </a:ln>
                  </pic:spPr>
                </pic:pic>
              </a:graphicData>
            </a:graphic>
          </wp:inline>
        </w:drawing>
      </w:r>
    </w:p>
    <w:p w14:paraId="581F4075" w14:textId="1B31B34C" w:rsidR="001E2C32" w:rsidRPr="006E4A51" w:rsidRDefault="001E2C32" w:rsidP="001E2C32">
      <w:pPr>
        <w:autoSpaceDE w:val="0"/>
        <w:autoSpaceDN w:val="0"/>
        <w:adjustRightInd w:val="0"/>
        <w:jc w:val="both"/>
        <w:rPr>
          <w:rFonts w:ascii="Arial" w:hAnsi="Arial" w:cs="Arial"/>
          <w:bCs/>
          <w:sz w:val="20"/>
          <w:szCs w:val="20"/>
        </w:rPr>
      </w:pPr>
      <w:r w:rsidRPr="006E4A51">
        <w:rPr>
          <w:rFonts w:ascii="Arial" w:hAnsi="Arial" w:cs="Arial"/>
          <w:bCs/>
          <w:sz w:val="20"/>
          <w:szCs w:val="20"/>
        </w:rPr>
        <w:t>Una importante limitación del estudio es que el análisis de este subgrupo no estaba preespecificado. Esto supone una importante limitación en el diseño del estudio PROpel, especialmente teniendo en cuenta el resultado de olaparib en monoterapia en el estudio PROfound donde el mayor beneficio encontrado fue en la poblaci</w:t>
      </w:r>
      <w:r w:rsidR="006E4A51" w:rsidRPr="006E4A51">
        <w:rPr>
          <w:rFonts w:ascii="Arial" w:hAnsi="Arial" w:cs="Arial"/>
          <w:bCs/>
          <w:sz w:val="20"/>
          <w:szCs w:val="20"/>
        </w:rPr>
        <w:t xml:space="preserve">ón BRCAm. Existiendo por tanto </w:t>
      </w:r>
      <w:r w:rsidRPr="006E4A51">
        <w:rPr>
          <w:rFonts w:ascii="Arial" w:hAnsi="Arial" w:cs="Arial"/>
          <w:bCs/>
          <w:sz w:val="20"/>
          <w:szCs w:val="20"/>
        </w:rPr>
        <w:t xml:space="preserve">evidencia previa y plausabilidad biológica, este hecho supone un defecto en el diseño del estudio que genera incertidumbre del beneficio de olaparib/abiraterona en población no BRCAm. </w:t>
      </w:r>
      <w:r w:rsidR="006E4A51" w:rsidRPr="006E4A51">
        <w:rPr>
          <w:rFonts w:ascii="Arial" w:hAnsi="Arial" w:cs="Arial"/>
          <w:bCs/>
          <w:sz w:val="20"/>
          <w:szCs w:val="20"/>
        </w:rPr>
        <w:t>Además,</w:t>
      </w:r>
      <w:r w:rsidRPr="006E4A51">
        <w:rPr>
          <w:rFonts w:ascii="Arial" w:hAnsi="Arial" w:cs="Arial"/>
          <w:bCs/>
          <w:sz w:val="20"/>
          <w:szCs w:val="20"/>
        </w:rPr>
        <w:t xml:space="preserve"> se debe tener en cuenta que la población BRCAm incluida en el estudio PROpel suponía tan solo el 10-12% de la población total del estudio.</w:t>
      </w:r>
    </w:p>
    <w:p w14:paraId="0FE17A58" w14:textId="77777777" w:rsidR="001E2C32" w:rsidRPr="006E4A51" w:rsidRDefault="001E2C32" w:rsidP="005B5564">
      <w:pPr>
        <w:jc w:val="both"/>
        <w:rPr>
          <w:rFonts w:ascii="Arial" w:hAnsi="Arial" w:cs="Arial"/>
          <w:bCs/>
          <w:sz w:val="20"/>
          <w:szCs w:val="20"/>
        </w:rPr>
      </w:pPr>
    </w:p>
    <w:p w14:paraId="487548BC" w14:textId="3A4FF3B5" w:rsidR="00F515E7" w:rsidRPr="006E4A51" w:rsidRDefault="00687B7B" w:rsidP="000C21B1">
      <w:pPr>
        <w:jc w:val="both"/>
        <w:rPr>
          <w:rFonts w:ascii="Arial" w:hAnsi="Arial" w:cs="Arial"/>
          <w:bCs/>
          <w:sz w:val="20"/>
          <w:szCs w:val="20"/>
        </w:rPr>
      </w:pPr>
      <w:r w:rsidRPr="006E4A51">
        <w:rPr>
          <w:rFonts w:ascii="Arial" w:hAnsi="Arial" w:cs="Arial"/>
          <w:bCs/>
          <w:sz w:val="20"/>
          <w:szCs w:val="20"/>
        </w:rPr>
        <w:t>Por tanto, se encuentran en estos mo</w:t>
      </w:r>
      <w:r w:rsidR="001E2C32" w:rsidRPr="006E4A51">
        <w:rPr>
          <w:rFonts w:ascii="Arial" w:hAnsi="Arial" w:cs="Arial"/>
          <w:bCs/>
          <w:sz w:val="20"/>
          <w:szCs w:val="20"/>
        </w:rPr>
        <w:t>mentos dos combinaciones con beneficio demostrado en SLPr frente a un comparador común, abiraterona, pero con diferentes diseños de estudio. En estos momentos, s</w:t>
      </w:r>
      <w:r w:rsidR="00F515E7" w:rsidRPr="006E4A51">
        <w:rPr>
          <w:rFonts w:ascii="Arial" w:hAnsi="Arial" w:cs="Arial"/>
          <w:bCs/>
          <w:sz w:val="20"/>
          <w:szCs w:val="20"/>
        </w:rPr>
        <w:t xml:space="preserve">e carece de evidencia </w:t>
      </w:r>
      <w:r w:rsidR="001E2C32" w:rsidRPr="006E4A51">
        <w:rPr>
          <w:rFonts w:ascii="Arial" w:hAnsi="Arial" w:cs="Arial"/>
          <w:bCs/>
          <w:sz w:val="20"/>
          <w:szCs w:val="20"/>
        </w:rPr>
        <w:t>para poder determinar la</w:t>
      </w:r>
      <w:r w:rsidR="00F515E7" w:rsidRPr="006E4A51">
        <w:rPr>
          <w:rFonts w:ascii="Arial" w:hAnsi="Arial" w:cs="Arial"/>
          <w:bCs/>
          <w:sz w:val="20"/>
          <w:szCs w:val="20"/>
        </w:rPr>
        <w:t xml:space="preserve"> superioridad de una combinación sobre </w:t>
      </w:r>
      <w:r w:rsidR="006E4A51" w:rsidRPr="006E4A51">
        <w:rPr>
          <w:rFonts w:ascii="Arial" w:hAnsi="Arial" w:cs="Arial"/>
          <w:bCs/>
          <w:sz w:val="20"/>
          <w:szCs w:val="20"/>
        </w:rPr>
        <w:t>otra,</w:t>
      </w:r>
      <w:r w:rsidR="00F515E7" w:rsidRPr="006E4A51">
        <w:rPr>
          <w:rFonts w:ascii="Arial" w:hAnsi="Arial" w:cs="Arial"/>
          <w:bCs/>
          <w:sz w:val="20"/>
          <w:szCs w:val="20"/>
        </w:rPr>
        <w:t xml:space="preserve"> aunque en el subgrupo de pacientes BRCAm olaparib/abirater</w:t>
      </w:r>
      <w:r w:rsidR="001E2C32" w:rsidRPr="006E4A51">
        <w:rPr>
          <w:rFonts w:ascii="Arial" w:hAnsi="Arial" w:cs="Arial"/>
          <w:bCs/>
          <w:sz w:val="20"/>
          <w:szCs w:val="20"/>
        </w:rPr>
        <w:t>ona</w:t>
      </w:r>
      <w:r w:rsidR="00F515E7" w:rsidRPr="006E4A51">
        <w:rPr>
          <w:rFonts w:ascii="Arial" w:hAnsi="Arial" w:cs="Arial"/>
          <w:bCs/>
          <w:sz w:val="20"/>
          <w:szCs w:val="20"/>
        </w:rPr>
        <w:t xml:space="preserve"> ha mostrado ganancia de SG con </w:t>
      </w:r>
      <w:r w:rsidR="001E2C32" w:rsidRPr="006E4A51">
        <w:rPr>
          <w:rFonts w:ascii="Arial" w:hAnsi="Arial" w:cs="Arial"/>
          <w:bCs/>
          <w:sz w:val="20"/>
          <w:szCs w:val="20"/>
        </w:rPr>
        <w:t xml:space="preserve">las </w:t>
      </w:r>
      <w:r w:rsidR="00F515E7" w:rsidRPr="006E4A51">
        <w:rPr>
          <w:rFonts w:ascii="Arial" w:hAnsi="Arial" w:cs="Arial"/>
          <w:bCs/>
          <w:sz w:val="20"/>
          <w:szCs w:val="20"/>
        </w:rPr>
        <w:t xml:space="preserve">limitaciones en el diseño del estudio antes mencionadas mientras que niraparib/abiraterona de momento no ha logrado mostrar beneficio en SG. </w:t>
      </w:r>
    </w:p>
    <w:p w14:paraId="1735A7F9" w14:textId="77777777" w:rsidR="000543CF" w:rsidRPr="005B099C" w:rsidRDefault="000543CF" w:rsidP="005B5564">
      <w:pPr>
        <w:jc w:val="both"/>
        <w:rPr>
          <w:rFonts w:ascii="Calibri" w:hAnsi="Calibri" w:cs="Calibri"/>
          <w:bCs/>
          <w:sz w:val="22"/>
          <w:szCs w:val="20"/>
        </w:rPr>
      </w:pPr>
    </w:p>
    <w:p w14:paraId="0079BF1F"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4" w:name="_Toc344399649"/>
      <w:bookmarkStart w:id="95" w:name="_Toc348931376"/>
      <w:bookmarkStart w:id="96" w:name="_Toc153727208"/>
      <w:r w:rsidRPr="00B35A86">
        <w:rPr>
          <w:rFonts w:cs="Arial"/>
          <w:sz w:val="20"/>
        </w:rPr>
        <w:t>5.4 Evaluación de fuentes secundarias</w:t>
      </w:r>
      <w:bookmarkEnd w:id="94"/>
      <w:bookmarkEnd w:id="95"/>
      <w:bookmarkEnd w:id="96"/>
      <w:r w:rsidRPr="00B35A86">
        <w:rPr>
          <w:rFonts w:cs="Arial"/>
          <w:sz w:val="20"/>
        </w:rPr>
        <w:t xml:space="preserve"> </w:t>
      </w:r>
    </w:p>
    <w:p w14:paraId="59A5BC8F" w14:textId="77777777" w:rsidR="00BC3E8E" w:rsidRPr="006F6ABB" w:rsidRDefault="00BC3E8E" w:rsidP="00BC3E8E">
      <w:pPr>
        <w:jc w:val="both"/>
        <w:rPr>
          <w:rFonts w:ascii="Arial" w:hAnsi="Arial" w:cs="Arial"/>
          <w:b/>
          <w:bCs/>
          <w:color w:val="0000FF"/>
          <w:sz w:val="20"/>
          <w:szCs w:val="20"/>
          <w:lang w:val="es-ES_tradnl"/>
        </w:rPr>
      </w:pPr>
    </w:p>
    <w:p w14:paraId="463FB1E9"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7" w:name="_Toc348931377"/>
      <w:bookmarkStart w:id="98" w:name="_Toc153727209"/>
      <w:r w:rsidRPr="0071656E">
        <w:rPr>
          <w:rFonts w:cs="Arial"/>
          <w:sz w:val="20"/>
        </w:rPr>
        <w:t>5.4.1 Guías de Práctica clínica</w:t>
      </w:r>
      <w:bookmarkEnd w:id="97"/>
      <w:bookmarkEnd w:id="98"/>
      <w:r w:rsidRPr="006F6ABB">
        <w:rPr>
          <w:rFonts w:cs="Arial"/>
          <w:sz w:val="20"/>
        </w:rPr>
        <w:t xml:space="preserve"> </w:t>
      </w:r>
    </w:p>
    <w:p w14:paraId="138BAA9B" w14:textId="77777777" w:rsidR="00F515E7" w:rsidRDefault="00F515E7" w:rsidP="00BC3E8E">
      <w:pPr>
        <w:jc w:val="both"/>
        <w:rPr>
          <w:rFonts w:ascii="Arial" w:hAnsi="Arial" w:cs="Arial"/>
          <w:sz w:val="20"/>
          <w:szCs w:val="20"/>
        </w:rPr>
      </w:pPr>
    </w:p>
    <w:p w14:paraId="6840D7BD" w14:textId="3DB63E95" w:rsidR="00CB4CAD" w:rsidRPr="00F515E7" w:rsidRDefault="00CB4CAD" w:rsidP="00BC3E8E">
      <w:pPr>
        <w:jc w:val="both"/>
        <w:rPr>
          <w:rFonts w:ascii="Arial" w:hAnsi="Arial" w:cs="Arial"/>
          <w:sz w:val="20"/>
          <w:szCs w:val="20"/>
        </w:rPr>
      </w:pPr>
      <w:r w:rsidRPr="00F515E7">
        <w:rPr>
          <w:rFonts w:ascii="Arial" w:hAnsi="Arial" w:cs="Arial"/>
          <w:sz w:val="20"/>
          <w:szCs w:val="20"/>
        </w:rPr>
        <w:t>Los pacientes que progresan a CPRCm de CPHSm o CPRCnm disponen de diversos tratamientos</w:t>
      </w:r>
      <w:r w:rsidR="000603A2" w:rsidRPr="00F515E7">
        <w:rPr>
          <w:rFonts w:ascii="Arial" w:hAnsi="Arial" w:cs="Arial"/>
          <w:sz w:val="20"/>
          <w:szCs w:val="20"/>
        </w:rPr>
        <w:t xml:space="preserve"> sistémicos y la secuenciación de los mismos dependerá del paciente, así como de la enfermedad.</w:t>
      </w:r>
    </w:p>
    <w:p w14:paraId="18093E43" w14:textId="77777777" w:rsidR="00F515E7" w:rsidRDefault="00F515E7" w:rsidP="000603A2">
      <w:pPr>
        <w:jc w:val="both"/>
        <w:rPr>
          <w:rFonts w:ascii="Arial" w:hAnsi="Arial" w:cs="Arial"/>
          <w:bCs/>
          <w:sz w:val="20"/>
          <w:szCs w:val="20"/>
        </w:rPr>
      </w:pPr>
    </w:p>
    <w:p w14:paraId="4B54D3D7" w14:textId="701CB2EE" w:rsidR="000603A2" w:rsidRPr="002013E1" w:rsidRDefault="000603A2" w:rsidP="000603A2">
      <w:pPr>
        <w:jc w:val="both"/>
        <w:rPr>
          <w:rFonts w:ascii="Arial" w:hAnsi="Arial" w:cs="Arial"/>
          <w:bCs/>
          <w:sz w:val="20"/>
          <w:szCs w:val="20"/>
        </w:rPr>
      </w:pPr>
      <w:r w:rsidRPr="002013E1">
        <w:rPr>
          <w:rFonts w:ascii="Arial" w:hAnsi="Arial" w:cs="Arial"/>
          <w:bCs/>
          <w:sz w:val="20"/>
          <w:szCs w:val="20"/>
        </w:rPr>
        <w:t>Para el tratamiento del CPRCm, la ESMO recomienda lo siguiente (9):</w:t>
      </w:r>
    </w:p>
    <w:p w14:paraId="104FC96F" w14:textId="77777777" w:rsidR="000603A2" w:rsidRPr="002013E1" w:rsidRDefault="000603A2" w:rsidP="000603A2">
      <w:pPr>
        <w:numPr>
          <w:ilvl w:val="1"/>
          <w:numId w:val="13"/>
        </w:numPr>
        <w:jc w:val="both"/>
        <w:rPr>
          <w:rFonts w:ascii="Arial" w:hAnsi="Arial" w:cs="Arial"/>
          <w:bCs/>
          <w:sz w:val="20"/>
          <w:szCs w:val="20"/>
        </w:rPr>
      </w:pPr>
      <w:r w:rsidRPr="002013E1">
        <w:rPr>
          <w:rFonts w:ascii="Arial" w:hAnsi="Arial" w:cs="Arial"/>
          <w:bCs/>
          <w:sz w:val="20"/>
          <w:szCs w:val="20"/>
        </w:rPr>
        <w:t>Abiraterona o enzalutamida (puntuación ESMO-MCBS v1.1</w:t>
      </w:r>
      <w:r>
        <w:rPr>
          <w:rFonts w:ascii="Arial" w:hAnsi="Arial" w:cs="Arial"/>
          <w:bCs/>
          <w:sz w:val="20"/>
          <w:szCs w:val="20"/>
        </w:rPr>
        <w:t>=</w:t>
      </w:r>
      <w:r w:rsidRPr="002013E1">
        <w:rPr>
          <w:rFonts w:ascii="Arial" w:hAnsi="Arial" w:cs="Arial"/>
          <w:bCs/>
          <w:sz w:val="20"/>
          <w:szCs w:val="20"/>
        </w:rPr>
        <w:t>4) para hombres asintomáticos o ligeramente sintomáticos con CPRCm sin QT (I,A)</w:t>
      </w:r>
    </w:p>
    <w:p w14:paraId="5FEF5122" w14:textId="77777777" w:rsidR="000603A2" w:rsidRPr="002013E1" w:rsidRDefault="000603A2" w:rsidP="000603A2">
      <w:pPr>
        <w:numPr>
          <w:ilvl w:val="1"/>
          <w:numId w:val="13"/>
        </w:numPr>
        <w:jc w:val="both"/>
        <w:rPr>
          <w:rFonts w:ascii="Arial" w:hAnsi="Arial" w:cs="Arial"/>
          <w:b/>
          <w:color w:val="0000FF"/>
          <w:sz w:val="18"/>
          <w:szCs w:val="20"/>
          <w:lang w:val="es-ES_tradnl"/>
        </w:rPr>
      </w:pPr>
      <w:r w:rsidRPr="002013E1">
        <w:rPr>
          <w:rFonts w:ascii="Arial" w:hAnsi="Arial" w:cs="Arial"/>
          <w:bCs/>
          <w:sz w:val="20"/>
          <w:szCs w:val="20"/>
        </w:rPr>
        <w:t xml:space="preserve"> Docetaxel (puntuación ESMO-MCBS v1.1</w:t>
      </w:r>
      <w:r>
        <w:rPr>
          <w:rFonts w:ascii="Arial" w:hAnsi="Arial" w:cs="Arial"/>
          <w:bCs/>
          <w:sz w:val="20"/>
          <w:szCs w:val="20"/>
        </w:rPr>
        <w:t>=</w:t>
      </w:r>
      <w:r w:rsidRPr="002013E1">
        <w:rPr>
          <w:rFonts w:ascii="Arial" w:hAnsi="Arial" w:cs="Arial"/>
          <w:bCs/>
          <w:sz w:val="20"/>
          <w:szCs w:val="20"/>
        </w:rPr>
        <w:t xml:space="preserve"> 4) se recomienda para hombres con CPRCm (I, A).</w:t>
      </w:r>
    </w:p>
    <w:p w14:paraId="7B086CD3" w14:textId="77777777" w:rsidR="000603A2" w:rsidRPr="002013E1" w:rsidRDefault="000603A2" w:rsidP="000603A2">
      <w:pPr>
        <w:numPr>
          <w:ilvl w:val="1"/>
          <w:numId w:val="13"/>
        </w:numPr>
        <w:jc w:val="both"/>
        <w:rPr>
          <w:rFonts w:ascii="Arial" w:hAnsi="Arial" w:cs="Arial"/>
          <w:b/>
          <w:color w:val="0000FF"/>
          <w:sz w:val="18"/>
          <w:szCs w:val="20"/>
          <w:lang w:val="es-ES_tradnl"/>
        </w:rPr>
      </w:pPr>
      <w:r w:rsidRPr="002013E1">
        <w:rPr>
          <w:rFonts w:ascii="Arial" w:hAnsi="Arial" w:cs="Arial"/>
          <w:bCs/>
          <w:sz w:val="20"/>
          <w:szCs w:val="20"/>
        </w:rPr>
        <w:t>En pacientes con CPRCm después de la administración de docetaxel, las opciones recomendadas son abiraterona (puntuación ESMO-MCBS v1.1</w:t>
      </w:r>
      <w:r>
        <w:rPr>
          <w:rFonts w:ascii="Arial" w:hAnsi="Arial" w:cs="Arial"/>
          <w:bCs/>
          <w:sz w:val="20"/>
          <w:szCs w:val="20"/>
        </w:rPr>
        <w:t>=</w:t>
      </w:r>
      <w:r w:rsidRPr="002013E1">
        <w:rPr>
          <w:rFonts w:ascii="Arial" w:hAnsi="Arial" w:cs="Arial"/>
          <w:bCs/>
          <w:sz w:val="20"/>
          <w:szCs w:val="20"/>
        </w:rPr>
        <w:t xml:space="preserve"> 4), enzalutamida (puntuación ESMO-MCBS v1.1</w:t>
      </w:r>
      <w:r>
        <w:rPr>
          <w:rFonts w:ascii="Arial" w:hAnsi="Arial" w:cs="Arial"/>
          <w:bCs/>
          <w:sz w:val="20"/>
          <w:szCs w:val="20"/>
        </w:rPr>
        <w:t>=</w:t>
      </w:r>
      <w:r w:rsidRPr="002013E1">
        <w:rPr>
          <w:rFonts w:ascii="Arial" w:hAnsi="Arial" w:cs="Arial"/>
          <w:bCs/>
          <w:sz w:val="20"/>
          <w:szCs w:val="20"/>
        </w:rPr>
        <w:t xml:space="preserve"> 4) y cabazitaxel (puntuación ESMO-MCBS v1.1</w:t>
      </w:r>
      <w:r>
        <w:rPr>
          <w:rFonts w:ascii="Arial" w:hAnsi="Arial" w:cs="Arial"/>
          <w:bCs/>
          <w:sz w:val="20"/>
          <w:szCs w:val="20"/>
        </w:rPr>
        <w:t>=</w:t>
      </w:r>
      <w:r w:rsidRPr="002013E1">
        <w:rPr>
          <w:rFonts w:ascii="Arial" w:hAnsi="Arial" w:cs="Arial"/>
          <w:bCs/>
          <w:sz w:val="20"/>
          <w:szCs w:val="20"/>
        </w:rPr>
        <w:t xml:space="preserve"> 3) (I, A).</w:t>
      </w:r>
    </w:p>
    <w:p w14:paraId="0D43D4F0" w14:textId="77777777" w:rsidR="000603A2" w:rsidRPr="002013E1" w:rsidRDefault="000603A2" w:rsidP="000603A2">
      <w:pPr>
        <w:numPr>
          <w:ilvl w:val="1"/>
          <w:numId w:val="13"/>
        </w:numPr>
        <w:jc w:val="both"/>
        <w:rPr>
          <w:rFonts w:ascii="Arial" w:hAnsi="Arial" w:cs="Arial"/>
          <w:b/>
          <w:color w:val="0000FF"/>
          <w:sz w:val="18"/>
          <w:szCs w:val="20"/>
          <w:lang w:val="es-ES_tradnl"/>
        </w:rPr>
      </w:pPr>
      <w:r w:rsidRPr="002013E1">
        <w:rPr>
          <w:rFonts w:ascii="Arial" w:hAnsi="Arial" w:cs="Arial"/>
          <w:bCs/>
          <w:sz w:val="20"/>
          <w:szCs w:val="20"/>
        </w:rPr>
        <w:t>En pacientes con metástasis óseas de CPRC con riesgo de acontecimientos relacionados con el esqueleto clínicamente significativo, se recomienda un bi</w:t>
      </w:r>
      <w:r>
        <w:rPr>
          <w:rFonts w:ascii="Arial" w:hAnsi="Arial" w:cs="Arial"/>
          <w:bCs/>
          <w:sz w:val="20"/>
          <w:szCs w:val="20"/>
        </w:rPr>
        <w:t>s</w:t>
      </w:r>
      <w:r w:rsidRPr="002013E1">
        <w:rPr>
          <w:rFonts w:ascii="Arial" w:hAnsi="Arial" w:cs="Arial"/>
          <w:bCs/>
          <w:sz w:val="20"/>
          <w:szCs w:val="20"/>
        </w:rPr>
        <w:t>fosfonato o denosumab (I, B).</w:t>
      </w:r>
    </w:p>
    <w:p w14:paraId="7E4CBF72" w14:textId="77777777" w:rsidR="000603A2" w:rsidRPr="002013E1" w:rsidRDefault="000603A2" w:rsidP="000603A2">
      <w:pPr>
        <w:numPr>
          <w:ilvl w:val="1"/>
          <w:numId w:val="13"/>
        </w:numPr>
        <w:jc w:val="both"/>
        <w:rPr>
          <w:rFonts w:ascii="Arial" w:hAnsi="Arial" w:cs="Arial"/>
          <w:b/>
          <w:color w:val="0000FF"/>
          <w:sz w:val="18"/>
          <w:szCs w:val="20"/>
          <w:lang w:val="es-ES_tradnl"/>
        </w:rPr>
      </w:pPr>
      <w:r w:rsidRPr="002013E1">
        <w:rPr>
          <w:rFonts w:ascii="Arial" w:hAnsi="Arial" w:cs="Arial"/>
          <w:bCs/>
          <w:sz w:val="20"/>
          <w:szCs w:val="20"/>
        </w:rPr>
        <w:t>Se recomienda 223Ra (puntuación ESMO-MCBS v1.1</w:t>
      </w:r>
      <w:r>
        <w:rPr>
          <w:rFonts w:ascii="Arial" w:hAnsi="Arial" w:cs="Arial"/>
          <w:bCs/>
          <w:sz w:val="20"/>
          <w:szCs w:val="20"/>
        </w:rPr>
        <w:t>=</w:t>
      </w:r>
      <w:r w:rsidRPr="002013E1">
        <w:rPr>
          <w:rFonts w:ascii="Arial" w:hAnsi="Arial" w:cs="Arial"/>
          <w:bCs/>
          <w:sz w:val="20"/>
          <w:szCs w:val="20"/>
        </w:rPr>
        <w:t xml:space="preserve"> 5) para hombres con CPRCm sintomático de predominio óseo sin metástasis viscerales (I, B).</w:t>
      </w:r>
    </w:p>
    <w:p w14:paraId="61596475" w14:textId="77777777" w:rsidR="000603A2" w:rsidRPr="002013E1" w:rsidRDefault="000603A2" w:rsidP="000603A2">
      <w:pPr>
        <w:numPr>
          <w:ilvl w:val="1"/>
          <w:numId w:val="13"/>
        </w:numPr>
        <w:jc w:val="both"/>
        <w:rPr>
          <w:rFonts w:ascii="Arial" w:hAnsi="Arial" w:cs="Arial"/>
          <w:b/>
          <w:color w:val="0000FF"/>
          <w:sz w:val="18"/>
          <w:szCs w:val="20"/>
          <w:lang w:val="es-ES_tradnl"/>
        </w:rPr>
      </w:pPr>
      <w:r w:rsidRPr="002013E1">
        <w:rPr>
          <w:rFonts w:ascii="Arial" w:hAnsi="Arial" w:cs="Arial"/>
          <w:bCs/>
          <w:sz w:val="20"/>
          <w:szCs w:val="20"/>
        </w:rPr>
        <w:t>No se recomienda 223Ra en combinación con abiraterona y prednisolona (I, E).</w:t>
      </w:r>
    </w:p>
    <w:p w14:paraId="3D6FDA02" w14:textId="77777777" w:rsidR="000603A2" w:rsidRPr="002013E1" w:rsidRDefault="000603A2" w:rsidP="000603A2">
      <w:pPr>
        <w:numPr>
          <w:ilvl w:val="1"/>
          <w:numId w:val="13"/>
        </w:numPr>
        <w:jc w:val="both"/>
        <w:rPr>
          <w:rFonts w:ascii="Arial" w:hAnsi="Arial" w:cs="Arial"/>
          <w:bCs/>
          <w:sz w:val="20"/>
          <w:szCs w:val="20"/>
        </w:rPr>
      </w:pPr>
      <w:r w:rsidRPr="002013E1">
        <w:rPr>
          <w:rFonts w:ascii="Arial" w:hAnsi="Arial" w:cs="Arial"/>
          <w:bCs/>
          <w:sz w:val="20"/>
          <w:szCs w:val="20"/>
        </w:rPr>
        <w:t>No se recomienda el uso de un segundo inhibidor del RA (abiraterona después de enzalutamida o viceversa) (II, D).</w:t>
      </w:r>
    </w:p>
    <w:p w14:paraId="070B6216" w14:textId="77777777" w:rsidR="000603A2" w:rsidRPr="002013E1" w:rsidRDefault="000603A2" w:rsidP="000603A2">
      <w:pPr>
        <w:numPr>
          <w:ilvl w:val="1"/>
          <w:numId w:val="13"/>
        </w:numPr>
        <w:jc w:val="both"/>
        <w:rPr>
          <w:rFonts w:ascii="Arial" w:hAnsi="Arial" w:cs="Arial"/>
          <w:sz w:val="20"/>
          <w:szCs w:val="20"/>
        </w:rPr>
      </w:pPr>
      <w:r w:rsidRPr="002013E1">
        <w:rPr>
          <w:rFonts w:ascii="Arial" w:hAnsi="Arial" w:cs="Arial"/>
          <w:sz w:val="20"/>
          <w:szCs w:val="20"/>
        </w:rPr>
        <w:t>Olaparib puede considerarse en pacientes con CPRCm tras tratamiento hormonal y que presenten mutación en el gen BRCA1/2 (I, B)</w:t>
      </w:r>
      <w:r w:rsidRPr="002013E1">
        <w:rPr>
          <w:rFonts w:ascii="Arial" w:hAnsi="Arial" w:cs="Arial"/>
          <w:szCs w:val="25"/>
        </w:rPr>
        <w:t xml:space="preserve"> </w:t>
      </w:r>
    </w:p>
    <w:p w14:paraId="1F25E10B" w14:textId="7002C3A8" w:rsidR="00CB4CAD" w:rsidRDefault="00CB4CAD" w:rsidP="00BC3E8E">
      <w:pPr>
        <w:jc w:val="both"/>
      </w:pPr>
    </w:p>
    <w:p w14:paraId="3518F83F" w14:textId="77777777" w:rsidR="00CB4CAD" w:rsidRDefault="00CB4CAD" w:rsidP="00BC3E8E">
      <w:pPr>
        <w:jc w:val="both"/>
        <w:rPr>
          <w:rFonts w:ascii="Arial" w:hAnsi="Arial" w:cs="Arial"/>
          <w:sz w:val="20"/>
          <w:szCs w:val="20"/>
        </w:rPr>
      </w:pPr>
    </w:p>
    <w:p w14:paraId="4FDBCCBC" w14:textId="77777777" w:rsidR="00340B7B" w:rsidRPr="002013E1" w:rsidRDefault="001A0EA8" w:rsidP="00BC3E8E">
      <w:pPr>
        <w:jc w:val="both"/>
        <w:rPr>
          <w:rFonts w:ascii="Arial" w:hAnsi="Arial" w:cs="Arial"/>
          <w:sz w:val="20"/>
          <w:szCs w:val="22"/>
        </w:rPr>
      </w:pPr>
      <w:r w:rsidRPr="002013E1">
        <w:rPr>
          <w:rFonts w:ascii="Arial" w:hAnsi="Arial" w:cs="Arial"/>
          <w:sz w:val="20"/>
          <w:szCs w:val="22"/>
        </w:rPr>
        <w:t>Guías NCCN (10): Olaparib y rucaparib</w:t>
      </w:r>
    </w:p>
    <w:p w14:paraId="3E4A2954" w14:textId="77777777" w:rsidR="00340B7B" w:rsidRPr="002013E1" w:rsidRDefault="001A0EA8" w:rsidP="00340B7B">
      <w:pPr>
        <w:numPr>
          <w:ilvl w:val="1"/>
          <w:numId w:val="13"/>
        </w:numPr>
        <w:jc w:val="both"/>
        <w:rPr>
          <w:rFonts w:ascii="Arial" w:hAnsi="Arial" w:cs="Arial"/>
          <w:sz w:val="20"/>
          <w:szCs w:val="22"/>
        </w:rPr>
      </w:pPr>
      <w:r w:rsidRPr="002013E1">
        <w:rPr>
          <w:rFonts w:ascii="Arial" w:hAnsi="Arial" w:cs="Arial"/>
          <w:sz w:val="20"/>
          <w:szCs w:val="22"/>
        </w:rPr>
        <w:t>Olaparib: Como resultado de los datos de eficacia favorables del ensayo PROfound, la FDA aprobó olaparib (300 mg dos veces al día) en mayo de 2020 para su uso en pacientes pacientes con CPRCm y mutaciones genéticas o somáticas deletéreas o presuntamente deletéreas en al menos uno de los 14 genes HRR deletéreas o somáticas en al menos uno de 14 genes (BRCA1, BRCA2, ATM, BARD1, BRIP1, CDK12, CHEK1, CHEK2, FANCL, PALB2, RAD51B, RAD51C, RAD51D o RAD54L) y que habían recibido anteriormente tratamiento con enzalutamida o abiraterona y pueden o no haber recibido tratamiento con taxanos</w:t>
      </w:r>
    </w:p>
    <w:p w14:paraId="3E205DF9" w14:textId="7E7D064A" w:rsidR="000A657A" w:rsidRPr="002013E1" w:rsidRDefault="001A0EA8" w:rsidP="001E126C">
      <w:pPr>
        <w:numPr>
          <w:ilvl w:val="1"/>
          <w:numId w:val="13"/>
        </w:numPr>
        <w:jc w:val="both"/>
        <w:rPr>
          <w:rFonts w:ascii="Arial" w:hAnsi="Arial" w:cs="Arial"/>
          <w:sz w:val="20"/>
          <w:szCs w:val="22"/>
        </w:rPr>
      </w:pPr>
      <w:r w:rsidRPr="002013E1">
        <w:rPr>
          <w:rFonts w:ascii="Arial" w:hAnsi="Arial" w:cs="Arial"/>
          <w:sz w:val="20"/>
          <w:szCs w:val="22"/>
        </w:rPr>
        <w:t>Rucaparib: La indicación de la FDA para rucaparib (600 mg dos veces al día) es para su uso en pacientes con CPRCm y mutaciones deletéreas o presuntamente deletéreas en la línea germinal o somática de BRCA1 o BRCA2, y que hayan recibido previamente tratamiento con un nuevo agente hormonal hormonal (enzalutamida o abiraterona) y una quimioterapia con taxanos. Basándose en esta información, el Grupo de expertos no recomienda en general el uso de rucaparib en pacientes con CPRCm con mutación BRCA1/2 pacientes que no hayan recibido previamente un taxano, a menos que el paciente no sea apto para QT. apto para quimioterapia. Además, rucaparib no debe utilizarse en pacientes con mutaciones del gen HRR distintas de BRCA1/2.</w:t>
      </w:r>
    </w:p>
    <w:p w14:paraId="68C5413A" w14:textId="77777777" w:rsidR="000A657A" w:rsidRPr="006F6ABB" w:rsidRDefault="000A657A" w:rsidP="00BC3E8E">
      <w:pPr>
        <w:jc w:val="both"/>
        <w:rPr>
          <w:rFonts w:ascii="Arial" w:hAnsi="Arial" w:cs="Arial"/>
          <w:sz w:val="20"/>
          <w:szCs w:val="20"/>
        </w:rPr>
      </w:pPr>
    </w:p>
    <w:p w14:paraId="72644CC5" w14:textId="77777777"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9" w:name="_Toc348931378"/>
      <w:bookmarkStart w:id="100" w:name="_Toc153727210"/>
      <w:r w:rsidRPr="006F6ABB">
        <w:rPr>
          <w:rFonts w:cs="Arial"/>
          <w:sz w:val="20"/>
        </w:rPr>
        <w:t>5.4.2 Evaluaciones previas por organismos independientes</w:t>
      </w:r>
      <w:bookmarkEnd w:id="99"/>
      <w:bookmarkEnd w:id="100"/>
    </w:p>
    <w:p w14:paraId="0CE227B1" w14:textId="77777777" w:rsidR="00BC3E8E" w:rsidRDefault="00BC3E8E" w:rsidP="00BC3E8E">
      <w:pPr>
        <w:jc w:val="both"/>
        <w:rPr>
          <w:rFonts w:ascii="Arial" w:hAnsi="Arial" w:cs="Arial"/>
          <w:iCs/>
          <w:sz w:val="20"/>
          <w:szCs w:val="20"/>
        </w:rPr>
      </w:pPr>
      <w:r w:rsidRPr="006F6ABB">
        <w:rPr>
          <w:rFonts w:ascii="Arial" w:hAnsi="Arial" w:cs="Arial"/>
          <w:iCs/>
          <w:sz w:val="20"/>
          <w:szCs w:val="20"/>
        </w:rPr>
        <w:tab/>
      </w:r>
    </w:p>
    <w:p w14:paraId="5B196A2C" w14:textId="075CEA97" w:rsidR="00AB119B" w:rsidRPr="002013E1" w:rsidRDefault="001A0EA8" w:rsidP="00D1499E">
      <w:pPr>
        <w:rPr>
          <w:rFonts w:ascii="Arial" w:hAnsi="Arial" w:cs="Arial"/>
          <w:sz w:val="20"/>
          <w:szCs w:val="22"/>
        </w:rPr>
      </w:pPr>
      <w:r w:rsidRPr="002013E1">
        <w:rPr>
          <w:rFonts w:ascii="Arial" w:hAnsi="Arial" w:cs="Arial"/>
          <w:sz w:val="20"/>
          <w:szCs w:val="22"/>
        </w:rPr>
        <w:t>No se dispone de evaluaciones de NICE, German Market Access (G-BA), IQWiG o ICER.</w:t>
      </w:r>
    </w:p>
    <w:p w14:paraId="790AEEA6" w14:textId="77777777" w:rsidR="00AB119B" w:rsidRPr="002013E1" w:rsidRDefault="00AB119B" w:rsidP="005B5564">
      <w:pPr>
        <w:jc w:val="both"/>
        <w:rPr>
          <w:rFonts w:ascii="Arial" w:hAnsi="Arial" w:cs="Arial"/>
          <w:sz w:val="20"/>
          <w:szCs w:val="22"/>
        </w:rPr>
      </w:pPr>
    </w:p>
    <w:p w14:paraId="33726040" w14:textId="77777777" w:rsidR="00FB245D" w:rsidRPr="002013E1" w:rsidRDefault="001A0EA8" w:rsidP="005B5564">
      <w:pPr>
        <w:jc w:val="both"/>
        <w:rPr>
          <w:rFonts w:ascii="Arial" w:hAnsi="Arial" w:cs="Arial"/>
          <w:sz w:val="20"/>
          <w:szCs w:val="22"/>
        </w:rPr>
      </w:pPr>
      <w:r w:rsidRPr="002013E1">
        <w:rPr>
          <w:rFonts w:ascii="Arial" w:hAnsi="Arial" w:cs="Arial"/>
          <w:sz w:val="20"/>
          <w:szCs w:val="22"/>
        </w:rPr>
        <w:t xml:space="preserve">Otros países: </w:t>
      </w:r>
    </w:p>
    <w:p w14:paraId="45E33A29" w14:textId="77777777" w:rsidR="008B288D" w:rsidRPr="002013E1" w:rsidRDefault="008B288D" w:rsidP="005B5564">
      <w:pPr>
        <w:jc w:val="both"/>
        <w:rPr>
          <w:rFonts w:ascii="Arial" w:hAnsi="Arial" w:cs="Arial"/>
          <w:sz w:val="20"/>
          <w:szCs w:val="22"/>
        </w:rPr>
      </w:pPr>
    </w:p>
    <w:p w14:paraId="393B189A" w14:textId="67BCB4C5" w:rsidR="00BC3E8E" w:rsidRPr="002013E1" w:rsidRDefault="001A0EA8" w:rsidP="005B5564">
      <w:pPr>
        <w:jc w:val="both"/>
        <w:rPr>
          <w:rFonts w:ascii="Arial" w:hAnsi="Arial" w:cs="Arial"/>
          <w:sz w:val="20"/>
          <w:szCs w:val="22"/>
        </w:rPr>
      </w:pPr>
      <w:r w:rsidRPr="002013E1">
        <w:rPr>
          <w:rFonts w:ascii="Arial" w:hAnsi="Arial" w:cs="Arial"/>
          <w:sz w:val="20"/>
          <w:szCs w:val="22"/>
        </w:rPr>
        <w:t xml:space="preserve">- Haute Autorité de Santé (HAS) en marzo de 2023 (33): Autorización acelerada concedida para el </w:t>
      </w:r>
      <w:r w:rsidR="00E37EF7">
        <w:rPr>
          <w:rFonts w:ascii="Arial" w:hAnsi="Arial" w:cs="Arial"/>
          <w:sz w:val="20"/>
          <w:szCs w:val="22"/>
        </w:rPr>
        <w:t>n</w:t>
      </w:r>
      <w:r w:rsidRPr="002013E1">
        <w:rPr>
          <w:rFonts w:ascii="Arial" w:hAnsi="Arial" w:cs="Arial"/>
          <w:sz w:val="20"/>
          <w:szCs w:val="22"/>
        </w:rPr>
        <w:t>iraparib/</w:t>
      </w:r>
      <w:r w:rsidR="00E37EF7">
        <w:rPr>
          <w:rFonts w:ascii="Arial" w:hAnsi="Arial" w:cs="Arial"/>
          <w:sz w:val="20"/>
          <w:szCs w:val="22"/>
        </w:rPr>
        <w:t>a</w:t>
      </w:r>
      <w:r w:rsidRPr="002013E1">
        <w:rPr>
          <w:rFonts w:ascii="Arial" w:hAnsi="Arial" w:cs="Arial"/>
          <w:sz w:val="20"/>
          <w:szCs w:val="22"/>
        </w:rPr>
        <w:t>biraterona en combinación con prednisona o prednisolona para el tratamiento de primera línea de hombres adultos con cáncer de próstata resistente a la castración metastásico (CPRCm) que sean asintomáticos o sólo ligeramente sintomáticos y que presenten alteraciones del gen BRCA1/2 (germinales y/o somáticas).</w:t>
      </w:r>
    </w:p>
    <w:p w14:paraId="2B2BA064" w14:textId="7954908A" w:rsidR="008B288D" w:rsidRPr="002013E1" w:rsidRDefault="001A0EA8" w:rsidP="005B5564">
      <w:pPr>
        <w:jc w:val="both"/>
        <w:rPr>
          <w:rFonts w:ascii="Arial" w:hAnsi="Arial" w:cs="Arial"/>
          <w:sz w:val="20"/>
          <w:szCs w:val="22"/>
        </w:rPr>
      </w:pPr>
      <w:r w:rsidRPr="002013E1">
        <w:rPr>
          <w:rFonts w:ascii="Arial" w:hAnsi="Arial" w:cs="Arial"/>
          <w:sz w:val="20"/>
          <w:szCs w:val="22"/>
        </w:rPr>
        <w:t xml:space="preserve">La Agencia Nacional de </w:t>
      </w:r>
      <w:r w:rsidR="00E37EF7">
        <w:rPr>
          <w:rFonts w:ascii="Arial" w:hAnsi="Arial" w:cs="Arial"/>
          <w:sz w:val="20"/>
          <w:szCs w:val="22"/>
        </w:rPr>
        <w:t>S</w:t>
      </w:r>
      <w:r w:rsidRPr="002013E1">
        <w:rPr>
          <w:rFonts w:ascii="Arial" w:hAnsi="Arial" w:cs="Arial"/>
          <w:sz w:val="20"/>
          <w:szCs w:val="22"/>
        </w:rPr>
        <w:t xml:space="preserve">eguridad del Medicamento y </w:t>
      </w:r>
      <w:r w:rsidR="00E37EF7">
        <w:rPr>
          <w:rFonts w:ascii="Arial" w:hAnsi="Arial" w:cs="Arial"/>
          <w:sz w:val="20"/>
          <w:szCs w:val="22"/>
        </w:rPr>
        <w:t>P</w:t>
      </w:r>
      <w:r w:rsidRPr="002013E1">
        <w:rPr>
          <w:rFonts w:ascii="Arial" w:hAnsi="Arial" w:cs="Arial"/>
          <w:sz w:val="20"/>
          <w:szCs w:val="22"/>
        </w:rPr>
        <w:t xml:space="preserve">roductos </w:t>
      </w:r>
      <w:r w:rsidR="00E37EF7">
        <w:rPr>
          <w:rFonts w:ascii="Arial" w:hAnsi="Arial" w:cs="Arial"/>
          <w:sz w:val="20"/>
          <w:szCs w:val="22"/>
        </w:rPr>
        <w:t>S</w:t>
      </w:r>
      <w:r w:rsidRPr="002013E1">
        <w:rPr>
          <w:rFonts w:ascii="Arial" w:hAnsi="Arial" w:cs="Arial"/>
          <w:sz w:val="20"/>
          <w:szCs w:val="22"/>
        </w:rPr>
        <w:t>anitarios (ANSM) concluyó que la eficacia y seguridad de este medicamento en la indicación en cuestión eran fuertemente presumibles.</w:t>
      </w:r>
    </w:p>
    <w:p w14:paraId="43B4EB01" w14:textId="77777777" w:rsidR="008B288D" w:rsidRPr="002013E1" w:rsidRDefault="008B288D" w:rsidP="005B5564">
      <w:pPr>
        <w:jc w:val="both"/>
        <w:rPr>
          <w:rFonts w:ascii="Arial" w:hAnsi="Arial" w:cs="Arial"/>
          <w:sz w:val="20"/>
          <w:szCs w:val="22"/>
        </w:rPr>
      </w:pPr>
    </w:p>
    <w:p w14:paraId="0EA85491" w14:textId="77777777" w:rsidR="008B288D" w:rsidRPr="002013E1" w:rsidRDefault="001A0EA8" w:rsidP="005B5564">
      <w:pPr>
        <w:jc w:val="both"/>
        <w:rPr>
          <w:rFonts w:ascii="Arial" w:hAnsi="Arial" w:cs="Arial"/>
          <w:sz w:val="20"/>
          <w:szCs w:val="22"/>
        </w:rPr>
      </w:pPr>
      <w:r w:rsidRPr="002013E1">
        <w:rPr>
          <w:rFonts w:ascii="Arial" w:hAnsi="Arial" w:cs="Arial"/>
          <w:sz w:val="20"/>
          <w:szCs w:val="22"/>
        </w:rPr>
        <w:t>Además, la Comisión de Transparencia consideró que:</w:t>
      </w:r>
    </w:p>
    <w:p w14:paraId="070DF43B" w14:textId="1A6140BD" w:rsidR="008B288D" w:rsidRPr="002013E1" w:rsidRDefault="001A0EA8" w:rsidP="005B5564">
      <w:pPr>
        <w:ind w:left="1080"/>
        <w:jc w:val="both"/>
        <w:rPr>
          <w:rFonts w:ascii="Arial" w:hAnsi="Arial" w:cs="Arial"/>
          <w:sz w:val="20"/>
          <w:szCs w:val="22"/>
        </w:rPr>
      </w:pPr>
      <w:r w:rsidRPr="002013E1">
        <w:rPr>
          <w:rFonts w:ascii="Arial" w:hAnsi="Arial" w:cs="Arial"/>
          <w:sz w:val="20"/>
          <w:szCs w:val="22"/>
        </w:rPr>
        <w:t>- La indicación a la que se refiere la solicitud constituye una enfermedad grave e incapacitante, ya que existen metástasis (metástasis óseas en más del 90% de los casos) y que los pacientes presentan múltiples síntomas clínicos, incluyendo dolor, fatiga y disfunción urinaria, que afectan a la calidad de vida de los pacientes.</w:t>
      </w:r>
    </w:p>
    <w:p w14:paraId="3D5F3AD3" w14:textId="77777777" w:rsidR="008B288D" w:rsidRPr="002013E1" w:rsidRDefault="001A0EA8" w:rsidP="005B5564">
      <w:pPr>
        <w:ind w:left="1080"/>
        <w:jc w:val="both"/>
        <w:rPr>
          <w:rFonts w:ascii="Arial" w:hAnsi="Arial" w:cs="Arial"/>
          <w:sz w:val="20"/>
          <w:szCs w:val="22"/>
        </w:rPr>
      </w:pPr>
      <w:r w:rsidRPr="002013E1">
        <w:rPr>
          <w:rFonts w:ascii="Arial" w:hAnsi="Arial" w:cs="Arial"/>
          <w:sz w:val="20"/>
          <w:szCs w:val="22"/>
        </w:rPr>
        <w:t>- No existe un tratamiento adecuado, ya que la terapia hormonal, que incluye la TPA combinada con la terapia hormonal de nueva generación es de eficacia limitada, y no existe ningún otro medicamento cubierto por el seguro nacional de enfermedad en el momento de la evaluación.</w:t>
      </w:r>
    </w:p>
    <w:p w14:paraId="09607DC2" w14:textId="77777777" w:rsidR="008B288D" w:rsidRPr="002013E1" w:rsidRDefault="001A0EA8" w:rsidP="005B5564">
      <w:pPr>
        <w:ind w:left="1080"/>
        <w:jc w:val="both"/>
        <w:rPr>
          <w:rFonts w:ascii="Arial" w:hAnsi="Arial" w:cs="Arial"/>
          <w:sz w:val="20"/>
          <w:szCs w:val="22"/>
        </w:rPr>
      </w:pPr>
      <w:r w:rsidRPr="002013E1">
        <w:rPr>
          <w:rFonts w:ascii="Arial" w:hAnsi="Arial" w:cs="Arial"/>
          <w:sz w:val="20"/>
          <w:szCs w:val="22"/>
        </w:rPr>
        <w:t>- El tratamiento no puede aplazarse si la enfermedad es grave e incapacitante, y</w:t>
      </w:r>
    </w:p>
    <w:p w14:paraId="55C52B6E" w14:textId="77777777" w:rsidR="008B288D" w:rsidRPr="002013E1" w:rsidRDefault="001A0EA8" w:rsidP="005B5564">
      <w:pPr>
        <w:ind w:left="1080"/>
        <w:jc w:val="both"/>
        <w:rPr>
          <w:rFonts w:ascii="Arial" w:hAnsi="Arial" w:cs="Arial"/>
          <w:sz w:val="20"/>
          <w:szCs w:val="22"/>
        </w:rPr>
      </w:pPr>
      <w:r w:rsidRPr="002013E1">
        <w:rPr>
          <w:rFonts w:ascii="Arial" w:hAnsi="Arial" w:cs="Arial"/>
          <w:sz w:val="20"/>
          <w:szCs w:val="22"/>
        </w:rPr>
        <w:t>no existe un tratamiento adecuado.</w:t>
      </w:r>
    </w:p>
    <w:p w14:paraId="081FFE65" w14:textId="77777777" w:rsidR="008B288D" w:rsidRPr="002013E1" w:rsidRDefault="001A0EA8" w:rsidP="005B5564">
      <w:pPr>
        <w:ind w:left="1080"/>
        <w:jc w:val="both"/>
        <w:rPr>
          <w:rFonts w:ascii="Arial" w:hAnsi="Arial" w:cs="Arial"/>
          <w:sz w:val="20"/>
          <w:szCs w:val="22"/>
        </w:rPr>
      </w:pPr>
      <w:r w:rsidRPr="002013E1">
        <w:rPr>
          <w:rFonts w:ascii="Arial" w:hAnsi="Arial" w:cs="Arial"/>
          <w:sz w:val="20"/>
          <w:szCs w:val="22"/>
        </w:rPr>
        <w:t>- Se presume que este medicamento es innovador, con respecto a los comparadores clínicamente pertinentes y en esta fase de la enfermedad, debido a un beneficio establecido en términos de supervivencia libre de progresión radiológica (mediana de 16,6 meses en el subgrupo de niraparib/AAP frente a 10,9 meses en el subgrupo de acetato de abiraterona). (HR=0,533; CI95% [0,361; 0,789], p=0,0014)). Su perfil de seguridad se considera aceptable y el plan de desarrollo adaptado</w:t>
      </w:r>
    </w:p>
    <w:p w14:paraId="4E6F1D97" w14:textId="77777777" w:rsidR="008B288D" w:rsidRDefault="008B288D" w:rsidP="005B5564">
      <w:pPr>
        <w:ind w:left="1080"/>
        <w:jc w:val="both"/>
        <w:rPr>
          <w:rFonts w:ascii="Arial" w:hAnsi="Arial" w:cs="Arial"/>
          <w:iCs/>
          <w:sz w:val="20"/>
          <w:szCs w:val="20"/>
        </w:rPr>
      </w:pPr>
    </w:p>
    <w:p w14:paraId="25225453" w14:textId="34581CD0" w:rsidR="003A273A" w:rsidRDefault="003A273A" w:rsidP="003A273A">
      <w:pPr>
        <w:jc w:val="both"/>
        <w:rPr>
          <w:rFonts w:ascii="Arial" w:hAnsi="Arial" w:cs="Arial"/>
          <w:iCs/>
          <w:sz w:val="20"/>
          <w:szCs w:val="20"/>
        </w:rPr>
      </w:pPr>
      <w:r w:rsidRPr="003A273A">
        <w:rPr>
          <w:rFonts w:ascii="Arial" w:hAnsi="Arial" w:cs="Arial"/>
          <w:iCs/>
          <w:sz w:val="20"/>
          <w:szCs w:val="20"/>
        </w:rPr>
        <w:t>-</w:t>
      </w:r>
      <w:r>
        <w:rPr>
          <w:rFonts w:ascii="Arial" w:hAnsi="Arial" w:cs="Arial"/>
          <w:iCs/>
          <w:sz w:val="20"/>
          <w:szCs w:val="20"/>
        </w:rPr>
        <w:t xml:space="preserve"> CADTH</w:t>
      </w:r>
      <w:r w:rsidR="00374E12">
        <w:rPr>
          <w:rFonts w:ascii="Arial" w:hAnsi="Arial" w:cs="Arial"/>
          <w:iCs/>
          <w:sz w:val="20"/>
          <w:szCs w:val="20"/>
        </w:rPr>
        <w:t xml:space="preserve"> en junio de 2024 (34): considera la financiación de niraparib/abiraterona para CPRCm BRCA+ (germinal o somático) en primera línea en pacientes que no hayan recibido antiandrógenos de nueva generación en el contexto metastásico y no metastásico, ni iPARP, ni tratamiento sistémico en enfermedad metastásica excepto abiraterona menos de 4 meses, </w:t>
      </w:r>
      <w:r w:rsidR="00383D70">
        <w:rPr>
          <w:rFonts w:ascii="Arial" w:hAnsi="Arial" w:cs="Arial"/>
          <w:iCs/>
          <w:sz w:val="20"/>
          <w:szCs w:val="20"/>
        </w:rPr>
        <w:t xml:space="preserve">en pacientes con buen estado general con </w:t>
      </w:r>
      <w:r w:rsidR="00374E12">
        <w:rPr>
          <w:rFonts w:ascii="Arial" w:hAnsi="Arial" w:cs="Arial"/>
          <w:iCs/>
          <w:sz w:val="20"/>
          <w:szCs w:val="20"/>
        </w:rPr>
        <w:t>ECOG 0-1</w:t>
      </w:r>
      <w:r w:rsidR="00383D70">
        <w:rPr>
          <w:rFonts w:ascii="Arial" w:hAnsi="Arial" w:cs="Arial"/>
          <w:iCs/>
          <w:sz w:val="20"/>
          <w:szCs w:val="20"/>
        </w:rPr>
        <w:t>. Para que la combinación pueda ser considerada coste-efectiva, debe reducir el precio un</w:t>
      </w:r>
      <w:r w:rsidR="00374E12">
        <w:rPr>
          <w:rFonts w:ascii="Arial" w:hAnsi="Arial" w:cs="Arial"/>
          <w:iCs/>
          <w:sz w:val="20"/>
          <w:szCs w:val="20"/>
        </w:rPr>
        <w:t xml:space="preserve"> 61%.</w:t>
      </w:r>
    </w:p>
    <w:p w14:paraId="64C20146" w14:textId="77777777" w:rsidR="00374E12" w:rsidRDefault="00374E12" w:rsidP="003A273A">
      <w:pPr>
        <w:jc w:val="both"/>
        <w:rPr>
          <w:rFonts w:ascii="Arial" w:hAnsi="Arial" w:cs="Arial"/>
          <w:iCs/>
          <w:sz w:val="20"/>
          <w:szCs w:val="20"/>
        </w:rPr>
      </w:pPr>
    </w:p>
    <w:p w14:paraId="68B5CE5B" w14:textId="35E14F27" w:rsidR="00374E12" w:rsidRPr="005B5564" w:rsidRDefault="00374E12" w:rsidP="006B5D01">
      <w:pPr>
        <w:rPr>
          <w:rFonts w:ascii="Arial" w:hAnsi="Arial" w:cs="Arial"/>
          <w:sz w:val="20"/>
          <w:szCs w:val="20"/>
        </w:rPr>
      </w:pPr>
      <w:r>
        <w:rPr>
          <w:rFonts w:ascii="Arial" w:hAnsi="Arial" w:cs="Arial"/>
          <w:iCs/>
          <w:sz w:val="20"/>
          <w:szCs w:val="20"/>
        </w:rPr>
        <w:t>-</w:t>
      </w:r>
      <w:r w:rsidRPr="006F6ABB">
        <w:rPr>
          <w:rFonts w:ascii="Arial" w:hAnsi="Arial" w:cs="Arial"/>
          <w:b/>
          <w:bCs/>
          <w:sz w:val="20"/>
          <w:szCs w:val="20"/>
        </w:rPr>
        <w:t xml:space="preserve"> </w:t>
      </w:r>
      <w:r>
        <w:rPr>
          <w:rFonts w:ascii="Arial" w:hAnsi="Arial" w:cs="Arial"/>
          <w:b/>
          <w:bCs/>
          <w:sz w:val="20"/>
          <w:szCs w:val="20"/>
        </w:rPr>
        <w:t>I</w:t>
      </w:r>
      <w:r w:rsidRPr="005B5564">
        <w:rPr>
          <w:rFonts w:ascii="Arial" w:hAnsi="Arial" w:cs="Arial"/>
          <w:sz w:val="20"/>
          <w:szCs w:val="20"/>
        </w:rPr>
        <w:t xml:space="preserve">nforme de evaluación de la agencia austriaca: Austrian </w:t>
      </w:r>
      <w:r>
        <w:rPr>
          <w:rFonts w:ascii="Arial" w:hAnsi="Arial" w:cs="Arial"/>
          <w:sz w:val="20"/>
          <w:szCs w:val="20"/>
        </w:rPr>
        <w:t>I</w:t>
      </w:r>
      <w:r w:rsidRPr="005B5564">
        <w:rPr>
          <w:rFonts w:ascii="Arial" w:hAnsi="Arial" w:cs="Arial"/>
          <w:sz w:val="20"/>
          <w:szCs w:val="20"/>
        </w:rPr>
        <w:t xml:space="preserve">nstitute for </w:t>
      </w:r>
      <w:r>
        <w:rPr>
          <w:rFonts w:ascii="Arial" w:hAnsi="Arial" w:cs="Arial"/>
          <w:sz w:val="20"/>
          <w:szCs w:val="20"/>
        </w:rPr>
        <w:t>H</w:t>
      </w:r>
      <w:r w:rsidRPr="005B5564">
        <w:rPr>
          <w:rFonts w:ascii="Arial" w:hAnsi="Arial" w:cs="Arial"/>
          <w:sz w:val="20"/>
          <w:szCs w:val="20"/>
        </w:rPr>
        <w:t>ealth Technology Asses</w:t>
      </w:r>
      <w:r>
        <w:rPr>
          <w:rFonts w:ascii="Arial" w:hAnsi="Arial" w:cs="Arial"/>
          <w:sz w:val="20"/>
          <w:szCs w:val="20"/>
        </w:rPr>
        <w:t>s</w:t>
      </w:r>
      <w:r w:rsidRPr="005B5564">
        <w:rPr>
          <w:rFonts w:ascii="Arial" w:hAnsi="Arial" w:cs="Arial"/>
          <w:sz w:val="20"/>
          <w:szCs w:val="20"/>
        </w:rPr>
        <w:t>ment (AIHTA) (</w:t>
      </w:r>
      <w:r>
        <w:rPr>
          <w:rFonts w:ascii="Arial" w:hAnsi="Arial" w:cs="Arial"/>
          <w:sz w:val="20"/>
          <w:szCs w:val="20"/>
        </w:rPr>
        <w:t>35</w:t>
      </w:r>
      <w:r w:rsidRPr="005B5564">
        <w:rPr>
          <w:rFonts w:ascii="Arial" w:hAnsi="Arial" w:cs="Arial"/>
          <w:sz w:val="20"/>
          <w:szCs w:val="20"/>
        </w:rPr>
        <w:t>)</w:t>
      </w:r>
      <w:r w:rsidR="006B5D01">
        <w:rPr>
          <w:rFonts w:ascii="Arial" w:hAnsi="Arial" w:cs="Arial"/>
          <w:sz w:val="20"/>
          <w:szCs w:val="20"/>
        </w:rPr>
        <w:t xml:space="preserve">: dado que el estudio MAGNITUDE está en marcha hasta 2027 y de momento solo se tienen datos intermedios, el riesgo de sesgos se consideró poco claro. Se han identificado 10 estudios en marcha, que evalúan niraparib y abiraterona en diferentes escenarios. Se necesitan más datos, incluidos los análisis finales del estudio MAGNITUDE. </w:t>
      </w:r>
    </w:p>
    <w:p w14:paraId="0248ED30" w14:textId="21BA55E6" w:rsidR="00374E12" w:rsidRPr="003A273A" w:rsidRDefault="00374E12" w:rsidP="003A273A">
      <w:pPr>
        <w:jc w:val="both"/>
        <w:rPr>
          <w:rFonts w:ascii="Arial" w:hAnsi="Arial" w:cs="Arial"/>
          <w:iCs/>
          <w:sz w:val="20"/>
          <w:szCs w:val="20"/>
        </w:rPr>
      </w:pPr>
    </w:p>
    <w:p w14:paraId="17CF0CD7" w14:textId="77777777" w:rsidR="00BC3E8E" w:rsidRDefault="00BC3E8E" w:rsidP="00BC3E8E">
      <w:pPr>
        <w:jc w:val="both"/>
        <w:rPr>
          <w:rFonts w:ascii="Arial" w:hAnsi="Arial" w:cs="Arial"/>
          <w:iCs/>
          <w:sz w:val="20"/>
          <w:szCs w:val="20"/>
        </w:rPr>
      </w:pPr>
    </w:p>
    <w:p w14:paraId="7D2C458E" w14:textId="77777777"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1" w:name="_Toc348931379"/>
      <w:bookmarkStart w:id="102" w:name="_Toc153727211"/>
      <w:r w:rsidRPr="0071656E">
        <w:rPr>
          <w:rFonts w:cs="Arial"/>
          <w:sz w:val="20"/>
        </w:rPr>
        <w:t>5.4.3 Opiniones de expertos</w:t>
      </w:r>
      <w:bookmarkEnd w:id="101"/>
      <w:bookmarkEnd w:id="102"/>
      <w:r w:rsidRPr="0071656E">
        <w:rPr>
          <w:rFonts w:cs="Arial"/>
          <w:sz w:val="20"/>
        </w:rPr>
        <w:t xml:space="preserve"> </w:t>
      </w:r>
    </w:p>
    <w:p w14:paraId="2675544B" w14:textId="77777777" w:rsidR="00664D68" w:rsidRDefault="00664D68" w:rsidP="00BC3E8E">
      <w:pPr>
        <w:rPr>
          <w:rFonts w:ascii="Arial" w:hAnsi="Arial" w:cs="Arial"/>
          <w:sz w:val="20"/>
          <w:szCs w:val="20"/>
        </w:rPr>
      </w:pPr>
    </w:p>
    <w:p w14:paraId="02BC73E9" w14:textId="42A414D9" w:rsidR="000A657A" w:rsidRDefault="00840ECC" w:rsidP="00BC3E8E">
      <w:pPr>
        <w:rPr>
          <w:rFonts w:ascii="Arial" w:hAnsi="Arial" w:cs="Arial"/>
          <w:sz w:val="20"/>
          <w:szCs w:val="20"/>
        </w:rPr>
      </w:pPr>
      <w:r>
        <w:rPr>
          <w:rFonts w:ascii="Arial" w:hAnsi="Arial" w:cs="Arial"/>
          <w:sz w:val="20"/>
          <w:szCs w:val="20"/>
        </w:rPr>
        <w:t>No se encuentran.</w:t>
      </w:r>
    </w:p>
    <w:p w14:paraId="12B7656C" w14:textId="77777777"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3" w:name="_Toc348931380"/>
      <w:bookmarkStart w:id="104" w:name="_Toc153727212"/>
      <w:r w:rsidRPr="006F6ABB">
        <w:rPr>
          <w:rFonts w:cs="Arial"/>
          <w:sz w:val="20"/>
        </w:rPr>
        <w:t>5.4.4 Otras fuentes</w:t>
      </w:r>
      <w:r w:rsidRPr="0071656E">
        <w:rPr>
          <w:rFonts w:cs="Arial"/>
          <w:sz w:val="20"/>
        </w:rPr>
        <w:t>.</w:t>
      </w:r>
      <w:bookmarkEnd w:id="103"/>
      <w:bookmarkEnd w:id="104"/>
    </w:p>
    <w:p w14:paraId="57F32650" w14:textId="77777777" w:rsidR="00FF1301" w:rsidRDefault="00FF1301" w:rsidP="00BC3E8E">
      <w:pPr>
        <w:rPr>
          <w:rFonts w:ascii="Arial" w:hAnsi="Arial" w:cs="Arial"/>
          <w:b/>
          <w:bCs/>
          <w:sz w:val="20"/>
          <w:szCs w:val="20"/>
        </w:rPr>
      </w:pPr>
    </w:p>
    <w:p w14:paraId="2611AFEB" w14:textId="77777777" w:rsidR="00BC3E8E" w:rsidRPr="00BD16B7" w:rsidRDefault="00BC3E8E" w:rsidP="00BC3E8E">
      <w:pPr>
        <w:rPr>
          <w:rFonts w:ascii="Arial" w:hAnsi="Arial" w:cs="Arial"/>
          <w:b/>
          <w:bCs/>
          <w:sz w:val="20"/>
          <w:szCs w:val="20"/>
        </w:rPr>
      </w:pPr>
      <w:r w:rsidRPr="006F6ABB">
        <w:rPr>
          <w:rFonts w:ascii="Arial" w:hAnsi="Arial" w:cs="Arial"/>
          <w:b/>
          <w:bCs/>
          <w:sz w:val="20"/>
          <w:szCs w:val="20"/>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1E355F2D" w14:textId="77777777" w:rsidTr="00BC3E8E">
        <w:trPr>
          <w:trHeight w:val="228"/>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0F969095" w14:textId="77777777" w:rsidR="00BC3E8E" w:rsidRPr="00A379A0" w:rsidRDefault="00BC3E8E" w:rsidP="00BC3E8E">
            <w:pPr>
              <w:pStyle w:val="Ttulo1"/>
              <w:shd w:val="clear" w:color="auto" w:fill="A6A6A6"/>
              <w:rPr>
                <w:rFonts w:ascii="Arial" w:hAnsi="Arial" w:cs="Arial"/>
                <w:bCs w:val="0"/>
                <w:kern w:val="0"/>
                <w:sz w:val="20"/>
                <w:szCs w:val="20"/>
              </w:rPr>
            </w:pPr>
            <w:bookmarkStart w:id="105" w:name="_Toc344399650"/>
            <w:bookmarkStart w:id="106" w:name="_Toc348931381"/>
            <w:bookmarkStart w:id="107" w:name="_Toc153727213"/>
            <w:r w:rsidRPr="00A379A0">
              <w:rPr>
                <w:rFonts w:ascii="Arial" w:hAnsi="Arial" w:cs="Arial"/>
                <w:bCs w:val="0"/>
                <w:kern w:val="0"/>
                <w:sz w:val="20"/>
                <w:szCs w:val="20"/>
              </w:rPr>
              <w:t>6. EVALUACIÓN DE LA SEGURIDAD.</w:t>
            </w:r>
            <w:bookmarkEnd w:id="105"/>
            <w:bookmarkEnd w:id="106"/>
            <w:bookmarkEnd w:id="107"/>
            <w:r w:rsidRPr="00A379A0">
              <w:rPr>
                <w:rFonts w:ascii="Arial" w:hAnsi="Arial" w:cs="Arial"/>
                <w:bCs w:val="0"/>
                <w:kern w:val="0"/>
                <w:sz w:val="20"/>
                <w:szCs w:val="20"/>
              </w:rPr>
              <w:t xml:space="preserve"> </w:t>
            </w:r>
          </w:p>
        </w:tc>
      </w:tr>
    </w:tbl>
    <w:p w14:paraId="0090F9EC" w14:textId="77777777" w:rsidR="00BC3E8E" w:rsidRPr="006F6ABB" w:rsidRDefault="00BC3E8E" w:rsidP="00BC3E8E">
      <w:pPr>
        <w:rPr>
          <w:rFonts w:ascii="Arial" w:hAnsi="Arial" w:cs="Arial"/>
          <w:sz w:val="20"/>
          <w:szCs w:val="20"/>
        </w:rPr>
      </w:pPr>
    </w:p>
    <w:p w14:paraId="54D08B87"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8" w:name="_Toc344399651"/>
      <w:bookmarkStart w:id="109" w:name="_Toc348931382"/>
      <w:bookmarkStart w:id="110" w:name="_Toc153727214"/>
      <w:r w:rsidRPr="00E3472F">
        <w:rPr>
          <w:rFonts w:cs="Arial"/>
          <w:sz w:val="20"/>
        </w:rPr>
        <w:t>6.1.a Descripción de la búsqueda bibliográfica</w:t>
      </w:r>
      <w:bookmarkEnd w:id="108"/>
      <w:bookmarkEnd w:id="109"/>
      <w:bookmarkEnd w:id="110"/>
    </w:p>
    <w:p w14:paraId="5F85AE1B" w14:textId="77777777" w:rsidR="00BC3E8E" w:rsidRDefault="00BC3E8E" w:rsidP="00BC3E8E">
      <w:pPr>
        <w:shd w:val="clear" w:color="auto" w:fill="FFFFFF"/>
        <w:jc w:val="both"/>
        <w:rPr>
          <w:rFonts w:ascii="Arial" w:hAnsi="Arial" w:cs="Arial"/>
          <w:sz w:val="20"/>
          <w:szCs w:val="20"/>
        </w:rPr>
      </w:pPr>
    </w:p>
    <w:p w14:paraId="267534FA" w14:textId="77777777" w:rsidR="005C3A53" w:rsidRDefault="005C3A53" w:rsidP="005C3A53">
      <w:pPr>
        <w:ind w:hanging="2"/>
        <w:jc w:val="both"/>
        <w:rPr>
          <w:rFonts w:ascii="Arial" w:eastAsia="Arial" w:hAnsi="Arial" w:cs="Arial"/>
          <w:sz w:val="20"/>
          <w:szCs w:val="20"/>
        </w:rPr>
      </w:pPr>
      <w:r>
        <w:rPr>
          <w:rFonts w:ascii="Arial" w:eastAsia="Arial" w:hAnsi="Arial" w:cs="Arial"/>
          <w:sz w:val="20"/>
          <w:szCs w:val="20"/>
        </w:rPr>
        <w:t>La evaluación de la seguridad se basa tanto en los datos del ensayo pivotal MAGNITUDE (</w:t>
      </w:r>
      <w:r w:rsidR="00B51204">
        <w:rPr>
          <w:rFonts w:ascii="Arial" w:eastAsia="Arial" w:hAnsi="Arial" w:cs="Arial"/>
          <w:sz w:val="20"/>
          <w:szCs w:val="20"/>
        </w:rPr>
        <w:t>20</w:t>
      </w:r>
      <w:r>
        <w:rPr>
          <w:rFonts w:ascii="Arial" w:eastAsia="Arial" w:hAnsi="Arial" w:cs="Arial"/>
          <w:sz w:val="20"/>
          <w:szCs w:val="20"/>
        </w:rPr>
        <w:t xml:space="preserve">) además de los datos que se incluyen en el informe EPAR de la EMA (8) y en la ficha técnica del medicamento (11). </w:t>
      </w:r>
    </w:p>
    <w:p w14:paraId="797E1543" w14:textId="77777777" w:rsidR="000A657A" w:rsidRPr="006F6ABB" w:rsidRDefault="000A657A" w:rsidP="00BC3E8E">
      <w:pPr>
        <w:shd w:val="clear" w:color="auto" w:fill="FFFFFF"/>
        <w:jc w:val="both"/>
        <w:rPr>
          <w:rFonts w:ascii="Arial" w:hAnsi="Arial" w:cs="Arial"/>
          <w:sz w:val="20"/>
          <w:szCs w:val="20"/>
        </w:rPr>
      </w:pPr>
    </w:p>
    <w:p w14:paraId="75029F40" w14:textId="77777777" w:rsidR="00BC3E8E" w:rsidRPr="006F6ABB" w:rsidRDefault="00BC3E8E" w:rsidP="00BC3E8E">
      <w:pPr>
        <w:rPr>
          <w:rFonts w:ascii="Arial" w:hAnsi="Arial" w:cs="Arial"/>
          <w:color w:val="FF0000"/>
          <w:sz w:val="20"/>
          <w:szCs w:val="20"/>
        </w:rPr>
      </w:pPr>
    </w:p>
    <w:p w14:paraId="00A45A75" w14:textId="77777777" w:rsidR="00BC3E8E" w:rsidRPr="00847425"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1" w:name="_Toc344399652"/>
      <w:bookmarkStart w:id="112" w:name="_Toc348931383"/>
      <w:bookmarkStart w:id="113" w:name="_Toc153727215"/>
      <w:r w:rsidRPr="00E3472F">
        <w:rPr>
          <w:rFonts w:cs="Arial"/>
          <w:sz w:val="20"/>
        </w:rPr>
        <w:t>6.1.b Descripción de los efectos adversos más significativos</w:t>
      </w:r>
      <w:bookmarkEnd w:id="111"/>
      <w:bookmarkEnd w:id="112"/>
      <w:r w:rsidR="00847425" w:rsidRPr="00847425">
        <w:rPr>
          <w:rFonts w:cs="Arial"/>
          <w:sz w:val="20"/>
          <w:vertAlign w:val="superscript"/>
        </w:rPr>
        <w:t>8</w:t>
      </w:r>
      <w:bookmarkEnd w:id="113"/>
    </w:p>
    <w:p w14:paraId="3C2EE5E3" w14:textId="77777777" w:rsidR="00BC3E8E" w:rsidRPr="006F6ABB" w:rsidRDefault="00BC3E8E" w:rsidP="00BC3E8E">
      <w:pPr>
        <w:shd w:val="clear" w:color="auto" w:fill="FFFFFF"/>
        <w:jc w:val="both"/>
        <w:rPr>
          <w:rFonts w:ascii="Arial" w:hAnsi="Arial" w:cs="Arial"/>
          <w:sz w:val="20"/>
          <w:szCs w:val="20"/>
        </w:rPr>
      </w:pPr>
    </w:p>
    <w:p w14:paraId="6E3615D2" w14:textId="77777777" w:rsidR="005C3A53" w:rsidRPr="002013E1" w:rsidRDefault="001A0EA8" w:rsidP="00847425">
      <w:pPr>
        <w:jc w:val="both"/>
        <w:rPr>
          <w:rFonts w:ascii="Arial" w:hAnsi="Arial" w:cs="Arial"/>
          <w:sz w:val="20"/>
          <w:szCs w:val="22"/>
        </w:rPr>
      </w:pPr>
      <w:r w:rsidRPr="002013E1">
        <w:rPr>
          <w:rFonts w:ascii="Arial" w:hAnsi="Arial" w:cs="Arial"/>
          <w:sz w:val="20"/>
          <w:szCs w:val="22"/>
        </w:rPr>
        <w:t xml:space="preserve">Según la ficha técnica del medicamento, los efectos adversos más frecuentes de niraparib y abiraterona son infección del tracto urinario, anemia, trombocitopenia, neutropenia, leucopenia, disminución de apetito, hipopotasemia, insomnio, mareo, hipertensión, disnea, estreñimiento, náuseas, vómitos, dolor de espalda, artralgia y fracturas. Otros efectos adversos importantes incluyen depresión, ansiedad, fibrilación auricular, insuficiencia cardíaca o embolia pulmonar. </w:t>
      </w:r>
    </w:p>
    <w:p w14:paraId="2BF01539" w14:textId="77777777" w:rsidR="00C4523C" w:rsidRPr="002013E1" w:rsidRDefault="00C4523C" w:rsidP="00847425">
      <w:pPr>
        <w:jc w:val="both"/>
        <w:rPr>
          <w:rFonts w:ascii="Arial" w:hAnsi="Arial" w:cs="Arial"/>
          <w:sz w:val="20"/>
          <w:szCs w:val="22"/>
        </w:rPr>
      </w:pPr>
    </w:p>
    <w:p w14:paraId="346AEFF8" w14:textId="24D10F50" w:rsidR="00C4523C" w:rsidRPr="002013E1" w:rsidRDefault="001A0EA8" w:rsidP="00847425">
      <w:pPr>
        <w:jc w:val="both"/>
        <w:rPr>
          <w:rFonts w:ascii="Arial" w:hAnsi="Arial" w:cs="Arial"/>
          <w:sz w:val="20"/>
          <w:szCs w:val="22"/>
        </w:rPr>
      </w:pPr>
      <w:r w:rsidRPr="002013E1">
        <w:rPr>
          <w:rFonts w:ascii="Arial" w:hAnsi="Arial" w:cs="Arial"/>
          <w:sz w:val="20"/>
          <w:szCs w:val="22"/>
        </w:rPr>
        <w:t>El perfil de seguridad clínica de la combinación de dosis fija de niraparib/AA + prednisona se estableció del estudio MAGNITUDE Cohorte 1</w:t>
      </w:r>
      <w:r w:rsidR="000243FD">
        <w:rPr>
          <w:rFonts w:ascii="Arial" w:hAnsi="Arial" w:cs="Arial"/>
          <w:sz w:val="20"/>
          <w:szCs w:val="22"/>
        </w:rPr>
        <w:t xml:space="preserve"> </w:t>
      </w:r>
      <w:r w:rsidR="000243FD" w:rsidRPr="00847425">
        <w:rPr>
          <w:rFonts w:ascii="Arial" w:hAnsi="Arial" w:cs="Arial"/>
          <w:sz w:val="20"/>
          <w:szCs w:val="20"/>
        </w:rPr>
        <w:t>(n=212).</w:t>
      </w:r>
    </w:p>
    <w:p w14:paraId="0584C2C8" w14:textId="77777777" w:rsidR="00C4523C" w:rsidRPr="002013E1" w:rsidRDefault="001A0EA8" w:rsidP="00847425">
      <w:pPr>
        <w:jc w:val="both"/>
        <w:rPr>
          <w:rFonts w:ascii="Arial" w:hAnsi="Arial" w:cs="Arial"/>
          <w:sz w:val="20"/>
          <w:szCs w:val="22"/>
        </w:rPr>
      </w:pPr>
      <w:r w:rsidRPr="002013E1">
        <w:rPr>
          <w:rFonts w:ascii="Arial" w:hAnsi="Arial" w:cs="Arial"/>
          <w:sz w:val="20"/>
          <w:szCs w:val="22"/>
        </w:rPr>
        <w:t>La cohorte 1 proporciona los datos de seguridad pivotales y la cohorte 3 ofrece una descripción de la experiencia clínica con el comprimido combinado.</w:t>
      </w:r>
    </w:p>
    <w:p w14:paraId="51312349" w14:textId="57B3EDD7" w:rsidR="00C4523C" w:rsidRPr="002013E1" w:rsidRDefault="001A0EA8" w:rsidP="00847425">
      <w:pPr>
        <w:jc w:val="both"/>
        <w:rPr>
          <w:rFonts w:ascii="Arial" w:hAnsi="Arial" w:cs="Arial"/>
          <w:sz w:val="20"/>
          <w:szCs w:val="22"/>
        </w:rPr>
      </w:pPr>
      <w:r w:rsidRPr="002013E1">
        <w:rPr>
          <w:rFonts w:ascii="Arial" w:hAnsi="Arial" w:cs="Arial"/>
          <w:sz w:val="20"/>
          <w:szCs w:val="22"/>
        </w:rPr>
        <w:t xml:space="preserve">Además, se proporcionaron datos de seguridad de apoyo del Grupo de Combinación de Agente Único (SAC) (combinación de niraparib y AA más prednisona por separado), en la que se integraron datos de los estudios MAGNITUDE Cohortes 1 y 2, QUEST Combinación 2 y BEDIVERE. </w:t>
      </w:r>
    </w:p>
    <w:p w14:paraId="65237CF0" w14:textId="77777777" w:rsidR="00847425" w:rsidRPr="002013E1" w:rsidRDefault="00847425" w:rsidP="00847425">
      <w:pPr>
        <w:jc w:val="both"/>
        <w:rPr>
          <w:rFonts w:ascii="Arial" w:hAnsi="Arial" w:cs="Arial"/>
          <w:sz w:val="20"/>
          <w:szCs w:val="22"/>
        </w:rPr>
      </w:pPr>
    </w:p>
    <w:p w14:paraId="1D7CDFBA" w14:textId="77777777" w:rsidR="00C4523C" w:rsidRPr="00D1499E" w:rsidRDefault="001A0EA8" w:rsidP="00847425">
      <w:pPr>
        <w:jc w:val="both"/>
        <w:rPr>
          <w:rFonts w:ascii="Calibri" w:hAnsi="Calibri" w:cs="Calibri"/>
          <w:sz w:val="22"/>
          <w:szCs w:val="22"/>
        </w:rPr>
      </w:pPr>
      <w:r w:rsidRPr="002013E1">
        <w:rPr>
          <w:rFonts w:ascii="Arial" w:hAnsi="Arial" w:cs="Arial"/>
          <w:sz w:val="20"/>
          <w:szCs w:val="22"/>
        </w:rPr>
        <w:t xml:space="preserve">Como en estos estudios se probaron diferentes combinaciones y dosis, sólo se integraron los datos de seguridad de sujetos cuya dosis inicial fue la dosis de registro prevista de 200 mg de niraparib y 1.000 mg de AA más 10 mg de prednisona como SAC. Se aportaron datos de </w:t>
      </w:r>
      <w:r w:rsidRPr="002013E1">
        <w:rPr>
          <w:rFonts w:ascii="Arial" w:hAnsi="Arial" w:cs="Arial"/>
          <w:sz w:val="20"/>
          <w:szCs w:val="20"/>
        </w:rPr>
        <w:t>seguridad adicionales de apoyo para los comprimidos FDC de MAGNITUDE para permitir una comparación con el SAC.</w:t>
      </w:r>
    </w:p>
    <w:p w14:paraId="5A9FA28F" w14:textId="77777777" w:rsidR="00211867" w:rsidRPr="002013E1" w:rsidRDefault="001A0EA8" w:rsidP="00847425">
      <w:pPr>
        <w:jc w:val="both"/>
        <w:rPr>
          <w:rFonts w:ascii="Arial" w:hAnsi="Arial" w:cs="Arial"/>
          <w:sz w:val="18"/>
          <w:szCs w:val="20"/>
        </w:rPr>
      </w:pPr>
      <w:r w:rsidRPr="002013E1">
        <w:rPr>
          <w:rFonts w:ascii="Arial" w:hAnsi="Arial" w:cs="Arial"/>
          <w:sz w:val="20"/>
          <w:szCs w:val="22"/>
        </w:rPr>
        <w:t>Los datos de seguridad incluyen 473 sujetos que recibieron tratamiento combinado con niraparib y abiraterona acetato más prednisona: 378 sujetos recibieron productos individuales, denominados niraparib y AAP (niraparib+AAP SAC) y 95 recibieron niraparib/AA en comprimidos de dosis fija más prednisona (FAC).</w:t>
      </w:r>
    </w:p>
    <w:p w14:paraId="1542D38F" w14:textId="77777777" w:rsidR="000243FD" w:rsidRPr="00847425" w:rsidRDefault="000243FD" w:rsidP="000243FD">
      <w:pPr>
        <w:jc w:val="both"/>
        <w:rPr>
          <w:rFonts w:ascii="Arial" w:hAnsi="Arial" w:cs="Arial"/>
          <w:sz w:val="20"/>
          <w:szCs w:val="20"/>
        </w:rPr>
      </w:pPr>
    </w:p>
    <w:p w14:paraId="71B6BFA4" w14:textId="77777777" w:rsidR="00211867" w:rsidRPr="006F6ABB" w:rsidRDefault="00211867" w:rsidP="00BC3E8E">
      <w:pPr>
        <w:shd w:val="clear" w:color="auto" w:fill="FFFFFF"/>
        <w:jc w:val="both"/>
        <w:rPr>
          <w:rFonts w:ascii="Arial" w:hAnsi="Arial" w:cs="Arial"/>
          <w:b/>
          <w:shd w:val="clear" w:color="auto" w:fill="C0C0C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5"/>
        <w:gridCol w:w="1259"/>
        <w:gridCol w:w="1248"/>
        <w:gridCol w:w="2305"/>
        <w:gridCol w:w="1282"/>
      </w:tblGrid>
      <w:tr w:rsidR="00BC3E8E" w:rsidRPr="006F6ABB" w14:paraId="3EA99945" w14:textId="77777777" w:rsidTr="003D10E1">
        <w:tc>
          <w:tcPr>
            <w:tcW w:w="8879" w:type="dxa"/>
            <w:gridSpan w:val="5"/>
            <w:shd w:val="clear" w:color="auto" w:fill="CCFFCC"/>
          </w:tcPr>
          <w:p w14:paraId="0AE2ECF8" w14:textId="77777777" w:rsidR="00BC3E8E" w:rsidRPr="006F6ABB" w:rsidRDefault="002A6572" w:rsidP="00BC3E8E">
            <w:pPr>
              <w:jc w:val="both"/>
              <w:rPr>
                <w:rFonts w:ascii="Arial" w:hAnsi="Arial" w:cs="Arial"/>
                <w:i/>
                <w:sz w:val="16"/>
                <w:lang w:val="es-ES_tradnl"/>
              </w:rPr>
            </w:pPr>
            <w:r>
              <w:rPr>
                <w:rFonts w:ascii="Arial" w:hAnsi="Arial" w:cs="Arial"/>
                <w:b/>
                <w:bCs/>
                <w:sz w:val="16"/>
                <w:lang w:val="es-ES_tradnl"/>
              </w:rPr>
              <w:t xml:space="preserve">Tabla 15. </w:t>
            </w:r>
            <w:r w:rsidR="00BC3E8E" w:rsidRPr="006F6ABB">
              <w:rPr>
                <w:rFonts w:ascii="Arial" w:hAnsi="Arial" w:cs="Arial"/>
                <w:b/>
                <w:bCs/>
                <w:sz w:val="16"/>
                <w:lang w:val="es-ES_tradnl"/>
              </w:rPr>
              <w:t>Resultados de seguridad</w:t>
            </w:r>
            <w:r>
              <w:rPr>
                <w:rFonts w:ascii="Arial" w:hAnsi="Arial" w:cs="Arial"/>
                <w:b/>
                <w:bCs/>
                <w:sz w:val="16"/>
                <w:lang w:val="es-ES_tradnl"/>
              </w:rPr>
              <w:t xml:space="preserve"> del ensayo MAGNITUDE (20)</w:t>
            </w:r>
          </w:p>
        </w:tc>
      </w:tr>
      <w:tr w:rsidR="006C5F4B" w:rsidRPr="006F6ABB" w14:paraId="4541BC9A" w14:textId="77777777" w:rsidTr="00597C7A">
        <w:trPr>
          <w:trHeight w:val="685"/>
        </w:trPr>
        <w:tc>
          <w:tcPr>
            <w:tcW w:w="2692" w:type="dxa"/>
          </w:tcPr>
          <w:p w14:paraId="0B69C83B" w14:textId="77777777" w:rsidR="006C5F4B" w:rsidRPr="006F6ABB" w:rsidRDefault="006C5F4B" w:rsidP="00BC3E8E">
            <w:pPr>
              <w:jc w:val="both"/>
              <w:rPr>
                <w:rFonts w:ascii="Arial" w:hAnsi="Arial" w:cs="Arial"/>
                <w:b/>
                <w:i/>
                <w:sz w:val="16"/>
              </w:rPr>
            </w:pPr>
            <w:r w:rsidRPr="006F6ABB">
              <w:rPr>
                <w:rFonts w:ascii="Arial" w:hAnsi="Arial" w:cs="Arial"/>
                <w:b/>
                <w:i/>
                <w:sz w:val="16"/>
              </w:rPr>
              <w:t>Variable de seguridad evaluada en el estudio</w:t>
            </w:r>
          </w:p>
        </w:tc>
        <w:tc>
          <w:tcPr>
            <w:tcW w:w="1260" w:type="dxa"/>
          </w:tcPr>
          <w:p w14:paraId="743342F1" w14:textId="77777777" w:rsidR="006C5F4B" w:rsidRPr="006F6ABB" w:rsidRDefault="006C5F4B" w:rsidP="00BC3E8E">
            <w:pPr>
              <w:tabs>
                <w:tab w:val="left" w:pos="1673"/>
              </w:tabs>
              <w:rPr>
                <w:rFonts w:ascii="Arial" w:hAnsi="Arial" w:cs="Arial"/>
                <w:b/>
                <w:i/>
                <w:sz w:val="16"/>
                <w:lang w:val="pt-BR"/>
              </w:rPr>
            </w:pPr>
            <w:r>
              <w:rPr>
                <w:rFonts w:ascii="Arial" w:hAnsi="Arial" w:cs="Arial"/>
                <w:b/>
                <w:i/>
                <w:sz w:val="16"/>
                <w:lang w:val="pt-BR"/>
              </w:rPr>
              <w:t>Niraparib/AAP</w:t>
            </w:r>
          </w:p>
          <w:p w14:paraId="6D9C0AA3" w14:textId="77777777" w:rsidR="006C5F4B" w:rsidRDefault="006C5F4B" w:rsidP="00BC3E8E">
            <w:pPr>
              <w:tabs>
                <w:tab w:val="left" w:pos="1673"/>
              </w:tabs>
              <w:rPr>
                <w:rFonts w:ascii="Arial" w:hAnsi="Arial" w:cs="Arial"/>
                <w:b/>
                <w:i/>
                <w:sz w:val="16"/>
                <w:lang w:val="pt-BR"/>
              </w:rPr>
            </w:pPr>
            <w:r w:rsidRPr="006F6ABB">
              <w:rPr>
                <w:rFonts w:ascii="Arial" w:hAnsi="Arial" w:cs="Arial"/>
                <w:b/>
                <w:i/>
                <w:sz w:val="16"/>
                <w:lang w:val="pt-BR"/>
              </w:rPr>
              <w:t>N (</w:t>
            </w:r>
            <w:r>
              <w:rPr>
                <w:rFonts w:ascii="Arial" w:hAnsi="Arial" w:cs="Arial"/>
                <w:b/>
                <w:i/>
                <w:sz w:val="16"/>
                <w:lang w:val="pt-BR"/>
              </w:rPr>
              <w:t>212</w:t>
            </w:r>
            <w:r w:rsidRPr="006F6ABB">
              <w:rPr>
                <w:rFonts w:ascii="Arial" w:hAnsi="Arial" w:cs="Arial"/>
                <w:b/>
                <w:i/>
                <w:sz w:val="16"/>
                <w:lang w:val="pt-BR"/>
              </w:rPr>
              <w:t>)</w:t>
            </w:r>
          </w:p>
          <w:p w14:paraId="16510F6C" w14:textId="77777777" w:rsidR="006C5F4B" w:rsidRPr="006F6ABB" w:rsidRDefault="006C5F4B" w:rsidP="00BC3E8E">
            <w:pPr>
              <w:tabs>
                <w:tab w:val="left" w:pos="1673"/>
              </w:tabs>
              <w:rPr>
                <w:rFonts w:ascii="Arial" w:hAnsi="Arial" w:cs="Arial"/>
                <w:b/>
                <w:i/>
                <w:sz w:val="16"/>
                <w:lang w:val="pt-BR"/>
              </w:rPr>
            </w:pPr>
            <w:r>
              <w:rPr>
                <w:rFonts w:ascii="Arial" w:hAnsi="Arial" w:cs="Arial"/>
                <w:b/>
                <w:i/>
                <w:sz w:val="16"/>
                <w:lang w:val="pt-BR"/>
              </w:rPr>
              <w:t>N (%)</w:t>
            </w:r>
          </w:p>
        </w:tc>
        <w:tc>
          <w:tcPr>
            <w:tcW w:w="1253" w:type="dxa"/>
          </w:tcPr>
          <w:p w14:paraId="3EC94D9E" w14:textId="77777777" w:rsidR="006C5F4B" w:rsidRPr="006F6ABB" w:rsidRDefault="006C5F4B" w:rsidP="00BC3E8E">
            <w:pPr>
              <w:tabs>
                <w:tab w:val="left" w:pos="1673"/>
              </w:tabs>
              <w:rPr>
                <w:rFonts w:ascii="Arial" w:hAnsi="Arial" w:cs="Arial"/>
                <w:b/>
                <w:i/>
                <w:sz w:val="16"/>
                <w:lang w:val="pt-BR"/>
              </w:rPr>
            </w:pPr>
            <w:r>
              <w:rPr>
                <w:rFonts w:ascii="Arial" w:hAnsi="Arial" w:cs="Arial"/>
                <w:b/>
                <w:i/>
                <w:sz w:val="16"/>
                <w:lang w:val="pt-BR"/>
              </w:rPr>
              <w:t>Placebo/AAP</w:t>
            </w:r>
          </w:p>
          <w:p w14:paraId="4BB386C1" w14:textId="77777777" w:rsidR="006C5F4B" w:rsidRDefault="006C5F4B" w:rsidP="00BC3E8E">
            <w:pPr>
              <w:tabs>
                <w:tab w:val="left" w:pos="1673"/>
              </w:tabs>
              <w:rPr>
                <w:rFonts w:ascii="Arial" w:hAnsi="Arial" w:cs="Arial"/>
                <w:b/>
                <w:i/>
                <w:sz w:val="16"/>
                <w:lang w:val="pt-BR"/>
              </w:rPr>
            </w:pPr>
            <w:r w:rsidRPr="006F6ABB">
              <w:rPr>
                <w:rFonts w:ascii="Arial" w:hAnsi="Arial" w:cs="Arial"/>
                <w:b/>
                <w:i/>
                <w:sz w:val="16"/>
                <w:lang w:val="pt-BR"/>
              </w:rPr>
              <w:t>N (</w:t>
            </w:r>
            <w:r>
              <w:rPr>
                <w:rFonts w:ascii="Arial" w:hAnsi="Arial" w:cs="Arial"/>
                <w:b/>
                <w:i/>
                <w:sz w:val="16"/>
                <w:lang w:val="pt-BR"/>
              </w:rPr>
              <w:t>211</w:t>
            </w:r>
            <w:r w:rsidRPr="006F6ABB">
              <w:rPr>
                <w:rFonts w:ascii="Arial" w:hAnsi="Arial" w:cs="Arial"/>
                <w:b/>
                <w:i/>
                <w:sz w:val="16"/>
                <w:lang w:val="pt-BR"/>
              </w:rPr>
              <w:t xml:space="preserve">) </w:t>
            </w:r>
          </w:p>
          <w:p w14:paraId="41458A95" w14:textId="77777777" w:rsidR="006C5F4B" w:rsidRPr="006F6ABB" w:rsidRDefault="006C5F4B" w:rsidP="00BC3E8E">
            <w:pPr>
              <w:tabs>
                <w:tab w:val="left" w:pos="1673"/>
              </w:tabs>
              <w:rPr>
                <w:rFonts w:ascii="Arial" w:hAnsi="Arial" w:cs="Arial"/>
                <w:b/>
                <w:i/>
                <w:sz w:val="16"/>
                <w:lang w:val="pt-BR"/>
              </w:rPr>
            </w:pPr>
            <w:r>
              <w:rPr>
                <w:rFonts w:ascii="Arial" w:hAnsi="Arial" w:cs="Arial"/>
                <w:b/>
                <w:i/>
                <w:sz w:val="16"/>
                <w:lang w:val="pt-BR"/>
              </w:rPr>
              <w:t>N (%)</w:t>
            </w:r>
          </w:p>
        </w:tc>
        <w:tc>
          <w:tcPr>
            <w:tcW w:w="2360" w:type="dxa"/>
          </w:tcPr>
          <w:p w14:paraId="23E24242" w14:textId="77777777" w:rsidR="006C5F4B" w:rsidRPr="00895015" w:rsidRDefault="006C5F4B" w:rsidP="00BC3E8E">
            <w:pPr>
              <w:tabs>
                <w:tab w:val="left" w:pos="1673"/>
              </w:tabs>
              <w:jc w:val="both"/>
              <w:rPr>
                <w:rFonts w:ascii="Arial" w:hAnsi="Arial" w:cs="Arial"/>
                <w:b/>
                <w:i/>
                <w:sz w:val="16"/>
              </w:rPr>
            </w:pPr>
            <w:r w:rsidRPr="006F6ABB">
              <w:rPr>
                <w:rFonts w:ascii="Arial" w:hAnsi="Arial" w:cs="Arial"/>
                <w:b/>
                <w:i/>
                <w:sz w:val="16"/>
                <w:lang w:val="es-ES_tradnl"/>
              </w:rPr>
              <w:t>RAR (IC 95%)</w:t>
            </w:r>
            <w:r w:rsidRPr="006F6ABB">
              <w:rPr>
                <w:rFonts w:ascii="Arial" w:hAnsi="Arial" w:cs="Arial"/>
                <w:sz w:val="16"/>
                <w:lang w:val="es-ES_tradnl"/>
              </w:rPr>
              <w:t xml:space="preserve"> Diferencia Riesgo Absoluto</w:t>
            </w:r>
            <w:r w:rsidRPr="006F6ABB">
              <w:rPr>
                <w:rFonts w:ascii="Arial" w:hAnsi="Arial" w:cs="Arial"/>
                <w:b/>
                <w:i/>
                <w:sz w:val="16"/>
                <w:lang w:val="es-ES_tradnl"/>
              </w:rPr>
              <w:t xml:space="preserve"> </w:t>
            </w:r>
          </w:p>
        </w:tc>
        <w:tc>
          <w:tcPr>
            <w:tcW w:w="1314" w:type="dxa"/>
          </w:tcPr>
          <w:p w14:paraId="3A14A66F" w14:textId="77777777" w:rsidR="006C5F4B" w:rsidRPr="006F6ABB" w:rsidRDefault="006C5F4B" w:rsidP="00BC3E8E">
            <w:pPr>
              <w:jc w:val="both"/>
              <w:rPr>
                <w:rFonts w:ascii="Arial" w:hAnsi="Arial" w:cs="Arial"/>
                <w:b/>
                <w:i/>
                <w:sz w:val="16"/>
                <w:lang w:val="fr-FR"/>
              </w:rPr>
            </w:pPr>
            <w:r w:rsidRPr="006F6ABB">
              <w:rPr>
                <w:rFonts w:ascii="Arial" w:hAnsi="Arial" w:cs="Arial"/>
                <w:b/>
                <w:i/>
                <w:sz w:val="16"/>
                <w:lang w:val="fr-FR"/>
              </w:rPr>
              <w:t>NNH o NND (IC 95%)</w:t>
            </w:r>
          </w:p>
        </w:tc>
      </w:tr>
      <w:tr w:rsidR="006C5F4B" w:rsidRPr="006E4A51" w14:paraId="628C1929" w14:textId="77777777" w:rsidTr="00597C7A">
        <w:trPr>
          <w:cantSplit/>
          <w:trHeight w:val="709"/>
        </w:trPr>
        <w:tc>
          <w:tcPr>
            <w:tcW w:w="2692" w:type="dxa"/>
          </w:tcPr>
          <w:p w14:paraId="05ED3657" w14:textId="77777777" w:rsidR="006C5F4B" w:rsidRPr="00CC3F83" w:rsidRDefault="006C5F4B" w:rsidP="00BC3E8E">
            <w:pPr>
              <w:snapToGrid w:val="0"/>
              <w:rPr>
                <w:rFonts w:ascii="Arial" w:hAnsi="Arial" w:cs="Arial"/>
                <w:b/>
                <w:i/>
                <w:sz w:val="16"/>
              </w:rPr>
            </w:pPr>
            <w:r w:rsidRPr="00CC3F83">
              <w:rPr>
                <w:rFonts w:ascii="Arial" w:hAnsi="Arial" w:cs="Arial"/>
                <w:b/>
                <w:i/>
                <w:sz w:val="16"/>
              </w:rPr>
              <w:t>Pacientes con &gt;= 1 RA seria</w:t>
            </w:r>
          </w:p>
          <w:p w14:paraId="784A6BA3" w14:textId="77777777" w:rsidR="006C5F4B" w:rsidRPr="006F6ABB" w:rsidRDefault="006C5F4B" w:rsidP="00BC3E8E">
            <w:pPr>
              <w:snapToGrid w:val="0"/>
              <w:rPr>
                <w:rFonts w:ascii="Arial" w:hAnsi="Arial" w:cs="Arial"/>
                <w:i/>
                <w:sz w:val="16"/>
              </w:rPr>
            </w:pPr>
            <w:r w:rsidRPr="00CC3F83">
              <w:rPr>
                <w:rFonts w:ascii="Arial" w:hAnsi="Arial" w:cs="Arial"/>
                <w:b/>
                <w:i/>
                <w:sz w:val="16"/>
              </w:rPr>
              <w:t>RA de cualquier grado</w:t>
            </w:r>
          </w:p>
          <w:p w14:paraId="5A1049B8" w14:textId="77777777" w:rsidR="006C5F4B" w:rsidRPr="006F6ABB" w:rsidRDefault="006C5F4B" w:rsidP="00BC3E8E">
            <w:pPr>
              <w:snapToGrid w:val="0"/>
              <w:rPr>
                <w:rFonts w:ascii="Arial" w:hAnsi="Arial" w:cs="Arial"/>
                <w:i/>
                <w:sz w:val="16"/>
              </w:rPr>
            </w:pPr>
            <w:r w:rsidRPr="006F6ABB">
              <w:rPr>
                <w:rFonts w:ascii="Arial" w:hAnsi="Arial" w:cs="Arial"/>
                <w:i/>
                <w:sz w:val="16"/>
              </w:rPr>
              <w:t xml:space="preserve"> -</w:t>
            </w:r>
            <w:r>
              <w:rPr>
                <w:rFonts w:ascii="Arial" w:hAnsi="Arial" w:cs="Arial"/>
                <w:i/>
                <w:sz w:val="16"/>
              </w:rPr>
              <w:t>Anemia</w:t>
            </w:r>
          </w:p>
          <w:p w14:paraId="3DE8FB46" w14:textId="77777777" w:rsidR="006C5F4B" w:rsidRPr="006F6ABB" w:rsidRDefault="006C5F4B" w:rsidP="00CC3F83">
            <w:pPr>
              <w:snapToGrid w:val="0"/>
              <w:rPr>
                <w:rFonts w:ascii="Arial" w:hAnsi="Arial" w:cs="Arial"/>
                <w:i/>
                <w:sz w:val="16"/>
              </w:rPr>
            </w:pPr>
            <w:r>
              <w:rPr>
                <w:rFonts w:ascii="Arial" w:hAnsi="Arial" w:cs="Arial"/>
                <w:i/>
                <w:sz w:val="16"/>
              </w:rPr>
              <w:t xml:space="preserve"> </w:t>
            </w:r>
            <w:r w:rsidRPr="006F6ABB">
              <w:rPr>
                <w:rFonts w:ascii="Arial" w:hAnsi="Arial" w:cs="Arial"/>
                <w:i/>
                <w:sz w:val="16"/>
              </w:rPr>
              <w:t xml:space="preserve">- </w:t>
            </w:r>
            <w:r>
              <w:rPr>
                <w:rFonts w:ascii="Arial" w:hAnsi="Arial" w:cs="Arial"/>
                <w:i/>
                <w:sz w:val="16"/>
              </w:rPr>
              <w:t>Hipertensión</w:t>
            </w:r>
          </w:p>
          <w:p w14:paraId="2DFC87B2"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Estreñimiento</w:t>
            </w:r>
          </w:p>
          <w:p w14:paraId="4BEE7448"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Fatiga</w:t>
            </w:r>
          </w:p>
          <w:p w14:paraId="15EFC5FA"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Náusea</w:t>
            </w:r>
          </w:p>
          <w:p w14:paraId="2A8AB6CD" w14:textId="77777777" w:rsidR="006C5F4B" w:rsidRPr="006F6ABB" w:rsidRDefault="006C5F4B" w:rsidP="00CC3F83">
            <w:pPr>
              <w:snapToGrid w:val="0"/>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Trombocitopenia</w:t>
            </w:r>
          </w:p>
          <w:p w14:paraId="2693AC0B"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Disnea</w:t>
            </w:r>
          </w:p>
          <w:p w14:paraId="0A3BE61C"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Astenia</w:t>
            </w:r>
          </w:p>
          <w:p w14:paraId="36F777EB"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Dolor de espalda</w:t>
            </w:r>
          </w:p>
          <w:p w14:paraId="4EC0519B" w14:textId="77777777" w:rsidR="006C5F4B" w:rsidRPr="006F6ABB" w:rsidRDefault="006C5F4B" w:rsidP="00CC3F83">
            <w:pPr>
              <w:snapToGrid w:val="0"/>
              <w:rPr>
                <w:rFonts w:ascii="Arial" w:hAnsi="Arial" w:cs="Arial"/>
                <w:i/>
                <w:sz w:val="16"/>
              </w:rPr>
            </w:pPr>
            <w:r>
              <w:rPr>
                <w:rFonts w:ascii="Arial" w:hAnsi="Arial" w:cs="Arial"/>
                <w:i/>
                <w:sz w:val="16"/>
              </w:rPr>
              <w:t xml:space="preserve"> </w:t>
            </w:r>
            <w:r w:rsidRPr="006F6ABB">
              <w:rPr>
                <w:rFonts w:ascii="Arial" w:hAnsi="Arial" w:cs="Arial"/>
                <w:i/>
                <w:sz w:val="16"/>
              </w:rPr>
              <w:t>-</w:t>
            </w:r>
            <w:r>
              <w:rPr>
                <w:rFonts w:ascii="Arial" w:hAnsi="Arial" w:cs="Arial"/>
                <w:i/>
                <w:sz w:val="16"/>
              </w:rPr>
              <w:t>Disminución de apetito</w:t>
            </w:r>
          </w:p>
          <w:p w14:paraId="43077BFA"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Hipopotasemia</w:t>
            </w:r>
          </w:p>
          <w:p w14:paraId="112C0967"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Neutropenia</w:t>
            </w:r>
          </w:p>
          <w:p w14:paraId="61717741"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Pr>
                <w:rFonts w:ascii="Arial" w:hAnsi="Arial" w:cs="Arial"/>
                <w:i/>
                <w:sz w:val="16"/>
              </w:rPr>
              <w:t>Vómitos</w:t>
            </w:r>
          </w:p>
          <w:p w14:paraId="58F8D35A" w14:textId="77777777" w:rsidR="006C5F4B" w:rsidRPr="002013E1" w:rsidRDefault="006C5F4B" w:rsidP="00CC3F83">
            <w:pPr>
              <w:snapToGrid w:val="0"/>
              <w:rPr>
                <w:rFonts w:ascii="Arial" w:hAnsi="Arial"/>
                <w:i/>
                <w:sz w:val="16"/>
                <w:lang w:val="it-IT"/>
              </w:rPr>
            </w:pPr>
            <w:r>
              <w:rPr>
                <w:rFonts w:ascii="Arial" w:hAnsi="Arial" w:cs="Arial"/>
                <w:i/>
                <w:sz w:val="16"/>
              </w:rPr>
              <w:t xml:space="preserve"> </w:t>
            </w:r>
            <w:r w:rsidR="001A0EA8" w:rsidRPr="002013E1">
              <w:rPr>
                <w:rFonts w:ascii="Arial" w:hAnsi="Arial"/>
                <w:i/>
                <w:sz w:val="16"/>
                <w:lang w:val="it-IT"/>
              </w:rPr>
              <w:t>-Artralgia</w:t>
            </w:r>
          </w:p>
          <w:p w14:paraId="5CD0FC42" w14:textId="77777777" w:rsidR="006C5F4B" w:rsidRPr="002013E1" w:rsidRDefault="001A0EA8" w:rsidP="00CC3F83">
            <w:pPr>
              <w:snapToGrid w:val="0"/>
              <w:rPr>
                <w:rFonts w:ascii="Arial" w:hAnsi="Arial"/>
                <w:i/>
                <w:sz w:val="16"/>
                <w:lang w:val="it-IT"/>
              </w:rPr>
            </w:pPr>
            <w:r w:rsidRPr="002013E1">
              <w:rPr>
                <w:rFonts w:ascii="Arial" w:hAnsi="Arial"/>
                <w:i/>
                <w:sz w:val="16"/>
                <w:lang w:val="it-IT"/>
              </w:rPr>
              <w:t xml:space="preserve"> -Mareo</w:t>
            </w:r>
          </w:p>
          <w:p w14:paraId="586A64A4" w14:textId="77777777" w:rsidR="006C5F4B" w:rsidRPr="002013E1" w:rsidRDefault="001A0EA8" w:rsidP="00CC3F83">
            <w:pPr>
              <w:snapToGrid w:val="0"/>
              <w:rPr>
                <w:rFonts w:ascii="Arial" w:hAnsi="Arial"/>
                <w:i/>
                <w:sz w:val="16"/>
                <w:lang w:val="it-IT"/>
              </w:rPr>
            </w:pPr>
            <w:r w:rsidRPr="002013E1">
              <w:rPr>
                <w:rFonts w:ascii="Arial" w:hAnsi="Arial"/>
                <w:i/>
                <w:sz w:val="16"/>
                <w:lang w:val="it-IT"/>
              </w:rPr>
              <w:t xml:space="preserve"> -Insomnio</w:t>
            </w:r>
          </w:p>
          <w:p w14:paraId="04A3BA4E" w14:textId="77777777" w:rsidR="006C5F4B" w:rsidRPr="002013E1" w:rsidRDefault="001A0EA8" w:rsidP="00CC3F83">
            <w:pPr>
              <w:snapToGrid w:val="0"/>
              <w:rPr>
                <w:rFonts w:ascii="Arial" w:hAnsi="Arial"/>
                <w:i/>
                <w:sz w:val="16"/>
                <w:lang w:val="it-IT"/>
              </w:rPr>
            </w:pPr>
            <w:r w:rsidRPr="002013E1">
              <w:rPr>
                <w:rFonts w:ascii="Arial" w:hAnsi="Arial"/>
                <w:i/>
                <w:sz w:val="16"/>
                <w:lang w:val="it-IT"/>
              </w:rPr>
              <w:t xml:space="preserve"> -Leucopenia</w:t>
            </w:r>
          </w:p>
          <w:p w14:paraId="182EE3D5" w14:textId="77777777" w:rsidR="006C5F4B" w:rsidRPr="002013E1" w:rsidRDefault="001A0EA8" w:rsidP="00CC3F83">
            <w:pPr>
              <w:snapToGrid w:val="0"/>
              <w:rPr>
                <w:rFonts w:ascii="Arial" w:hAnsi="Arial"/>
                <w:i/>
                <w:sz w:val="16"/>
                <w:lang w:val="it-IT"/>
              </w:rPr>
            </w:pPr>
            <w:r w:rsidRPr="002013E1">
              <w:rPr>
                <w:rFonts w:ascii="Arial" w:hAnsi="Arial"/>
                <w:i/>
                <w:sz w:val="16"/>
                <w:lang w:val="it-IT"/>
              </w:rPr>
              <w:t xml:space="preserve"> -Dolor óseo</w:t>
            </w:r>
          </w:p>
          <w:p w14:paraId="59E71D45" w14:textId="77777777" w:rsidR="006C5F4B" w:rsidRDefault="001A0EA8" w:rsidP="00CC3F83">
            <w:pPr>
              <w:snapToGrid w:val="0"/>
              <w:rPr>
                <w:rFonts w:ascii="Arial" w:hAnsi="Arial" w:cs="Arial"/>
                <w:i/>
                <w:sz w:val="16"/>
              </w:rPr>
            </w:pPr>
            <w:r w:rsidRPr="002013E1">
              <w:rPr>
                <w:rFonts w:ascii="Arial" w:hAnsi="Arial"/>
                <w:i/>
                <w:sz w:val="16"/>
                <w:lang w:val="it-IT"/>
              </w:rPr>
              <w:t xml:space="preserve"> </w:t>
            </w:r>
            <w:r w:rsidR="006C5F4B" w:rsidRPr="006F6ABB">
              <w:rPr>
                <w:rFonts w:ascii="Arial" w:hAnsi="Arial" w:cs="Arial"/>
                <w:i/>
                <w:sz w:val="16"/>
              </w:rPr>
              <w:t>-</w:t>
            </w:r>
            <w:r w:rsidR="006C5F4B">
              <w:rPr>
                <w:rFonts w:ascii="Arial" w:hAnsi="Arial" w:cs="Arial"/>
                <w:i/>
                <w:sz w:val="16"/>
              </w:rPr>
              <w:t>Caídas</w:t>
            </w:r>
          </w:p>
          <w:p w14:paraId="125AD76E" w14:textId="77777777" w:rsidR="00C739E4" w:rsidRDefault="00C739E4" w:rsidP="00CC3F83">
            <w:pPr>
              <w:snapToGrid w:val="0"/>
              <w:rPr>
                <w:rFonts w:ascii="Arial" w:hAnsi="Arial" w:cs="Arial"/>
                <w:i/>
                <w:sz w:val="16"/>
              </w:rPr>
            </w:pPr>
          </w:p>
          <w:p w14:paraId="42075800" w14:textId="77777777" w:rsidR="00C739E4" w:rsidRPr="006F6ABB" w:rsidRDefault="00C739E4" w:rsidP="00C739E4">
            <w:pPr>
              <w:snapToGrid w:val="0"/>
              <w:rPr>
                <w:rFonts w:ascii="Arial" w:hAnsi="Arial" w:cs="Arial"/>
                <w:i/>
                <w:sz w:val="16"/>
              </w:rPr>
            </w:pPr>
            <w:r w:rsidRPr="00CC3F83">
              <w:rPr>
                <w:rFonts w:ascii="Arial" w:hAnsi="Arial" w:cs="Arial"/>
                <w:b/>
                <w:i/>
                <w:sz w:val="16"/>
              </w:rPr>
              <w:t xml:space="preserve">RA de </w:t>
            </w:r>
            <w:r>
              <w:rPr>
                <w:rFonts w:ascii="Arial" w:hAnsi="Arial" w:cs="Arial"/>
                <w:b/>
                <w:i/>
                <w:sz w:val="16"/>
              </w:rPr>
              <w:t>Grado 3</w:t>
            </w:r>
          </w:p>
          <w:p w14:paraId="2EC7C4F4" w14:textId="77777777" w:rsidR="00C739E4" w:rsidRPr="006F6ABB" w:rsidRDefault="00C739E4" w:rsidP="00CC3F83">
            <w:pPr>
              <w:snapToGrid w:val="0"/>
              <w:rPr>
                <w:rFonts w:ascii="Arial" w:hAnsi="Arial" w:cs="Arial"/>
                <w:i/>
                <w:sz w:val="16"/>
              </w:rPr>
            </w:pPr>
          </w:p>
          <w:p w14:paraId="40DB8D06"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sidR="00C739E4">
              <w:rPr>
                <w:rFonts w:ascii="Arial" w:hAnsi="Arial" w:cs="Arial"/>
                <w:i/>
                <w:sz w:val="16"/>
              </w:rPr>
              <w:t>Anemia</w:t>
            </w:r>
          </w:p>
          <w:p w14:paraId="41BDE47D"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sidR="00C739E4">
              <w:rPr>
                <w:rFonts w:ascii="Arial" w:hAnsi="Arial" w:cs="Arial"/>
                <w:i/>
                <w:sz w:val="16"/>
              </w:rPr>
              <w:t>Hipertensión</w:t>
            </w:r>
          </w:p>
          <w:p w14:paraId="2CF369ED" w14:textId="77777777" w:rsidR="006C5F4B" w:rsidRPr="006F6ABB" w:rsidRDefault="00C739E4" w:rsidP="00CC3F83">
            <w:pPr>
              <w:snapToGrid w:val="0"/>
              <w:rPr>
                <w:rFonts w:ascii="Arial" w:hAnsi="Arial" w:cs="Arial"/>
                <w:i/>
                <w:sz w:val="16"/>
              </w:rPr>
            </w:pPr>
            <w:r>
              <w:rPr>
                <w:rFonts w:ascii="Arial" w:hAnsi="Arial" w:cs="Arial"/>
                <w:i/>
                <w:sz w:val="16"/>
              </w:rPr>
              <w:t xml:space="preserve"> -Fatiga</w:t>
            </w:r>
          </w:p>
          <w:p w14:paraId="11336CC3"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sidR="00C739E4">
              <w:rPr>
                <w:rFonts w:ascii="Arial" w:hAnsi="Arial" w:cs="Arial"/>
                <w:i/>
                <w:sz w:val="16"/>
              </w:rPr>
              <w:t>Trombocitopenia</w:t>
            </w:r>
          </w:p>
          <w:p w14:paraId="7CE02923" w14:textId="77777777" w:rsidR="006C5F4B" w:rsidRPr="006F6ABB" w:rsidRDefault="006C5F4B" w:rsidP="00CC3F83">
            <w:pPr>
              <w:snapToGrid w:val="0"/>
              <w:rPr>
                <w:rFonts w:ascii="Arial" w:hAnsi="Arial" w:cs="Arial"/>
                <w:i/>
                <w:sz w:val="16"/>
              </w:rPr>
            </w:pPr>
            <w:r w:rsidRPr="006F6ABB">
              <w:rPr>
                <w:rFonts w:ascii="Arial" w:hAnsi="Arial" w:cs="Arial"/>
                <w:i/>
                <w:sz w:val="16"/>
              </w:rPr>
              <w:t xml:space="preserve"> -</w:t>
            </w:r>
            <w:r w:rsidR="00C739E4">
              <w:rPr>
                <w:rFonts w:ascii="Arial" w:hAnsi="Arial" w:cs="Arial"/>
                <w:i/>
                <w:sz w:val="16"/>
              </w:rPr>
              <w:t>Disnea</w:t>
            </w:r>
          </w:p>
          <w:p w14:paraId="3E971BAD" w14:textId="77777777" w:rsidR="006C5F4B" w:rsidRDefault="006C5F4B" w:rsidP="00CC3F83">
            <w:pPr>
              <w:snapToGrid w:val="0"/>
              <w:rPr>
                <w:rFonts w:ascii="Arial" w:hAnsi="Arial" w:cs="Arial"/>
                <w:i/>
                <w:sz w:val="16"/>
              </w:rPr>
            </w:pPr>
            <w:r w:rsidRPr="006F6ABB">
              <w:rPr>
                <w:rFonts w:ascii="Arial" w:hAnsi="Arial" w:cs="Arial"/>
                <w:i/>
                <w:sz w:val="16"/>
              </w:rPr>
              <w:t xml:space="preserve"> -</w:t>
            </w:r>
            <w:r w:rsidR="00C739E4">
              <w:rPr>
                <w:rFonts w:ascii="Arial" w:hAnsi="Arial" w:cs="Arial"/>
                <w:i/>
                <w:sz w:val="16"/>
              </w:rPr>
              <w:t>Dolor de espalda</w:t>
            </w:r>
          </w:p>
          <w:p w14:paraId="460D8E58" w14:textId="77777777" w:rsidR="00C739E4" w:rsidRPr="002013E1" w:rsidRDefault="00C739E4" w:rsidP="00CC3F83">
            <w:pPr>
              <w:snapToGrid w:val="0"/>
              <w:rPr>
                <w:rFonts w:ascii="Arial" w:hAnsi="Arial"/>
                <w:i/>
                <w:sz w:val="16"/>
                <w:lang w:val="it-IT"/>
              </w:rPr>
            </w:pPr>
            <w:r>
              <w:rPr>
                <w:rFonts w:ascii="Arial" w:hAnsi="Arial" w:cs="Arial"/>
                <w:i/>
                <w:sz w:val="16"/>
              </w:rPr>
              <w:t xml:space="preserve"> </w:t>
            </w:r>
            <w:r w:rsidR="001A0EA8" w:rsidRPr="002013E1">
              <w:rPr>
                <w:rFonts w:ascii="Arial" w:hAnsi="Arial"/>
                <w:i/>
                <w:sz w:val="16"/>
                <w:lang w:val="it-IT"/>
              </w:rPr>
              <w:t>-Hipopotasemia</w:t>
            </w:r>
          </w:p>
          <w:p w14:paraId="111A9F49" w14:textId="77777777" w:rsidR="00C739E4" w:rsidRPr="002013E1" w:rsidRDefault="001A0EA8" w:rsidP="00CC3F83">
            <w:pPr>
              <w:snapToGrid w:val="0"/>
              <w:rPr>
                <w:rFonts w:ascii="Arial" w:hAnsi="Arial"/>
                <w:i/>
                <w:sz w:val="16"/>
                <w:lang w:val="it-IT"/>
              </w:rPr>
            </w:pPr>
            <w:r w:rsidRPr="002013E1">
              <w:rPr>
                <w:rFonts w:ascii="Arial" w:hAnsi="Arial"/>
                <w:i/>
                <w:sz w:val="16"/>
                <w:lang w:val="it-IT"/>
              </w:rPr>
              <w:t xml:space="preserve"> -Neutropenia</w:t>
            </w:r>
          </w:p>
          <w:p w14:paraId="455D7AC7" w14:textId="77777777" w:rsidR="00C739E4" w:rsidRPr="002013E1" w:rsidRDefault="001A0EA8" w:rsidP="00CC3F83">
            <w:pPr>
              <w:snapToGrid w:val="0"/>
              <w:rPr>
                <w:rFonts w:ascii="Arial" w:hAnsi="Arial"/>
                <w:i/>
                <w:sz w:val="16"/>
                <w:lang w:val="it-IT"/>
              </w:rPr>
            </w:pPr>
            <w:r w:rsidRPr="002013E1">
              <w:rPr>
                <w:rFonts w:ascii="Arial" w:hAnsi="Arial"/>
                <w:i/>
                <w:sz w:val="16"/>
                <w:lang w:val="it-IT"/>
              </w:rPr>
              <w:t xml:space="preserve"> -Leucopenia</w:t>
            </w:r>
          </w:p>
          <w:p w14:paraId="2E3BF42B" w14:textId="77777777" w:rsidR="00C739E4" w:rsidRPr="002013E1" w:rsidRDefault="001A0EA8" w:rsidP="00CC3F83">
            <w:pPr>
              <w:snapToGrid w:val="0"/>
              <w:rPr>
                <w:rFonts w:ascii="Arial" w:hAnsi="Arial"/>
                <w:i/>
                <w:sz w:val="16"/>
                <w:lang w:val="it-IT"/>
              </w:rPr>
            </w:pPr>
            <w:r w:rsidRPr="002013E1">
              <w:rPr>
                <w:rFonts w:ascii="Arial" w:hAnsi="Arial"/>
                <w:i/>
                <w:sz w:val="16"/>
                <w:lang w:val="it-IT"/>
              </w:rPr>
              <w:t xml:space="preserve"> -Caídas</w:t>
            </w:r>
          </w:p>
          <w:p w14:paraId="4D12E139" w14:textId="77777777" w:rsidR="00C739E4" w:rsidRPr="002013E1" w:rsidRDefault="00C739E4" w:rsidP="00CC3F83">
            <w:pPr>
              <w:snapToGrid w:val="0"/>
              <w:rPr>
                <w:rFonts w:ascii="Arial" w:hAnsi="Arial"/>
                <w:i/>
                <w:sz w:val="16"/>
                <w:lang w:val="it-IT"/>
              </w:rPr>
            </w:pPr>
          </w:p>
          <w:p w14:paraId="68572C1C" w14:textId="77777777" w:rsidR="00C739E4" w:rsidRPr="002013E1" w:rsidRDefault="001A0EA8" w:rsidP="00C739E4">
            <w:pPr>
              <w:snapToGrid w:val="0"/>
              <w:rPr>
                <w:rFonts w:ascii="Arial" w:hAnsi="Arial"/>
                <w:b/>
                <w:i/>
                <w:sz w:val="16"/>
                <w:lang w:val="it-IT"/>
              </w:rPr>
            </w:pPr>
            <w:r w:rsidRPr="002013E1">
              <w:rPr>
                <w:rFonts w:ascii="Arial" w:hAnsi="Arial"/>
                <w:b/>
                <w:i/>
                <w:sz w:val="16"/>
                <w:lang w:val="it-IT"/>
              </w:rPr>
              <w:t>RA de Grado 4</w:t>
            </w:r>
          </w:p>
          <w:p w14:paraId="7344174B" w14:textId="77777777" w:rsidR="00C739E4" w:rsidRPr="002013E1" w:rsidRDefault="00C739E4" w:rsidP="00C739E4">
            <w:pPr>
              <w:snapToGrid w:val="0"/>
              <w:rPr>
                <w:rFonts w:ascii="Arial" w:hAnsi="Arial"/>
                <w:b/>
                <w:i/>
                <w:sz w:val="16"/>
                <w:lang w:val="it-IT"/>
              </w:rPr>
            </w:pPr>
          </w:p>
          <w:p w14:paraId="163E9262" w14:textId="77777777" w:rsidR="00C739E4" w:rsidRPr="002013E1" w:rsidRDefault="001A0EA8" w:rsidP="00C739E4">
            <w:pPr>
              <w:snapToGrid w:val="0"/>
              <w:rPr>
                <w:rFonts w:ascii="Arial" w:hAnsi="Arial"/>
                <w:i/>
                <w:sz w:val="16"/>
                <w:lang w:val="it-IT"/>
              </w:rPr>
            </w:pPr>
            <w:r w:rsidRPr="002013E1">
              <w:rPr>
                <w:rFonts w:ascii="Arial" w:hAnsi="Arial"/>
                <w:b/>
                <w:i/>
                <w:sz w:val="16"/>
                <w:lang w:val="it-IT"/>
              </w:rPr>
              <w:t xml:space="preserve"> </w:t>
            </w:r>
            <w:r w:rsidRPr="002013E1">
              <w:rPr>
                <w:rFonts w:ascii="Arial" w:hAnsi="Arial"/>
                <w:i/>
                <w:sz w:val="16"/>
                <w:lang w:val="it-IT"/>
              </w:rPr>
              <w:t>-Anemia</w:t>
            </w:r>
          </w:p>
          <w:p w14:paraId="79827012" w14:textId="77777777" w:rsidR="00C739E4" w:rsidRPr="002013E1" w:rsidRDefault="001A0EA8" w:rsidP="00C739E4">
            <w:pPr>
              <w:snapToGrid w:val="0"/>
              <w:rPr>
                <w:rFonts w:ascii="Arial" w:hAnsi="Arial"/>
                <w:i/>
                <w:sz w:val="16"/>
                <w:lang w:val="it-IT"/>
              </w:rPr>
            </w:pPr>
            <w:r w:rsidRPr="002013E1">
              <w:rPr>
                <w:rFonts w:ascii="Arial" w:hAnsi="Arial"/>
                <w:i/>
                <w:sz w:val="16"/>
                <w:lang w:val="it-IT"/>
              </w:rPr>
              <w:t xml:space="preserve"> -Trombocitopenia</w:t>
            </w:r>
          </w:p>
          <w:p w14:paraId="1C1264C4" w14:textId="77777777" w:rsidR="00C739E4" w:rsidRPr="002013E1" w:rsidRDefault="001A0EA8" w:rsidP="00C739E4">
            <w:pPr>
              <w:snapToGrid w:val="0"/>
              <w:rPr>
                <w:rFonts w:ascii="Arial" w:hAnsi="Arial"/>
                <w:i/>
                <w:sz w:val="16"/>
                <w:lang w:val="it-IT"/>
              </w:rPr>
            </w:pPr>
            <w:r w:rsidRPr="002013E1">
              <w:rPr>
                <w:rFonts w:ascii="Arial" w:hAnsi="Arial"/>
                <w:i/>
                <w:sz w:val="16"/>
                <w:lang w:val="it-IT"/>
              </w:rPr>
              <w:t xml:space="preserve"> -Neutropenia</w:t>
            </w:r>
          </w:p>
          <w:p w14:paraId="08B0815B" w14:textId="77777777" w:rsidR="00C739E4" w:rsidRPr="002013E1" w:rsidRDefault="00C739E4" w:rsidP="00CC3F83">
            <w:pPr>
              <w:snapToGrid w:val="0"/>
              <w:rPr>
                <w:rFonts w:ascii="Arial" w:hAnsi="Arial"/>
                <w:i/>
                <w:sz w:val="16"/>
                <w:lang w:val="it-IT"/>
              </w:rPr>
            </w:pPr>
          </w:p>
          <w:p w14:paraId="765F44D7" w14:textId="77777777" w:rsidR="006C5F4B" w:rsidRPr="002013E1" w:rsidRDefault="006C5F4B" w:rsidP="00CC3F83">
            <w:pPr>
              <w:snapToGrid w:val="0"/>
              <w:rPr>
                <w:rFonts w:ascii="Arial" w:hAnsi="Arial"/>
                <w:i/>
                <w:sz w:val="16"/>
                <w:lang w:val="it-IT"/>
              </w:rPr>
            </w:pPr>
          </w:p>
        </w:tc>
        <w:tc>
          <w:tcPr>
            <w:tcW w:w="1260" w:type="dxa"/>
          </w:tcPr>
          <w:p w14:paraId="3FE0E291" w14:textId="77777777" w:rsidR="006C5F4B" w:rsidRPr="006F6ABB" w:rsidRDefault="006C5F4B" w:rsidP="00BC3E8E">
            <w:pPr>
              <w:snapToGrid w:val="0"/>
              <w:jc w:val="center"/>
              <w:rPr>
                <w:rFonts w:ascii="Arial" w:hAnsi="Arial" w:cs="Arial"/>
                <w:i/>
                <w:sz w:val="16"/>
                <w:lang w:val="fr-FR"/>
              </w:rPr>
            </w:pPr>
            <w:r>
              <w:rPr>
                <w:rFonts w:ascii="Arial" w:hAnsi="Arial" w:cs="Arial"/>
                <w:i/>
                <w:sz w:val="16"/>
                <w:lang w:val="fr-FR"/>
              </w:rPr>
              <w:t>76 (35,8</w:t>
            </w:r>
            <w:r w:rsidRPr="006F6ABB">
              <w:rPr>
                <w:rFonts w:ascii="Arial" w:hAnsi="Arial" w:cs="Arial"/>
                <w:i/>
                <w:sz w:val="16"/>
                <w:lang w:val="fr-FR"/>
              </w:rPr>
              <w:t>%</w:t>
            </w:r>
            <w:r>
              <w:rPr>
                <w:rFonts w:ascii="Arial" w:hAnsi="Arial" w:cs="Arial"/>
                <w:i/>
                <w:sz w:val="16"/>
                <w:lang w:val="fr-FR"/>
              </w:rPr>
              <w:t>)</w:t>
            </w:r>
          </w:p>
          <w:p w14:paraId="3160B542" w14:textId="77777777" w:rsidR="006C5F4B" w:rsidRPr="00C739E4" w:rsidRDefault="00C739E4" w:rsidP="00BC3E8E">
            <w:pPr>
              <w:snapToGrid w:val="0"/>
              <w:jc w:val="center"/>
              <w:rPr>
                <w:rFonts w:ascii="Arial" w:hAnsi="Arial" w:cs="Arial"/>
                <w:b/>
                <w:i/>
                <w:sz w:val="16"/>
                <w:lang w:val="fr-FR"/>
              </w:rPr>
            </w:pPr>
            <w:r w:rsidRPr="00C739E4">
              <w:rPr>
                <w:rFonts w:ascii="Arial" w:hAnsi="Arial" w:cs="Arial"/>
                <w:b/>
                <w:i/>
                <w:sz w:val="16"/>
                <w:lang w:val="fr-FR"/>
              </w:rPr>
              <w:t>210(99,1%)</w:t>
            </w:r>
          </w:p>
          <w:p w14:paraId="661683FC" w14:textId="77777777" w:rsidR="006C5F4B" w:rsidRPr="006F6ABB" w:rsidRDefault="006747CC" w:rsidP="00BC3E8E">
            <w:pPr>
              <w:snapToGrid w:val="0"/>
              <w:jc w:val="center"/>
              <w:rPr>
                <w:rFonts w:ascii="Arial" w:hAnsi="Arial" w:cs="Arial"/>
                <w:i/>
                <w:sz w:val="16"/>
                <w:lang w:val="fr-FR"/>
              </w:rPr>
            </w:pPr>
            <w:r>
              <w:rPr>
                <w:rFonts w:ascii="Arial" w:hAnsi="Arial" w:cs="Arial"/>
                <w:i/>
                <w:sz w:val="16"/>
                <w:lang w:val="fr-FR"/>
              </w:rPr>
              <w:t>98(46,2</w:t>
            </w:r>
            <w:r w:rsidR="006C5F4B" w:rsidRPr="006F6ABB">
              <w:rPr>
                <w:rFonts w:ascii="Arial" w:hAnsi="Arial" w:cs="Arial"/>
                <w:i/>
                <w:sz w:val="16"/>
                <w:lang w:val="fr-FR"/>
              </w:rPr>
              <w:t>%</w:t>
            </w:r>
            <w:r>
              <w:rPr>
                <w:rFonts w:ascii="Arial" w:hAnsi="Arial" w:cs="Arial"/>
                <w:i/>
                <w:sz w:val="16"/>
                <w:lang w:val="fr-FR"/>
              </w:rPr>
              <w:t>)</w:t>
            </w:r>
          </w:p>
          <w:p w14:paraId="08D240AE" w14:textId="77777777" w:rsidR="006C5F4B" w:rsidRPr="006F6ABB" w:rsidRDefault="006747CC" w:rsidP="00BC3E8E">
            <w:pPr>
              <w:snapToGrid w:val="0"/>
              <w:jc w:val="center"/>
              <w:rPr>
                <w:rFonts w:ascii="Arial" w:hAnsi="Arial" w:cs="Arial"/>
                <w:i/>
                <w:sz w:val="16"/>
                <w:lang w:val="fr-FR"/>
              </w:rPr>
            </w:pPr>
            <w:r>
              <w:rPr>
                <w:rFonts w:ascii="Arial" w:hAnsi="Arial" w:cs="Arial"/>
                <w:i/>
                <w:sz w:val="16"/>
                <w:lang w:val="fr-FR"/>
              </w:rPr>
              <w:t>66(31,1</w:t>
            </w:r>
            <w:r w:rsidR="006C5F4B" w:rsidRPr="006F6ABB">
              <w:rPr>
                <w:rFonts w:ascii="Arial" w:hAnsi="Arial" w:cs="Arial"/>
                <w:i/>
                <w:sz w:val="16"/>
                <w:lang w:val="fr-FR"/>
              </w:rPr>
              <w:t>%</w:t>
            </w:r>
            <w:r>
              <w:rPr>
                <w:rFonts w:ascii="Arial" w:hAnsi="Arial" w:cs="Arial"/>
                <w:i/>
                <w:sz w:val="16"/>
                <w:lang w:val="fr-FR"/>
              </w:rPr>
              <w:t>)</w:t>
            </w:r>
          </w:p>
          <w:p w14:paraId="0507F66E" w14:textId="77777777" w:rsidR="006C5F4B" w:rsidRPr="006F6ABB" w:rsidRDefault="006747CC" w:rsidP="00BC3E8E">
            <w:pPr>
              <w:snapToGrid w:val="0"/>
              <w:jc w:val="center"/>
              <w:rPr>
                <w:rFonts w:ascii="Arial" w:hAnsi="Arial" w:cs="Arial"/>
                <w:i/>
                <w:sz w:val="16"/>
                <w:lang w:val="fr-FR"/>
              </w:rPr>
            </w:pPr>
            <w:r>
              <w:rPr>
                <w:rFonts w:ascii="Arial" w:hAnsi="Arial" w:cs="Arial"/>
                <w:i/>
                <w:sz w:val="16"/>
                <w:lang w:val="fr-FR"/>
              </w:rPr>
              <w:t>65(30,7</w:t>
            </w:r>
            <w:r w:rsidR="006C5F4B" w:rsidRPr="006F6ABB">
              <w:rPr>
                <w:rFonts w:ascii="Arial" w:hAnsi="Arial" w:cs="Arial"/>
                <w:i/>
                <w:sz w:val="16"/>
                <w:lang w:val="fr-FR"/>
              </w:rPr>
              <w:t>%</w:t>
            </w:r>
            <w:r>
              <w:rPr>
                <w:rFonts w:ascii="Arial" w:hAnsi="Arial" w:cs="Arial"/>
                <w:i/>
                <w:sz w:val="16"/>
                <w:lang w:val="fr-FR"/>
              </w:rPr>
              <w:t>)</w:t>
            </w:r>
          </w:p>
          <w:p w14:paraId="1D859BAD" w14:textId="77777777" w:rsidR="006C5F4B" w:rsidRDefault="006747CC" w:rsidP="00BC3E8E">
            <w:pPr>
              <w:snapToGrid w:val="0"/>
              <w:jc w:val="center"/>
              <w:rPr>
                <w:rFonts w:ascii="Arial" w:hAnsi="Arial" w:cs="Arial"/>
                <w:i/>
                <w:sz w:val="16"/>
                <w:lang w:val="fr-FR"/>
              </w:rPr>
            </w:pPr>
            <w:r>
              <w:rPr>
                <w:rFonts w:ascii="Arial" w:hAnsi="Arial" w:cs="Arial"/>
                <w:i/>
                <w:sz w:val="16"/>
                <w:lang w:val="fr-FR"/>
              </w:rPr>
              <w:t>56(26,4</w:t>
            </w:r>
            <w:r w:rsidR="006C5F4B" w:rsidRPr="006F6ABB">
              <w:rPr>
                <w:rFonts w:ascii="Arial" w:hAnsi="Arial" w:cs="Arial"/>
                <w:i/>
                <w:sz w:val="16"/>
                <w:lang w:val="fr-FR"/>
              </w:rPr>
              <w:t>%</w:t>
            </w:r>
            <w:r>
              <w:rPr>
                <w:rFonts w:ascii="Arial" w:hAnsi="Arial" w:cs="Arial"/>
                <w:i/>
                <w:sz w:val="16"/>
                <w:lang w:val="fr-FR"/>
              </w:rPr>
              <w:t>)</w:t>
            </w:r>
          </w:p>
          <w:p w14:paraId="29B1FACA" w14:textId="77777777" w:rsidR="006747CC" w:rsidRDefault="006747CC" w:rsidP="00BC3E8E">
            <w:pPr>
              <w:snapToGrid w:val="0"/>
              <w:jc w:val="center"/>
              <w:rPr>
                <w:rFonts w:ascii="Arial" w:hAnsi="Arial" w:cs="Arial"/>
                <w:i/>
                <w:sz w:val="16"/>
                <w:lang w:val="fr-FR"/>
              </w:rPr>
            </w:pPr>
            <w:r>
              <w:rPr>
                <w:rFonts w:ascii="Arial" w:hAnsi="Arial" w:cs="Arial"/>
                <w:i/>
                <w:sz w:val="16"/>
                <w:lang w:val="fr-FR"/>
              </w:rPr>
              <w:t>50(23,6%)</w:t>
            </w:r>
          </w:p>
          <w:p w14:paraId="2BEEE10A" w14:textId="77777777" w:rsidR="006747CC" w:rsidRDefault="006747CC" w:rsidP="00BC3E8E">
            <w:pPr>
              <w:snapToGrid w:val="0"/>
              <w:jc w:val="center"/>
              <w:rPr>
                <w:rFonts w:ascii="Arial" w:hAnsi="Arial" w:cs="Arial"/>
                <w:i/>
                <w:sz w:val="16"/>
                <w:lang w:val="fr-FR"/>
              </w:rPr>
            </w:pPr>
            <w:r>
              <w:rPr>
                <w:rFonts w:ascii="Arial" w:hAnsi="Arial" w:cs="Arial"/>
                <w:i/>
                <w:sz w:val="16"/>
                <w:lang w:val="fr-FR"/>
              </w:rPr>
              <w:t>45(21,2%)</w:t>
            </w:r>
          </w:p>
          <w:p w14:paraId="063C0551" w14:textId="77777777" w:rsidR="006747CC" w:rsidRDefault="006747CC" w:rsidP="00BC3E8E">
            <w:pPr>
              <w:snapToGrid w:val="0"/>
              <w:jc w:val="center"/>
              <w:rPr>
                <w:rFonts w:ascii="Arial" w:hAnsi="Arial" w:cs="Arial"/>
                <w:i/>
                <w:sz w:val="16"/>
                <w:lang w:val="fr-FR"/>
              </w:rPr>
            </w:pPr>
            <w:r>
              <w:rPr>
                <w:rFonts w:ascii="Arial" w:hAnsi="Arial" w:cs="Arial"/>
                <w:i/>
                <w:sz w:val="16"/>
                <w:lang w:val="fr-FR"/>
              </w:rPr>
              <w:t>34(16%)</w:t>
            </w:r>
          </w:p>
          <w:p w14:paraId="47A4AF3F" w14:textId="77777777" w:rsidR="006747CC" w:rsidRDefault="006747CC" w:rsidP="00BC3E8E">
            <w:pPr>
              <w:snapToGrid w:val="0"/>
              <w:jc w:val="center"/>
              <w:rPr>
                <w:rFonts w:ascii="Arial" w:hAnsi="Arial" w:cs="Arial"/>
                <w:i/>
                <w:sz w:val="16"/>
                <w:lang w:val="fr-FR"/>
              </w:rPr>
            </w:pPr>
            <w:r>
              <w:rPr>
                <w:rFonts w:ascii="Arial" w:hAnsi="Arial" w:cs="Arial"/>
                <w:i/>
                <w:sz w:val="16"/>
                <w:lang w:val="fr-FR"/>
              </w:rPr>
              <w:t>33(15,6%)</w:t>
            </w:r>
          </w:p>
          <w:p w14:paraId="13E3CDEB" w14:textId="77777777" w:rsidR="006747CC" w:rsidRDefault="006747CC" w:rsidP="00BC3E8E">
            <w:pPr>
              <w:snapToGrid w:val="0"/>
              <w:jc w:val="center"/>
              <w:rPr>
                <w:rFonts w:ascii="Arial" w:hAnsi="Arial" w:cs="Arial"/>
                <w:i/>
                <w:sz w:val="16"/>
                <w:lang w:val="fr-FR"/>
              </w:rPr>
            </w:pPr>
            <w:r>
              <w:rPr>
                <w:rFonts w:ascii="Arial" w:hAnsi="Arial" w:cs="Arial"/>
                <w:i/>
                <w:sz w:val="16"/>
                <w:lang w:val="fr-FR"/>
              </w:rPr>
              <w:t>31(14,6%)</w:t>
            </w:r>
          </w:p>
          <w:p w14:paraId="255F7588" w14:textId="77777777" w:rsidR="006747CC" w:rsidRDefault="006747CC" w:rsidP="00BC3E8E">
            <w:pPr>
              <w:snapToGrid w:val="0"/>
              <w:jc w:val="center"/>
              <w:rPr>
                <w:rFonts w:ascii="Arial" w:hAnsi="Arial" w:cs="Arial"/>
                <w:i/>
                <w:sz w:val="16"/>
                <w:lang w:val="fr-FR"/>
              </w:rPr>
            </w:pPr>
            <w:r>
              <w:rPr>
                <w:rFonts w:ascii="Arial" w:hAnsi="Arial" w:cs="Arial"/>
                <w:i/>
                <w:sz w:val="16"/>
                <w:lang w:val="fr-FR"/>
              </w:rPr>
              <w:t>30 (14,2%)</w:t>
            </w:r>
          </w:p>
          <w:p w14:paraId="5A2CAEFB"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29(13,7%)</w:t>
            </w:r>
          </w:p>
          <w:p w14:paraId="7F41C572"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29(13,7%)</w:t>
            </w:r>
          </w:p>
          <w:p w14:paraId="1940A6B2"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28(13,2%)</w:t>
            </w:r>
          </w:p>
          <w:p w14:paraId="6047ACF0"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28(13,2%)</w:t>
            </w:r>
          </w:p>
          <w:p w14:paraId="38C26ED2"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24(11,3%)</w:t>
            </w:r>
          </w:p>
          <w:p w14:paraId="16223CE4"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22(10,4%)</w:t>
            </w:r>
          </w:p>
          <w:p w14:paraId="3A86BF0F"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22(10,4%)</w:t>
            </w:r>
          </w:p>
          <w:p w14:paraId="5E5C802F" w14:textId="77777777" w:rsidR="006747CC" w:rsidRDefault="006747CC" w:rsidP="00BC3E8E">
            <w:pPr>
              <w:snapToGrid w:val="0"/>
              <w:jc w:val="center"/>
              <w:rPr>
                <w:rFonts w:ascii="Arial" w:hAnsi="Arial" w:cs="Arial"/>
                <w:i/>
                <w:sz w:val="16"/>
                <w:lang w:val="fr-FR"/>
              </w:rPr>
            </w:pPr>
            <w:r>
              <w:rPr>
                <w:rFonts w:ascii="Arial" w:hAnsi="Arial" w:cs="Arial"/>
                <w:i/>
                <w:sz w:val="16"/>
                <w:lang w:val="fr-FR"/>
              </w:rPr>
              <w:t>21(9,9%)</w:t>
            </w:r>
          </w:p>
          <w:p w14:paraId="1DAE6DD5" w14:textId="77777777" w:rsidR="006747CC" w:rsidRDefault="006747CC" w:rsidP="00BC3E8E">
            <w:pPr>
              <w:snapToGrid w:val="0"/>
              <w:jc w:val="center"/>
              <w:rPr>
                <w:rFonts w:ascii="Arial" w:hAnsi="Arial" w:cs="Arial"/>
                <w:i/>
                <w:sz w:val="16"/>
                <w:lang w:val="fr-FR"/>
              </w:rPr>
            </w:pPr>
            <w:r>
              <w:rPr>
                <w:rFonts w:ascii="Arial" w:hAnsi="Arial" w:cs="Arial"/>
                <w:i/>
                <w:sz w:val="16"/>
                <w:lang w:val="fr-FR"/>
              </w:rPr>
              <w:t>11(5,2%)</w:t>
            </w:r>
          </w:p>
          <w:p w14:paraId="47B8474A" w14:textId="77777777" w:rsidR="00C739E4" w:rsidRDefault="00C739E4" w:rsidP="00BC3E8E">
            <w:pPr>
              <w:snapToGrid w:val="0"/>
              <w:jc w:val="center"/>
              <w:rPr>
                <w:rFonts w:ascii="Arial" w:hAnsi="Arial" w:cs="Arial"/>
                <w:i/>
                <w:sz w:val="16"/>
                <w:lang w:val="fr-FR"/>
              </w:rPr>
            </w:pPr>
          </w:p>
          <w:p w14:paraId="0393C398" w14:textId="77777777" w:rsidR="00C739E4" w:rsidRDefault="00C739E4" w:rsidP="00BC3E8E">
            <w:pPr>
              <w:snapToGrid w:val="0"/>
              <w:jc w:val="center"/>
              <w:rPr>
                <w:rFonts w:ascii="Arial" w:hAnsi="Arial" w:cs="Arial"/>
                <w:i/>
                <w:sz w:val="16"/>
                <w:lang w:val="fr-FR"/>
              </w:rPr>
            </w:pPr>
            <w:r>
              <w:rPr>
                <w:rFonts w:ascii="Arial" w:hAnsi="Arial" w:cs="Arial"/>
                <w:i/>
                <w:sz w:val="16"/>
                <w:lang w:val="fr-FR"/>
              </w:rPr>
              <w:t>119(56,1%)</w:t>
            </w:r>
          </w:p>
          <w:p w14:paraId="56C34C4C" w14:textId="77777777" w:rsidR="00470D55" w:rsidRDefault="00470D55" w:rsidP="00BC3E8E">
            <w:pPr>
              <w:snapToGrid w:val="0"/>
              <w:jc w:val="center"/>
              <w:rPr>
                <w:rFonts w:ascii="Arial" w:hAnsi="Arial" w:cs="Arial"/>
                <w:i/>
                <w:sz w:val="16"/>
                <w:lang w:val="fr-FR"/>
              </w:rPr>
            </w:pPr>
          </w:p>
          <w:p w14:paraId="1D52F4A6" w14:textId="77777777" w:rsidR="00470D55" w:rsidRDefault="00470D55" w:rsidP="00BC3E8E">
            <w:pPr>
              <w:snapToGrid w:val="0"/>
              <w:jc w:val="center"/>
              <w:rPr>
                <w:rFonts w:ascii="Arial" w:hAnsi="Arial" w:cs="Arial"/>
                <w:i/>
                <w:sz w:val="16"/>
                <w:lang w:val="fr-FR"/>
              </w:rPr>
            </w:pPr>
            <w:r>
              <w:rPr>
                <w:rFonts w:ascii="Arial" w:hAnsi="Arial" w:cs="Arial"/>
                <w:i/>
                <w:sz w:val="16"/>
                <w:lang w:val="fr-FR"/>
              </w:rPr>
              <w:t>60(28,3%)</w:t>
            </w:r>
          </w:p>
          <w:p w14:paraId="12805382" w14:textId="77777777" w:rsidR="00100DE8" w:rsidRDefault="00100DE8" w:rsidP="00BC3E8E">
            <w:pPr>
              <w:snapToGrid w:val="0"/>
              <w:jc w:val="center"/>
              <w:rPr>
                <w:rFonts w:ascii="Arial" w:hAnsi="Arial" w:cs="Arial"/>
                <w:i/>
                <w:sz w:val="16"/>
                <w:lang w:val="fr-FR"/>
              </w:rPr>
            </w:pPr>
            <w:r>
              <w:rPr>
                <w:rFonts w:ascii="Arial" w:hAnsi="Arial" w:cs="Arial"/>
                <w:i/>
                <w:sz w:val="16"/>
                <w:lang w:val="fr-FR"/>
              </w:rPr>
              <w:t>31(14,6%)</w:t>
            </w:r>
          </w:p>
          <w:p w14:paraId="6010557A" w14:textId="77777777" w:rsidR="00100DE8" w:rsidRDefault="00100DE8" w:rsidP="00BC3E8E">
            <w:pPr>
              <w:snapToGrid w:val="0"/>
              <w:jc w:val="center"/>
              <w:rPr>
                <w:rFonts w:ascii="Arial" w:hAnsi="Arial" w:cs="Arial"/>
                <w:i/>
                <w:sz w:val="16"/>
                <w:lang w:val="fr-FR"/>
              </w:rPr>
            </w:pPr>
            <w:r>
              <w:rPr>
                <w:rFonts w:ascii="Arial" w:hAnsi="Arial" w:cs="Arial"/>
                <w:i/>
                <w:sz w:val="16"/>
                <w:lang w:val="fr-FR"/>
              </w:rPr>
              <w:t>7(3,3%)</w:t>
            </w:r>
          </w:p>
          <w:p w14:paraId="6DAC0C73" w14:textId="77777777" w:rsidR="000F25CE" w:rsidRDefault="000F25CE" w:rsidP="00BC3E8E">
            <w:pPr>
              <w:snapToGrid w:val="0"/>
              <w:jc w:val="center"/>
              <w:rPr>
                <w:rFonts w:ascii="Arial" w:hAnsi="Arial" w:cs="Arial"/>
                <w:i/>
                <w:sz w:val="16"/>
                <w:lang w:val="fr-FR"/>
              </w:rPr>
            </w:pPr>
            <w:r>
              <w:rPr>
                <w:rFonts w:ascii="Arial" w:hAnsi="Arial" w:cs="Arial"/>
                <w:i/>
                <w:sz w:val="16"/>
                <w:lang w:val="fr-FR"/>
              </w:rPr>
              <w:t>6(2,8%)</w:t>
            </w:r>
          </w:p>
          <w:p w14:paraId="7C667D87" w14:textId="77777777" w:rsidR="000F25CE" w:rsidRDefault="000F25CE" w:rsidP="00BC3E8E">
            <w:pPr>
              <w:snapToGrid w:val="0"/>
              <w:jc w:val="center"/>
              <w:rPr>
                <w:rFonts w:ascii="Arial" w:hAnsi="Arial" w:cs="Arial"/>
                <w:i/>
                <w:sz w:val="16"/>
                <w:lang w:val="fr-FR"/>
              </w:rPr>
            </w:pPr>
            <w:r>
              <w:rPr>
                <w:rFonts w:ascii="Arial" w:hAnsi="Arial" w:cs="Arial"/>
                <w:i/>
                <w:sz w:val="16"/>
                <w:lang w:val="fr-FR"/>
              </w:rPr>
              <w:t>4(1,9%)</w:t>
            </w:r>
          </w:p>
          <w:p w14:paraId="02EA97A9" w14:textId="77777777" w:rsidR="000F25CE" w:rsidRDefault="000F25CE" w:rsidP="00BC3E8E">
            <w:pPr>
              <w:snapToGrid w:val="0"/>
              <w:jc w:val="center"/>
              <w:rPr>
                <w:rFonts w:ascii="Arial" w:hAnsi="Arial" w:cs="Arial"/>
                <w:i/>
                <w:sz w:val="16"/>
                <w:lang w:val="fr-FR"/>
              </w:rPr>
            </w:pPr>
            <w:r>
              <w:rPr>
                <w:rFonts w:ascii="Arial" w:hAnsi="Arial" w:cs="Arial"/>
                <w:i/>
                <w:sz w:val="16"/>
                <w:lang w:val="fr-FR"/>
              </w:rPr>
              <w:t>5(2,4%)</w:t>
            </w:r>
          </w:p>
          <w:p w14:paraId="7CC8EC5B" w14:textId="77777777" w:rsidR="000F25CE" w:rsidRDefault="000F25CE" w:rsidP="00BC3E8E">
            <w:pPr>
              <w:snapToGrid w:val="0"/>
              <w:jc w:val="center"/>
              <w:rPr>
                <w:rFonts w:ascii="Arial" w:hAnsi="Arial" w:cs="Arial"/>
                <w:i/>
                <w:sz w:val="16"/>
                <w:lang w:val="fr-FR"/>
              </w:rPr>
            </w:pPr>
            <w:r>
              <w:rPr>
                <w:rFonts w:ascii="Arial" w:hAnsi="Arial" w:cs="Arial"/>
                <w:i/>
                <w:sz w:val="16"/>
                <w:lang w:val="fr-FR"/>
              </w:rPr>
              <w:t>6(2,8%)</w:t>
            </w:r>
          </w:p>
          <w:p w14:paraId="43206795" w14:textId="77777777" w:rsidR="000F25CE" w:rsidRDefault="000F25CE" w:rsidP="00BC3E8E">
            <w:pPr>
              <w:snapToGrid w:val="0"/>
              <w:jc w:val="center"/>
              <w:rPr>
                <w:rFonts w:ascii="Arial" w:hAnsi="Arial" w:cs="Arial"/>
                <w:i/>
                <w:sz w:val="16"/>
                <w:lang w:val="fr-FR"/>
              </w:rPr>
            </w:pPr>
            <w:r>
              <w:rPr>
                <w:rFonts w:ascii="Arial" w:hAnsi="Arial" w:cs="Arial"/>
                <w:i/>
                <w:sz w:val="16"/>
                <w:lang w:val="fr-FR"/>
              </w:rPr>
              <w:t>11(5,2%)</w:t>
            </w:r>
          </w:p>
          <w:p w14:paraId="4D3287BC" w14:textId="77777777" w:rsidR="000F25CE" w:rsidRDefault="000F25CE" w:rsidP="00BC3E8E">
            <w:pPr>
              <w:snapToGrid w:val="0"/>
              <w:jc w:val="center"/>
              <w:rPr>
                <w:rFonts w:ascii="Arial" w:hAnsi="Arial" w:cs="Arial"/>
                <w:i/>
                <w:sz w:val="16"/>
                <w:lang w:val="fr-FR"/>
              </w:rPr>
            </w:pPr>
            <w:r>
              <w:rPr>
                <w:rFonts w:ascii="Arial" w:hAnsi="Arial" w:cs="Arial"/>
                <w:i/>
                <w:sz w:val="16"/>
                <w:lang w:val="fr-FR"/>
              </w:rPr>
              <w:t>4(1,9%)</w:t>
            </w:r>
          </w:p>
          <w:p w14:paraId="268E1183" w14:textId="77777777" w:rsidR="000F25CE" w:rsidRDefault="000F25CE" w:rsidP="00BC3E8E">
            <w:pPr>
              <w:snapToGrid w:val="0"/>
              <w:jc w:val="center"/>
              <w:rPr>
                <w:rFonts w:ascii="Arial" w:hAnsi="Arial" w:cs="Arial"/>
                <w:i/>
                <w:sz w:val="16"/>
                <w:lang w:val="fr-FR"/>
              </w:rPr>
            </w:pPr>
            <w:r>
              <w:rPr>
                <w:rFonts w:ascii="Arial" w:hAnsi="Arial" w:cs="Arial"/>
                <w:i/>
                <w:sz w:val="16"/>
                <w:lang w:val="fr-FR"/>
              </w:rPr>
              <w:t>2(0,9%)</w:t>
            </w:r>
          </w:p>
          <w:p w14:paraId="33429CBE" w14:textId="77777777" w:rsidR="006D7C86" w:rsidRDefault="006D7C86" w:rsidP="00BC3E8E">
            <w:pPr>
              <w:snapToGrid w:val="0"/>
              <w:jc w:val="center"/>
              <w:rPr>
                <w:rFonts w:ascii="Arial" w:hAnsi="Arial" w:cs="Arial"/>
                <w:i/>
                <w:sz w:val="16"/>
                <w:lang w:val="fr-FR"/>
              </w:rPr>
            </w:pPr>
          </w:p>
          <w:p w14:paraId="1D83E9CF" w14:textId="77777777" w:rsidR="006D7C86" w:rsidRDefault="006D7C86" w:rsidP="00BC3E8E">
            <w:pPr>
              <w:snapToGrid w:val="0"/>
              <w:jc w:val="center"/>
              <w:rPr>
                <w:rFonts w:ascii="Arial" w:hAnsi="Arial" w:cs="Arial"/>
                <w:i/>
                <w:sz w:val="16"/>
                <w:lang w:val="fr-FR"/>
              </w:rPr>
            </w:pPr>
            <w:r>
              <w:rPr>
                <w:rFonts w:ascii="Arial" w:hAnsi="Arial" w:cs="Arial"/>
                <w:i/>
                <w:sz w:val="16"/>
                <w:lang w:val="fr-FR"/>
              </w:rPr>
              <w:t>23(10,8%)</w:t>
            </w:r>
          </w:p>
          <w:p w14:paraId="68AD7A4C" w14:textId="77777777" w:rsidR="006D7C86" w:rsidRDefault="006D7C86" w:rsidP="00BC3E8E">
            <w:pPr>
              <w:snapToGrid w:val="0"/>
              <w:jc w:val="center"/>
              <w:rPr>
                <w:rFonts w:ascii="Arial" w:hAnsi="Arial" w:cs="Arial"/>
                <w:i/>
                <w:sz w:val="16"/>
                <w:lang w:val="fr-FR"/>
              </w:rPr>
            </w:pPr>
          </w:p>
          <w:p w14:paraId="6239961E" w14:textId="77777777" w:rsidR="006D7C86" w:rsidRDefault="006D7C86" w:rsidP="00BC3E8E">
            <w:pPr>
              <w:snapToGrid w:val="0"/>
              <w:jc w:val="center"/>
              <w:rPr>
                <w:rFonts w:ascii="Arial" w:hAnsi="Arial" w:cs="Arial"/>
                <w:i/>
                <w:sz w:val="16"/>
                <w:lang w:val="fr-FR"/>
              </w:rPr>
            </w:pPr>
            <w:r>
              <w:rPr>
                <w:rFonts w:ascii="Arial" w:hAnsi="Arial" w:cs="Arial"/>
                <w:i/>
                <w:sz w:val="16"/>
                <w:lang w:val="fr-FR"/>
              </w:rPr>
              <w:t>3(1,4%)</w:t>
            </w:r>
          </w:p>
          <w:p w14:paraId="5640D4F0" w14:textId="77777777" w:rsidR="006D7C86" w:rsidRDefault="006D7C86" w:rsidP="006D7C86">
            <w:pPr>
              <w:snapToGrid w:val="0"/>
              <w:jc w:val="center"/>
              <w:rPr>
                <w:rFonts w:ascii="Arial" w:hAnsi="Arial" w:cs="Arial"/>
                <w:i/>
                <w:sz w:val="16"/>
                <w:lang w:val="fr-FR"/>
              </w:rPr>
            </w:pPr>
            <w:r>
              <w:rPr>
                <w:rFonts w:ascii="Arial" w:hAnsi="Arial" w:cs="Arial"/>
                <w:i/>
                <w:sz w:val="16"/>
                <w:lang w:val="fr-FR"/>
              </w:rPr>
              <w:t>8(3,8%)</w:t>
            </w:r>
          </w:p>
          <w:p w14:paraId="1035E570" w14:textId="77777777" w:rsidR="006D7C86" w:rsidRPr="006F6ABB" w:rsidRDefault="006D7C86" w:rsidP="006D7C86">
            <w:pPr>
              <w:snapToGrid w:val="0"/>
              <w:jc w:val="center"/>
              <w:rPr>
                <w:rFonts w:ascii="Arial" w:hAnsi="Arial" w:cs="Arial"/>
                <w:i/>
                <w:sz w:val="16"/>
                <w:lang w:val="fr-FR"/>
              </w:rPr>
            </w:pPr>
            <w:r>
              <w:rPr>
                <w:rFonts w:ascii="Arial" w:hAnsi="Arial" w:cs="Arial"/>
                <w:i/>
                <w:sz w:val="16"/>
                <w:lang w:val="fr-FR"/>
              </w:rPr>
              <w:t>3(1,4%)</w:t>
            </w:r>
          </w:p>
        </w:tc>
        <w:tc>
          <w:tcPr>
            <w:tcW w:w="1253" w:type="dxa"/>
          </w:tcPr>
          <w:p w14:paraId="7EAFC2E4" w14:textId="77777777" w:rsidR="006C5F4B" w:rsidRPr="006F6ABB" w:rsidRDefault="006C5F4B" w:rsidP="00BC3E8E">
            <w:pPr>
              <w:jc w:val="center"/>
              <w:rPr>
                <w:rFonts w:ascii="Arial" w:hAnsi="Arial" w:cs="Arial"/>
                <w:i/>
                <w:sz w:val="16"/>
                <w:lang w:val="fr-FR"/>
              </w:rPr>
            </w:pPr>
            <w:r>
              <w:rPr>
                <w:rFonts w:ascii="Arial" w:hAnsi="Arial" w:cs="Arial"/>
                <w:i/>
                <w:sz w:val="16"/>
                <w:lang w:val="fr-FR"/>
              </w:rPr>
              <w:t>52 (24,6</w:t>
            </w:r>
            <w:r w:rsidRPr="006F6ABB">
              <w:rPr>
                <w:rFonts w:ascii="Arial" w:hAnsi="Arial" w:cs="Arial"/>
                <w:i/>
                <w:sz w:val="16"/>
                <w:lang w:val="fr-FR"/>
              </w:rPr>
              <w:t>%</w:t>
            </w:r>
            <w:r>
              <w:rPr>
                <w:rFonts w:ascii="Arial" w:hAnsi="Arial" w:cs="Arial"/>
                <w:i/>
                <w:sz w:val="16"/>
                <w:lang w:val="fr-FR"/>
              </w:rPr>
              <w:t>)</w:t>
            </w:r>
          </w:p>
          <w:p w14:paraId="37D4906D" w14:textId="77777777" w:rsidR="006C5F4B" w:rsidRPr="00C739E4" w:rsidRDefault="00C739E4" w:rsidP="00BC3E8E">
            <w:pPr>
              <w:jc w:val="center"/>
              <w:rPr>
                <w:rFonts w:ascii="Arial" w:hAnsi="Arial" w:cs="Arial"/>
                <w:b/>
                <w:i/>
                <w:sz w:val="16"/>
                <w:lang w:val="fr-FR"/>
              </w:rPr>
            </w:pPr>
            <w:r w:rsidRPr="00C739E4">
              <w:rPr>
                <w:rFonts w:ascii="Arial" w:hAnsi="Arial" w:cs="Arial"/>
                <w:b/>
                <w:i/>
                <w:sz w:val="16"/>
                <w:lang w:val="fr-FR"/>
              </w:rPr>
              <w:t>199(94,3%)</w:t>
            </w:r>
          </w:p>
          <w:p w14:paraId="70B57924" w14:textId="77777777" w:rsidR="006C5F4B" w:rsidRPr="006F6ABB" w:rsidRDefault="006747CC" w:rsidP="00BC3E8E">
            <w:pPr>
              <w:jc w:val="center"/>
              <w:rPr>
                <w:rFonts w:ascii="Arial" w:hAnsi="Arial" w:cs="Arial"/>
                <w:i/>
                <w:sz w:val="16"/>
                <w:lang w:val="fr-FR"/>
              </w:rPr>
            </w:pPr>
            <w:r>
              <w:rPr>
                <w:rFonts w:ascii="Arial" w:hAnsi="Arial" w:cs="Arial"/>
                <w:i/>
                <w:sz w:val="16"/>
                <w:lang w:val="fr-FR"/>
              </w:rPr>
              <w:t>43(20,4</w:t>
            </w:r>
            <w:r w:rsidR="006C5F4B" w:rsidRPr="006F6ABB">
              <w:rPr>
                <w:rFonts w:ascii="Arial" w:hAnsi="Arial" w:cs="Arial"/>
                <w:i/>
                <w:sz w:val="16"/>
                <w:lang w:val="fr-FR"/>
              </w:rPr>
              <w:t>%</w:t>
            </w:r>
            <w:r>
              <w:rPr>
                <w:rFonts w:ascii="Arial" w:hAnsi="Arial" w:cs="Arial"/>
                <w:i/>
                <w:sz w:val="16"/>
                <w:lang w:val="fr-FR"/>
              </w:rPr>
              <w:t>)</w:t>
            </w:r>
          </w:p>
          <w:p w14:paraId="7CF54838" w14:textId="77777777" w:rsidR="006C5F4B" w:rsidRPr="006F6ABB" w:rsidRDefault="006747CC" w:rsidP="00BC3E8E">
            <w:pPr>
              <w:jc w:val="center"/>
              <w:rPr>
                <w:rFonts w:ascii="Arial" w:hAnsi="Arial" w:cs="Arial"/>
                <w:i/>
                <w:sz w:val="16"/>
                <w:lang w:val="fr-FR"/>
              </w:rPr>
            </w:pPr>
            <w:r>
              <w:rPr>
                <w:rFonts w:ascii="Arial" w:hAnsi="Arial" w:cs="Arial"/>
                <w:i/>
                <w:sz w:val="16"/>
                <w:lang w:val="fr-FR"/>
              </w:rPr>
              <w:t>44(20,9</w:t>
            </w:r>
            <w:r w:rsidR="006C5F4B" w:rsidRPr="006F6ABB">
              <w:rPr>
                <w:rFonts w:ascii="Arial" w:hAnsi="Arial" w:cs="Arial"/>
                <w:i/>
                <w:sz w:val="16"/>
                <w:lang w:val="fr-FR"/>
              </w:rPr>
              <w:t>%</w:t>
            </w:r>
            <w:r>
              <w:rPr>
                <w:rFonts w:ascii="Arial" w:hAnsi="Arial" w:cs="Arial"/>
                <w:i/>
                <w:sz w:val="16"/>
                <w:lang w:val="fr-FR"/>
              </w:rPr>
              <w:t>)</w:t>
            </w:r>
          </w:p>
          <w:p w14:paraId="68E08D25" w14:textId="77777777" w:rsidR="006C5F4B" w:rsidRPr="006F6ABB" w:rsidRDefault="006747CC" w:rsidP="00BC3E8E">
            <w:pPr>
              <w:jc w:val="center"/>
              <w:rPr>
                <w:rFonts w:ascii="Arial" w:hAnsi="Arial" w:cs="Arial"/>
                <w:i/>
                <w:sz w:val="16"/>
                <w:lang w:val="fr-FR"/>
              </w:rPr>
            </w:pPr>
            <w:r>
              <w:rPr>
                <w:rFonts w:ascii="Arial" w:hAnsi="Arial" w:cs="Arial"/>
                <w:i/>
                <w:sz w:val="16"/>
                <w:lang w:val="fr-FR"/>
              </w:rPr>
              <w:t>29(13,7</w:t>
            </w:r>
            <w:r w:rsidR="006C5F4B" w:rsidRPr="006F6ABB">
              <w:rPr>
                <w:rFonts w:ascii="Arial" w:hAnsi="Arial" w:cs="Arial"/>
                <w:i/>
                <w:sz w:val="16"/>
                <w:lang w:val="fr-FR"/>
              </w:rPr>
              <w:t>%</w:t>
            </w:r>
            <w:r>
              <w:rPr>
                <w:rFonts w:ascii="Arial" w:hAnsi="Arial" w:cs="Arial"/>
                <w:i/>
                <w:sz w:val="16"/>
                <w:lang w:val="fr-FR"/>
              </w:rPr>
              <w:t>)</w:t>
            </w:r>
          </w:p>
          <w:p w14:paraId="0993A793" w14:textId="77777777" w:rsidR="006C5F4B" w:rsidRDefault="006747CC" w:rsidP="00BC3E8E">
            <w:pPr>
              <w:jc w:val="center"/>
              <w:rPr>
                <w:rFonts w:ascii="Arial" w:hAnsi="Arial" w:cs="Arial"/>
                <w:i/>
                <w:sz w:val="16"/>
                <w:lang w:val="fr-FR"/>
              </w:rPr>
            </w:pPr>
            <w:r>
              <w:rPr>
                <w:rFonts w:ascii="Arial" w:hAnsi="Arial" w:cs="Arial"/>
                <w:i/>
                <w:sz w:val="16"/>
                <w:lang w:val="fr-FR"/>
              </w:rPr>
              <w:t>35(16,6</w:t>
            </w:r>
            <w:r w:rsidR="006C5F4B" w:rsidRPr="006F6ABB">
              <w:rPr>
                <w:rFonts w:ascii="Arial" w:hAnsi="Arial" w:cs="Arial"/>
                <w:i/>
                <w:sz w:val="16"/>
                <w:lang w:val="fr-FR"/>
              </w:rPr>
              <w:t>%</w:t>
            </w:r>
            <w:r>
              <w:rPr>
                <w:rFonts w:ascii="Arial" w:hAnsi="Arial" w:cs="Arial"/>
                <w:i/>
                <w:sz w:val="16"/>
                <w:lang w:val="fr-FR"/>
              </w:rPr>
              <w:t>)</w:t>
            </w:r>
          </w:p>
          <w:p w14:paraId="009071CC" w14:textId="77777777" w:rsidR="006747CC" w:rsidRDefault="006747CC" w:rsidP="00BC3E8E">
            <w:pPr>
              <w:jc w:val="center"/>
              <w:rPr>
                <w:rFonts w:ascii="Arial" w:hAnsi="Arial" w:cs="Arial"/>
                <w:i/>
                <w:sz w:val="16"/>
                <w:lang w:val="fr-FR"/>
              </w:rPr>
            </w:pPr>
            <w:r>
              <w:rPr>
                <w:rFonts w:ascii="Arial" w:hAnsi="Arial" w:cs="Arial"/>
                <w:i/>
                <w:sz w:val="16"/>
                <w:lang w:val="fr-FR"/>
              </w:rPr>
              <w:t>29(13,7%)</w:t>
            </w:r>
          </w:p>
          <w:p w14:paraId="406A45D9" w14:textId="77777777" w:rsidR="006747CC" w:rsidRDefault="006747CC" w:rsidP="00BC3E8E">
            <w:pPr>
              <w:jc w:val="center"/>
              <w:rPr>
                <w:rFonts w:ascii="Arial" w:hAnsi="Arial" w:cs="Arial"/>
                <w:i/>
                <w:sz w:val="16"/>
                <w:lang w:val="fr-FR"/>
              </w:rPr>
            </w:pPr>
            <w:r>
              <w:rPr>
                <w:rFonts w:ascii="Arial" w:hAnsi="Arial" w:cs="Arial"/>
                <w:i/>
                <w:sz w:val="16"/>
                <w:lang w:val="fr-FR"/>
              </w:rPr>
              <w:t>18(8,5%)</w:t>
            </w:r>
          </w:p>
          <w:p w14:paraId="48066C27" w14:textId="77777777" w:rsidR="006747CC" w:rsidRDefault="006747CC" w:rsidP="00BC3E8E">
            <w:pPr>
              <w:jc w:val="center"/>
              <w:rPr>
                <w:rFonts w:ascii="Arial" w:hAnsi="Arial" w:cs="Arial"/>
                <w:i/>
                <w:sz w:val="16"/>
                <w:lang w:val="fr-FR"/>
              </w:rPr>
            </w:pPr>
            <w:r>
              <w:rPr>
                <w:rFonts w:ascii="Arial" w:hAnsi="Arial" w:cs="Arial"/>
                <w:i/>
                <w:sz w:val="16"/>
                <w:lang w:val="fr-FR"/>
              </w:rPr>
              <w:t>12(5,7%)</w:t>
            </w:r>
          </w:p>
          <w:p w14:paraId="396FDCB3" w14:textId="77777777" w:rsidR="006747CC" w:rsidRDefault="006747CC" w:rsidP="00BC3E8E">
            <w:pPr>
              <w:jc w:val="center"/>
              <w:rPr>
                <w:rFonts w:ascii="Arial" w:hAnsi="Arial" w:cs="Arial"/>
                <w:i/>
                <w:sz w:val="16"/>
                <w:lang w:val="fr-FR"/>
              </w:rPr>
            </w:pPr>
            <w:r>
              <w:rPr>
                <w:rFonts w:ascii="Arial" w:hAnsi="Arial" w:cs="Arial"/>
                <w:i/>
                <w:sz w:val="16"/>
                <w:lang w:val="fr-FR"/>
              </w:rPr>
              <w:t>19(9%)</w:t>
            </w:r>
          </w:p>
          <w:p w14:paraId="13729247" w14:textId="77777777" w:rsidR="006747CC" w:rsidRDefault="006747CC" w:rsidP="00BC3E8E">
            <w:pPr>
              <w:jc w:val="center"/>
              <w:rPr>
                <w:rFonts w:ascii="Arial" w:hAnsi="Arial" w:cs="Arial"/>
                <w:i/>
                <w:sz w:val="16"/>
                <w:lang w:val="fr-FR"/>
              </w:rPr>
            </w:pPr>
            <w:r>
              <w:rPr>
                <w:rFonts w:ascii="Arial" w:hAnsi="Arial" w:cs="Arial"/>
                <w:i/>
                <w:sz w:val="16"/>
                <w:lang w:val="fr-FR"/>
              </w:rPr>
              <w:t>44(20.9%)</w:t>
            </w:r>
          </w:p>
          <w:p w14:paraId="2D6259B4" w14:textId="77777777" w:rsidR="006747CC" w:rsidRDefault="006747CC" w:rsidP="00BC3E8E">
            <w:pPr>
              <w:jc w:val="center"/>
              <w:rPr>
                <w:rFonts w:ascii="Arial" w:hAnsi="Arial" w:cs="Arial"/>
                <w:i/>
                <w:sz w:val="16"/>
                <w:lang w:val="fr-FR"/>
              </w:rPr>
            </w:pPr>
            <w:r>
              <w:rPr>
                <w:rFonts w:ascii="Arial" w:hAnsi="Arial" w:cs="Arial"/>
                <w:i/>
                <w:sz w:val="16"/>
                <w:lang w:val="fr-FR"/>
              </w:rPr>
              <w:t>13(6,2%)</w:t>
            </w:r>
          </w:p>
          <w:p w14:paraId="311812CD" w14:textId="77777777" w:rsidR="006747CC" w:rsidRDefault="006747CC" w:rsidP="00BC3E8E">
            <w:pPr>
              <w:jc w:val="center"/>
              <w:rPr>
                <w:rFonts w:ascii="Arial" w:hAnsi="Arial" w:cs="Arial"/>
                <w:i/>
                <w:sz w:val="16"/>
                <w:lang w:val="fr-FR"/>
              </w:rPr>
            </w:pPr>
            <w:r>
              <w:rPr>
                <w:rFonts w:ascii="Arial" w:hAnsi="Arial" w:cs="Arial"/>
                <w:i/>
                <w:sz w:val="16"/>
                <w:lang w:val="fr-FR"/>
              </w:rPr>
              <w:t>20(9,5%)</w:t>
            </w:r>
          </w:p>
          <w:p w14:paraId="03961619" w14:textId="77777777" w:rsidR="006747CC" w:rsidRDefault="006747CC" w:rsidP="00BC3E8E">
            <w:pPr>
              <w:jc w:val="center"/>
              <w:rPr>
                <w:rFonts w:ascii="Arial" w:hAnsi="Arial" w:cs="Arial"/>
                <w:i/>
                <w:sz w:val="16"/>
                <w:lang w:val="fr-FR"/>
              </w:rPr>
            </w:pPr>
            <w:r>
              <w:rPr>
                <w:rFonts w:ascii="Arial" w:hAnsi="Arial" w:cs="Arial"/>
                <w:i/>
                <w:sz w:val="16"/>
                <w:lang w:val="fr-FR"/>
              </w:rPr>
              <w:t>12(5,7%)</w:t>
            </w:r>
          </w:p>
          <w:p w14:paraId="2FDA6578" w14:textId="77777777" w:rsidR="006747CC" w:rsidRDefault="006747CC" w:rsidP="00BC3E8E">
            <w:pPr>
              <w:jc w:val="center"/>
              <w:rPr>
                <w:rFonts w:ascii="Arial" w:hAnsi="Arial" w:cs="Arial"/>
                <w:i/>
                <w:sz w:val="16"/>
                <w:lang w:val="fr-FR"/>
              </w:rPr>
            </w:pPr>
            <w:r>
              <w:rPr>
                <w:rFonts w:ascii="Arial" w:hAnsi="Arial" w:cs="Arial"/>
                <w:i/>
                <w:sz w:val="16"/>
                <w:lang w:val="fr-FR"/>
              </w:rPr>
              <w:t>14(6,6%)</w:t>
            </w:r>
          </w:p>
          <w:p w14:paraId="687382C2" w14:textId="77777777" w:rsidR="006747CC" w:rsidRDefault="006747CC" w:rsidP="00BC3E8E">
            <w:pPr>
              <w:jc w:val="center"/>
              <w:rPr>
                <w:rFonts w:ascii="Arial" w:hAnsi="Arial" w:cs="Arial"/>
                <w:i/>
                <w:sz w:val="16"/>
                <w:lang w:val="fr-FR"/>
              </w:rPr>
            </w:pPr>
            <w:r>
              <w:rPr>
                <w:rFonts w:ascii="Arial" w:hAnsi="Arial" w:cs="Arial"/>
                <w:i/>
                <w:sz w:val="16"/>
                <w:lang w:val="fr-FR"/>
              </w:rPr>
              <w:t>20(9,5%)</w:t>
            </w:r>
          </w:p>
          <w:p w14:paraId="326C4856" w14:textId="77777777" w:rsidR="006747CC" w:rsidRDefault="006747CC" w:rsidP="00BC3E8E">
            <w:pPr>
              <w:jc w:val="center"/>
              <w:rPr>
                <w:rFonts w:ascii="Arial" w:hAnsi="Arial" w:cs="Arial"/>
                <w:i/>
                <w:sz w:val="16"/>
                <w:lang w:val="fr-FR"/>
              </w:rPr>
            </w:pPr>
            <w:r>
              <w:rPr>
                <w:rFonts w:ascii="Arial" w:hAnsi="Arial" w:cs="Arial"/>
                <w:i/>
                <w:sz w:val="16"/>
                <w:lang w:val="fr-FR"/>
              </w:rPr>
              <w:t>12(5,7%)</w:t>
            </w:r>
          </w:p>
          <w:p w14:paraId="7F1FC861" w14:textId="77777777" w:rsidR="006747CC" w:rsidRDefault="006747CC" w:rsidP="00BC3E8E">
            <w:pPr>
              <w:jc w:val="center"/>
              <w:rPr>
                <w:rFonts w:ascii="Arial" w:hAnsi="Arial" w:cs="Arial"/>
                <w:i/>
                <w:sz w:val="16"/>
                <w:lang w:val="fr-FR"/>
              </w:rPr>
            </w:pPr>
            <w:r>
              <w:rPr>
                <w:rFonts w:ascii="Arial" w:hAnsi="Arial" w:cs="Arial"/>
                <w:i/>
                <w:sz w:val="16"/>
                <w:lang w:val="fr-FR"/>
              </w:rPr>
              <w:t>8(3,8%)</w:t>
            </w:r>
          </w:p>
          <w:p w14:paraId="015739D6" w14:textId="77777777" w:rsidR="006747CC" w:rsidRDefault="006747CC" w:rsidP="00BC3E8E">
            <w:pPr>
              <w:jc w:val="center"/>
              <w:rPr>
                <w:rFonts w:ascii="Arial" w:hAnsi="Arial" w:cs="Arial"/>
                <w:i/>
                <w:sz w:val="16"/>
                <w:lang w:val="fr-FR"/>
              </w:rPr>
            </w:pPr>
            <w:r>
              <w:rPr>
                <w:rFonts w:ascii="Arial" w:hAnsi="Arial" w:cs="Arial"/>
                <w:i/>
                <w:sz w:val="16"/>
                <w:lang w:val="fr-FR"/>
              </w:rPr>
              <w:t>5(2,4%)</w:t>
            </w:r>
          </w:p>
          <w:p w14:paraId="0A527F51" w14:textId="77777777" w:rsidR="006747CC" w:rsidRDefault="006747CC" w:rsidP="00BC3E8E">
            <w:pPr>
              <w:jc w:val="center"/>
              <w:rPr>
                <w:rFonts w:ascii="Arial" w:hAnsi="Arial" w:cs="Arial"/>
                <w:i/>
                <w:sz w:val="16"/>
                <w:lang w:val="fr-FR"/>
              </w:rPr>
            </w:pPr>
            <w:r>
              <w:rPr>
                <w:rFonts w:ascii="Arial" w:hAnsi="Arial" w:cs="Arial"/>
                <w:i/>
                <w:sz w:val="16"/>
                <w:lang w:val="fr-FR"/>
              </w:rPr>
              <w:t>24(11,4%)</w:t>
            </w:r>
          </w:p>
          <w:p w14:paraId="19EAFF3A" w14:textId="77777777" w:rsidR="006747CC" w:rsidRDefault="006747CC" w:rsidP="00BC3E8E">
            <w:pPr>
              <w:jc w:val="center"/>
              <w:rPr>
                <w:rFonts w:ascii="Arial" w:hAnsi="Arial" w:cs="Arial"/>
                <w:i/>
                <w:sz w:val="16"/>
                <w:lang w:val="fr-FR"/>
              </w:rPr>
            </w:pPr>
            <w:r>
              <w:rPr>
                <w:rFonts w:ascii="Arial" w:hAnsi="Arial" w:cs="Arial"/>
                <w:i/>
                <w:sz w:val="16"/>
                <w:lang w:val="fr-FR"/>
              </w:rPr>
              <w:t>26(12,3%)</w:t>
            </w:r>
          </w:p>
          <w:p w14:paraId="674E06E8" w14:textId="77777777" w:rsidR="00C739E4" w:rsidRDefault="00C739E4" w:rsidP="00BC3E8E">
            <w:pPr>
              <w:jc w:val="center"/>
              <w:rPr>
                <w:rFonts w:ascii="Arial" w:hAnsi="Arial" w:cs="Arial"/>
                <w:i/>
                <w:sz w:val="16"/>
                <w:lang w:val="fr-FR"/>
              </w:rPr>
            </w:pPr>
          </w:p>
          <w:p w14:paraId="376BE8A2" w14:textId="77777777" w:rsidR="00C739E4" w:rsidRDefault="00C739E4" w:rsidP="00BC3E8E">
            <w:pPr>
              <w:jc w:val="center"/>
              <w:rPr>
                <w:rFonts w:ascii="Arial" w:hAnsi="Arial" w:cs="Arial"/>
                <w:i/>
                <w:sz w:val="16"/>
                <w:lang w:val="fr-FR"/>
              </w:rPr>
            </w:pPr>
            <w:r>
              <w:rPr>
                <w:rFonts w:ascii="Arial" w:hAnsi="Arial" w:cs="Arial"/>
                <w:i/>
                <w:sz w:val="16"/>
                <w:lang w:val="fr-FR"/>
              </w:rPr>
              <w:t>90(42,7%)</w:t>
            </w:r>
          </w:p>
          <w:p w14:paraId="41C851B0" w14:textId="77777777" w:rsidR="00470D55" w:rsidRDefault="00470D55" w:rsidP="00BC3E8E">
            <w:pPr>
              <w:jc w:val="center"/>
              <w:rPr>
                <w:rFonts w:ascii="Arial" w:hAnsi="Arial" w:cs="Arial"/>
                <w:i/>
                <w:sz w:val="16"/>
                <w:lang w:val="fr-FR"/>
              </w:rPr>
            </w:pPr>
          </w:p>
          <w:p w14:paraId="3CF2A7AD" w14:textId="77777777" w:rsidR="00470D55" w:rsidRDefault="00100DE8" w:rsidP="00BC3E8E">
            <w:pPr>
              <w:jc w:val="center"/>
              <w:rPr>
                <w:rFonts w:ascii="Arial" w:hAnsi="Arial" w:cs="Arial"/>
                <w:i/>
                <w:sz w:val="16"/>
                <w:lang w:val="fr-FR"/>
              </w:rPr>
            </w:pPr>
            <w:r>
              <w:rPr>
                <w:rFonts w:ascii="Arial" w:hAnsi="Arial" w:cs="Arial"/>
                <w:i/>
                <w:sz w:val="16"/>
                <w:lang w:val="fr-FR"/>
              </w:rPr>
              <w:t>16(7,6%)</w:t>
            </w:r>
          </w:p>
          <w:p w14:paraId="4417706A" w14:textId="77777777" w:rsidR="00100DE8" w:rsidRDefault="00100DE8" w:rsidP="00BC3E8E">
            <w:pPr>
              <w:jc w:val="center"/>
              <w:rPr>
                <w:rFonts w:ascii="Arial" w:hAnsi="Arial" w:cs="Arial"/>
                <w:i/>
                <w:sz w:val="16"/>
                <w:lang w:val="fr-FR"/>
              </w:rPr>
            </w:pPr>
            <w:r>
              <w:rPr>
                <w:rFonts w:ascii="Arial" w:hAnsi="Arial" w:cs="Arial"/>
                <w:i/>
                <w:sz w:val="16"/>
                <w:lang w:val="fr-FR"/>
              </w:rPr>
              <w:t>26(12,3%)</w:t>
            </w:r>
          </w:p>
          <w:p w14:paraId="524060CF" w14:textId="77777777" w:rsidR="00100DE8" w:rsidRDefault="00100DE8" w:rsidP="00BC3E8E">
            <w:pPr>
              <w:jc w:val="center"/>
              <w:rPr>
                <w:rFonts w:ascii="Arial" w:hAnsi="Arial" w:cs="Arial"/>
                <w:i/>
                <w:sz w:val="16"/>
                <w:lang w:val="fr-FR"/>
              </w:rPr>
            </w:pPr>
            <w:r>
              <w:rPr>
                <w:rFonts w:ascii="Arial" w:hAnsi="Arial" w:cs="Arial"/>
                <w:i/>
                <w:sz w:val="16"/>
                <w:lang w:val="fr-FR"/>
              </w:rPr>
              <w:t>9(4,3%)</w:t>
            </w:r>
          </w:p>
          <w:p w14:paraId="0ACEB7EC" w14:textId="77777777" w:rsidR="000F25CE" w:rsidRDefault="000F25CE" w:rsidP="00BC3E8E">
            <w:pPr>
              <w:jc w:val="center"/>
              <w:rPr>
                <w:rFonts w:ascii="Arial" w:hAnsi="Arial" w:cs="Arial"/>
                <w:i/>
                <w:sz w:val="16"/>
                <w:lang w:val="fr-FR"/>
              </w:rPr>
            </w:pPr>
            <w:r>
              <w:rPr>
                <w:rFonts w:ascii="Arial" w:hAnsi="Arial" w:cs="Arial"/>
                <w:i/>
                <w:sz w:val="16"/>
                <w:lang w:val="fr-FR"/>
              </w:rPr>
              <w:t>5(2,4%)</w:t>
            </w:r>
          </w:p>
          <w:p w14:paraId="3772A097" w14:textId="77777777" w:rsidR="000F25CE" w:rsidRDefault="000F25CE" w:rsidP="00BC3E8E">
            <w:pPr>
              <w:jc w:val="center"/>
              <w:rPr>
                <w:rFonts w:ascii="Arial" w:hAnsi="Arial" w:cs="Arial"/>
                <w:i/>
                <w:sz w:val="16"/>
                <w:lang w:val="fr-FR"/>
              </w:rPr>
            </w:pPr>
            <w:r>
              <w:rPr>
                <w:rFonts w:ascii="Arial" w:hAnsi="Arial" w:cs="Arial"/>
                <w:i/>
                <w:sz w:val="16"/>
                <w:lang w:val="fr-FR"/>
              </w:rPr>
              <w:t>2(0,9%)</w:t>
            </w:r>
          </w:p>
          <w:p w14:paraId="4387A21D" w14:textId="77777777" w:rsidR="000F25CE" w:rsidRDefault="000F25CE" w:rsidP="00BC3E8E">
            <w:pPr>
              <w:jc w:val="center"/>
              <w:rPr>
                <w:rFonts w:ascii="Arial" w:hAnsi="Arial" w:cs="Arial"/>
                <w:i/>
                <w:sz w:val="16"/>
                <w:lang w:val="fr-FR"/>
              </w:rPr>
            </w:pPr>
            <w:r>
              <w:rPr>
                <w:rFonts w:ascii="Arial" w:hAnsi="Arial" w:cs="Arial"/>
                <w:i/>
                <w:sz w:val="16"/>
                <w:lang w:val="fr-FR"/>
              </w:rPr>
              <w:t>2(0,9%)</w:t>
            </w:r>
          </w:p>
          <w:p w14:paraId="45630388" w14:textId="77777777" w:rsidR="000F25CE" w:rsidRDefault="000F25CE" w:rsidP="00BC3E8E">
            <w:pPr>
              <w:jc w:val="center"/>
              <w:rPr>
                <w:rFonts w:ascii="Arial" w:hAnsi="Arial" w:cs="Arial"/>
                <w:i/>
                <w:sz w:val="16"/>
                <w:lang w:val="fr-FR"/>
              </w:rPr>
            </w:pPr>
            <w:r>
              <w:rPr>
                <w:rFonts w:ascii="Arial" w:hAnsi="Arial" w:cs="Arial"/>
                <w:i/>
                <w:sz w:val="16"/>
                <w:lang w:val="fr-FR"/>
              </w:rPr>
              <w:t>6(2,8%)</w:t>
            </w:r>
          </w:p>
          <w:p w14:paraId="028B5FD0" w14:textId="77777777" w:rsidR="000F25CE" w:rsidRDefault="000F25CE" w:rsidP="00BC3E8E">
            <w:pPr>
              <w:jc w:val="center"/>
              <w:rPr>
                <w:rFonts w:ascii="Arial" w:hAnsi="Arial" w:cs="Arial"/>
                <w:i/>
                <w:sz w:val="16"/>
                <w:lang w:val="fr-FR"/>
              </w:rPr>
            </w:pPr>
            <w:r>
              <w:rPr>
                <w:rFonts w:ascii="Arial" w:hAnsi="Arial" w:cs="Arial"/>
                <w:i/>
                <w:sz w:val="16"/>
                <w:lang w:val="fr-FR"/>
              </w:rPr>
              <w:t>3(1,4%)</w:t>
            </w:r>
          </w:p>
          <w:p w14:paraId="37E75527" w14:textId="77777777" w:rsidR="000F25CE" w:rsidRDefault="000F25CE" w:rsidP="00BC3E8E">
            <w:pPr>
              <w:jc w:val="center"/>
              <w:rPr>
                <w:rFonts w:ascii="Arial" w:hAnsi="Arial" w:cs="Arial"/>
                <w:i/>
                <w:sz w:val="16"/>
                <w:lang w:val="fr-FR"/>
              </w:rPr>
            </w:pPr>
            <w:r>
              <w:rPr>
                <w:rFonts w:ascii="Arial" w:hAnsi="Arial" w:cs="Arial"/>
                <w:i/>
                <w:sz w:val="16"/>
                <w:lang w:val="fr-FR"/>
              </w:rPr>
              <w:t>1(0,5%)</w:t>
            </w:r>
          </w:p>
          <w:p w14:paraId="40BA818D" w14:textId="77777777" w:rsidR="000F25CE" w:rsidRDefault="000F25CE" w:rsidP="00BC3E8E">
            <w:pPr>
              <w:jc w:val="center"/>
              <w:rPr>
                <w:rFonts w:ascii="Arial" w:hAnsi="Arial" w:cs="Arial"/>
                <w:i/>
                <w:sz w:val="16"/>
                <w:lang w:val="fr-FR"/>
              </w:rPr>
            </w:pPr>
            <w:r>
              <w:rPr>
                <w:rFonts w:ascii="Arial" w:hAnsi="Arial" w:cs="Arial"/>
                <w:i/>
                <w:sz w:val="16"/>
                <w:lang w:val="fr-FR"/>
              </w:rPr>
              <w:t>6(</w:t>
            </w:r>
            <w:r w:rsidR="006D7C86">
              <w:rPr>
                <w:rFonts w:ascii="Arial" w:hAnsi="Arial" w:cs="Arial"/>
                <w:i/>
                <w:sz w:val="16"/>
                <w:lang w:val="fr-FR"/>
              </w:rPr>
              <w:t>2,8%)</w:t>
            </w:r>
          </w:p>
          <w:p w14:paraId="4E08DA89" w14:textId="77777777" w:rsidR="006D7C86" w:rsidRDefault="006D7C86" w:rsidP="00BC3E8E">
            <w:pPr>
              <w:jc w:val="center"/>
              <w:rPr>
                <w:rFonts w:ascii="Arial" w:hAnsi="Arial" w:cs="Arial"/>
                <w:i/>
                <w:sz w:val="16"/>
                <w:lang w:val="fr-FR"/>
              </w:rPr>
            </w:pPr>
          </w:p>
          <w:p w14:paraId="44B48B37" w14:textId="77777777" w:rsidR="006D7C86" w:rsidRDefault="006D7C86" w:rsidP="00BC3E8E">
            <w:pPr>
              <w:jc w:val="center"/>
              <w:rPr>
                <w:rFonts w:ascii="Arial" w:hAnsi="Arial" w:cs="Arial"/>
                <w:i/>
                <w:sz w:val="16"/>
                <w:lang w:val="fr-FR"/>
              </w:rPr>
            </w:pPr>
            <w:r>
              <w:rPr>
                <w:rFonts w:ascii="Arial" w:hAnsi="Arial" w:cs="Arial"/>
                <w:i/>
                <w:sz w:val="16"/>
                <w:lang w:val="fr-FR"/>
              </w:rPr>
              <w:t>8(3,8%)</w:t>
            </w:r>
          </w:p>
          <w:p w14:paraId="5D4DA7D4" w14:textId="77777777" w:rsidR="006D7C86" w:rsidRDefault="006D7C86" w:rsidP="00BC3E8E">
            <w:pPr>
              <w:jc w:val="center"/>
              <w:rPr>
                <w:rFonts w:ascii="Arial" w:hAnsi="Arial" w:cs="Arial"/>
                <w:i/>
                <w:sz w:val="16"/>
                <w:lang w:val="fr-FR"/>
              </w:rPr>
            </w:pPr>
          </w:p>
          <w:p w14:paraId="072C4A9C" w14:textId="77777777" w:rsidR="006D7C86" w:rsidRDefault="006D7C86" w:rsidP="00BC3E8E">
            <w:pPr>
              <w:jc w:val="center"/>
              <w:rPr>
                <w:rFonts w:ascii="Arial" w:hAnsi="Arial" w:cs="Arial"/>
                <w:i/>
                <w:sz w:val="16"/>
                <w:lang w:val="fr-FR"/>
              </w:rPr>
            </w:pPr>
            <w:r>
              <w:rPr>
                <w:rFonts w:ascii="Arial" w:hAnsi="Arial" w:cs="Arial"/>
                <w:i/>
                <w:sz w:val="16"/>
                <w:lang w:val="fr-FR"/>
              </w:rPr>
              <w:t>-</w:t>
            </w:r>
          </w:p>
          <w:p w14:paraId="4936E6F0" w14:textId="77777777" w:rsidR="006D7C86" w:rsidRDefault="006D7C86" w:rsidP="00BC3E8E">
            <w:pPr>
              <w:jc w:val="center"/>
              <w:rPr>
                <w:rFonts w:ascii="Arial" w:hAnsi="Arial" w:cs="Arial"/>
                <w:i/>
                <w:sz w:val="16"/>
                <w:lang w:val="fr-FR"/>
              </w:rPr>
            </w:pPr>
            <w:r>
              <w:rPr>
                <w:rFonts w:ascii="Arial" w:hAnsi="Arial" w:cs="Arial"/>
                <w:i/>
                <w:sz w:val="16"/>
                <w:lang w:val="fr-FR"/>
              </w:rPr>
              <w:t>-</w:t>
            </w:r>
          </w:p>
          <w:p w14:paraId="5A465BBA" w14:textId="77777777" w:rsidR="006D7C86" w:rsidRPr="006F6ABB" w:rsidRDefault="006D7C86" w:rsidP="006D7C86">
            <w:pPr>
              <w:jc w:val="center"/>
              <w:rPr>
                <w:rFonts w:ascii="Arial" w:hAnsi="Arial" w:cs="Arial"/>
                <w:i/>
                <w:sz w:val="16"/>
                <w:lang w:val="fr-FR"/>
              </w:rPr>
            </w:pPr>
            <w:r>
              <w:rPr>
                <w:rFonts w:ascii="Arial" w:hAnsi="Arial" w:cs="Arial"/>
                <w:i/>
                <w:sz w:val="16"/>
                <w:lang w:val="fr-FR"/>
              </w:rPr>
              <w:t>-</w:t>
            </w:r>
          </w:p>
        </w:tc>
        <w:tc>
          <w:tcPr>
            <w:tcW w:w="2360" w:type="dxa"/>
          </w:tcPr>
          <w:p w14:paraId="5839E6E7" w14:textId="77777777" w:rsidR="006C5F4B" w:rsidRPr="006F6ABB" w:rsidRDefault="006C5F4B" w:rsidP="00BC3E8E">
            <w:pPr>
              <w:jc w:val="center"/>
              <w:rPr>
                <w:rFonts w:ascii="Arial" w:hAnsi="Arial" w:cs="Arial"/>
                <w:i/>
                <w:sz w:val="16"/>
                <w:lang w:val="en-GB"/>
              </w:rPr>
            </w:pPr>
            <w:r>
              <w:rPr>
                <w:rFonts w:ascii="Arial" w:hAnsi="Arial" w:cs="Arial"/>
                <w:i/>
                <w:sz w:val="16"/>
                <w:lang w:val="en-GB"/>
              </w:rPr>
              <w:t>11%( IC95 :20% a 3</w:t>
            </w:r>
            <w:r w:rsidRPr="006F6ABB">
              <w:rPr>
                <w:rFonts w:ascii="Arial" w:hAnsi="Arial" w:cs="Arial"/>
                <w:i/>
                <w:sz w:val="16"/>
                <w:lang w:val="en-GB"/>
              </w:rPr>
              <w:t>%)</w:t>
            </w:r>
          </w:p>
          <w:p w14:paraId="405C212E" w14:textId="77777777" w:rsidR="006C5F4B" w:rsidRDefault="006C5F4B" w:rsidP="00BC3E8E">
            <w:pPr>
              <w:jc w:val="center"/>
              <w:rPr>
                <w:rFonts w:ascii="Arial" w:hAnsi="Arial" w:cs="Arial"/>
                <w:i/>
                <w:sz w:val="16"/>
                <w:lang w:val="en-GB"/>
              </w:rPr>
            </w:pPr>
          </w:p>
          <w:p w14:paraId="2971C5D1" w14:textId="15B49BB5" w:rsidR="006C5F4B" w:rsidRPr="006F6ABB" w:rsidRDefault="006D7C86" w:rsidP="00BC3E8E">
            <w:pPr>
              <w:jc w:val="center"/>
              <w:rPr>
                <w:rFonts w:ascii="Arial" w:hAnsi="Arial" w:cs="Arial"/>
                <w:i/>
                <w:sz w:val="16"/>
                <w:lang w:val="en-GB"/>
              </w:rPr>
            </w:pPr>
            <w:r>
              <w:rPr>
                <w:rFonts w:ascii="Arial" w:hAnsi="Arial" w:cs="Arial"/>
                <w:i/>
                <w:sz w:val="16"/>
                <w:lang w:val="en-GB"/>
              </w:rPr>
              <w:t>26</w:t>
            </w:r>
            <w:r w:rsidR="006E4A51">
              <w:rPr>
                <w:rFonts w:ascii="Arial" w:hAnsi="Arial" w:cs="Arial"/>
                <w:i/>
                <w:sz w:val="16"/>
                <w:lang w:val="en-GB"/>
              </w:rPr>
              <w:t>% (IC95</w:t>
            </w:r>
            <w:r w:rsidR="006C5F4B" w:rsidRPr="006F6ABB">
              <w:rPr>
                <w:rFonts w:ascii="Arial" w:hAnsi="Arial" w:cs="Arial"/>
                <w:i/>
                <w:sz w:val="16"/>
                <w:lang w:val="en-GB"/>
              </w:rPr>
              <w:t xml:space="preserve">: </w:t>
            </w:r>
            <w:r>
              <w:rPr>
                <w:rFonts w:ascii="Arial" w:hAnsi="Arial" w:cs="Arial"/>
                <w:i/>
                <w:sz w:val="16"/>
                <w:lang w:val="en-GB"/>
              </w:rPr>
              <w:t>34% a 17</w:t>
            </w:r>
            <w:r w:rsidR="006C5F4B" w:rsidRPr="006F6ABB">
              <w:rPr>
                <w:rFonts w:ascii="Arial" w:hAnsi="Arial" w:cs="Arial"/>
                <w:i/>
                <w:sz w:val="16"/>
                <w:lang w:val="en-GB"/>
              </w:rPr>
              <w:t>%)</w:t>
            </w:r>
          </w:p>
          <w:p w14:paraId="0CBEB02E" w14:textId="408855CB" w:rsidR="006C5F4B" w:rsidRPr="006F6ABB" w:rsidRDefault="006C5F4B" w:rsidP="00BC3E8E">
            <w:pPr>
              <w:tabs>
                <w:tab w:val="center" w:pos="851"/>
              </w:tabs>
              <w:rPr>
                <w:rFonts w:ascii="Arial" w:hAnsi="Arial" w:cs="Arial"/>
                <w:i/>
                <w:sz w:val="16"/>
                <w:lang w:val="en-GB"/>
              </w:rPr>
            </w:pPr>
            <w:r w:rsidRPr="006F6ABB">
              <w:rPr>
                <w:rFonts w:ascii="Arial" w:hAnsi="Arial" w:cs="Arial"/>
                <w:i/>
                <w:sz w:val="16"/>
                <w:lang w:val="en-GB"/>
              </w:rPr>
              <w:tab/>
            </w:r>
            <w:r w:rsidR="004D0E96">
              <w:rPr>
                <w:rFonts w:ascii="Arial" w:hAnsi="Arial" w:cs="Arial"/>
                <w:i/>
                <w:sz w:val="16"/>
                <w:lang w:val="en-GB"/>
              </w:rPr>
              <w:t>10</w:t>
            </w:r>
            <w:r w:rsidRPr="006F6ABB">
              <w:rPr>
                <w:rFonts w:ascii="Arial" w:hAnsi="Arial" w:cs="Arial"/>
                <w:i/>
                <w:sz w:val="16"/>
                <w:lang w:val="en-GB"/>
              </w:rPr>
              <w:t>% (</w:t>
            </w:r>
            <w:r w:rsidR="006E4A51">
              <w:rPr>
                <w:rFonts w:ascii="Arial" w:hAnsi="Arial" w:cs="Arial"/>
                <w:i/>
                <w:sz w:val="16"/>
                <w:lang w:val="en-GB"/>
              </w:rPr>
              <w:t>IC95</w:t>
            </w:r>
            <w:r w:rsidRPr="006F6ABB">
              <w:rPr>
                <w:rFonts w:ascii="Arial" w:hAnsi="Arial" w:cs="Arial"/>
                <w:i/>
                <w:sz w:val="16"/>
                <w:lang w:val="en-GB"/>
              </w:rPr>
              <w:t xml:space="preserve">: </w:t>
            </w:r>
            <w:r w:rsidR="004D0E96">
              <w:rPr>
                <w:rFonts w:ascii="Arial" w:hAnsi="Arial" w:cs="Arial"/>
                <w:i/>
                <w:sz w:val="16"/>
                <w:lang w:val="en-GB"/>
              </w:rPr>
              <w:t>18% a 2</w:t>
            </w:r>
            <w:r w:rsidRPr="006F6ABB">
              <w:rPr>
                <w:rFonts w:ascii="Arial" w:hAnsi="Arial" w:cs="Arial"/>
                <w:i/>
                <w:sz w:val="16"/>
                <w:lang w:val="en-GB"/>
              </w:rPr>
              <w:t>%)</w:t>
            </w:r>
          </w:p>
          <w:p w14:paraId="0A79929B" w14:textId="13CDB0F7" w:rsidR="006C5F4B" w:rsidRDefault="006C5F4B" w:rsidP="00BC3E8E">
            <w:pPr>
              <w:tabs>
                <w:tab w:val="center" w:pos="851"/>
              </w:tabs>
              <w:rPr>
                <w:rFonts w:ascii="Arial" w:hAnsi="Arial" w:cs="Arial"/>
                <w:i/>
                <w:sz w:val="16"/>
                <w:lang w:val="en-GB"/>
              </w:rPr>
            </w:pPr>
            <w:r w:rsidRPr="006F6ABB">
              <w:rPr>
                <w:rFonts w:ascii="Arial" w:hAnsi="Arial" w:cs="Arial"/>
                <w:i/>
                <w:sz w:val="16"/>
                <w:lang w:val="en-GB"/>
              </w:rPr>
              <w:tab/>
            </w:r>
            <w:r w:rsidR="006E4A51">
              <w:rPr>
                <w:rFonts w:ascii="Arial" w:hAnsi="Arial" w:cs="Arial"/>
                <w:i/>
                <w:sz w:val="16"/>
                <w:lang w:val="en-GB"/>
              </w:rPr>
              <w:t>17% (IC95</w:t>
            </w:r>
            <w:r w:rsidR="004D0E96">
              <w:rPr>
                <w:rFonts w:ascii="Arial" w:hAnsi="Arial" w:cs="Arial"/>
                <w:i/>
                <w:sz w:val="16"/>
                <w:lang w:val="en-GB"/>
              </w:rPr>
              <w:t>: 24% a 9</w:t>
            </w:r>
            <w:r w:rsidRPr="006F6ABB">
              <w:rPr>
                <w:rFonts w:ascii="Arial" w:hAnsi="Arial" w:cs="Arial"/>
                <w:i/>
                <w:sz w:val="16"/>
                <w:lang w:val="en-GB"/>
              </w:rPr>
              <w:t>%)</w:t>
            </w:r>
          </w:p>
          <w:p w14:paraId="74F9F921" w14:textId="058D2514" w:rsidR="004D0E96" w:rsidRDefault="006D7C86" w:rsidP="00BC3E8E">
            <w:pPr>
              <w:tabs>
                <w:tab w:val="center" w:pos="851"/>
              </w:tabs>
              <w:rPr>
                <w:rFonts w:ascii="Arial" w:hAnsi="Arial" w:cs="Arial"/>
                <w:i/>
                <w:sz w:val="16"/>
                <w:lang w:val="en-GB"/>
              </w:rPr>
            </w:pPr>
            <w:r>
              <w:rPr>
                <w:rFonts w:ascii="Arial" w:hAnsi="Arial" w:cs="Arial"/>
                <w:i/>
                <w:sz w:val="16"/>
                <w:lang w:val="en-GB"/>
              </w:rPr>
              <w:t xml:space="preserve">   </w:t>
            </w:r>
            <w:r w:rsidR="004D0E96">
              <w:rPr>
                <w:rFonts w:ascii="Arial" w:hAnsi="Arial" w:cs="Arial"/>
                <w:i/>
                <w:sz w:val="16"/>
                <w:lang w:val="en-GB"/>
              </w:rPr>
              <w:t>14</w:t>
            </w:r>
            <w:r w:rsidR="006E4A51">
              <w:rPr>
                <w:rFonts w:ascii="Arial" w:hAnsi="Arial" w:cs="Arial"/>
                <w:i/>
                <w:sz w:val="16"/>
                <w:lang w:val="en-GB"/>
              </w:rPr>
              <w:t>% (IC95</w:t>
            </w:r>
            <w:r w:rsidR="006E4A51" w:rsidRPr="006F6ABB">
              <w:rPr>
                <w:rFonts w:ascii="Arial" w:hAnsi="Arial" w:cs="Arial"/>
                <w:i/>
                <w:sz w:val="16"/>
                <w:lang w:val="en-GB"/>
              </w:rPr>
              <w:t xml:space="preserve">: </w:t>
            </w:r>
            <w:r w:rsidR="004D0E96">
              <w:rPr>
                <w:rFonts w:ascii="Arial" w:hAnsi="Arial" w:cs="Arial"/>
                <w:i/>
                <w:sz w:val="16"/>
                <w:lang w:val="en-GB"/>
              </w:rPr>
              <w:t>22% a 6</w:t>
            </w:r>
            <w:r w:rsidRPr="006F6ABB">
              <w:rPr>
                <w:rFonts w:ascii="Arial" w:hAnsi="Arial" w:cs="Arial"/>
                <w:i/>
                <w:sz w:val="16"/>
                <w:lang w:val="en-GB"/>
              </w:rPr>
              <w:t>%)</w:t>
            </w:r>
          </w:p>
          <w:p w14:paraId="34D7695D" w14:textId="7C1CE056" w:rsidR="006D7C86" w:rsidRDefault="006E4A51" w:rsidP="00BC3E8E">
            <w:pPr>
              <w:tabs>
                <w:tab w:val="center" w:pos="851"/>
              </w:tabs>
              <w:rPr>
                <w:rFonts w:ascii="Arial" w:hAnsi="Arial" w:cs="Arial"/>
                <w:i/>
                <w:sz w:val="16"/>
                <w:lang w:val="en-GB"/>
              </w:rPr>
            </w:pPr>
            <w:r>
              <w:rPr>
                <w:rFonts w:ascii="Arial" w:hAnsi="Arial" w:cs="Arial"/>
                <w:i/>
                <w:sz w:val="16"/>
                <w:lang w:val="en-GB"/>
              </w:rPr>
              <w:t>10% (IC95</w:t>
            </w:r>
            <w:r w:rsidRPr="006F6ABB">
              <w:rPr>
                <w:rFonts w:ascii="Arial" w:hAnsi="Arial" w:cs="Arial"/>
                <w:i/>
                <w:sz w:val="16"/>
                <w:lang w:val="en-GB"/>
              </w:rPr>
              <w:t xml:space="preserve">: </w:t>
            </w:r>
            <w:r w:rsidR="004D0E96">
              <w:rPr>
                <w:rFonts w:ascii="Arial" w:hAnsi="Arial" w:cs="Arial"/>
                <w:i/>
                <w:sz w:val="16"/>
                <w:lang w:val="en-GB"/>
              </w:rPr>
              <w:t>17% a 2,5</w:t>
            </w:r>
            <w:r w:rsidR="006D7C86" w:rsidRPr="006F6ABB">
              <w:rPr>
                <w:rFonts w:ascii="Arial" w:hAnsi="Arial" w:cs="Arial"/>
                <w:i/>
                <w:sz w:val="16"/>
                <w:lang w:val="en-GB"/>
              </w:rPr>
              <w:t>%)</w:t>
            </w:r>
          </w:p>
          <w:p w14:paraId="46F1F0B9" w14:textId="30B7FC89" w:rsidR="006D7C86" w:rsidRDefault="004D0E96" w:rsidP="00BC3E8E">
            <w:pPr>
              <w:tabs>
                <w:tab w:val="center" w:pos="851"/>
              </w:tabs>
              <w:rPr>
                <w:rFonts w:ascii="Arial" w:hAnsi="Arial" w:cs="Arial"/>
                <w:i/>
                <w:sz w:val="16"/>
                <w:lang w:val="en-GB"/>
              </w:rPr>
            </w:pPr>
            <w:r>
              <w:rPr>
                <w:rFonts w:ascii="Arial" w:hAnsi="Arial" w:cs="Arial"/>
                <w:i/>
                <w:sz w:val="16"/>
                <w:lang w:val="en-GB"/>
              </w:rPr>
              <w:t>12,7</w:t>
            </w:r>
            <w:r w:rsidR="006E4A51">
              <w:rPr>
                <w:rFonts w:ascii="Arial" w:hAnsi="Arial" w:cs="Arial"/>
                <w:i/>
                <w:sz w:val="16"/>
                <w:lang w:val="en-GB"/>
              </w:rPr>
              <w:t>% (IC95 </w:t>
            </w:r>
            <w:r>
              <w:rPr>
                <w:rFonts w:ascii="Arial" w:hAnsi="Arial" w:cs="Arial"/>
                <w:i/>
                <w:sz w:val="16"/>
                <w:lang w:val="en-GB"/>
              </w:rPr>
              <w:t>19% a 6</w:t>
            </w:r>
            <w:r w:rsidR="006D7C86" w:rsidRPr="006F6ABB">
              <w:rPr>
                <w:rFonts w:ascii="Arial" w:hAnsi="Arial" w:cs="Arial"/>
                <w:i/>
                <w:sz w:val="16"/>
                <w:lang w:val="en-GB"/>
              </w:rPr>
              <w:t>%)</w:t>
            </w:r>
          </w:p>
          <w:p w14:paraId="4AACBE2D" w14:textId="376992DA" w:rsidR="006D7C86" w:rsidRDefault="006E4A51" w:rsidP="00BC3E8E">
            <w:pPr>
              <w:tabs>
                <w:tab w:val="center" w:pos="851"/>
              </w:tabs>
              <w:rPr>
                <w:rFonts w:ascii="Arial" w:hAnsi="Arial" w:cs="Arial"/>
                <w:i/>
                <w:sz w:val="16"/>
                <w:lang w:val="en-GB"/>
              </w:rPr>
            </w:pPr>
            <w:r>
              <w:rPr>
                <w:rFonts w:ascii="Arial" w:hAnsi="Arial" w:cs="Arial"/>
                <w:i/>
                <w:sz w:val="16"/>
                <w:lang w:val="en-GB"/>
              </w:rPr>
              <w:t>10% (IC95:</w:t>
            </w:r>
            <w:r w:rsidR="004D0E96">
              <w:rPr>
                <w:rFonts w:ascii="Arial" w:hAnsi="Arial" w:cs="Arial"/>
                <w:i/>
                <w:sz w:val="16"/>
                <w:lang w:val="en-GB"/>
              </w:rPr>
              <w:t>16% a 4,5</w:t>
            </w:r>
            <w:r w:rsidR="006D7C86" w:rsidRPr="006F6ABB">
              <w:rPr>
                <w:rFonts w:ascii="Arial" w:hAnsi="Arial" w:cs="Arial"/>
                <w:i/>
                <w:sz w:val="16"/>
                <w:lang w:val="en-GB"/>
              </w:rPr>
              <w:t>%)</w:t>
            </w:r>
          </w:p>
          <w:p w14:paraId="60089D70" w14:textId="4C3BC4D8" w:rsidR="006D7C86" w:rsidRDefault="006E4A51" w:rsidP="00BC3E8E">
            <w:pPr>
              <w:tabs>
                <w:tab w:val="center" w:pos="851"/>
              </w:tabs>
              <w:rPr>
                <w:rFonts w:ascii="Arial" w:hAnsi="Arial" w:cs="Arial"/>
                <w:i/>
                <w:sz w:val="16"/>
                <w:lang w:val="en-GB"/>
              </w:rPr>
            </w:pPr>
            <w:r>
              <w:rPr>
                <w:rFonts w:ascii="Arial" w:hAnsi="Arial" w:cs="Arial"/>
                <w:i/>
                <w:sz w:val="16"/>
                <w:lang w:val="en-GB"/>
              </w:rPr>
              <w:t>6,5% (IC95:</w:t>
            </w:r>
            <w:r w:rsidR="004D0E96">
              <w:rPr>
                <w:rFonts w:ascii="Arial" w:hAnsi="Arial" w:cs="Arial"/>
                <w:i/>
                <w:sz w:val="16"/>
                <w:lang w:val="en-GB"/>
              </w:rPr>
              <w:t>12,7% a 0,3</w:t>
            </w:r>
            <w:r w:rsidR="006D7C86" w:rsidRPr="006F6ABB">
              <w:rPr>
                <w:rFonts w:ascii="Arial" w:hAnsi="Arial" w:cs="Arial"/>
                <w:i/>
                <w:sz w:val="16"/>
                <w:lang w:val="en-GB"/>
              </w:rPr>
              <w:t>%)</w:t>
            </w:r>
          </w:p>
          <w:p w14:paraId="458CAA67" w14:textId="2B2CE95D" w:rsidR="006D7C86" w:rsidRDefault="006E4A51" w:rsidP="00BC3E8E">
            <w:pPr>
              <w:tabs>
                <w:tab w:val="center" w:pos="851"/>
              </w:tabs>
              <w:rPr>
                <w:rFonts w:ascii="Arial" w:hAnsi="Arial" w:cs="Arial"/>
                <w:i/>
                <w:sz w:val="16"/>
                <w:lang w:val="en-GB"/>
              </w:rPr>
            </w:pPr>
            <w:r>
              <w:rPr>
                <w:rFonts w:ascii="Arial" w:hAnsi="Arial" w:cs="Arial"/>
                <w:i/>
                <w:sz w:val="16"/>
                <w:lang w:val="en-GB"/>
              </w:rPr>
              <w:t>6% (IC95</w:t>
            </w:r>
            <w:r w:rsidR="004D0E96">
              <w:rPr>
                <w:rFonts w:ascii="Arial" w:hAnsi="Arial" w:cs="Arial"/>
                <w:i/>
                <w:sz w:val="16"/>
                <w:lang w:val="en-GB"/>
              </w:rPr>
              <w:t>: 1% a -13</w:t>
            </w:r>
            <w:r w:rsidR="006D7C86" w:rsidRPr="006F6ABB">
              <w:rPr>
                <w:rFonts w:ascii="Arial" w:hAnsi="Arial" w:cs="Arial"/>
                <w:i/>
                <w:sz w:val="16"/>
                <w:lang w:val="en-GB"/>
              </w:rPr>
              <w:t>%)</w:t>
            </w:r>
          </w:p>
          <w:p w14:paraId="40720DA8" w14:textId="5CC7CCCB" w:rsidR="006D7C86" w:rsidRDefault="006E4A51" w:rsidP="00BC3E8E">
            <w:pPr>
              <w:tabs>
                <w:tab w:val="center" w:pos="851"/>
              </w:tabs>
              <w:rPr>
                <w:rFonts w:ascii="Arial" w:hAnsi="Arial" w:cs="Arial"/>
                <w:i/>
                <w:sz w:val="16"/>
                <w:lang w:val="en-GB"/>
              </w:rPr>
            </w:pPr>
            <w:r>
              <w:rPr>
                <w:rFonts w:ascii="Arial" w:hAnsi="Arial" w:cs="Arial"/>
                <w:i/>
                <w:sz w:val="16"/>
                <w:lang w:val="en-GB"/>
              </w:rPr>
              <w:t>8% (IC95</w:t>
            </w:r>
            <w:r w:rsidR="004D0E96">
              <w:rPr>
                <w:rFonts w:ascii="Arial" w:hAnsi="Arial" w:cs="Arial"/>
                <w:i/>
                <w:sz w:val="16"/>
                <w:lang w:val="en-GB"/>
              </w:rPr>
              <w:t>: 13% a 2</w:t>
            </w:r>
            <w:r w:rsidR="006D7C86" w:rsidRPr="006F6ABB">
              <w:rPr>
                <w:rFonts w:ascii="Arial" w:hAnsi="Arial" w:cs="Arial"/>
                <w:i/>
                <w:sz w:val="16"/>
                <w:lang w:val="en-GB"/>
              </w:rPr>
              <w:t>%)</w:t>
            </w:r>
          </w:p>
          <w:p w14:paraId="7282B082" w14:textId="1C85C958" w:rsidR="006D7C86" w:rsidRDefault="004D0E96" w:rsidP="00BC3E8E">
            <w:pPr>
              <w:tabs>
                <w:tab w:val="center" w:pos="851"/>
              </w:tabs>
              <w:rPr>
                <w:rFonts w:ascii="Arial" w:hAnsi="Arial" w:cs="Arial"/>
                <w:i/>
                <w:sz w:val="16"/>
                <w:lang w:val="en-GB"/>
              </w:rPr>
            </w:pPr>
            <w:r>
              <w:rPr>
                <w:rFonts w:ascii="Arial" w:hAnsi="Arial" w:cs="Arial"/>
                <w:i/>
                <w:sz w:val="16"/>
                <w:lang w:val="en-GB"/>
              </w:rPr>
              <w:t>4,2</w:t>
            </w:r>
            <w:r w:rsidR="006E4A51">
              <w:rPr>
                <w:rFonts w:ascii="Arial" w:hAnsi="Arial" w:cs="Arial"/>
                <w:i/>
                <w:sz w:val="16"/>
                <w:lang w:val="en-GB"/>
              </w:rPr>
              <w:t>% (IC95 :</w:t>
            </w:r>
            <w:r w:rsidR="00ED79F6">
              <w:rPr>
                <w:rFonts w:ascii="Arial" w:hAnsi="Arial" w:cs="Arial"/>
                <w:i/>
                <w:sz w:val="16"/>
                <w:lang w:val="en-GB"/>
              </w:rPr>
              <w:t>10% a 2</w:t>
            </w:r>
            <w:r w:rsidR="006D7C86" w:rsidRPr="006F6ABB">
              <w:rPr>
                <w:rFonts w:ascii="Arial" w:hAnsi="Arial" w:cs="Arial"/>
                <w:i/>
                <w:sz w:val="16"/>
                <w:lang w:val="en-GB"/>
              </w:rPr>
              <w:t>%)</w:t>
            </w:r>
          </w:p>
          <w:p w14:paraId="1ABA5A33" w14:textId="695944F3" w:rsidR="006D7C86" w:rsidRDefault="006E4A51" w:rsidP="00BC3E8E">
            <w:pPr>
              <w:tabs>
                <w:tab w:val="center" w:pos="851"/>
              </w:tabs>
              <w:rPr>
                <w:rFonts w:ascii="Arial" w:hAnsi="Arial" w:cs="Arial"/>
                <w:i/>
                <w:sz w:val="16"/>
                <w:lang w:val="en-GB"/>
              </w:rPr>
            </w:pPr>
            <w:r>
              <w:rPr>
                <w:rFonts w:ascii="Arial" w:hAnsi="Arial" w:cs="Arial"/>
                <w:i/>
                <w:sz w:val="16"/>
                <w:lang w:val="en-GB"/>
              </w:rPr>
              <w:t>8 (</w:t>
            </w:r>
            <w:r w:rsidR="00ED79F6">
              <w:rPr>
                <w:rFonts w:ascii="Arial" w:hAnsi="Arial" w:cs="Arial"/>
                <w:i/>
                <w:sz w:val="16"/>
                <w:lang w:val="en-GB"/>
              </w:rPr>
              <w:t>IC95: 13,5% a 2,4</w:t>
            </w:r>
            <w:r w:rsidR="006D7C86" w:rsidRPr="006F6ABB">
              <w:rPr>
                <w:rFonts w:ascii="Arial" w:hAnsi="Arial" w:cs="Arial"/>
                <w:i/>
                <w:sz w:val="16"/>
                <w:lang w:val="en-GB"/>
              </w:rPr>
              <w:t>%)</w:t>
            </w:r>
          </w:p>
          <w:p w14:paraId="7A230A73" w14:textId="611ADD2D" w:rsidR="006D7C86" w:rsidRDefault="006E4A51" w:rsidP="00BC3E8E">
            <w:pPr>
              <w:tabs>
                <w:tab w:val="center" w:pos="851"/>
              </w:tabs>
              <w:rPr>
                <w:rFonts w:ascii="Arial" w:hAnsi="Arial" w:cs="Arial"/>
                <w:i/>
                <w:sz w:val="16"/>
                <w:lang w:val="en-GB"/>
              </w:rPr>
            </w:pPr>
            <w:r>
              <w:rPr>
                <w:rFonts w:ascii="Arial" w:hAnsi="Arial" w:cs="Arial"/>
                <w:i/>
                <w:sz w:val="16"/>
                <w:lang w:val="en-GB"/>
              </w:rPr>
              <w:t>6,5% (IC95</w:t>
            </w:r>
            <w:r w:rsidR="00ED79F6">
              <w:rPr>
                <w:rFonts w:ascii="Arial" w:hAnsi="Arial" w:cs="Arial"/>
                <w:i/>
                <w:sz w:val="16"/>
                <w:lang w:val="en-GB"/>
              </w:rPr>
              <w:t>: 12% a 1</w:t>
            </w:r>
            <w:r w:rsidR="006D7C86" w:rsidRPr="006F6ABB">
              <w:rPr>
                <w:rFonts w:ascii="Arial" w:hAnsi="Arial" w:cs="Arial"/>
                <w:i/>
                <w:sz w:val="16"/>
                <w:lang w:val="en-GB"/>
              </w:rPr>
              <w:t>%)</w:t>
            </w:r>
          </w:p>
          <w:p w14:paraId="2D54D943" w14:textId="55413959" w:rsidR="006D7C86" w:rsidRDefault="00ED79F6" w:rsidP="00BC3E8E">
            <w:pPr>
              <w:tabs>
                <w:tab w:val="center" w:pos="851"/>
              </w:tabs>
              <w:rPr>
                <w:rFonts w:ascii="Arial" w:hAnsi="Arial" w:cs="Arial"/>
                <w:i/>
                <w:sz w:val="16"/>
                <w:lang w:val="en-GB"/>
              </w:rPr>
            </w:pPr>
            <w:r>
              <w:rPr>
                <w:rFonts w:ascii="Arial" w:hAnsi="Arial" w:cs="Arial"/>
                <w:i/>
                <w:sz w:val="16"/>
                <w:lang w:val="en-GB"/>
              </w:rPr>
              <w:t>3,7</w:t>
            </w:r>
            <w:r w:rsidR="006D7C86" w:rsidRPr="006F6ABB">
              <w:rPr>
                <w:rFonts w:ascii="Arial" w:hAnsi="Arial" w:cs="Arial"/>
                <w:i/>
                <w:sz w:val="16"/>
                <w:lang w:val="en-GB"/>
              </w:rPr>
              <w:t>% (</w:t>
            </w:r>
            <w:r w:rsidR="006E4A51">
              <w:rPr>
                <w:rFonts w:ascii="Arial" w:hAnsi="Arial" w:cs="Arial"/>
                <w:i/>
                <w:sz w:val="16"/>
                <w:lang w:val="en-GB"/>
              </w:rPr>
              <w:t>IC95</w:t>
            </w:r>
            <w:r w:rsidR="006D7C86" w:rsidRPr="006F6ABB">
              <w:rPr>
                <w:rFonts w:ascii="Arial" w:hAnsi="Arial" w:cs="Arial"/>
                <w:i/>
                <w:sz w:val="16"/>
                <w:lang w:val="en-GB"/>
              </w:rPr>
              <w:t xml:space="preserve">: </w:t>
            </w:r>
            <w:r>
              <w:rPr>
                <w:rFonts w:ascii="Arial" w:hAnsi="Arial" w:cs="Arial"/>
                <w:i/>
                <w:sz w:val="16"/>
                <w:lang w:val="en-GB"/>
              </w:rPr>
              <w:t>9,7% a -2,3</w:t>
            </w:r>
            <w:r w:rsidR="006D7C86" w:rsidRPr="006F6ABB">
              <w:rPr>
                <w:rFonts w:ascii="Arial" w:hAnsi="Arial" w:cs="Arial"/>
                <w:i/>
                <w:sz w:val="16"/>
                <w:lang w:val="en-GB"/>
              </w:rPr>
              <w:t>%)</w:t>
            </w:r>
          </w:p>
          <w:p w14:paraId="2B1FA001" w14:textId="31425FE6" w:rsidR="006D7C86" w:rsidRDefault="00ED79F6" w:rsidP="00BC3E8E">
            <w:pPr>
              <w:tabs>
                <w:tab w:val="center" w:pos="851"/>
              </w:tabs>
              <w:rPr>
                <w:rFonts w:ascii="Arial" w:hAnsi="Arial" w:cs="Arial"/>
                <w:i/>
                <w:sz w:val="16"/>
                <w:lang w:val="en-GB"/>
              </w:rPr>
            </w:pPr>
            <w:r>
              <w:rPr>
                <w:rFonts w:ascii="Arial" w:hAnsi="Arial" w:cs="Arial"/>
                <w:i/>
                <w:sz w:val="16"/>
                <w:lang w:val="en-GB"/>
              </w:rPr>
              <w:t>5,6</w:t>
            </w:r>
            <w:r w:rsidR="006E4A51">
              <w:rPr>
                <w:rFonts w:ascii="Arial" w:hAnsi="Arial" w:cs="Arial"/>
                <w:i/>
                <w:sz w:val="16"/>
                <w:lang w:val="en-GB"/>
              </w:rPr>
              <w:t>% (IC95 :</w:t>
            </w:r>
            <w:r>
              <w:rPr>
                <w:rFonts w:ascii="Arial" w:hAnsi="Arial" w:cs="Arial"/>
                <w:i/>
                <w:sz w:val="16"/>
                <w:lang w:val="en-GB"/>
              </w:rPr>
              <w:t>11% a 0,3</w:t>
            </w:r>
            <w:r w:rsidR="006D7C86" w:rsidRPr="006F6ABB">
              <w:rPr>
                <w:rFonts w:ascii="Arial" w:hAnsi="Arial" w:cs="Arial"/>
                <w:i/>
                <w:sz w:val="16"/>
                <w:lang w:val="en-GB"/>
              </w:rPr>
              <w:t>%)</w:t>
            </w:r>
          </w:p>
          <w:p w14:paraId="774A16D5" w14:textId="7DE1A101" w:rsidR="006D7C86" w:rsidRDefault="00ED79F6" w:rsidP="00BC3E8E">
            <w:pPr>
              <w:tabs>
                <w:tab w:val="center" w:pos="851"/>
              </w:tabs>
              <w:rPr>
                <w:rFonts w:ascii="Arial" w:hAnsi="Arial" w:cs="Arial"/>
                <w:i/>
                <w:sz w:val="16"/>
                <w:lang w:val="en-GB"/>
              </w:rPr>
            </w:pPr>
            <w:r>
              <w:rPr>
                <w:rFonts w:ascii="Arial" w:hAnsi="Arial" w:cs="Arial"/>
                <w:i/>
                <w:sz w:val="16"/>
                <w:lang w:val="en-GB"/>
              </w:rPr>
              <w:t>6,6</w:t>
            </w:r>
            <w:r w:rsidR="006E4A51">
              <w:rPr>
                <w:rFonts w:ascii="Arial" w:hAnsi="Arial" w:cs="Arial"/>
                <w:i/>
                <w:sz w:val="16"/>
                <w:lang w:val="en-GB"/>
              </w:rPr>
              <w:t>% (</w:t>
            </w:r>
            <w:r w:rsidR="00CD0FAA">
              <w:rPr>
                <w:rFonts w:ascii="Arial" w:hAnsi="Arial" w:cs="Arial"/>
                <w:i/>
                <w:sz w:val="16"/>
                <w:lang w:val="en-GB"/>
              </w:rPr>
              <w:t>IC95 :</w:t>
            </w:r>
            <w:r>
              <w:rPr>
                <w:rFonts w:ascii="Arial" w:hAnsi="Arial" w:cs="Arial"/>
                <w:i/>
                <w:sz w:val="16"/>
                <w:lang w:val="en-GB"/>
              </w:rPr>
              <w:t>11</w:t>
            </w:r>
            <w:r w:rsidR="006D7C86" w:rsidRPr="006F6ABB">
              <w:rPr>
                <w:rFonts w:ascii="Arial" w:hAnsi="Arial" w:cs="Arial"/>
                <w:i/>
                <w:sz w:val="16"/>
                <w:lang w:val="en-GB"/>
              </w:rPr>
              <w:t xml:space="preserve">% a </w:t>
            </w:r>
            <w:r>
              <w:rPr>
                <w:rFonts w:ascii="Arial" w:hAnsi="Arial" w:cs="Arial"/>
                <w:i/>
                <w:sz w:val="16"/>
                <w:lang w:val="en-GB"/>
              </w:rPr>
              <w:t>1,7</w:t>
            </w:r>
            <w:r w:rsidR="006D7C86" w:rsidRPr="006F6ABB">
              <w:rPr>
                <w:rFonts w:ascii="Arial" w:hAnsi="Arial" w:cs="Arial"/>
                <w:i/>
                <w:sz w:val="16"/>
                <w:lang w:val="en-GB"/>
              </w:rPr>
              <w:t>%)</w:t>
            </w:r>
          </w:p>
          <w:p w14:paraId="705AECBA" w14:textId="37F810AB" w:rsidR="006D7C86" w:rsidRDefault="006E4A51" w:rsidP="00BC3E8E">
            <w:pPr>
              <w:tabs>
                <w:tab w:val="center" w:pos="851"/>
              </w:tabs>
              <w:rPr>
                <w:rFonts w:ascii="Arial" w:hAnsi="Arial" w:cs="Arial"/>
                <w:i/>
                <w:sz w:val="16"/>
                <w:lang w:val="en-GB"/>
              </w:rPr>
            </w:pPr>
            <w:r>
              <w:rPr>
                <w:rFonts w:ascii="Arial" w:hAnsi="Arial" w:cs="Arial"/>
                <w:i/>
                <w:sz w:val="16"/>
                <w:lang w:val="en-GB"/>
              </w:rPr>
              <w:t>8% (</w:t>
            </w:r>
            <w:r w:rsidR="00CD0FAA">
              <w:rPr>
                <w:rFonts w:ascii="Arial" w:hAnsi="Arial" w:cs="Arial"/>
                <w:i/>
                <w:sz w:val="16"/>
                <w:lang w:val="en-GB"/>
              </w:rPr>
              <w:t>IC95 :</w:t>
            </w:r>
            <w:r w:rsidR="00ED79F6">
              <w:rPr>
                <w:rFonts w:ascii="Arial" w:hAnsi="Arial" w:cs="Arial"/>
                <w:i/>
                <w:sz w:val="16"/>
                <w:lang w:val="en-GB"/>
              </w:rPr>
              <w:t>29% a 8</w:t>
            </w:r>
            <w:r w:rsidR="006D7C86" w:rsidRPr="006F6ABB">
              <w:rPr>
                <w:rFonts w:ascii="Arial" w:hAnsi="Arial" w:cs="Arial"/>
                <w:i/>
                <w:sz w:val="16"/>
                <w:lang w:val="en-GB"/>
              </w:rPr>
              <w:t>%)</w:t>
            </w:r>
          </w:p>
          <w:p w14:paraId="6B388571" w14:textId="77777777" w:rsidR="00ED79F6" w:rsidRDefault="00ED79F6" w:rsidP="00BC3E8E">
            <w:pPr>
              <w:tabs>
                <w:tab w:val="center" w:pos="851"/>
              </w:tabs>
              <w:rPr>
                <w:rFonts w:ascii="Arial" w:hAnsi="Arial" w:cs="Arial"/>
                <w:i/>
                <w:sz w:val="16"/>
                <w:lang w:val="en-GB"/>
              </w:rPr>
            </w:pPr>
          </w:p>
          <w:p w14:paraId="72643336" w14:textId="6436A007" w:rsidR="006D7C86" w:rsidRDefault="00ED79F6" w:rsidP="00BC3E8E">
            <w:pPr>
              <w:tabs>
                <w:tab w:val="center" w:pos="851"/>
              </w:tabs>
              <w:rPr>
                <w:rFonts w:ascii="Arial" w:hAnsi="Arial" w:cs="Arial"/>
                <w:i/>
                <w:sz w:val="16"/>
                <w:lang w:val="en-GB"/>
              </w:rPr>
            </w:pPr>
            <w:r>
              <w:rPr>
                <w:rFonts w:ascii="Arial" w:hAnsi="Arial" w:cs="Arial"/>
                <w:i/>
                <w:sz w:val="16"/>
                <w:lang w:val="en-GB"/>
              </w:rPr>
              <w:t>-7,1</w:t>
            </w:r>
            <w:r w:rsidR="00CD0FAA">
              <w:rPr>
                <w:rFonts w:ascii="Arial" w:hAnsi="Arial" w:cs="Arial"/>
                <w:i/>
                <w:sz w:val="16"/>
                <w:lang w:val="en-GB"/>
              </w:rPr>
              <w:t>% (</w:t>
            </w:r>
            <w:r w:rsidR="006D7C86" w:rsidRPr="006F6ABB">
              <w:rPr>
                <w:rFonts w:ascii="Arial" w:hAnsi="Arial" w:cs="Arial"/>
                <w:i/>
                <w:sz w:val="16"/>
                <w:lang w:val="en-GB"/>
              </w:rPr>
              <w:t>IC95:</w:t>
            </w:r>
            <w:r>
              <w:rPr>
                <w:rFonts w:ascii="Arial" w:hAnsi="Arial" w:cs="Arial"/>
                <w:i/>
                <w:sz w:val="16"/>
                <w:lang w:val="en-GB"/>
              </w:rPr>
              <w:t>-2% a -12</w:t>
            </w:r>
            <w:r w:rsidR="006D7C86" w:rsidRPr="006F6ABB">
              <w:rPr>
                <w:rFonts w:ascii="Arial" w:hAnsi="Arial" w:cs="Arial"/>
                <w:i/>
                <w:sz w:val="16"/>
                <w:lang w:val="en-GB"/>
              </w:rPr>
              <w:t>%)</w:t>
            </w:r>
          </w:p>
          <w:p w14:paraId="090DA5DE" w14:textId="77777777" w:rsidR="00ED79F6" w:rsidRDefault="00ED79F6" w:rsidP="00BC3E8E">
            <w:pPr>
              <w:tabs>
                <w:tab w:val="center" w:pos="851"/>
              </w:tabs>
              <w:rPr>
                <w:rFonts w:ascii="Arial" w:hAnsi="Arial" w:cs="Arial"/>
                <w:i/>
                <w:sz w:val="16"/>
                <w:lang w:val="en-GB"/>
              </w:rPr>
            </w:pPr>
          </w:p>
          <w:p w14:paraId="6BA0E3E0" w14:textId="6E201A4F" w:rsidR="006D7C86" w:rsidRDefault="00E925B4" w:rsidP="00BC3E8E">
            <w:pPr>
              <w:tabs>
                <w:tab w:val="center" w:pos="851"/>
              </w:tabs>
              <w:rPr>
                <w:rFonts w:ascii="Arial" w:hAnsi="Arial" w:cs="Arial"/>
                <w:i/>
                <w:sz w:val="16"/>
                <w:lang w:val="en-GB"/>
              </w:rPr>
            </w:pPr>
            <w:r>
              <w:rPr>
                <w:rFonts w:ascii="Arial" w:hAnsi="Arial" w:cs="Arial"/>
                <w:i/>
                <w:sz w:val="16"/>
                <w:lang w:val="en-GB"/>
              </w:rPr>
              <w:t>13,5</w:t>
            </w:r>
            <w:r w:rsidR="00CD0FAA">
              <w:rPr>
                <w:rFonts w:ascii="Arial" w:hAnsi="Arial" w:cs="Arial"/>
                <w:i/>
                <w:sz w:val="16"/>
                <w:lang w:val="en-GB"/>
              </w:rPr>
              <w:t>% (</w:t>
            </w:r>
            <w:r w:rsidR="006D7C86" w:rsidRPr="006F6ABB">
              <w:rPr>
                <w:rFonts w:ascii="Arial" w:hAnsi="Arial" w:cs="Arial"/>
                <w:i/>
                <w:sz w:val="16"/>
                <w:lang w:val="en-GB"/>
              </w:rPr>
              <w:t xml:space="preserve">IC95: </w:t>
            </w:r>
            <w:r>
              <w:rPr>
                <w:rFonts w:ascii="Arial" w:hAnsi="Arial" w:cs="Arial"/>
                <w:i/>
                <w:sz w:val="16"/>
                <w:lang w:val="en-GB"/>
              </w:rPr>
              <w:t>23% a 4</w:t>
            </w:r>
            <w:r w:rsidR="006D7C86" w:rsidRPr="006F6ABB">
              <w:rPr>
                <w:rFonts w:ascii="Arial" w:hAnsi="Arial" w:cs="Arial"/>
                <w:i/>
                <w:sz w:val="16"/>
                <w:lang w:val="en-GB"/>
              </w:rPr>
              <w:t>%)</w:t>
            </w:r>
          </w:p>
          <w:p w14:paraId="16530B5A" w14:textId="77777777" w:rsidR="00ED79F6" w:rsidRDefault="00ED79F6" w:rsidP="00BC3E8E">
            <w:pPr>
              <w:tabs>
                <w:tab w:val="center" w:pos="851"/>
              </w:tabs>
              <w:rPr>
                <w:rFonts w:ascii="Arial" w:hAnsi="Arial" w:cs="Arial"/>
                <w:i/>
                <w:sz w:val="16"/>
                <w:lang w:val="en-GB"/>
              </w:rPr>
            </w:pPr>
          </w:p>
          <w:p w14:paraId="0AE742A8" w14:textId="1C2755C2" w:rsidR="006D7C86" w:rsidRDefault="00E925B4" w:rsidP="00BC3E8E">
            <w:pPr>
              <w:tabs>
                <w:tab w:val="center" w:pos="851"/>
              </w:tabs>
              <w:rPr>
                <w:rFonts w:ascii="Arial" w:hAnsi="Arial" w:cs="Arial"/>
                <w:i/>
                <w:sz w:val="16"/>
                <w:lang w:val="en-GB"/>
              </w:rPr>
            </w:pPr>
            <w:r>
              <w:rPr>
                <w:rFonts w:ascii="Arial" w:hAnsi="Arial" w:cs="Arial"/>
                <w:i/>
                <w:sz w:val="16"/>
                <w:lang w:val="en-GB"/>
              </w:rPr>
              <w:t>21% (</w:t>
            </w:r>
            <w:r w:rsidR="00CD0FAA">
              <w:rPr>
                <w:rFonts w:ascii="Arial" w:hAnsi="Arial" w:cs="Arial"/>
                <w:i/>
                <w:sz w:val="16"/>
                <w:lang w:val="en-GB"/>
              </w:rPr>
              <w:t>IC95</w:t>
            </w:r>
            <w:r>
              <w:rPr>
                <w:rFonts w:ascii="Arial" w:hAnsi="Arial" w:cs="Arial"/>
                <w:i/>
                <w:sz w:val="16"/>
                <w:lang w:val="en-GB"/>
              </w:rPr>
              <w:t>: 27% a 13</w:t>
            </w:r>
            <w:r w:rsidR="006D7C86" w:rsidRPr="006F6ABB">
              <w:rPr>
                <w:rFonts w:ascii="Arial" w:hAnsi="Arial" w:cs="Arial"/>
                <w:i/>
                <w:sz w:val="16"/>
                <w:lang w:val="en-GB"/>
              </w:rPr>
              <w:t>%)</w:t>
            </w:r>
          </w:p>
          <w:p w14:paraId="64F4DB08" w14:textId="77777777" w:rsidR="00E925B4" w:rsidRDefault="00E925B4" w:rsidP="00BC3E8E">
            <w:pPr>
              <w:tabs>
                <w:tab w:val="center" w:pos="851"/>
              </w:tabs>
              <w:rPr>
                <w:rFonts w:ascii="Arial" w:hAnsi="Arial" w:cs="Arial"/>
                <w:i/>
                <w:sz w:val="16"/>
                <w:lang w:val="en-GB"/>
              </w:rPr>
            </w:pPr>
          </w:p>
          <w:p w14:paraId="20839DFF" w14:textId="77777777" w:rsidR="00E925B4" w:rsidRDefault="00E925B4" w:rsidP="00BC3E8E">
            <w:pPr>
              <w:tabs>
                <w:tab w:val="center" w:pos="851"/>
              </w:tabs>
              <w:rPr>
                <w:rFonts w:ascii="Arial" w:hAnsi="Arial" w:cs="Arial"/>
                <w:i/>
                <w:sz w:val="16"/>
                <w:lang w:val="en-GB"/>
              </w:rPr>
            </w:pPr>
          </w:p>
          <w:p w14:paraId="7450FC2D" w14:textId="77777777" w:rsidR="00E925B4" w:rsidRDefault="00E925B4" w:rsidP="00BC3E8E">
            <w:pPr>
              <w:tabs>
                <w:tab w:val="center" w:pos="851"/>
              </w:tabs>
              <w:rPr>
                <w:rFonts w:ascii="Arial" w:hAnsi="Arial" w:cs="Arial"/>
                <w:i/>
                <w:sz w:val="16"/>
                <w:lang w:val="en-GB"/>
              </w:rPr>
            </w:pPr>
          </w:p>
          <w:p w14:paraId="61E7418F" w14:textId="21EF95F7" w:rsidR="006D7C86" w:rsidRDefault="00E925B4" w:rsidP="00BC3E8E">
            <w:pPr>
              <w:tabs>
                <w:tab w:val="center" w:pos="851"/>
              </w:tabs>
              <w:rPr>
                <w:rFonts w:ascii="Arial" w:hAnsi="Arial" w:cs="Arial"/>
                <w:i/>
                <w:sz w:val="16"/>
                <w:lang w:val="en-GB"/>
              </w:rPr>
            </w:pPr>
            <w:r>
              <w:rPr>
                <w:rFonts w:ascii="Arial" w:hAnsi="Arial" w:cs="Arial"/>
                <w:i/>
                <w:sz w:val="16"/>
                <w:lang w:val="en-GB"/>
              </w:rPr>
              <w:t>1</w:t>
            </w:r>
            <w:r w:rsidR="00CD0FAA">
              <w:rPr>
                <w:rFonts w:ascii="Arial" w:hAnsi="Arial" w:cs="Arial"/>
                <w:i/>
                <w:sz w:val="16"/>
                <w:lang w:val="en-GB"/>
              </w:rPr>
              <w:t>% (</w:t>
            </w:r>
            <w:r w:rsidR="006D7C86" w:rsidRPr="006F6ABB">
              <w:rPr>
                <w:rFonts w:ascii="Arial" w:hAnsi="Arial" w:cs="Arial"/>
                <w:i/>
                <w:sz w:val="16"/>
                <w:lang w:val="en-GB"/>
              </w:rPr>
              <w:t xml:space="preserve">IC95: </w:t>
            </w:r>
            <w:r>
              <w:rPr>
                <w:rFonts w:ascii="Arial" w:hAnsi="Arial" w:cs="Arial"/>
                <w:i/>
                <w:sz w:val="16"/>
                <w:lang w:val="en-GB"/>
              </w:rPr>
              <w:t>3% a -1,3</w:t>
            </w:r>
            <w:r w:rsidR="006D7C86" w:rsidRPr="006F6ABB">
              <w:rPr>
                <w:rFonts w:ascii="Arial" w:hAnsi="Arial" w:cs="Arial"/>
                <w:i/>
                <w:sz w:val="16"/>
                <w:lang w:val="en-GB"/>
              </w:rPr>
              <w:t>%)</w:t>
            </w:r>
          </w:p>
          <w:p w14:paraId="7FCAE47C" w14:textId="42FF41AF" w:rsidR="006D7C86" w:rsidRDefault="00E925B4" w:rsidP="00BC3E8E">
            <w:pPr>
              <w:tabs>
                <w:tab w:val="center" w:pos="851"/>
              </w:tabs>
              <w:rPr>
                <w:rFonts w:ascii="Arial" w:hAnsi="Arial" w:cs="Arial"/>
                <w:i/>
                <w:sz w:val="16"/>
                <w:lang w:val="en-GB"/>
              </w:rPr>
            </w:pPr>
            <w:r>
              <w:rPr>
                <w:rFonts w:ascii="Arial" w:hAnsi="Arial" w:cs="Arial"/>
                <w:i/>
                <w:sz w:val="16"/>
                <w:lang w:val="en-GB"/>
              </w:rPr>
              <w:t>1,4</w:t>
            </w:r>
            <w:r w:rsidR="00CD0FAA">
              <w:rPr>
                <w:rFonts w:ascii="Arial" w:hAnsi="Arial" w:cs="Arial"/>
                <w:i/>
                <w:sz w:val="16"/>
                <w:lang w:val="en-GB"/>
              </w:rPr>
              <w:t>% (</w:t>
            </w:r>
            <w:r w:rsidR="006D7C86" w:rsidRPr="006F6ABB">
              <w:rPr>
                <w:rFonts w:ascii="Arial" w:hAnsi="Arial" w:cs="Arial"/>
                <w:i/>
                <w:sz w:val="16"/>
                <w:lang w:val="en-GB"/>
              </w:rPr>
              <w:t xml:space="preserve">IC95: </w:t>
            </w:r>
            <w:r>
              <w:rPr>
                <w:rFonts w:ascii="Arial" w:hAnsi="Arial" w:cs="Arial"/>
                <w:i/>
                <w:sz w:val="16"/>
                <w:lang w:val="en-GB"/>
              </w:rPr>
              <w:t>3,8</w:t>
            </w:r>
            <w:r w:rsidR="006D7C86" w:rsidRPr="006F6ABB">
              <w:rPr>
                <w:rFonts w:ascii="Arial" w:hAnsi="Arial" w:cs="Arial"/>
                <w:i/>
                <w:sz w:val="16"/>
                <w:lang w:val="en-GB"/>
              </w:rPr>
              <w:t xml:space="preserve">% a </w:t>
            </w:r>
            <w:r>
              <w:rPr>
                <w:rFonts w:ascii="Arial" w:hAnsi="Arial" w:cs="Arial"/>
                <w:i/>
                <w:sz w:val="16"/>
                <w:lang w:val="en-GB"/>
              </w:rPr>
              <w:t>-1</w:t>
            </w:r>
            <w:r w:rsidR="006D7C86" w:rsidRPr="006F6ABB">
              <w:rPr>
                <w:rFonts w:ascii="Arial" w:hAnsi="Arial" w:cs="Arial"/>
                <w:i/>
                <w:sz w:val="16"/>
                <w:lang w:val="en-GB"/>
              </w:rPr>
              <w:t>%)</w:t>
            </w:r>
          </w:p>
          <w:p w14:paraId="25AC6B93" w14:textId="77777777" w:rsidR="00E925B4" w:rsidRDefault="00E925B4" w:rsidP="00BC3E8E">
            <w:pPr>
              <w:tabs>
                <w:tab w:val="center" w:pos="851"/>
              </w:tabs>
              <w:rPr>
                <w:rFonts w:ascii="Arial" w:hAnsi="Arial" w:cs="Arial"/>
                <w:i/>
                <w:sz w:val="16"/>
                <w:lang w:val="en-GB"/>
              </w:rPr>
            </w:pPr>
          </w:p>
          <w:p w14:paraId="62A7AA10" w14:textId="639B371D" w:rsidR="006D7C86" w:rsidRDefault="00E925B4" w:rsidP="00BC3E8E">
            <w:pPr>
              <w:tabs>
                <w:tab w:val="center" w:pos="851"/>
              </w:tabs>
              <w:rPr>
                <w:rFonts w:ascii="Arial" w:hAnsi="Arial" w:cs="Arial"/>
                <w:i/>
                <w:sz w:val="16"/>
                <w:lang w:val="en-GB"/>
              </w:rPr>
            </w:pPr>
            <w:r>
              <w:rPr>
                <w:rFonts w:ascii="Arial" w:hAnsi="Arial" w:cs="Arial"/>
                <w:i/>
                <w:sz w:val="16"/>
                <w:lang w:val="en-GB"/>
              </w:rPr>
              <w:t>3,7</w:t>
            </w:r>
            <w:r w:rsidR="006D7C86" w:rsidRPr="006F6ABB">
              <w:rPr>
                <w:rFonts w:ascii="Arial" w:hAnsi="Arial" w:cs="Arial"/>
                <w:i/>
                <w:sz w:val="16"/>
                <w:lang w:val="en-GB"/>
              </w:rPr>
              <w:t xml:space="preserve">% (IC95: </w:t>
            </w:r>
            <w:r>
              <w:rPr>
                <w:rFonts w:ascii="Arial" w:hAnsi="Arial" w:cs="Arial"/>
                <w:i/>
                <w:sz w:val="16"/>
                <w:lang w:val="en-GB"/>
              </w:rPr>
              <w:t>7% a 0,3</w:t>
            </w:r>
            <w:r w:rsidR="006D7C86" w:rsidRPr="006F6ABB">
              <w:rPr>
                <w:rFonts w:ascii="Arial" w:hAnsi="Arial" w:cs="Arial"/>
                <w:i/>
                <w:sz w:val="16"/>
                <w:lang w:val="en-GB"/>
              </w:rPr>
              <w:t>%)</w:t>
            </w:r>
          </w:p>
          <w:p w14:paraId="5534027A" w14:textId="037F90EA" w:rsidR="006D7C86" w:rsidRDefault="00CD0FAA" w:rsidP="00BC3E8E">
            <w:pPr>
              <w:tabs>
                <w:tab w:val="center" w:pos="851"/>
              </w:tabs>
              <w:rPr>
                <w:rFonts w:ascii="Arial" w:hAnsi="Arial" w:cs="Arial"/>
                <w:i/>
                <w:sz w:val="16"/>
                <w:lang w:val="en-GB"/>
              </w:rPr>
            </w:pPr>
            <w:r>
              <w:rPr>
                <w:rFonts w:ascii="Arial" w:hAnsi="Arial" w:cs="Arial"/>
                <w:i/>
                <w:sz w:val="16"/>
                <w:lang w:val="en-GB"/>
              </w:rPr>
              <w:t>1,4% (IC95</w:t>
            </w:r>
            <w:r w:rsidR="00CD3998">
              <w:rPr>
                <w:rFonts w:ascii="Arial" w:hAnsi="Arial" w:cs="Arial"/>
                <w:i/>
                <w:sz w:val="16"/>
                <w:lang w:val="en-GB"/>
              </w:rPr>
              <w:t xml:space="preserve"> 3,5% a -0,6</w:t>
            </w:r>
            <w:r w:rsidR="006D7C86" w:rsidRPr="006F6ABB">
              <w:rPr>
                <w:rFonts w:ascii="Arial" w:hAnsi="Arial" w:cs="Arial"/>
                <w:i/>
                <w:sz w:val="16"/>
                <w:lang w:val="en-GB"/>
              </w:rPr>
              <w:t>%)</w:t>
            </w:r>
          </w:p>
          <w:p w14:paraId="474FD3EB" w14:textId="25EF793F" w:rsidR="006D7C86" w:rsidRDefault="00CD3998" w:rsidP="00BC3E8E">
            <w:pPr>
              <w:tabs>
                <w:tab w:val="center" w:pos="851"/>
              </w:tabs>
              <w:rPr>
                <w:rFonts w:ascii="Arial" w:hAnsi="Arial" w:cs="Arial"/>
                <w:i/>
                <w:sz w:val="16"/>
                <w:lang w:val="en-GB"/>
              </w:rPr>
            </w:pPr>
            <w:r>
              <w:rPr>
                <w:rFonts w:ascii="Arial" w:hAnsi="Arial" w:cs="Arial"/>
                <w:i/>
                <w:sz w:val="16"/>
                <w:lang w:val="en-GB"/>
              </w:rPr>
              <w:t>-1,9</w:t>
            </w:r>
            <w:r w:rsidR="00CD0FAA">
              <w:rPr>
                <w:rFonts w:ascii="Arial" w:hAnsi="Arial" w:cs="Arial"/>
                <w:i/>
                <w:sz w:val="16"/>
                <w:lang w:val="en-GB"/>
              </w:rPr>
              <w:t>% (</w:t>
            </w:r>
            <w:r w:rsidR="006D7C86" w:rsidRPr="006F6ABB">
              <w:rPr>
                <w:rFonts w:ascii="Arial" w:hAnsi="Arial" w:cs="Arial"/>
                <w:i/>
                <w:sz w:val="16"/>
                <w:lang w:val="en-GB"/>
              </w:rPr>
              <w:t xml:space="preserve">IC95: </w:t>
            </w:r>
            <w:r>
              <w:rPr>
                <w:rFonts w:ascii="Arial" w:hAnsi="Arial" w:cs="Arial"/>
                <w:i/>
                <w:sz w:val="16"/>
                <w:lang w:val="en-GB"/>
              </w:rPr>
              <w:t>0,7% a -4,5</w:t>
            </w:r>
            <w:r w:rsidR="006D7C86" w:rsidRPr="006F6ABB">
              <w:rPr>
                <w:rFonts w:ascii="Arial" w:hAnsi="Arial" w:cs="Arial"/>
                <w:i/>
                <w:sz w:val="16"/>
                <w:lang w:val="en-GB"/>
              </w:rPr>
              <w:t>%)</w:t>
            </w:r>
          </w:p>
          <w:p w14:paraId="5C81B0CA" w14:textId="77777777" w:rsidR="00CD3998" w:rsidRDefault="00CD3998" w:rsidP="00BC3E8E">
            <w:pPr>
              <w:tabs>
                <w:tab w:val="center" w:pos="851"/>
              </w:tabs>
              <w:rPr>
                <w:rFonts w:ascii="Arial" w:hAnsi="Arial" w:cs="Arial"/>
                <w:i/>
                <w:sz w:val="16"/>
                <w:lang w:val="en-GB"/>
              </w:rPr>
            </w:pPr>
          </w:p>
          <w:p w14:paraId="76682E17" w14:textId="5F75328D" w:rsidR="006D7C86" w:rsidRDefault="00CD0FAA" w:rsidP="00BC3E8E">
            <w:pPr>
              <w:tabs>
                <w:tab w:val="center" w:pos="851"/>
              </w:tabs>
              <w:rPr>
                <w:rFonts w:ascii="Arial" w:hAnsi="Arial" w:cs="Arial"/>
                <w:i/>
                <w:sz w:val="16"/>
                <w:lang w:val="en-GB"/>
              </w:rPr>
            </w:pPr>
            <w:r>
              <w:rPr>
                <w:rFonts w:ascii="Arial" w:hAnsi="Arial" w:cs="Arial"/>
                <w:i/>
                <w:sz w:val="16"/>
                <w:lang w:val="en-GB"/>
              </w:rPr>
              <w:t>8% (</w:t>
            </w:r>
            <w:r w:rsidR="00CD3998">
              <w:rPr>
                <w:rFonts w:ascii="Arial" w:hAnsi="Arial" w:cs="Arial"/>
                <w:i/>
                <w:sz w:val="16"/>
                <w:lang w:val="en-GB"/>
              </w:rPr>
              <w:t>IC95: 12% a 3</w:t>
            </w:r>
            <w:r w:rsidR="006D7C86" w:rsidRPr="006F6ABB">
              <w:rPr>
                <w:rFonts w:ascii="Arial" w:hAnsi="Arial" w:cs="Arial"/>
                <w:i/>
                <w:sz w:val="16"/>
                <w:lang w:val="en-GB"/>
              </w:rPr>
              <w:t>%)</w:t>
            </w:r>
          </w:p>
          <w:p w14:paraId="15BD1A19" w14:textId="77777777" w:rsidR="00ED79F6" w:rsidRDefault="00ED79F6" w:rsidP="00BC3E8E">
            <w:pPr>
              <w:tabs>
                <w:tab w:val="center" w:pos="851"/>
              </w:tabs>
              <w:rPr>
                <w:rFonts w:ascii="Arial" w:hAnsi="Arial" w:cs="Arial"/>
                <w:i/>
                <w:sz w:val="16"/>
                <w:lang w:val="en-GB"/>
              </w:rPr>
            </w:pPr>
          </w:p>
          <w:p w14:paraId="129F00BC" w14:textId="77777777" w:rsidR="00ED79F6" w:rsidRDefault="00ED79F6" w:rsidP="00BC3E8E">
            <w:pPr>
              <w:tabs>
                <w:tab w:val="center" w:pos="851"/>
              </w:tabs>
              <w:rPr>
                <w:rFonts w:ascii="Arial" w:hAnsi="Arial" w:cs="Arial"/>
                <w:i/>
                <w:sz w:val="16"/>
                <w:lang w:val="en-GB"/>
              </w:rPr>
            </w:pPr>
          </w:p>
          <w:p w14:paraId="78EBE2FE" w14:textId="77777777" w:rsidR="00ED79F6" w:rsidRDefault="00ED79F6" w:rsidP="00BC3E8E">
            <w:pPr>
              <w:tabs>
                <w:tab w:val="center" w:pos="851"/>
              </w:tabs>
              <w:rPr>
                <w:rFonts w:ascii="Arial" w:hAnsi="Arial" w:cs="Arial"/>
                <w:i/>
                <w:sz w:val="16"/>
                <w:lang w:val="en-GB"/>
              </w:rPr>
            </w:pPr>
          </w:p>
          <w:p w14:paraId="0C701B0B" w14:textId="77777777" w:rsidR="006C5F4B" w:rsidRPr="006F6ABB" w:rsidRDefault="006C5F4B" w:rsidP="006D7C86">
            <w:pPr>
              <w:jc w:val="center"/>
              <w:rPr>
                <w:rFonts w:ascii="Arial" w:hAnsi="Arial" w:cs="Arial"/>
                <w:i/>
                <w:sz w:val="16"/>
                <w:lang w:val="fr-FR"/>
              </w:rPr>
            </w:pPr>
            <w:r w:rsidRPr="006F6ABB">
              <w:rPr>
                <w:rFonts w:ascii="Arial" w:hAnsi="Arial" w:cs="Arial"/>
                <w:i/>
                <w:sz w:val="16"/>
                <w:lang w:val="en-GB"/>
              </w:rPr>
              <w:tab/>
            </w:r>
          </w:p>
        </w:tc>
        <w:tc>
          <w:tcPr>
            <w:tcW w:w="1314" w:type="dxa"/>
          </w:tcPr>
          <w:p w14:paraId="43CA36B5" w14:textId="0159DB23" w:rsidR="006C5F4B" w:rsidRPr="006F6ABB" w:rsidRDefault="006C5F4B" w:rsidP="00BC3E8E">
            <w:pPr>
              <w:rPr>
                <w:rFonts w:ascii="Arial" w:hAnsi="Arial" w:cs="Arial"/>
                <w:i/>
                <w:sz w:val="16"/>
                <w:lang w:val="pt-BR"/>
              </w:rPr>
            </w:pPr>
            <w:r>
              <w:rPr>
                <w:rFonts w:ascii="Arial" w:hAnsi="Arial" w:cs="Arial"/>
                <w:i/>
                <w:sz w:val="16"/>
                <w:lang w:val="pt-BR"/>
              </w:rPr>
              <w:t>9</w:t>
            </w:r>
            <w:r w:rsidRPr="006F6ABB">
              <w:rPr>
                <w:rFonts w:ascii="Arial" w:hAnsi="Arial" w:cs="Arial"/>
                <w:i/>
                <w:sz w:val="16"/>
                <w:lang w:val="pt-BR"/>
              </w:rPr>
              <w:t xml:space="preserve"> (</w:t>
            </w:r>
            <w:r w:rsidR="00700DF1">
              <w:rPr>
                <w:rFonts w:ascii="Arial" w:hAnsi="Arial" w:cs="Arial"/>
                <w:i/>
                <w:sz w:val="16"/>
                <w:lang w:val="pt-BR"/>
              </w:rPr>
              <w:t xml:space="preserve">33 </w:t>
            </w:r>
            <w:r>
              <w:rPr>
                <w:rFonts w:ascii="Arial" w:hAnsi="Arial" w:cs="Arial"/>
                <w:i/>
                <w:sz w:val="16"/>
                <w:lang w:val="pt-BR"/>
              </w:rPr>
              <w:t>a 5</w:t>
            </w:r>
            <w:r w:rsidRPr="006F6ABB">
              <w:rPr>
                <w:rFonts w:ascii="Arial" w:hAnsi="Arial" w:cs="Arial"/>
                <w:i/>
                <w:sz w:val="16"/>
                <w:lang w:val="pt-BR"/>
              </w:rPr>
              <w:t>)</w:t>
            </w:r>
          </w:p>
          <w:p w14:paraId="3FA1A30F" w14:textId="77777777" w:rsidR="006C5F4B" w:rsidRDefault="006C5F4B" w:rsidP="00BC3E8E">
            <w:pPr>
              <w:rPr>
                <w:rFonts w:ascii="Arial" w:hAnsi="Arial" w:cs="Arial"/>
                <w:i/>
                <w:sz w:val="16"/>
                <w:lang w:val="pt-BR"/>
              </w:rPr>
            </w:pPr>
          </w:p>
          <w:p w14:paraId="36F9401B" w14:textId="09F46DF9" w:rsidR="006C5F4B" w:rsidRPr="006F6ABB" w:rsidRDefault="006E4A51" w:rsidP="00BC3E8E">
            <w:pPr>
              <w:rPr>
                <w:rFonts w:ascii="Arial" w:hAnsi="Arial" w:cs="Arial"/>
                <w:i/>
                <w:sz w:val="16"/>
                <w:lang w:val="pt-BR"/>
              </w:rPr>
            </w:pPr>
            <w:r>
              <w:rPr>
                <w:rFonts w:ascii="Arial" w:hAnsi="Arial" w:cs="Arial"/>
                <w:i/>
                <w:sz w:val="16"/>
                <w:lang w:val="pt-BR"/>
              </w:rPr>
              <w:t>4(</w:t>
            </w:r>
            <w:r w:rsidR="004D0E96">
              <w:rPr>
                <w:rFonts w:ascii="Arial" w:hAnsi="Arial" w:cs="Arial"/>
                <w:i/>
                <w:sz w:val="16"/>
                <w:lang w:val="pt-BR"/>
              </w:rPr>
              <w:t>6 a 3</w:t>
            </w:r>
            <w:r w:rsidR="006C5F4B" w:rsidRPr="006F6ABB">
              <w:rPr>
                <w:rFonts w:ascii="Arial" w:hAnsi="Arial" w:cs="Arial"/>
                <w:i/>
                <w:sz w:val="16"/>
                <w:lang w:val="pt-BR"/>
              </w:rPr>
              <w:t>)</w:t>
            </w:r>
          </w:p>
          <w:p w14:paraId="131D147E" w14:textId="2A6840E8" w:rsidR="006C5F4B" w:rsidRPr="006F6ABB" w:rsidRDefault="00700DF1" w:rsidP="00BC3E8E">
            <w:pPr>
              <w:rPr>
                <w:rFonts w:ascii="Arial" w:hAnsi="Arial" w:cs="Arial"/>
                <w:i/>
                <w:sz w:val="16"/>
                <w:lang w:val="pt-BR"/>
              </w:rPr>
            </w:pPr>
            <w:r>
              <w:rPr>
                <w:rFonts w:ascii="Arial" w:hAnsi="Arial" w:cs="Arial"/>
                <w:i/>
                <w:sz w:val="16"/>
                <w:lang w:val="pt-BR"/>
              </w:rPr>
              <w:t>10</w:t>
            </w:r>
            <w:r w:rsidR="006E4A51">
              <w:rPr>
                <w:rFonts w:ascii="Arial" w:hAnsi="Arial" w:cs="Arial"/>
                <w:i/>
                <w:sz w:val="16"/>
                <w:lang w:val="pt-BR"/>
              </w:rPr>
              <w:t xml:space="preserve"> (</w:t>
            </w:r>
            <w:r>
              <w:rPr>
                <w:rFonts w:ascii="Arial" w:hAnsi="Arial" w:cs="Arial"/>
                <w:i/>
                <w:sz w:val="16"/>
                <w:lang w:val="pt-BR"/>
              </w:rPr>
              <w:t>50</w:t>
            </w:r>
            <w:r w:rsidR="006C5F4B" w:rsidRPr="006F6ABB">
              <w:rPr>
                <w:rFonts w:ascii="Arial" w:hAnsi="Arial" w:cs="Arial"/>
                <w:i/>
                <w:sz w:val="16"/>
                <w:lang w:val="pt-BR"/>
              </w:rPr>
              <w:t xml:space="preserve"> a </w:t>
            </w:r>
            <w:r>
              <w:rPr>
                <w:rFonts w:ascii="Arial" w:hAnsi="Arial" w:cs="Arial"/>
                <w:i/>
                <w:sz w:val="16"/>
                <w:lang w:val="pt-BR"/>
              </w:rPr>
              <w:t>6</w:t>
            </w:r>
            <w:r w:rsidR="006C5F4B" w:rsidRPr="006F6ABB">
              <w:rPr>
                <w:rFonts w:ascii="Arial" w:hAnsi="Arial" w:cs="Arial"/>
                <w:i/>
                <w:sz w:val="16"/>
                <w:lang w:val="pt-BR"/>
              </w:rPr>
              <w:t>)</w:t>
            </w:r>
          </w:p>
          <w:p w14:paraId="5DA7E097" w14:textId="4C17D7BD" w:rsidR="006C5F4B" w:rsidRPr="006F6ABB" w:rsidRDefault="00700DF1" w:rsidP="00BC3E8E">
            <w:pPr>
              <w:rPr>
                <w:rFonts w:ascii="Arial" w:hAnsi="Arial" w:cs="Arial"/>
                <w:i/>
                <w:sz w:val="16"/>
                <w:lang w:val="fr-FR"/>
              </w:rPr>
            </w:pPr>
            <w:r>
              <w:rPr>
                <w:rFonts w:ascii="Arial" w:hAnsi="Arial" w:cs="Arial"/>
                <w:i/>
                <w:sz w:val="16"/>
                <w:lang w:val="fr-FR"/>
              </w:rPr>
              <w:t>6</w:t>
            </w:r>
            <w:r w:rsidR="006C5F4B" w:rsidRPr="006F6ABB">
              <w:rPr>
                <w:rFonts w:ascii="Arial" w:hAnsi="Arial" w:cs="Arial"/>
                <w:i/>
                <w:sz w:val="16"/>
                <w:lang w:val="fr-FR"/>
              </w:rPr>
              <w:t xml:space="preserve"> ( </w:t>
            </w:r>
            <w:r>
              <w:rPr>
                <w:rFonts w:ascii="Arial" w:hAnsi="Arial" w:cs="Arial"/>
                <w:i/>
                <w:sz w:val="16"/>
                <w:lang w:val="fr-FR"/>
              </w:rPr>
              <w:t>11</w:t>
            </w:r>
            <w:r w:rsidR="006C5F4B" w:rsidRPr="006F6ABB">
              <w:rPr>
                <w:rFonts w:ascii="Arial" w:hAnsi="Arial" w:cs="Arial"/>
                <w:i/>
                <w:sz w:val="16"/>
                <w:lang w:val="fr-FR"/>
              </w:rPr>
              <w:t xml:space="preserve"> a </w:t>
            </w:r>
            <w:r>
              <w:rPr>
                <w:rFonts w:ascii="Arial" w:hAnsi="Arial" w:cs="Arial"/>
                <w:i/>
                <w:sz w:val="16"/>
                <w:lang w:val="fr-FR"/>
              </w:rPr>
              <w:t>4</w:t>
            </w:r>
            <w:r w:rsidR="006C5F4B" w:rsidRPr="006F6ABB">
              <w:rPr>
                <w:rFonts w:ascii="Arial" w:hAnsi="Arial" w:cs="Arial"/>
                <w:i/>
                <w:sz w:val="16"/>
                <w:lang w:val="fr-FR"/>
              </w:rPr>
              <w:t>)</w:t>
            </w:r>
          </w:p>
          <w:p w14:paraId="0C5FF140" w14:textId="08F70F7D" w:rsidR="006C5F4B" w:rsidRDefault="00700DF1" w:rsidP="00BC3E8E">
            <w:pPr>
              <w:rPr>
                <w:rFonts w:ascii="Arial" w:hAnsi="Arial" w:cs="Arial"/>
                <w:i/>
                <w:sz w:val="16"/>
                <w:lang w:val="fr-FR"/>
              </w:rPr>
            </w:pPr>
            <w:r>
              <w:rPr>
                <w:rFonts w:ascii="Arial" w:hAnsi="Arial" w:cs="Arial"/>
                <w:i/>
                <w:sz w:val="16"/>
                <w:lang w:val="fr-FR"/>
              </w:rPr>
              <w:t>7</w:t>
            </w:r>
            <w:r w:rsidR="006C5F4B" w:rsidRPr="006F6ABB">
              <w:rPr>
                <w:rFonts w:ascii="Arial" w:hAnsi="Arial" w:cs="Arial"/>
                <w:i/>
                <w:sz w:val="16"/>
                <w:lang w:val="fr-FR"/>
              </w:rPr>
              <w:t xml:space="preserve"> (</w:t>
            </w:r>
            <w:r>
              <w:rPr>
                <w:rFonts w:ascii="Arial" w:hAnsi="Arial" w:cs="Arial"/>
                <w:i/>
                <w:sz w:val="16"/>
                <w:lang w:val="fr-FR"/>
              </w:rPr>
              <w:t>17</w:t>
            </w:r>
            <w:r w:rsidR="006C5F4B" w:rsidRPr="006F6ABB">
              <w:rPr>
                <w:rFonts w:ascii="Arial" w:hAnsi="Arial" w:cs="Arial"/>
                <w:i/>
                <w:sz w:val="16"/>
                <w:lang w:val="fr-FR"/>
              </w:rPr>
              <w:t xml:space="preserve">x a </w:t>
            </w:r>
            <w:r>
              <w:rPr>
                <w:rFonts w:ascii="Arial" w:hAnsi="Arial" w:cs="Arial"/>
                <w:i/>
                <w:sz w:val="16"/>
                <w:lang w:val="fr-FR"/>
              </w:rPr>
              <w:t>5</w:t>
            </w:r>
            <w:r w:rsidR="006C5F4B" w:rsidRPr="006F6ABB">
              <w:rPr>
                <w:rFonts w:ascii="Arial" w:hAnsi="Arial" w:cs="Arial"/>
                <w:i/>
                <w:sz w:val="16"/>
                <w:lang w:val="fr-FR"/>
              </w:rPr>
              <w:t>)</w:t>
            </w:r>
          </w:p>
          <w:p w14:paraId="57B6E968" w14:textId="6F4CBAD8" w:rsidR="004D0E96" w:rsidRPr="006F6ABB" w:rsidRDefault="004D0E96" w:rsidP="004D0E96">
            <w:pPr>
              <w:rPr>
                <w:rFonts w:ascii="Arial" w:hAnsi="Arial" w:cs="Arial"/>
                <w:i/>
                <w:sz w:val="16"/>
                <w:lang w:val="pt-BR"/>
              </w:rPr>
            </w:pPr>
            <w:r>
              <w:rPr>
                <w:rFonts w:ascii="Arial" w:hAnsi="Arial" w:cs="Arial"/>
                <w:i/>
                <w:sz w:val="16"/>
                <w:lang w:val="pt-BR"/>
              </w:rPr>
              <w:t>10 (40 a 6</w:t>
            </w:r>
            <w:r w:rsidRPr="006F6ABB">
              <w:rPr>
                <w:rFonts w:ascii="Arial" w:hAnsi="Arial" w:cs="Arial"/>
                <w:i/>
                <w:sz w:val="16"/>
                <w:lang w:val="pt-BR"/>
              </w:rPr>
              <w:t>)</w:t>
            </w:r>
          </w:p>
          <w:p w14:paraId="1F252DB9" w14:textId="77777777" w:rsidR="004D0E96" w:rsidRPr="006F6ABB" w:rsidRDefault="004D0E96" w:rsidP="004D0E96">
            <w:pPr>
              <w:rPr>
                <w:rFonts w:ascii="Arial" w:hAnsi="Arial" w:cs="Arial"/>
                <w:i/>
                <w:sz w:val="16"/>
                <w:lang w:val="fr-FR"/>
              </w:rPr>
            </w:pPr>
            <w:r>
              <w:rPr>
                <w:rFonts w:ascii="Arial" w:hAnsi="Arial" w:cs="Arial"/>
                <w:i/>
                <w:sz w:val="16"/>
                <w:lang w:val="fr-FR"/>
              </w:rPr>
              <w:t>8( 16</w:t>
            </w:r>
            <w:r w:rsidRPr="006F6ABB">
              <w:rPr>
                <w:rFonts w:ascii="Arial" w:hAnsi="Arial" w:cs="Arial"/>
                <w:i/>
                <w:sz w:val="16"/>
                <w:lang w:val="fr-FR"/>
              </w:rPr>
              <w:t xml:space="preserve"> a</w:t>
            </w:r>
            <w:r>
              <w:rPr>
                <w:rFonts w:ascii="Arial" w:hAnsi="Arial" w:cs="Arial"/>
                <w:i/>
                <w:sz w:val="16"/>
                <w:lang w:val="fr-FR"/>
              </w:rPr>
              <w:t xml:space="preserve"> 5</w:t>
            </w:r>
            <w:r w:rsidRPr="006F6ABB">
              <w:rPr>
                <w:rFonts w:ascii="Arial" w:hAnsi="Arial" w:cs="Arial"/>
                <w:i/>
                <w:sz w:val="16"/>
                <w:lang w:val="fr-FR"/>
              </w:rPr>
              <w:t>)</w:t>
            </w:r>
          </w:p>
          <w:p w14:paraId="7057DE1B" w14:textId="77777777" w:rsidR="004D0E96" w:rsidRDefault="004D0E96" w:rsidP="004D0E96">
            <w:pPr>
              <w:rPr>
                <w:rFonts w:ascii="Arial" w:hAnsi="Arial" w:cs="Arial"/>
                <w:i/>
                <w:sz w:val="16"/>
                <w:lang w:val="fr-FR"/>
              </w:rPr>
            </w:pPr>
            <w:r>
              <w:rPr>
                <w:rFonts w:ascii="Arial" w:hAnsi="Arial" w:cs="Arial"/>
                <w:i/>
                <w:sz w:val="16"/>
                <w:lang w:val="fr-FR"/>
              </w:rPr>
              <w:t>10</w:t>
            </w:r>
            <w:r w:rsidRPr="006F6ABB">
              <w:rPr>
                <w:rFonts w:ascii="Arial" w:hAnsi="Arial" w:cs="Arial"/>
                <w:i/>
                <w:sz w:val="16"/>
                <w:lang w:val="fr-FR"/>
              </w:rPr>
              <w:t xml:space="preserve"> ( </w:t>
            </w:r>
            <w:r>
              <w:rPr>
                <w:rFonts w:ascii="Arial" w:hAnsi="Arial" w:cs="Arial"/>
                <w:i/>
                <w:sz w:val="16"/>
                <w:lang w:val="fr-FR"/>
              </w:rPr>
              <w:t>22 a 6</w:t>
            </w:r>
            <w:r w:rsidRPr="006F6ABB">
              <w:rPr>
                <w:rFonts w:ascii="Arial" w:hAnsi="Arial" w:cs="Arial"/>
                <w:i/>
                <w:sz w:val="16"/>
                <w:lang w:val="fr-FR"/>
              </w:rPr>
              <w:t>)</w:t>
            </w:r>
          </w:p>
          <w:p w14:paraId="75F0B215" w14:textId="7804DB0D" w:rsidR="004D0E96" w:rsidRPr="006F6ABB" w:rsidRDefault="004D0E96" w:rsidP="004D0E96">
            <w:pPr>
              <w:rPr>
                <w:rFonts w:ascii="Arial" w:hAnsi="Arial" w:cs="Arial"/>
                <w:i/>
                <w:sz w:val="16"/>
                <w:lang w:val="pt-BR"/>
              </w:rPr>
            </w:pPr>
            <w:r>
              <w:rPr>
                <w:rFonts w:ascii="Arial" w:hAnsi="Arial" w:cs="Arial"/>
                <w:i/>
                <w:sz w:val="16"/>
                <w:lang w:val="pt-BR"/>
              </w:rPr>
              <w:t xml:space="preserve">15 (296 a </w:t>
            </w:r>
            <w:r w:rsidR="00ED79F6">
              <w:rPr>
                <w:rFonts w:ascii="Arial" w:hAnsi="Arial" w:cs="Arial"/>
                <w:i/>
                <w:sz w:val="16"/>
                <w:lang w:val="pt-BR"/>
              </w:rPr>
              <w:t>8</w:t>
            </w:r>
            <w:r w:rsidRPr="006F6ABB">
              <w:rPr>
                <w:rFonts w:ascii="Arial" w:hAnsi="Arial" w:cs="Arial"/>
                <w:i/>
                <w:sz w:val="16"/>
                <w:lang w:val="pt-BR"/>
              </w:rPr>
              <w:t>)</w:t>
            </w:r>
          </w:p>
          <w:p w14:paraId="6587890F" w14:textId="77777777" w:rsidR="00700DF1" w:rsidRDefault="00700DF1" w:rsidP="004D0E96">
            <w:pPr>
              <w:rPr>
                <w:rFonts w:ascii="Arial" w:hAnsi="Arial" w:cs="Arial"/>
                <w:i/>
                <w:sz w:val="16"/>
                <w:lang w:val="fr-FR"/>
              </w:rPr>
            </w:pPr>
          </w:p>
          <w:p w14:paraId="70BFF231" w14:textId="6F387FB1" w:rsidR="004D0E96" w:rsidRDefault="004D0E96" w:rsidP="004D0E96">
            <w:pPr>
              <w:rPr>
                <w:rFonts w:ascii="Arial" w:hAnsi="Arial" w:cs="Arial"/>
                <w:i/>
                <w:sz w:val="16"/>
                <w:lang w:val="fr-FR"/>
              </w:rPr>
            </w:pPr>
            <w:r>
              <w:rPr>
                <w:rFonts w:ascii="Arial" w:hAnsi="Arial" w:cs="Arial"/>
                <w:i/>
                <w:sz w:val="16"/>
                <w:lang w:val="fr-FR"/>
              </w:rPr>
              <w:t>13 ( 43 a 7</w:t>
            </w:r>
            <w:r w:rsidRPr="006F6ABB">
              <w:rPr>
                <w:rFonts w:ascii="Arial" w:hAnsi="Arial" w:cs="Arial"/>
                <w:i/>
                <w:sz w:val="16"/>
                <w:lang w:val="fr-FR"/>
              </w:rPr>
              <w:t>)</w:t>
            </w:r>
          </w:p>
          <w:p w14:paraId="2E5D7196" w14:textId="77777777" w:rsidR="00700DF1" w:rsidRDefault="00700DF1" w:rsidP="004D0E96">
            <w:pPr>
              <w:rPr>
                <w:rFonts w:ascii="Arial" w:hAnsi="Arial" w:cs="Arial"/>
                <w:i/>
                <w:sz w:val="16"/>
                <w:lang w:val="fr-FR"/>
              </w:rPr>
            </w:pPr>
          </w:p>
          <w:p w14:paraId="403C198F" w14:textId="1BA1EF13" w:rsidR="004D0E96" w:rsidRPr="006F6ABB" w:rsidRDefault="00ED79F6" w:rsidP="004D0E96">
            <w:pPr>
              <w:rPr>
                <w:rFonts w:ascii="Arial" w:hAnsi="Arial" w:cs="Arial"/>
                <w:i/>
                <w:sz w:val="16"/>
                <w:lang w:val="fr-FR"/>
              </w:rPr>
            </w:pPr>
            <w:r>
              <w:rPr>
                <w:rFonts w:ascii="Arial" w:hAnsi="Arial" w:cs="Arial"/>
                <w:i/>
                <w:sz w:val="16"/>
                <w:lang w:val="fr-FR"/>
              </w:rPr>
              <w:t xml:space="preserve">13 (41,5 </w:t>
            </w:r>
            <w:r w:rsidR="004D0E96" w:rsidRPr="006F6ABB">
              <w:rPr>
                <w:rFonts w:ascii="Arial" w:hAnsi="Arial" w:cs="Arial"/>
                <w:i/>
                <w:sz w:val="16"/>
                <w:lang w:val="fr-FR"/>
              </w:rPr>
              <w:t xml:space="preserve"> a </w:t>
            </w:r>
            <w:r>
              <w:rPr>
                <w:rFonts w:ascii="Arial" w:hAnsi="Arial" w:cs="Arial"/>
                <w:i/>
                <w:sz w:val="16"/>
                <w:lang w:val="fr-FR"/>
              </w:rPr>
              <w:t>7</w:t>
            </w:r>
            <w:r w:rsidR="004D0E96" w:rsidRPr="006F6ABB">
              <w:rPr>
                <w:rFonts w:ascii="Arial" w:hAnsi="Arial" w:cs="Arial"/>
                <w:i/>
                <w:sz w:val="16"/>
                <w:lang w:val="fr-FR"/>
              </w:rPr>
              <w:t>)</w:t>
            </w:r>
          </w:p>
          <w:p w14:paraId="5CAD48A2" w14:textId="77777777" w:rsidR="004D0E96" w:rsidRDefault="00ED79F6" w:rsidP="004D0E96">
            <w:pPr>
              <w:rPr>
                <w:rFonts w:ascii="Arial" w:hAnsi="Arial" w:cs="Arial"/>
                <w:i/>
                <w:sz w:val="16"/>
                <w:lang w:val="fr-FR"/>
              </w:rPr>
            </w:pPr>
            <w:r>
              <w:rPr>
                <w:rFonts w:ascii="Arial" w:hAnsi="Arial" w:cs="Arial"/>
                <w:i/>
                <w:sz w:val="16"/>
                <w:lang w:val="fr-FR"/>
              </w:rPr>
              <w:t>15 ( 110 a 8</w:t>
            </w:r>
            <w:r w:rsidR="004D0E96" w:rsidRPr="006F6ABB">
              <w:rPr>
                <w:rFonts w:ascii="Arial" w:hAnsi="Arial" w:cs="Arial"/>
                <w:i/>
                <w:sz w:val="16"/>
                <w:lang w:val="fr-FR"/>
              </w:rPr>
              <w:t>)</w:t>
            </w:r>
          </w:p>
          <w:p w14:paraId="67C49077" w14:textId="77777777" w:rsidR="00700DF1" w:rsidRDefault="00700DF1" w:rsidP="004D0E96">
            <w:pPr>
              <w:rPr>
                <w:rFonts w:ascii="Arial" w:hAnsi="Arial" w:cs="Arial"/>
                <w:i/>
                <w:sz w:val="16"/>
                <w:lang w:val="fr-FR"/>
              </w:rPr>
            </w:pPr>
          </w:p>
          <w:p w14:paraId="642C44E3" w14:textId="51DB5E7C" w:rsidR="004D0E96" w:rsidRPr="006F6ABB" w:rsidRDefault="00ED79F6" w:rsidP="004D0E96">
            <w:pPr>
              <w:rPr>
                <w:rFonts w:ascii="Arial" w:hAnsi="Arial" w:cs="Arial"/>
                <w:i/>
                <w:sz w:val="16"/>
                <w:lang w:val="fr-FR"/>
              </w:rPr>
            </w:pPr>
            <w:r>
              <w:rPr>
                <w:rFonts w:ascii="Arial" w:hAnsi="Arial" w:cs="Arial"/>
                <w:i/>
                <w:sz w:val="16"/>
                <w:lang w:val="fr-FR"/>
              </w:rPr>
              <w:t>18</w:t>
            </w:r>
            <w:r w:rsidR="004D0E96" w:rsidRPr="006F6ABB">
              <w:rPr>
                <w:rFonts w:ascii="Arial" w:hAnsi="Arial" w:cs="Arial"/>
                <w:i/>
                <w:sz w:val="16"/>
                <w:lang w:val="fr-FR"/>
              </w:rPr>
              <w:t xml:space="preserve">( </w:t>
            </w:r>
            <w:r>
              <w:rPr>
                <w:rFonts w:ascii="Arial" w:hAnsi="Arial" w:cs="Arial"/>
                <w:i/>
                <w:sz w:val="16"/>
                <w:lang w:val="fr-FR"/>
              </w:rPr>
              <w:t>288</w:t>
            </w:r>
            <w:r w:rsidR="004D0E96" w:rsidRPr="006F6ABB">
              <w:rPr>
                <w:rFonts w:ascii="Arial" w:hAnsi="Arial" w:cs="Arial"/>
                <w:i/>
                <w:sz w:val="16"/>
                <w:lang w:val="fr-FR"/>
              </w:rPr>
              <w:t xml:space="preserve"> a</w:t>
            </w:r>
            <w:r>
              <w:rPr>
                <w:rFonts w:ascii="Arial" w:hAnsi="Arial" w:cs="Arial"/>
                <w:i/>
                <w:sz w:val="16"/>
                <w:lang w:val="fr-FR"/>
              </w:rPr>
              <w:t xml:space="preserve"> 9</w:t>
            </w:r>
            <w:r w:rsidR="004D0E96" w:rsidRPr="006F6ABB">
              <w:rPr>
                <w:rFonts w:ascii="Arial" w:hAnsi="Arial" w:cs="Arial"/>
                <w:i/>
                <w:sz w:val="16"/>
                <w:lang w:val="fr-FR"/>
              </w:rPr>
              <w:t>)</w:t>
            </w:r>
          </w:p>
          <w:p w14:paraId="115B9501" w14:textId="77777777" w:rsidR="004D0E96" w:rsidRDefault="00ED79F6" w:rsidP="004D0E96">
            <w:pPr>
              <w:rPr>
                <w:rFonts w:ascii="Arial" w:hAnsi="Arial" w:cs="Arial"/>
                <w:i/>
                <w:sz w:val="16"/>
                <w:lang w:val="fr-FR"/>
              </w:rPr>
            </w:pPr>
            <w:r>
              <w:rPr>
                <w:rFonts w:ascii="Arial" w:hAnsi="Arial" w:cs="Arial"/>
                <w:i/>
                <w:sz w:val="16"/>
                <w:lang w:val="fr-FR"/>
              </w:rPr>
              <w:t>15</w:t>
            </w:r>
            <w:r w:rsidR="004D0E96" w:rsidRPr="006F6ABB">
              <w:rPr>
                <w:rFonts w:ascii="Arial" w:hAnsi="Arial" w:cs="Arial"/>
                <w:i/>
                <w:sz w:val="16"/>
                <w:lang w:val="fr-FR"/>
              </w:rPr>
              <w:t xml:space="preserve"> ( </w:t>
            </w:r>
            <w:r>
              <w:rPr>
                <w:rFonts w:ascii="Arial" w:hAnsi="Arial" w:cs="Arial"/>
                <w:i/>
                <w:sz w:val="16"/>
                <w:lang w:val="fr-FR"/>
              </w:rPr>
              <w:t>57</w:t>
            </w:r>
            <w:r w:rsidR="004D0E96" w:rsidRPr="006F6ABB">
              <w:rPr>
                <w:rFonts w:ascii="Arial" w:hAnsi="Arial" w:cs="Arial"/>
                <w:i/>
                <w:sz w:val="16"/>
                <w:lang w:val="fr-FR"/>
              </w:rPr>
              <w:t xml:space="preserve"> a </w:t>
            </w:r>
            <w:r>
              <w:rPr>
                <w:rFonts w:ascii="Arial" w:hAnsi="Arial" w:cs="Arial"/>
                <w:i/>
                <w:sz w:val="16"/>
                <w:lang w:val="fr-FR"/>
              </w:rPr>
              <w:t>8</w:t>
            </w:r>
            <w:r w:rsidR="004D0E96" w:rsidRPr="006F6ABB">
              <w:rPr>
                <w:rFonts w:ascii="Arial" w:hAnsi="Arial" w:cs="Arial"/>
                <w:i/>
                <w:sz w:val="16"/>
                <w:lang w:val="fr-FR"/>
              </w:rPr>
              <w:t>)</w:t>
            </w:r>
          </w:p>
          <w:p w14:paraId="0170075B" w14:textId="2AE5E31B" w:rsidR="004D0E96" w:rsidRDefault="006E4A51" w:rsidP="004D0E96">
            <w:pPr>
              <w:rPr>
                <w:rFonts w:ascii="Arial" w:hAnsi="Arial" w:cs="Arial"/>
                <w:i/>
                <w:sz w:val="16"/>
                <w:lang w:val="pt-BR"/>
              </w:rPr>
            </w:pPr>
            <w:r>
              <w:rPr>
                <w:rFonts w:ascii="Arial" w:hAnsi="Arial" w:cs="Arial"/>
                <w:i/>
                <w:sz w:val="16"/>
                <w:lang w:val="pt-BR"/>
              </w:rPr>
              <w:t>12(</w:t>
            </w:r>
            <w:r w:rsidR="00ED79F6">
              <w:rPr>
                <w:rFonts w:ascii="Arial" w:hAnsi="Arial" w:cs="Arial"/>
                <w:i/>
                <w:sz w:val="16"/>
                <w:lang w:val="pt-BR"/>
              </w:rPr>
              <w:t>29 a 8</w:t>
            </w:r>
            <w:r w:rsidR="004D0E96" w:rsidRPr="006F6ABB">
              <w:rPr>
                <w:rFonts w:ascii="Arial" w:hAnsi="Arial" w:cs="Arial"/>
                <w:i/>
                <w:sz w:val="16"/>
                <w:lang w:val="pt-BR"/>
              </w:rPr>
              <w:t>)</w:t>
            </w:r>
          </w:p>
          <w:p w14:paraId="41D6E62E" w14:textId="77777777" w:rsidR="00ED79F6" w:rsidRPr="006F6ABB" w:rsidRDefault="00ED79F6" w:rsidP="004D0E96">
            <w:pPr>
              <w:rPr>
                <w:rFonts w:ascii="Arial" w:hAnsi="Arial" w:cs="Arial"/>
                <w:i/>
                <w:sz w:val="16"/>
                <w:lang w:val="pt-BR"/>
              </w:rPr>
            </w:pPr>
          </w:p>
          <w:p w14:paraId="6C494E6C" w14:textId="77777777" w:rsidR="004D0E96" w:rsidRDefault="00ED79F6" w:rsidP="004D0E96">
            <w:pPr>
              <w:rPr>
                <w:rFonts w:ascii="Arial" w:hAnsi="Arial" w:cs="Arial"/>
                <w:i/>
                <w:sz w:val="16"/>
                <w:lang w:val="fr-FR"/>
              </w:rPr>
            </w:pPr>
            <w:r>
              <w:rPr>
                <w:rFonts w:ascii="Arial" w:hAnsi="Arial" w:cs="Arial"/>
                <w:i/>
                <w:sz w:val="16"/>
                <w:lang w:val="fr-FR"/>
              </w:rPr>
              <w:t>-14 ( -8</w:t>
            </w:r>
            <w:r w:rsidR="004D0E96" w:rsidRPr="006F6ABB">
              <w:rPr>
                <w:rFonts w:ascii="Arial" w:hAnsi="Arial" w:cs="Arial"/>
                <w:i/>
                <w:sz w:val="16"/>
                <w:lang w:val="fr-FR"/>
              </w:rPr>
              <w:t xml:space="preserve"> a</w:t>
            </w:r>
            <w:r>
              <w:rPr>
                <w:rFonts w:ascii="Arial" w:hAnsi="Arial" w:cs="Arial"/>
                <w:i/>
                <w:sz w:val="16"/>
                <w:lang w:val="fr-FR"/>
              </w:rPr>
              <w:t xml:space="preserve"> -56</w:t>
            </w:r>
            <w:r w:rsidR="004D0E96" w:rsidRPr="006F6ABB">
              <w:rPr>
                <w:rFonts w:ascii="Arial" w:hAnsi="Arial" w:cs="Arial"/>
                <w:i/>
                <w:sz w:val="16"/>
                <w:lang w:val="fr-FR"/>
              </w:rPr>
              <w:t>)</w:t>
            </w:r>
          </w:p>
          <w:p w14:paraId="53527720" w14:textId="77777777" w:rsidR="00ED79F6" w:rsidRPr="006F6ABB" w:rsidRDefault="00ED79F6" w:rsidP="004D0E96">
            <w:pPr>
              <w:rPr>
                <w:rFonts w:ascii="Arial" w:hAnsi="Arial" w:cs="Arial"/>
                <w:i/>
                <w:sz w:val="16"/>
                <w:lang w:val="fr-FR"/>
              </w:rPr>
            </w:pPr>
          </w:p>
          <w:p w14:paraId="1DB0E410" w14:textId="77777777" w:rsidR="004D0E96" w:rsidRDefault="00E925B4" w:rsidP="004D0E96">
            <w:pPr>
              <w:rPr>
                <w:rFonts w:ascii="Arial" w:hAnsi="Arial" w:cs="Arial"/>
                <w:i/>
                <w:sz w:val="16"/>
                <w:lang w:val="fr-FR"/>
              </w:rPr>
            </w:pPr>
            <w:r>
              <w:rPr>
                <w:rFonts w:ascii="Arial" w:hAnsi="Arial" w:cs="Arial"/>
                <w:i/>
                <w:sz w:val="16"/>
                <w:lang w:val="fr-FR"/>
              </w:rPr>
              <w:t>7 ( 25 a 4</w:t>
            </w:r>
            <w:r w:rsidR="004D0E96" w:rsidRPr="006F6ABB">
              <w:rPr>
                <w:rFonts w:ascii="Arial" w:hAnsi="Arial" w:cs="Arial"/>
                <w:i/>
                <w:sz w:val="16"/>
                <w:lang w:val="fr-FR"/>
              </w:rPr>
              <w:t>)</w:t>
            </w:r>
          </w:p>
          <w:p w14:paraId="262A00B2" w14:textId="77777777" w:rsidR="00ED79F6" w:rsidRDefault="00ED79F6" w:rsidP="004D0E96">
            <w:pPr>
              <w:rPr>
                <w:rFonts w:ascii="Arial" w:hAnsi="Arial" w:cs="Arial"/>
                <w:i/>
                <w:sz w:val="16"/>
                <w:lang w:val="fr-FR"/>
              </w:rPr>
            </w:pPr>
          </w:p>
          <w:p w14:paraId="3469800F" w14:textId="17576087" w:rsidR="004D0E96" w:rsidRDefault="00CD0FAA" w:rsidP="004D0E96">
            <w:pPr>
              <w:rPr>
                <w:rFonts w:ascii="Arial" w:hAnsi="Arial" w:cs="Arial"/>
                <w:i/>
                <w:sz w:val="16"/>
                <w:lang w:val="pt-BR"/>
              </w:rPr>
            </w:pPr>
            <w:r>
              <w:rPr>
                <w:rFonts w:ascii="Arial" w:hAnsi="Arial" w:cs="Arial"/>
                <w:i/>
                <w:sz w:val="16"/>
                <w:lang w:val="pt-BR"/>
              </w:rPr>
              <w:t>5 (</w:t>
            </w:r>
            <w:r w:rsidR="00E925B4">
              <w:rPr>
                <w:rFonts w:ascii="Arial" w:hAnsi="Arial" w:cs="Arial"/>
                <w:i/>
                <w:sz w:val="16"/>
                <w:lang w:val="pt-BR"/>
              </w:rPr>
              <w:t>7 a 3</w:t>
            </w:r>
            <w:r w:rsidR="004D0E96" w:rsidRPr="006F6ABB">
              <w:rPr>
                <w:rFonts w:ascii="Arial" w:hAnsi="Arial" w:cs="Arial"/>
                <w:i/>
                <w:sz w:val="16"/>
                <w:lang w:val="pt-BR"/>
              </w:rPr>
              <w:t>)</w:t>
            </w:r>
          </w:p>
          <w:p w14:paraId="4E629FA8" w14:textId="77777777" w:rsidR="00E925B4" w:rsidRDefault="00E925B4" w:rsidP="004D0E96">
            <w:pPr>
              <w:rPr>
                <w:rFonts w:ascii="Arial" w:hAnsi="Arial" w:cs="Arial"/>
                <w:i/>
                <w:sz w:val="16"/>
                <w:lang w:val="pt-BR"/>
              </w:rPr>
            </w:pPr>
          </w:p>
          <w:p w14:paraId="3893D290" w14:textId="77777777" w:rsidR="00E925B4" w:rsidRDefault="00E925B4" w:rsidP="004D0E96">
            <w:pPr>
              <w:rPr>
                <w:rFonts w:ascii="Arial" w:hAnsi="Arial" w:cs="Arial"/>
                <w:i/>
                <w:sz w:val="16"/>
                <w:lang w:val="pt-BR"/>
              </w:rPr>
            </w:pPr>
          </w:p>
          <w:p w14:paraId="1A01B2AF" w14:textId="77777777" w:rsidR="00E925B4" w:rsidRPr="006F6ABB" w:rsidRDefault="00E925B4" w:rsidP="004D0E96">
            <w:pPr>
              <w:rPr>
                <w:rFonts w:ascii="Arial" w:hAnsi="Arial" w:cs="Arial"/>
                <w:i/>
                <w:sz w:val="16"/>
                <w:lang w:val="pt-BR"/>
              </w:rPr>
            </w:pPr>
          </w:p>
          <w:p w14:paraId="0B3BA28F" w14:textId="77777777" w:rsidR="00700DF1" w:rsidRDefault="00700DF1" w:rsidP="004D0E96">
            <w:pPr>
              <w:rPr>
                <w:rFonts w:ascii="Arial" w:hAnsi="Arial" w:cs="Arial"/>
                <w:i/>
                <w:sz w:val="16"/>
                <w:lang w:val="fr-FR"/>
              </w:rPr>
            </w:pPr>
          </w:p>
          <w:p w14:paraId="3C27BC7A" w14:textId="7AE701C3" w:rsidR="004D0E96" w:rsidRDefault="00E925B4" w:rsidP="004D0E96">
            <w:pPr>
              <w:rPr>
                <w:rFonts w:ascii="Arial" w:hAnsi="Arial" w:cs="Arial"/>
                <w:i/>
                <w:sz w:val="16"/>
                <w:lang w:val="fr-FR"/>
              </w:rPr>
            </w:pPr>
            <w:r>
              <w:rPr>
                <w:rFonts w:ascii="Arial" w:hAnsi="Arial" w:cs="Arial"/>
                <w:i/>
                <w:sz w:val="16"/>
                <w:lang w:val="fr-FR"/>
              </w:rPr>
              <w:t>71</w:t>
            </w:r>
            <w:r w:rsidR="004D0E96" w:rsidRPr="006F6ABB">
              <w:rPr>
                <w:rFonts w:ascii="Arial" w:hAnsi="Arial" w:cs="Arial"/>
                <w:i/>
                <w:sz w:val="16"/>
                <w:lang w:val="fr-FR"/>
              </w:rPr>
              <w:t xml:space="preserve">( </w:t>
            </w:r>
            <w:r>
              <w:rPr>
                <w:rFonts w:ascii="Arial" w:hAnsi="Arial" w:cs="Arial"/>
                <w:i/>
                <w:sz w:val="16"/>
                <w:lang w:val="fr-FR"/>
              </w:rPr>
              <w:t xml:space="preserve">98 </w:t>
            </w:r>
            <w:r w:rsidR="004D0E96" w:rsidRPr="006F6ABB">
              <w:rPr>
                <w:rFonts w:ascii="Arial" w:hAnsi="Arial" w:cs="Arial"/>
                <w:i/>
                <w:sz w:val="16"/>
                <w:lang w:val="fr-FR"/>
              </w:rPr>
              <w:t xml:space="preserve">a </w:t>
            </w:r>
            <w:r>
              <w:rPr>
                <w:rFonts w:ascii="Arial" w:hAnsi="Arial" w:cs="Arial"/>
                <w:i/>
                <w:sz w:val="16"/>
                <w:lang w:val="fr-FR"/>
              </w:rPr>
              <w:t>26</w:t>
            </w:r>
            <w:r w:rsidR="004D0E96" w:rsidRPr="006F6ABB">
              <w:rPr>
                <w:rFonts w:ascii="Arial" w:hAnsi="Arial" w:cs="Arial"/>
                <w:i/>
                <w:sz w:val="16"/>
                <w:lang w:val="fr-FR"/>
              </w:rPr>
              <w:t>)</w:t>
            </w:r>
          </w:p>
          <w:p w14:paraId="5B766D8F" w14:textId="77777777" w:rsidR="00E925B4" w:rsidRDefault="00E925B4" w:rsidP="004D0E96">
            <w:pPr>
              <w:rPr>
                <w:rFonts w:ascii="Arial" w:hAnsi="Arial" w:cs="Arial"/>
                <w:i/>
                <w:sz w:val="16"/>
                <w:lang w:val="fr-FR"/>
              </w:rPr>
            </w:pPr>
          </w:p>
          <w:p w14:paraId="6955ED99" w14:textId="3C7C1300" w:rsidR="004D0E96" w:rsidRPr="006F6ABB" w:rsidRDefault="00CD3998" w:rsidP="004D0E96">
            <w:pPr>
              <w:rPr>
                <w:rFonts w:ascii="Arial" w:hAnsi="Arial" w:cs="Arial"/>
                <w:i/>
                <w:sz w:val="16"/>
                <w:lang w:val="pt-BR"/>
              </w:rPr>
            </w:pPr>
            <w:r>
              <w:rPr>
                <w:rFonts w:ascii="Arial" w:hAnsi="Arial" w:cs="Arial"/>
                <w:i/>
                <w:sz w:val="16"/>
                <w:lang w:val="pt-BR"/>
              </w:rPr>
              <w:t>27 (262 a 14</w:t>
            </w:r>
            <w:r w:rsidR="004D0E96" w:rsidRPr="006F6ABB">
              <w:rPr>
                <w:rFonts w:ascii="Arial" w:hAnsi="Arial" w:cs="Arial"/>
                <w:i/>
                <w:sz w:val="16"/>
                <w:lang w:val="pt-BR"/>
              </w:rPr>
              <w:t>)</w:t>
            </w:r>
          </w:p>
          <w:p w14:paraId="3E8D4DFE" w14:textId="77777777" w:rsidR="00700DF1" w:rsidRDefault="00700DF1" w:rsidP="004D0E96">
            <w:pPr>
              <w:rPr>
                <w:rFonts w:ascii="Arial" w:hAnsi="Arial" w:cs="Arial"/>
                <w:i/>
                <w:sz w:val="16"/>
                <w:lang w:val="fr-FR"/>
              </w:rPr>
            </w:pPr>
          </w:p>
          <w:p w14:paraId="6EF00237" w14:textId="77777777" w:rsidR="00CD3998" w:rsidRDefault="00CD3998" w:rsidP="004D0E96">
            <w:pPr>
              <w:rPr>
                <w:rFonts w:ascii="Arial" w:hAnsi="Arial" w:cs="Arial"/>
                <w:i/>
                <w:sz w:val="16"/>
                <w:lang w:val="fr-FR"/>
              </w:rPr>
            </w:pPr>
          </w:p>
          <w:p w14:paraId="40DED46E" w14:textId="77777777" w:rsidR="00700DF1" w:rsidRDefault="00700DF1" w:rsidP="00CD3998">
            <w:pPr>
              <w:rPr>
                <w:rFonts w:ascii="Arial" w:hAnsi="Arial" w:cs="Arial"/>
                <w:i/>
                <w:sz w:val="16"/>
                <w:lang w:val="pt-BR"/>
              </w:rPr>
            </w:pPr>
          </w:p>
          <w:p w14:paraId="0891F5B7" w14:textId="6D45DB01" w:rsidR="004D0E96" w:rsidRPr="00CD3998" w:rsidRDefault="00CD3998" w:rsidP="00CD3998">
            <w:pPr>
              <w:rPr>
                <w:rFonts w:ascii="Arial" w:hAnsi="Arial" w:cs="Arial"/>
                <w:i/>
                <w:sz w:val="16"/>
                <w:lang w:val="pt-BR"/>
              </w:rPr>
            </w:pPr>
            <w:r>
              <w:rPr>
                <w:rFonts w:ascii="Arial" w:hAnsi="Arial" w:cs="Arial"/>
                <w:i/>
                <w:sz w:val="16"/>
                <w:lang w:val="pt-BR"/>
              </w:rPr>
              <w:t>12 ( 3</w:t>
            </w:r>
            <w:r w:rsidR="00700DF1">
              <w:rPr>
                <w:rFonts w:ascii="Arial" w:hAnsi="Arial" w:cs="Arial"/>
                <w:i/>
                <w:sz w:val="16"/>
                <w:lang w:val="pt-BR"/>
              </w:rPr>
              <w:t>3</w:t>
            </w:r>
            <w:r>
              <w:rPr>
                <w:rFonts w:ascii="Arial" w:hAnsi="Arial" w:cs="Arial"/>
                <w:i/>
                <w:sz w:val="16"/>
                <w:lang w:val="pt-BR"/>
              </w:rPr>
              <w:t xml:space="preserve"> a 8)</w:t>
            </w:r>
            <w:r w:rsidRPr="006F6ABB">
              <w:rPr>
                <w:rFonts w:ascii="Arial" w:hAnsi="Arial" w:cs="Arial"/>
                <w:i/>
                <w:sz w:val="16"/>
                <w:lang w:val="fr-FR"/>
              </w:rPr>
              <w:t xml:space="preserve"> </w:t>
            </w:r>
          </w:p>
        </w:tc>
      </w:tr>
      <w:tr w:rsidR="00BC3E8E" w:rsidRPr="006E4A51" w14:paraId="3D5F499C" w14:textId="77777777" w:rsidTr="003D10E1">
        <w:trPr>
          <w:cantSplit/>
          <w:trHeight w:val="218"/>
        </w:trPr>
        <w:tc>
          <w:tcPr>
            <w:tcW w:w="8879" w:type="dxa"/>
            <w:gridSpan w:val="5"/>
          </w:tcPr>
          <w:p w14:paraId="33AE3620" w14:textId="77777777" w:rsidR="00BC3E8E" w:rsidRPr="006E4A51" w:rsidRDefault="00BC3E8E" w:rsidP="00BC3E8E">
            <w:pPr>
              <w:jc w:val="both"/>
              <w:rPr>
                <w:rFonts w:ascii="Arial" w:hAnsi="Arial" w:cs="Arial"/>
                <w:sz w:val="16"/>
                <w:szCs w:val="16"/>
                <w:lang w:val="fr-FR"/>
              </w:rPr>
            </w:pPr>
          </w:p>
        </w:tc>
      </w:tr>
      <w:tr w:rsidR="003D10E1" w:rsidRPr="006F6ABB" w14:paraId="68671549" w14:textId="77777777" w:rsidTr="003D10E1">
        <w:trPr>
          <w:cantSplit/>
          <w:trHeight w:val="218"/>
        </w:trPr>
        <w:tc>
          <w:tcPr>
            <w:tcW w:w="8879" w:type="dxa"/>
            <w:gridSpan w:val="5"/>
          </w:tcPr>
          <w:p w14:paraId="188AB60A" w14:textId="77777777" w:rsidR="00285285" w:rsidRPr="006E4A51" w:rsidRDefault="00285285" w:rsidP="00285285">
            <w:pPr>
              <w:jc w:val="both"/>
              <w:rPr>
                <w:rFonts w:ascii="Arial" w:hAnsi="Arial" w:cs="Arial"/>
                <w:sz w:val="20"/>
                <w:szCs w:val="20"/>
                <w:lang w:val="fr-FR"/>
              </w:rPr>
            </w:pPr>
          </w:p>
          <w:p w14:paraId="1C765D2D" w14:textId="77777777" w:rsidR="00285285" w:rsidRPr="00847425" w:rsidRDefault="00285285" w:rsidP="00285285">
            <w:pPr>
              <w:jc w:val="both"/>
              <w:rPr>
                <w:rFonts w:ascii="Arial" w:hAnsi="Arial" w:cs="Arial"/>
                <w:sz w:val="20"/>
                <w:szCs w:val="20"/>
              </w:rPr>
            </w:pPr>
            <w:r w:rsidRPr="00847425">
              <w:rPr>
                <w:rFonts w:ascii="Arial" w:hAnsi="Arial" w:cs="Arial"/>
                <w:sz w:val="20"/>
                <w:szCs w:val="20"/>
              </w:rPr>
              <w:t>Del estudio MAGNITUDE cohorte 1 (N = 212), Las reacciones adversas más frecuentes de todos los grados que se produjeron en &gt; 10 % en el grupo de niraparib más AAP fueron anemia (50,0 %), hipertensión (33,0 %), estreñimiento (33,0 %), fatiga (29,7 %), náuseas (24,5 %), trombocitopenia (23,1 %), disnea (17,9 %), dolor de espalda (17,0 %), disminución del apetito (15,6 %), neutropenia (15,1 %), artralgia (15,1 %), vómitos (14,6 %), hipopotasemia (13,7 %), mareos (12,7 %), insomnio (11,3 %), hiperglucemia (11,8 %) e infección del tracto urinario (10,4 %). Las reacciones adversas de Grado 3-4 más frecuentemente observadas fueron anemia (30,2 %), hipertensión (15,6 %), trombocitopenia (7,5 %), neutropenia (6,6 %) y aumento de fosfatasa alcalina en sangre (5,7 %).</w:t>
            </w:r>
          </w:p>
          <w:p w14:paraId="03E13C07" w14:textId="77777777" w:rsidR="00A41617" w:rsidRPr="00847425" w:rsidRDefault="00A41617" w:rsidP="00285285">
            <w:pPr>
              <w:jc w:val="both"/>
              <w:rPr>
                <w:rFonts w:ascii="Arial" w:hAnsi="Arial" w:cs="Arial"/>
                <w:sz w:val="20"/>
                <w:szCs w:val="20"/>
              </w:rPr>
            </w:pPr>
          </w:p>
          <w:p w14:paraId="72C88041" w14:textId="05BADA76" w:rsidR="00BD696B" w:rsidRPr="00847425" w:rsidRDefault="00A41617" w:rsidP="00285285">
            <w:pPr>
              <w:jc w:val="both"/>
              <w:rPr>
                <w:rFonts w:ascii="Arial" w:hAnsi="Arial" w:cs="Arial"/>
                <w:sz w:val="20"/>
                <w:szCs w:val="20"/>
              </w:rPr>
            </w:pPr>
            <w:r w:rsidRPr="00847425">
              <w:rPr>
                <w:rFonts w:ascii="Arial" w:hAnsi="Arial" w:cs="Arial"/>
                <w:sz w:val="20"/>
                <w:szCs w:val="20"/>
              </w:rPr>
              <w:t xml:space="preserve">En la cohorte 1 de MAGNITUDE, se produjeron </w:t>
            </w:r>
            <w:r w:rsidR="00496463">
              <w:rPr>
                <w:rFonts w:ascii="Arial" w:hAnsi="Arial" w:cs="Arial"/>
                <w:sz w:val="20"/>
                <w:szCs w:val="20"/>
              </w:rPr>
              <w:t>e</w:t>
            </w:r>
            <w:r w:rsidR="00496463" w:rsidRPr="00847425">
              <w:rPr>
                <w:rFonts w:ascii="Arial" w:hAnsi="Arial" w:cs="Arial"/>
                <w:sz w:val="20"/>
                <w:szCs w:val="20"/>
              </w:rPr>
              <w:t xml:space="preserve">ventos </w:t>
            </w:r>
            <w:r w:rsidRPr="00847425">
              <w:rPr>
                <w:rFonts w:ascii="Arial" w:hAnsi="Arial" w:cs="Arial"/>
                <w:sz w:val="20"/>
                <w:szCs w:val="20"/>
              </w:rPr>
              <w:t>adversos relacionados con la medicación (EARM) de grado 3-4 en el 67% del grupo de niraparib+AAP y en el 46% del grupo de placebo+AAP.</w:t>
            </w:r>
          </w:p>
          <w:p w14:paraId="10ED21CC" w14:textId="77777777" w:rsidR="00A41617" w:rsidRPr="00847425" w:rsidRDefault="00A41617" w:rsidP="00285285">
            <w:pPr>
              <w:jc w:val="both"/>
              <w:rPr>
                <w:rFonts w:ascii="Arial" w:hAnsi="Arial" w:cs="Arial"/>
                <w:sz w:val="20"/>
                <w:szCs w:val="20"/>
              </w:rPr>
            </w:pPr>
          </w:p>
          <w:p w14:paraId="74363D0A" w14:textId="77777777" w:rsidR="00BD696B" w:rsidRPr="00847425" w:rsidRDefault="00BD696B" w:rsidP="00285285">
            <w:pPr>
              <w:jc w:val="both"/>
              <w:rPr>
                <w:rFonts w:ascii="Arial" w:hAnsi="Arial" w:cs="Arial"/>
                <w:sz w:val="20"/>
                <w:szCs w:val="20"/>
              </w:rPr>
            </w:pPr>
            <w:r w:rsidRPr="00847425">
              <w:rPr>
                <w:rFonts w:ascii="Arial" w:hAnsi="Arial" w:cs="Arial"/>
                <w:sz w:val="20"/>
                <w:szCs w:val="20"/>
              </w:rPr>
              <w:t>A continuación, se resumen los aspectos de seguridad del ensayo</w:t>
            </w:r>
            <w:r w:rsidR="00A41617" w:rsidRPr="00847425">
              <w:rPr>
                <w:rFonts w:ascii="Arial" w:hAnsi="Arial" w:cs="Arial"/>
                <w:sz w:val="20"/>
                <w:szCs w:val="20"/>
              </w:rPr>
              <w:t xml:space="preserve"> MAGNITUDE, cohorte 1</w:t>
            </w:r>
            <w:r w:rsidRPr="00847425">
              <w:rPr>
                <w:rFonts w:ascii="Arial" w:hAnsi="Arial" w:cs="Arial"/>
                <w:sz w:val="20"/>
                <w:szCs w:val="20"/>
              </w:rPr>
              <w:t>.</w:t>
            </w:r>
          </w:p>
          <w:p w14:paraId="5FD08FBC" w14:textId="77777777" w:rsidR="001408DE" w:rsidRPr="00847425" w:rsidRDefault="001408DE" w:rsidP="00285285">
            <w:pPr>
              <w:jc w:val="both"/>
              <w:rPr>
                <w:rFonts w:ascii="Arial" w:hAnsi="Arial" w:cs="Arial"/>
                <w:sz w:val="20"/>
                <w:szCs w:val="20"/>
              </w:rPr>
            </w:pPr>
          </w:p>
          <w:p w14:paraId="5F26F6BD" w14:textId="77777777" w:rsidR="001408DE" w:rsidRPr="00847425" w:rsidRDefault="001408DE" w:rsidP="001408DE">
            <w:pPr>
              <w:jc w:val="both"/>
              <w:rPr>
                <w:rFonts w:ascii="Arial" w:hAnsi="Arial" w:cs="Arial"/>
                <w:sz w:val="20"/>
                <w:szCs w:val="20"/>
              </w:rPr>
            </w:pPr>
            <w:r w:rsidRPr="00847425">
              <w:rPr>
                <w:rFonts w:ascii="Arial" w:hAnsi="Arial" w:cs="Arial"/>
                <w:sz w:val="20"/>
                <w:szCs w:val="20"/>
              </w:rPr>
              <w:t>Análisis intermedio primario</w:t>
            </w:r>
            <w:r w:rsidR="00B53416" w:rsidRPr="00847425">
              <w:rPr>
                <w:rFonts w:ascii="Arial" w:hAnsi="Arial" w:cs="Arial"/>
                <w:sz w:val="20"/>
                <w:szCs w:val="20"/>
              </w:rPr>
              <w:t>:</w:t>
            </w:r>
            <w:r w:rsidRPr="00847425">
              <w:rPr>
                <w:rFonts w:ascii="Arial" w:hAnsi="Arial" w:cs="Arial"/>
                <w:sz w:val="20"/>
                <w:szCs w:val="20"/>
              </w:rPr>
              <w:t xml:space="preserve"> </w:t>
            </w:r>
          </w:p>
          <w:p w14:paraId="74D48986"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No se observaron nuevas señales de seguridad</w:t>
            </w:r>
          </w:p>
          <w:p w14:paraId="18ACC3DB"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Efectos adversos de grado 3/4 en los pacientes con </w:t>
            </w:r>
            <w:r w:rsidR="00A41617" w:rsidRPr="00847425">
              <w:rPr>
                <w:rFonts w:ascii="Arial" w:hAnsi="Arial" w:cs="Arial"/>
                <w:sz w:val="20"/>
                <w:szCs w:val="20"/>
              </w:rPr>
              <w:t>HRR</w:t>
            </w:r>
            <w:r w:rsidRPr="00847425">
              <w:rPr>
                <w:rFonts w:ascii="Arial" w:hAnsi="Arial" w:cs="Arial"/>
                <w:sz w:val="20"/>
                <w:szCs w:val="20"/>
              </w:rPr>
              <w:t xml:space="preserve"> </w:t>
            </w:r>
            <w:r w:rsidR="00A41617" w:rsidRPr="00847425">
              <w:rPr>
                <w:rFonts w:ascii="Arial" w:hAnsi="Arial" w:cs="Arial"/>
                <w:sz w:val="20"/>
                <w:szCs w:val="20"/>
              </w:rPr>
              <w:t>+</w:t>
            </w:r>
            <w:r w:rsidRPr="00847425">
              <w:rPr>
                <w:rFonts w:ascii="Arial" w:hAnsi="Arial" w:cs="Arial"/>
                <w:sz w:val="20"/>
                <w:szCs w:val="20"/>
              </w:rPr>
              <w:t>: 67,0% frente a 46,4%</w:t>
            </w:r>
          </w:p>
          <w:p w14:paraId="36E26ADF"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≥1 </w:t>
            </w:r>
            <w:r w:rsidR="00B53416" w:rsidRPr="00847425">
              <w:rPr>
                <w:rFonts w:ascii="Arial" w:hAnsi="Arial" w:cs="Arial"/>
                <w:sz w:val="20"/>
                <w:szCs w:val="20"/>
              </w:rPr>
              <w:t>EARM</w:t>
            </w:r>
            <w:r w:rsidRPr="00847425">
              <w:rPr>
                <w:rFonts w:ascii="Arial" w:hAnsi="Arial" w:cs="Arial"/>
                <w:sz w:val="20"/>
                <w:szCs w:val="20"/>
              </w:rPr>
              <w:t xml:space="preserve"> graves en pacientes HRR+: 38,8 frente a 24,6%.</w:t>
            </w:r>
          </w:p>
          <w:p w14:paraId="272ABD56"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w:t>
            </w:r>
            <w:r w:rsidR="00B53416" w:rsidRPr="00847425">
              <w:rPr>
                <w:rFonts w:ascii="Arial" w:hAnsi="Arial" w:cs="Arial"/>
                <w:sz w:val="20"/>
                <w:szCs w:val="20"/>
              </w:rPr>
              <w:t>EARM</w:t>
            </w:r>
            <w:r w:rsidRPr="00847425">
              <w:rPr>
                <w:rFonts w:ascii="Arial" w:hAnsi="Arial" w:cs="Arial"/>
                <w:sz w:val="20"/>
                <w:szCs w:val="20"/>
              </w:rPr>
              <w:t xml:space="preserve"> de grado 3 en pacientes HRR+: 56,1% frente a 42,7%.</w:t>
            </w:r>
          </w:p>
          <w:p w14:paraId="2DAE5B4B"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w:t>
            </w:r>
            <w:r w:rsidR="00B53416" w:rsidRPr="00847425">
              <w:rPr>
                <w:rFonts w:ascii="Arial" w:hAnsi="Arial" w:cs="Arial"/>
                <w:sz w:val="20"/>
                <w:szCs w:val="20"/>
              </w:rPr>
              <w:t>EARM</w:t>
            </w:r>
            <w:r w:rsidRPr="00847425">
              <w:rPr>
                <w:rFonts w:ascii="Arial" w:hAnsi="Arial" w:cs="Arial"/>
                <w:sz w:val="20"/>
                <w:szCs w:val="20"/>
              </w:rPr>
              <w:t xml:space="preserve"> de grado 4 en pacientes HRR+: 10,8 frente a 3,8%.</w:t>
            </w:r>
          </w:p>
          <w:p w14:paraId="14F117ED"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Interrupción del tratamiento: 9% frente a 3,8%.</w:t>
            </w:r>
          </w:p>
          <w:p w14:paraId="002FA41C"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Los EA más frecuentes fueron</w:t>
            </w:r>
            <w:r w:rsidR="00B53416" w:rsidRPr="00847425">
              <w:rPr>
                <w:rFonts w:ascii="Arial" w:hAnsi="Arial" w:cs="Arial"/>
                <w:sz w:val="20"/>
                <w:szCs w:val="20"/>
              </w:rPr>
              <w:t>:</w:t>
            </w:r>
            <w:r w:rsidRPr="00847425">
              <w:rPr>
                <w:rFonts w:ascii="Arial" w:hAnsi="Arial" w:cs="Arial"/>
                <w:sz w:val="20"/>
                <w:szCs w:val="20"/>
              </w:rPr>
              <w:t xml:space="preserve"> anemia (28,3% frente a 7,6%) e hipertensión (14,6% frente a 12,3%) con niraparib + AAP frente a placebo + AAP, respectivamente</w:t>
            </w:r>
          </w:p>
          <w:p w14:paraId="3EB784D0"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Otros acontecimientos adversos de grado 3/4 destacables fueron trombocitopenia (6,6% frente a 2,4%) y neutropenia (1,6% frente a 2,4%) con niraparib + AAP frente a placebo + AAP. Pacientes que fallecieron dur</w:t>
            </w:r>
            <w:r w:rsidR="00B53416" w:rsidRPr="00847425">
              <w:rPr>
                <w:rFonts w:ascii="Arial" w:hAnsi="Arial" w:cs="Arial"/>
                <w:sz w:val="20"/>
                <w:szCs w:val="20"/>
              </w:rPr>
              <w:t>ante el tratamiento del estudio</w:t>
            </w:r>
            <w:r w:rsidRPr="00847425">
              <w:rPr>
                <w:rFonts w:ascii="Arial" w:hAnsi="Arial" w:cs="Arial"/>
                <w:sz w:val="20"/>
                <w:szCs w:val="20"/>
              </w:rPr>
              <w:t xml:space="preserve"> (cohorte HRR+): 9,0% frente a 9,0%.</w:t>
            </w:r>
          </w:p>
          <w:p w14:paraId="216EF3B6"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w:t>
            </w:r>
            <w:r w:rsidRPr="00847425">
              <w:rPr>
                <w:rFonts w:ascii="Arial" w:hAnsi="Arial" w:cs="Arial"/>
                <w:sz w:val="20"/>
                <w:szCs w:val="20"/>
              </w:rPr>
              <w:t> EA: 5,2% frente a 3,3%.</w:t>
            </w:r>
          </w:p>
          <w:p w14:paraId="38884E4E"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w:t>
            </w:r>
            <w:r w:rsidRPr="00847425">
              <w:rPr>
                <w:rFonts w:ascii="Arial" w:hAnsi="Arial" w:cs="Arial"/>
                <w:sz w:val="20"/>
                <w:szCs w:val="20"/>
              </w:rPr>
              <w:t xml:space="preserve"> </w:t>
            </w:r>
            <w:r w:rsidR="00B53416" w:rsidRPr="00847425">
              <w:rPr>
                <w:rFonts w:ascii="Arial" w:hAnsi="Arial" w:cs="Arial"/>
                <w:sz w:val="20"/>
                <w:szCs w:val="20"/>
              </w:rPr>
              <w:t>Progresión de la enfermedad</w:t>
            </w:r>
            <w:r w:rsidRPr="00847425">
              <w:rPr>
                <w:rFonts w:ascii="Arial" w:hAnsi="Arial" w:cs="Arial"/>
                <w:sz w:val="20"/>
                <w:szCs w:val="20"/>
              </w:rPr>
              <w:t>: 3,8% frente a 5,7%.</w:t>
            </w:r>
          </w:p>
          <w:p w14:paraId="6030E139"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Pacientes que fal</w:t>
            </w:r>
            <w:r w:rsidR="00B53416" w:rsidRPr="00847425">
              <w:rPr>
                <w:rFonts w:ascii="Arial" w:hAnsi="Arial" w:cs="Arial"/>
                <w:sz w:val="20"/>
                <w:szCs w:val="20"/>
              </w:rPr>
              <w:t>lecieron durante el seguimiento</w:t>
            </w:r>
            <w:r w:rsidRPr="00847425">
              <w:rPr>
                <w:rFonts w:ascii="Arial" w:hAnsi="Arial" w:cs="Arial"/>
                <w:sz w:val="20"/>
                <w:szCs w:val="20"/>
              </w:rPr>
              <w:t>: 17,0% vs. 19,0%</w:t>
            </w:r>
          </w:p>
          <w:p w14:paraId="4E3D2E35" w14:textId="77777777" w:rsidR="001408DE" w:rsidRPr="00847425" w:rsidRDefault="001408DE" w:rsidP="001408DE">
            <w:pPr>
              <w:numPr>
                <w:ilvl w:val="1"/>
                <w:numId w:val="13"/>
              </w:numPr>
              <w:jc w:val="both"/>
              <w:rPr>
                <w:rFonts w:ascii="Arial" w:hAnsi="Arial" w:cs="Arial"/>
                <w:sz w:val="20"/>
                <w:szCs w:val="20"/>
              </w:rPr>
            </w:pPr>
            <w:r w:rsidRPr="00847425">
              <w:rPr>
                <w:rFonts w:ascii="Arial" w:hAnsi="Arial" w:cs="Arial"/>
                <w:sz w:val="20"/>
                <w:szCs w:val="20"/>
              </w:rPr>
              <w:t xml:space="preserve">                  </w:t>
            </w:r>
            <w:r w:rsidRPr="00847425">
              <w:rPr>
                <w:rFonts w:ascii="Arial" w:hAnsi="Arial" w:cs="Arial"/>
                <w:sz w:val="20"/>
                <w:szCs w:val="20"/>
              </w:rPr>
              <w:t> EA: 0,5% frente a 0</w:t>
            </w:r>
          </w:p>
          <w:p w14:paraId="1C2293AD" w14:textId="77777777" w:rsidR="001408DE" w:rsidRPr="00847425" w:rsidRDefault="00BD696B" w:rsidP="00BD696B">
            <w:pPr>
              <w:numPr>
                <w:ilvl w:val="1"/>
                <w:numId w:val="13"/>
              </w:numPr>
              <w:jc w:val="both"/>
              <w:rPr>
                <w:rFonts w:ascii="Arial" w:hAnsi="Arial" w:cs="Arial"/>
                <w:sz w:val="20"/>
                <w:szCs w:val="20"/>
              </w:rPr>
            </w:pPr>
            <w:r w:rsidRPr="00847425">
              <w:rPr>
                <w:rFonts w:ascii="Arial" w:hAnsi="Arial" w:cs="Arial"/>
                <w:sz w:val="20"/>
                <w:szCs w:val="20"/>
              </w:rPr>
              <w:t xml:space="preserve">                  </w:t>
            </w:r>
            <w:r w:rsidR="001408DE" w:rsidRPr="00847425">
              <w:rPr>
                <w:rFonts w:ascii="Arial" w:hAnsi="Arial" w:cs="Arial"/>
                <w:sz w:val="20"/>
                <w:szCs w:val="20"/>
              </w:rPr>
              <w:t xml:space="preserve"> </w:t>
            </w:r>
            <w:r w:rsidR="00B53416" w:rsidRPr="00847425">
              <w:rPr>
                <w:rFonts w:ascii="Arial" w:hAnsi="Arial" w:cs="Arial"/>
                <w:sz w:val="20"/>
                <w:szCs w:val="20"/>
              </w:rPr>
              <w:t>Progresión de la enfermedad</w:t>
            </w:r>
            <w:r w:rsidR="001408DE" w:rsidRPr="00847425">
              <w:rPr>
                <w:rFonts w:ascii="Arial" w:hAnsi="Arial" w:cs="Arial"/>
                <w:sz w:val="20"/>
                <w:szCs w:val="20"/>
              </w:rPr>
              <w:t>: 13,7% vs. 14,7%</w:t>
            </w:r>
          </w:p>
          <w:p w14:paraId="75882751" w14:textId="77777777" w:rsidR="001408DE" w:rsidRPr="00847425" w:rsidRDefault="00BD696B" w:rsidP="00BD696B">
            <w:pPr>
              <w:numPr>
                <w:ilvl w:val="1"/>
                <w:numId w:val="13"/>
              </w:numPr>
              <w:jc w:val="both"/>
              <w:rPr>
                <w:rFonts w:ascii="Arial" w:hAnsi="Arial" w:cs="Arial"/>
                <w:sz w:val="20"/>
                <w:szCs w:val="20"/>
              </w:rPr>
            </w:pPr>
            <w:r w:rsidRPr="00847425">
              <w:rPr>
                <w:rFonts w:ascii="Arial" w:hAnsi="Arial" w:cs="Arial"/>
                <w:sz w:val="20"/>
                <w:szCs w:val="20"/>
              </w:rPr>
              <w:t xml:space="preserve">                  </w:t>
            </w:r>
            <w:r w:rsidR="001408DE" w:rsidRPr="00847425">
              <w:rPr>
                <w:rFonts w:ascii="Arial" w:hAnsi="Arial" w:cs="Arial"/>
                <w:sz w:val="20"/>
                <w:szCs w:val="20"/>
              </w:rPr>
              <w:t> Otros: 2,8% vs. 4,3</w:t>
            </w:r>
          </w:p>
          <w:p w14:paraId="0359359B" w14:textId="77777777" w:rsidR="001408DE" w:rsidRPr="00847425" w:rsidRDefault="00BD696B" w:rsidP="001408DE">
            <w:pPr>
              <w:jc w:val="both"/>
              <w:rPr>
                <w:rFonts w:ascii="Arial" w:hAnsi="Arial" w:cs="Arial"/>
                <w:sz w:val="20"/>
                <w:szCs w:val="20"/>
              </w:rPr>
            </w:pPr>
            <w:r w:rsidRPr="00847425">
              <w:rPr>
                <w:rFonts w:ascii="Arial" w:hAnsi="Arial" w:cs="Arial"/>
                <w:sz w:val="20"/>
                <w:szCs w:val="20"/>
              </w:rPr>
              <w:t xml:space="preserve">                   -   </w:t>
            </w:r>
            <w:r w:rsidR="001408DE" w:rsidRPr="00847425">
              <w:rPr>
                <w:rFonts w:ascii="Arial" w:hAnsi="Arial" w:cs="Arial"/>
                <w:sz w:val="20"/>
                <w:szCs w:val="20"/>
              </w:rPr>
              <w:t xml:space="preserve"> Pacientes con ≥1 EA con resultado de muerte (cohorte HRR+): 5,7% vs.</w:t>
            </w:r>
            <w:r w:rsidRPr="00847425">
              <w:rPr>
                <w:rFonts w:ascii="Arial" w:hAnsi="Arial" w:cs="Arial"/>
                <w:sz w:val="20"/>
                <w:szCs w:val="20"/>
              </w:rPr>
              <w:t xml:space="preserve"> </w:t>
            </w:r>
            <w:r w:rsidR="001408DE" w:rsidRPr="00847425">
              <w:rPr>
                <w:rFonts w:ascii="Arial" w:hAnsi="Arial" w:cs="Arial"/>
                <w:sz w:val="20"/>
                <w:szCs w:val="20"/>
              </w:rPr>
              <w:t>3.3%</w:t>
            </w:r>
          </w:p>
          <w:p w14:paraId="106A336F" w14:textId="77777777" w:rsidR="001408DE" w:rsidRPr="00847425" w:rsidRDefault="00BD696B" w:rsidP="001408DE">
            <w:pPr>
              <w:jc w:val="both"/>
              <w:rPr>
                <w:rFonts w:ascii="Arial" w:hAnsi="Arial" w:cs="Arial"/>
                <w:sz w:val="20"/>
                <w:szCs w:val="20"/>
              </w:rPr>
            </w:pPr>
            <w:r w:rsidRPr="00847425">
              <w:rPr>
                <w:rFonts w:ascii="Arial" w:hAnsi="Arial" w:cs="Arial"/>
                <w:sz w:val="20"/>
                <w:szCs w:val="20"/>
              </w:rPr>
              <w:t xml:space="preserve">                   -   </w:t>
            </w:r>
            <w:r w:rsidR="001408DE" w:rsidRPr="00847425">
              <w:rPr>
                <w:rFonts w:ascii="Arial" w:hAnsi="Arial" w:cs="Arial"/>
                <w:sz w:val="20"/>
                <w:szCs w:val="20"/>
              </w:rPr>
              <w:t xml:space="preserve"> EA de grado 3 en la cohorte HRR-: 60,2% frente a 39,8%.</w:t>
            </w:r>
          </w:p>
          <w:p w14:paraId="5543DEAC" w14:textId="77777777" w:rsidR="001408DE" w:rsidRPr="00847425" w:rsidRDefault="00BD696B" w:rsidP="001408DE">
            <w:pPr>
              <w:jc w:val="both"/>
              <w:rPr>
                <w:rFonts w:ascii="Arial" w:hAnsi="Arial" w:cs="Arial"/>
                <w:sz w:val="20"/>
                <w:szCs w:val="20"/>
              </w:rPr>
            </w:pPr>
            <w:r w:rsidRPr="00847425">
              <w:rPr>
                <w:rFonts w:ascii="Arial" w:hAnsi="Arial" w:cs="Arial"/>
                <w:sz w:val="20"/>
                <w:szCs w:val="20"/>
              </w:rPr>
              <w:t xml:space="preserve">                   -   </w:t>
            </w:r>
            <w:r w:rsidR="001408DE" w:rsidRPr="00847425">
              <w:rPr>
                <w:rFonts w:ascii="Arial" w:hAnsi="Arial" w:cs="Arial"/>
                <w:sz w:val="20"/>
                <w:szCs w:val="20"/>
              </w:rPr>
              <w:t xml:space="preserve"> EA de grado 4 en la cohorte HRR-: 13,0% frente a 4,1%.</w:t>
            </w:r>
          </w:p>
          <w:p w14:paraId="27C252EA" w14:textId="77777777" w:rsidR="001408DE" w:rsidRPr="00847425" w:rsidRDefault="001408DE" w:rsidP="001408DE">
            <w:pPr>
              <w:jc w:val="both"/>
              <w:rPr>
                <w:rFonts w:ascii="Arial" w:hAnsi="Arial" w:cs="Arial"/>
                <w:sz w:val="20"/>
                <w:szCs w:val="20"/>
              </w:rPr>
            </w:pPr>
            <w:r w:rsidRPr="00847425">
              <w:rPr>
                <w:rFonts w:ascii="Arial" w:hAnsi="Arial" w:cs="Arial"/>
                <w:sz w:val="20"/>
                <w:szCs w:val="20"/>
              </w:rPr>
              <w:t>Segundo análisis provisional [11]:</w:t>
            </w:r>
          </w:p>
          <w:p w14:paraId="64F39A18" w14:textId="77777777" w:rsidR="0022128D" w:rsidRPr="00847425" w:rsidRDefault="001408DE" w:rsidP="0022128D">
            <w:pPr>
              <w:numPr>
                <w:ilvl w:val="1"/>
                <w:numId w:val="13"/>
              </w:numPr>
              <w:jc w:val="both"/>
              <w:rPr>
                <w:rFonts w:ascii="Arial" w:hAnsi="Arial" w:cs="Arial"/>
                <w:sz w:val="20"/>
                <w:szCs w:val="20"/>
              </w:rPr>
            </w:pPr>
            <w:r w:rsidRPr="00847425">
              <w:rPr>
                <w:rFonts w:ascii="Arial" w:hAnsi="Arial" w:cs="Arial"/>
                <w:sz w:val="20"/>
                <w:szCs w:val="20"/>
              </w:rPr>
              <w:t>El perfil de seguridad fue coherente con el del análisis primario,</w:t>
            </w:r>
            <w:r w:rsidR="00BD696B" w:rsidRPr="00847425">
              <w:rPr>
                <w:rFonts w:ascii="Arial" w:hAnsi="Arial" w:cs="Arial"/>
                <w:sz w:val="20"/>
                <w:szCs w:val="20"/>
              </w:rPr>
              <w:t xml:space="preserve"> </w:t>
            </w:r>
            <w:r w:rsidRPr="00847425">
              <w:rPr>
                <w:rFonts w:ascii="Arial" w:hAnsi="Arial" w:cs="Arial"/>
                <w:sz w:val="20"/>
                <w:szCs w:val="20"/>
              </w:rPr>
              <w:t>sin que se observaran nuevas señales de seguridad.</w:t>
            </w:r>
          </w:p>
          <w:p w14:paraId="706B88AC" w14:textId="77777777" w:rsidR="003D10E1" w:rsidRPr="006F6ABB" w:rsidRDefault="003D10E1" w:rsidP="0022128D">
            <w:pPr>
              <w:jc w:val="both"/>
              <w:rPr>
                <w:rFonts w:ascii="Arial" w:hAnsi="Arial" w:cs="Arial"/>
                <w:sz w:val="16"/>
                <w:szCs w:val="16"/>
                <w:lang w:val="es-ES_tradnl"/>
              </w:rPr>
            </w:pPr>
          </w:p>
        </w:tc>
      </w:tr>
    </w:tbl>
    <w:p w14:paraId="55A87373"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4" w:name="_Toc344399653"/>
      <w:bookmarkStart w:id="115" w:name="_Toc348931384"/>
      <w:bookmarkStart w:id="116" w:name="_Toc153727216"/>
      <w:r w:rsidRPr="00117945">
        <w:rPr>
          <w:rFonts w:cs="Arial"/>
          <w:sz w:val="18"/>
        </w:rPr>
        <w:t>6.2 Ensayos Clínicos comparativos</w:t>
      </w:r>
      <w:r w:rsidRPr="00E3472F">
        <w:rPr>
          <w:rFonts w:cs="Arial"/>
          <w:sz w:val="20"/>
        </w:rPr>
        <w:t>.</w:t>
      </w:r>
      <w:bookmarkEnd w:id="114"/>
      <w:bookmarkEnd w:id="115"/>
      <w:bookmarkEnd w:id="116"/>
      <w:r w:rsidRPr="00E3472F">
        <w:rPr>
          <w:rFonts w:cs="Arial"/>
          <w:sz w:val="20"/>
        </w:rPr>
        <w:t xml:space="preserve"> </w:t>
      </w:r>
    </w:p>
    <w:p w14:paraId="3A61EC21" w14:textId="77777777" w:rsidR="00BC3E8E" w:rsidRDefault="00BC3E8E" w:rsidP="00BC3E8E">
      <w:pPr>
        <w:pStyle w:val="Ttulo2"/>
        <w:rPr>
          <w:rFonts w:cs="Arial"/>
          <w:b w:val="0"/>
          <w:bCs w:val="0"/>
          <w:sz w:val="20"/>
        </w:rPr>
      </w:pPr>
    </w:p>
    <w:p w14:paraId="59AC704C" w14:textId="77777777" w:rsidR="00285285" w:rsidRPr="002013E1" w:rsidRDefault="001A0EA8" w:rsidP="00285285">
      <w:pPr>
        <w:rPr>
          <w:rFonts w:ascii="Arial" w:hAnsi="Arial" w:cs="Arial"/>
          <w:sz w:val="20"/>
        </w:rPr>
      </w:pPr>
      <w:r w:rsidRPr="002013E1">
        <w:rPr>
          <w:rFonts w:ascii="Arial" w:hAnsi="Arial" w:cs="Arial"/>
          <w:sz w:val="20"/>
        </w:rPr>
        <w:t>No procede</w:t>
      </w:r>
      <w:r w:rsidR="00496463">
        <w:rPr>
          <w:rFonts w:ascii="Arial" w:hAnsi="Arial" w:cs="Arial"/>
          <w:sz w:val="20"/>
        </w:rPr>
        <w:t>.</w:t>
      </w:r>
    </w:p>
    <w:p w14:paraId="475D0A4C" w14:textId="77777777" w:rsidR="00BC3E8E" w:rsidRPr="006F6ABB" w:rsidRDefault="00BC3E8E" w:rsidP="00BC3E8E">
      <w:pPr>
        <w:jc w:val="both"/>
        <w:rPr>
          <w:rFonts w:ascii="Arial" w:hAnsi="Arial" w:cs="Arial"/>
          <w:b/>
          <w:color w:val="000080"/>
          <w:sz w:val="20"/>
          <w:szCs w:val="20"/>
        </w:rPr>
      </w:pPr>
    </w:p>
    <w:p w14:paraId="5760D4A8" w14:textId="61EE6AAF" w:rsidR="00BC3E8E" w:rsidRPr="00A56B4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7" w:name="_Toc344399654"/>
      <w:bookmarkStart w:id="118" w:name="_Toc348931385"/>
      <w:bookmarkStart w:id="119" w:name="_Toc153727217"/>
      <w:r w:rsidRPr="00E3472F">
        <w:rPr>
          <w:rFonts w:cs="Arial"/>
          <w:sz w:val="20"/>
        </w:rPr>
        <w:t>6.3 Fuentes secundarias sobre seguridad</w:t>
      </w:r>
      <w:bookmarkEnd w:id="117"/>
      <w:bookmarkEnd w:id="118"/>
      <w:bookmarkEnd w:id="119"/>
      <w:r w:rsidR="00A56B46">
        <w:rPr>
          <w:rFonts w:cs="Arial"/>
          <w:sz w:val="20"/>
        </w:rPr>
        <w:t xml:space="preserve"> </w:t>
      </w:r>
      <w:r w:rsidR="00700DF1">
        <w:rPr>
          <w:rFonts w:cs="Arial"/>
          <w:sz w:val="20"/>
        </w:rPr>
        <w:t>(18)</w:t>
      </w:r>
    </w:p>
    <w:p w14:paraId="38CB2313" w14:textId="77777777" w:rsidR="00BC3E8E" w:rsidRPr="006F6ABB" w:rsidRDefault="00BC3E8E" w:rsidP="00BC3E8E">
      <w:pPr>
        <w:jc w:val="both"/>
        <w:rPr>
          <w:rFonts w:ascii="Arial" w:hAnsi="Arial" w:cs="Arial"/>
          <w:sz w:val="20"/>
          <w:szCs w:val="20"/>
        </w:rPr>
      </w:pPr>
    </w:p>
    <w:p w14:paraId="25B8DB73" w14:textId="77777777" w:rsidR="0081024C" w:rsidRDefault="0081024C" w:rsidP="00BC3E8E">
      <w:pPr>
        <w:jc w:val="both"/>
        <w:rPr>
          <w:rFonts w:ascii="Arial" w:hAnsi="Arial" w:cs="Arial"/>
          <w:iCs/>
          <w:sz w:val="20"/>
          <w:szCs w:val="20"/>
        </w:rPr>
      </w:pPr>
    </w:p>
    <w:p w14:paraId="3FC7A404"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Fonts w:ascii="Arial" w:hAnsi="Arial" w:cs="Arial"/>
          <w:color w:val="333333"/>
          <w:sz w:val="20"/>
          <w:szCs w:val="20"/>
          <w:u w:val="single"/>
        </w:rPr>
        <w:t>Descripción de algunas reacciones adversas</w:t>
      </w:r>
    </w:p>
    <w:p w14:paraId="68EC141A"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Fonts w:ascii="Arial" w:hAnsi="Arial" w:cs="Arial"/>
          <w:color w:val="333333"/>
          <w:sz w:val="20"/>
          <w:szCs w:val="20"/>
        </w:rPr>
        <w:t> </w:t>
      </w:r>
    </w:p>
    <w:p w14:paraId="43CC23CE"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Toxicidades hematológicas</w:t>
      </w:r>
    </w:p>
    <w:p w14:paraId="09866111" w14:textId="77777777" w:rsidR="0081024C" w:rsidRPr="0006761F"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496463">
        <w:rPr>
          <w:rFonts w:ascii="Arial" w:hAnsi="Arial" w:cs="Arial"/>
          <w:sz w:val="20"/>
          <w:szCs w:val="20"/>
        </w:rPr>
        <w:t>Las toxicidades hematológicas (anemia, trombocitopenia y neutropenia), incluidos los hallazgos de laboratorio, son las reacciones adversas más frecuentes atribuibles al niraparib. Estas toxicidades se produjeron por lo general en los dos primeros meses de tratamiento y su incidencia disminuyó con el tiem</w:t>
      </w:r>
      <w:r w:rsidRPr="0006761F">
        <w:rPr>
          <w:rFonts w:ascii="Arial" w:hAnsi="Arial" w:cs="Arial"/>
          <w:sz w:val="20"/>
          <w:szCs w:val="20"/>
        </w:rPr>
        <w:t>po.</w:t>
      </w:r>
    </w:p>
    <w:p w14:paraId="03468ABE" w14:textId="77777777" w:rsidR="0081024C" w:rsidRPr="0006761F"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06761F">
        <w:rPr>
          <w:rFonts w:ascii="Arial" w:hAnsi="Arial" w:cs="Arial"/>
          <w:sz w:val="20"/>
          <w:szCs w:val="20"/>
        </w:rPr>
        <w:t> </w:t>
      </w:r>
    </w:p>
    <w:p w14:paraId="44454C07" w14:textId="11645494" w:rsidR="0081024C" w:rsidRPr="00496463"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06761F">
        <w:rPr>
          <w:rFonts w:ascii="Arial" w:hAnsi="Arial" w:cs="Arial"/>
          <w:sz w:val="20"/>
          <w:szCs w:val="20"/>
        </w:rPr>
        <w:t xml:space="preserve">En el estudio MAGNITUDE y otros estudios de niraparib/AAP, los siguientes parámetros hematológicos fueron criterios de inclusión: recuento absoluto de neutrófilos </w:t>
      </w:r>
      <w:r w:rsidRPr="00637E3D">
        <w:rPr>
          <w:rFonts w:ascii="Arial" w:hAnsi="Arial" w:cs="Arial"/>
          <w:sz w:val="20"/>
          <w:szCs w:val="20"/>
        </w:rPr>
        <w:t xml:space="preserve">≥ </w:t>
      </w:r>
      <w:r w:rsidR="00496463">
        <w:rPr>
          <w:rFonts w:ascii="Arial" w:hAnsi="Arial" w:cs="Arial"/>
          <w:sz w:val="20"/>
          <w:szCs w:val="20"/>
        </w:rPr>
        <w:t>1.500</w:t>
      </w:r>
      <w:r w:rsidRPr="00496463">
        <w:rPr>
          <w:rFonts w:ascii="Arial" w:hAnsi="Arial" w:cs="Arial"/>
          <w:sz w:val="20"/>
          <w:szCs w:val="20"/>
        </w:rPr>
        <w:t xml:space="preserve"> células/μl; plaquetas ≥ </w:t>
      </w:r>
      <w:r w:rsidR="00496463">
        <w:rPr>
          <w:rFonts w:ascii="Arial" w:hAnsi="Arial" w:cs="Arial"/>
          <w:sz w:val="20"/>
          <w:szCs w:val="20"/>
        </w:rPr>
        <w:t>100.000</w:t>
      </w:r>
      <w:r w:rsidRPr="00496463">
        <w:rPr>
          <w:rFonts w:ascii="Arial" w:hAnsi="Arial" w:cs="Arial"/>
          <w:sz w:val="20"/>
          <w:szCs w:val="20"/>
        </w:rPr>
        <w:t xml:space="preserve"> células/μl y hemoglobina ≥ 9 g/dl. Las reacciones adversas hematológicas se controlaron con pruebas analíticas y modificaciones de la dosis.</w:t>
      </w:r>
    </w:p>
    <w:p w14:paraId="31827A71"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 </w:t>
      </w:r>
    </w:p>
    <w:p w14:paraId="75A01FFB"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Anemia</w:t>
      </w:r>
    </w:p>
    <w:p w14:paraId="1AF7E5B5" w14:textId="77777777" w:rsidR="0081024C" w:rsidRPr="0006761F"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496463">
        <w:rPr>
          <w:rFonts w:ascii="Arial" w:hAnsi="Arial" w:cs="Arial"/>
          <w:sz w:val="20"/>
          <w:szCs w:val="20"/>
        </w:rPr>
        <w:t>La anemia fue la reacción adversa más frecuente (50,0 %) y el acontecimiento de Grado 3-4 observado más frecuentemente (30,2 %) en el estudio MAGNITUDE. La anemia se produjo en un momento temprano durante el tratamiento (mediana del tiempo de aparición, 59 días). En el estudio MAGNITUDE, se produjeron interrupciones de d</w:t>
      </w:r>
      <w:r w:rsidRPr="0006761F">
        <w:rPr>
          <w:rFonts w:ascii="Arial" w:hAnsi="Arial" w:cs="Arial"/>
          <w:sz w:val="20"/>
          <w:szCs w:val="20"/>
        </w:rPr>
        <w:t>osis en el 22,6 % y reducciones de dosis en el 13,7 % de los pacientes. El 27 % de los pacientes recibió al menos una transfusión relacionada con la anemia. La anemia provocó la suspensión definitiva del tratamiento en un número relativamente pequeño de pacientes (2,4 %).</w:t>
      </w:r>
    </w:p>
    <w:p w14:paraId="33341E9B"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Fonts w:ascii="Arial" w:hAnsi="Arial" w:cs="Arial"/>
          <w:color w:val="333333"/>
          <w:sz w:val="20"/>
          <w:szCs w:val="20"/>
        </w:rPr>
        <w:t> </w:t>
      </w:r>
    </w:p>
    <w:p w14:paraId="7186EF94"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Trombocitopenia</w:t>
      </w:r>
    </w:p>
    <w:p w14:paraId="60A207B6" w14:textId="77777777" w:rsidR="0081024C" w:rsidRPr="0006761F"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496463">
        <w:rPr>
          <w:rFonts w:ascii="Arial" w:hAnsi="Arial" w:cs="Arial"/>
          <w:sz w:val="20"/>
          <w:szCs w:val="20"/>
        </w:rPr>
        <w:t xml:space="preserve">En el estudio MAGNITUDE, en el 23,1 % de los pacientes tratados se notificó trombocitopenia, mientras que el 7,5 % de los pacientes experimentaron trombocitopenia de Grado 3-4. La mediana de tiempo desde la primera dosis </w:t>
      </w:r>
      <w:r w:rsidRPr="0006761F">
        <w:rPr>
          <w:rFonts w:ascii="Arial" w:hAnsi="Arial" w:cs="Arial"/>
          <w:sz w:val="20"/>
          <w:szCs w:val="20"/>
        </w:rPr>
        <w:t>hasta la primera aparición fue de 56 días. En el estudio MAGNITUDE, la trombocitopenia se trató modificando la dosis (interrupción en un 10,8 % y reducción en un 2,8 %) y con la transfusión de plaquetas (2,4 %) cuando se consideró apropiado. El 0,5 % de los pacientes abandonaron el tratamiento. En el estudio MAGNITUDE, el 1,4 % de los pacientes experimentó una hemorragia que no puso en peligro su vida.</w:t>
      </w:r>
    </w:p>
    <w:p w14:paraId="430EB034"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Fonts w:ascii="Arial" w:hAnsi="Arial" w:cs="Arial"/>
          <w:color w:val="333333"/>
          <w:sz w:val="20"/>
          <w:szCs w:val="20"/>
        </w:rPr>
        <w:t> </w:t>
      </w:r>
    </w:p>
    <w:p w14:paraId="258A81A0"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Neutropenia</w:t>
      </w:r>
    </w:p>
    <w:p w14:paraId="4D9B9C95" w14:textId="77777777" w:rsidR="0081024C" w:rsidRPr="0006761F"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496463">
        <w:rPr>
          <w:rFonts w:ascii="Arial" w:hAnsi="Arial" w:cs="Arial"/>
          <w:sz w:val="20"/>
          <w:szCs w:val="20"/>
        </w:rPr>
        <w:t>En el estudio MAGNITUDE, el 15,1 % de los pacientes experimentaron neutropenia, notificándose neutropenia de Grado 3-4 en el 6,6 % de los pacientes. La mediana del tiempo desde la primera dosis hasta la primera notificación de neutropenia fue de 54 días. La neutropenia provocó la interrupción del tratamiento en el 6,6 % de los pacientes y la redu</w:t>
      </w:r>
      <w:r w:rsidRPr="0006761F">
        <w:rPr>
          <w:rFonts w:ascii="Arial" w:hAnsi="Arial" w:cs="Arial"/>
          <w:sz w:val="20"/>
          <w:szCs w:val="20"/>
        </w:rPr>
        <w:t>cción de la dosis en el 1,4 %. No hubo suspensiones del tratamiento debido a la neutropenia. En el estudio MAGNITUDE, el 0,9 % de los pacientes tenía una infección concomitante.</w:t>
      </w:r>
    </w:p>
    <w:p w14:paraId="65D2E894"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Fonts w:ascii="Arial" w:hAnsi="Arial" w:cs="Arial"/>
          <w:color w:val="333333"/>
          <w:sz w:val="20"/>
          <w:szCs w:val="20"/>
        </w:rPr>
        <w:t> </w:t>
      </w:r>
    </w:p>
    <w:p w14:paraId="6731578C" w14:textId="77777777" w:rsidR="0081024C" w:rsidRPr="002013E1" w:rsidRDefault="001A0EA8" w:rsidP="0081024C">
      <w:pPr>
        <w:pStyle w:val="NormalWeb"/>
        <w:shd w:val="clear" w:color="auto" w:fill="FFFFFF"/>
        <w:spacing w:before="0" w:beforeAutospacing="0" w:after="0" w:afterAutospacing="0" w:line="253" w:lineRule="atLeast"/>
        <w:jc w:val="both"/>
        <w:rPr>
          <w:rFonts w:ascii="Arial" w:hAnsi="Arial" w:cs="Arial"/>
          <w:color w:val="333333"/>
          <w:sz w:val="20"/>
          <w:szCs w:val="20"/>
        </w:rPr>
      </w:pPr>
      <w:r w:rsidRPr="002013E1">
        <w:rPr>
          <w:rStyle w:val="nfasis"/>
          <w:rFonts w:ascii="Arial" w:hAnsi="Arial" w:cs="Arial"/>
          <w:color w:val="333333"/>
          <w:sz w:val="20"/>
          <w:szCs w:val="20"/>
        </w:rPr>
        <w:t>Hipertensión</w:t>
      </w:r>
    </w:p>
    <w:p w14:paraId="6AF87145"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496463">
        <w:rPr>
          <w:rFonts w:ascii="Arial" w:hAnsi="Arial" w:cs="Arial"/>
          <w:sz w:val="20"/>
          <w:szCs w:val="20"/>
        </w:rPr>
        <w:t>La hipertensión es una reacción adversa para ambos componentes y los pacientes con hipertensión no controlada (tensión arterial [TA] sistólica persistente ≥ 160 mm</w:t>
      </w:r>
      <w:r w:rsidR="00496463">
        <w:rPr>
          <w:rFonts w:ascii="Arial" w:hAnsi="Arial" w:cs="Arial"/>
          <w:sz w:val="20"/>
          <w:szCs w:val="20"/>
        </w:rPr>
        <w:t xml:space="preserve"> </w:t>
      </w:r>
      <w:r w:rsidRPr="00496463">
        <w:rPr>
          <w:rFonts w:ascii="Arial" w:hAnsi="Arial" w:cs="Arial"/>
          <w:sz w:val="20"/>
          <w:szCs w:val="20"/>
        </w:rPr>
        <w:t>Hg o TA diastólica ≥ 100 mm</w:t>
      </w:r>
      <w:r w:rsidR="00496463">
        <w:rPr>
          <w:rFonts w:ascii="Arial" w:hAnsi="Arial" w:cs="Arial"/>
          <w:sz w:val="20"/>
          <w:szCs w:val="20"/>
        </w:rPr>
        <w:t xml:space="preserve"> </w:t>
      </w:r>
      <w:r w:rsidRPr="00496463">
        <w:rPr>
          <w:rFonts w:ascii="Arial" w:hAnsi="Arial" w:cs="Arial"/>
          <w:sz w:val="20"/>
          <w:szCs w:val="20"/>
        </w:rPr>
        <w:t>Hg) fueron excluidos en todos los estudios de combinación. Se notificó hipertensión en el 33 % de los pacientes, de los cuales el</w:t>
      </w:r>
      <w:r w:rsidRPr="0006761F">
        <w:rPr>
          <w:rFonts w:ascii="Arial" w:hAnsi="Arial" w:cs="Arial"/>
          <w:sz w:val="20"/>
          <w:szCs w:val="20"/>
        </w:rPr>
        <w:t xml:space="preserve"> 15,6 % tenía un Grado ≥ 3. La mediana de tiempo hasta</w:t>
      </w:r>
      <w:r w:rsidRPr="0081024C">
        <w:rPr>
          <w:rFonts w:ascii="Arial" w:hAnsi="Arial" w:cs="Arial"/>
          <w:sz w:val="20"/>
          <w:szCs w:val="20"/>
        </w:rPr>
        <w:t xml:space="preserve"> la aparición de la hipertensión fue de 60,5 días. La hipertensión se trató con medicamentos complementarios.</w:t>
      </w:r>
    </w:p>
    <w:p w14:paraId="581E54FB" w14:textId="77777777" w:rsidR="0081024C" w:rsidRDefault="0081024C" w:rsidP="0081024C">
      <w:pPr>
        <w:pStyle w:val="NormalWeb"/>
        <w:shd w:val="clear" w:color="auto" w:fill="FFFFFF"/>
        <w:spacing w:before="0" w:beforeAutospacing="0" w:after="0" w:afterAutospacing="0" w:line="253" w:lineRule="atLeast"/>
        <w:jc w:val="both"/>
        <w:rPr>
          <w:rFonts w:ascii="Helvetica" w:hAnsi="Helvetica" w:cs="Helvetica"/>
          <w:color w:val="333333"/>
          <w:sz w:val="22"/>
          <w:szCs w:val="22"/>
        </w:rPr>
      </w:pPr>
      <w:r>
        <w:rPr>
          <w:color w:val="333333"/>
          <w:sz w:val="22"/>
          <w:szCs w:val="22"/>
        </w:rPr>
        <w:t> </w:t>
      </w:r>
    </w:p>
    <w:p w14:paraId="1EAF1733"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 xml:space="preserve">Los pacientes deben tener la tensión arterial controlada antes </w:t>
      </w:r>
      <w:r>
        <w:rPr>
          <w:rFonts w:ascii="Arial" w:hAnsi="Arial" w:cs="Arial"/>
          <w:sz w:val="20"/>
          <w:szCs w:val="20"/>
        </w:rPr>
        <w:t xml:space="preserve">de iniciar la administración del fármaco </w:t>
      </w:r>
      <w:r w:rsidRPr="0081024C">
        <w:rPr>
          <w:rFonts w:ascii="Arial" w:hAnsi="Arial" w:cs="Arial"/>
          <w:sz w:val="20"/>
          <w:szCs w:val="20"/>
        </w:rPr>
        <w:t xml:space="preserve">y se debe monitorizar la tensión </w:t>
      </w:r>
      <w:r>
        <w:rPr>
          <w:rFonts w:ascii="Arial" w:hAnsi="Arial" w:cs="Arial"/>
          <w:sz w:val="20"/>
          <w:szCs w:val="20"/>
        </w:rPr>
        <w:t>arterial durante el tratamiento.</w:t>
      </w:r>
    </w:p>
    <w:p w14:paraId="3E19B63A" w14:textId="77777777" w:rsidR="0081024C" w:rsidRDefault="0081024C" w:rsidP="0081024C">
      <w:pPr>
        <w:pStyle w:val="NormalWeb"/>
        <w:shd w:val="clear" w:color="auto" w:fill="FFFFFF"/>
        <w:spacing w:before="0" w:beforeAutospacing="0" w:after="0" w:afterAutospacing="0" w:line="253" w:lineRule="atLeast"/>
        <w:jc w:val="both"/>
        <w:rPr>
          <w:rFonts w:ascii="Helvetica" w:hAnsi="Helvetica" w:cs="Helvetica"/>
          <w:color w:val="333333"/>
          <w:sz w:val="22"/>
          <w:szCs w:val="22"/>
        </w:rPr>
      </w:pPr>
      <w:r>
        <w:rPr>
          <w:color w:val="333333"/>
          <w:sz w:val="22"/>
          <w:szCs w:val="22"/>
        </w:rPr>
        <w:t> </w:t>
      </w:r>
    </w:p>
    <w:p w14:paraId="7B709979" w14:textId="77777777" w:rsidR="0081024C" w:rsidRDefault="0081024C" w:rsidP="0081024C">
      <w:pPr>
        <w:pStyle w:val="NormalWeb"/>
        <w:shd w:val="clear" w:color="auto" w:fill="FFFFFF"/>
        <w:spacing w:before="0" w:beforeAutospacing="0" w:after="0" w:afterAutospacing="0" w:line="253" w:lineRule="atLeast"/>
        <w:jc w:val="both"/>
        <w:rPr>
          <w:rFonts w:ascii="Helvetica" w:hAnsi="Helvetica" w:cs="Helvetica"/>
          <w:color w:val="333333"/>
          <w:sz w:val="22"/>
          <w:szCs w:val="22"/>
        </w:rPr>
      </w:pPr>
      <w:r>
        <w:rPr>
          <w:rStyle w:val="nfasis"/>
          <w:color w:val="333333"/>
          <w:sz w:val="22"/>
          <w:szCs w:val="22"/>
        </w:rPr>
        <w:t>Episodios cardíacos</w:t>
      </w:r>
    </w:p>
    <w:p w14:paraId="29BC9EF6"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En el estudio MAGNITUDE, la incidencia de los acontecimientos adversos derivados del tratamiento de trastorno cardíaco (todos los grados) fue similar en ambos grupos, excepto en la categoría de arritmia, en la que se observaron acontecimientos adversos en el 13,7 % de los pacientes del grupo de niraparib más AAP y en el 7,6 % de los pacientes del grupo de placebo más AAP. La mayor frecuencia de arritmias se debió en gran medida a acontecimientos de bajo grado de palpitaciones, taquicardias y arritmias auriculares.</w:t>
      </w:r>
    </w:p>
    <w:p w14:paraId="442AFB57"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 </w:t>
      </w:r>
    </w:p>
    <w:p w14:paraId="3FF90662"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La mediana de tiempo hasta la aparición de los acontecimientos de arritmias fue de 105 días en el grupo de niraparib más AAP y de 262 días en el grupo de placebo más AAP. Los acontecimientos de arritmia se resolvieron en el 62 % de los pacientes del grupo de niraparib más AAP y en el 63 % de los pacientes del grupo de placebo más AAP.</w:t>
      </w:r>
    </w:p>
    <w:p w14:paraId="4F76A5E8"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 </w:t>
      </w:r>
    </w:p>
    <w:p w14:paraId="15C799FD"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La incidencia de insuficiencia cardíaca, insuficiencia cardíaca aguda, insuficiencia cardíaca crónica e insuficiencia cardíaca congestiva fue del 2,4 % en el grupo de niraparib más AAP en comparación con un 1,9 % en el grupo de placebo más AAP. La mediana del tiempo hasta la aparición de los acontecimientos adversos de especial interés de insuficiencia cardíaca fue de 206 días en el grupo de niraparib más AAP y de 83 días en el grupo de placebo más AAP. Los acontecimientos de insuficiencia cardíaca se resolvieron en el 20 % de los pacientes del grupo de niraparib más AAP y en el 25 % de los pacientes del grupo de placebo más AAP.</w:t>
      </w:r>
    </w:p>
    <w:p w14:paraId="256B372F"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 </w:t>
      </w:r>
    </w:p>
    <w:p w14:paraId="1D30C95D"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El término agrupado de cardiopatía isquémica (incluyó los términos de angina de pecho, infarto agudo de miocardio, síndrome coronario agudo, angina inestable y arteriosclerosis coronaria) se produjo en el 4,2 % del grupo de niraparib más AAP en comparación con un 4,3 % del grupo de placebo más AAP. La mediana del tiempo hasta la aparición de los acontecimientos adversos de especial interés (AAEI) de cardiopatía isquémica fue de 538 días en el grupo de niraparib más AAP y de 257 días en el grupo de placebo más AAP. Los acontecimientos de cardiopatía isquémica se resolvieron en el 78 % de los pacientes de ambos grupos.</w:t>
      </w:r>
    </w:p>
    <w:p w14:paraId="73A9AC9B" w14:textId="77777777" w:rsidR="0081024C" w:rsidRDefault="0081024C" w:rsidP="0081024C">
      <w:pPr>
        <w:pStyle w:val="NormalWeb"/>
        <w:shd w:val="clear" w:color="auto" w:fill="FFFFFF"/>
        <w:spacing w:before="0" w:beforeAutospacing="0" w:after="0" w:afterAutospacing="0" w:line="253" w:lineRule="atLeast"/>
        <w:jc w:val="both"/>
        <w:rPr>
          <w:rFonts w:ascii="Helvetica" w:hAnsi="Helvetica" w:cs="Helvetica"/>
          <w:color w:val="333333"/>
          <w:sz w:val="22"/>
          <w:szCs w:val="22"/>
        </w:rPr>
      </w:pPr>
      <w:r>
        <w:rPr>
          <w:color w:val="333333"/>
          <w:sz w:val="22"/>
          <w:szCs w:val="22"/>
        </w:rPr>
        <w:t> </w:t>
      </w:r>
    </w:p>
    <w:p w14:paraId="4F4F9C83" w14:textId="77777777" w:rsidR="0081024C" w:rsidRDefault="0081024C" w:rsidP="0081024C">
      <w:pPr>
        <w:pStyle w:val="NormalWeb"/>
        <w:shd w:val="clear" w:color="auto" w:fill="FFFFFF"/>
        <w:spacing w:before="0" w:beforeAutospacing="0" w:after="0" w:afterAutospacing="0" w:line="253" w:lineRule="atLeast"/>
        <w:jc w:val="both"/>
        <w:rPr>
          <w:rFonts w:ascii="Helvetica" w:hAnsi="Helvetica" w:cs="Helvetica"/>
          <w:color w:val="333333"/>
          <w:sz w:val="22"/>
          <w:szCs w:val="22"/>
        </w:rPr>
      </w:pPr>
      <w:r>
        <w:rPr>
          <w:rStyle w:val="nfasis"/>
          <w:color w:val="333333"/>
          <w:sz w:val="22"/>
          <w:szCs w:val="22"/>
        </w:rPr>
        <w:t>Hepatotoxicidad</w:t>
      </w:r>
    </w:p>
    <w:p w14:paraId="3C341E23" w14:textId="77777777" w:rsidR="0081024C" w:rsidRPr="0081024C" w:rsidRDefault="0081024C" w:rsidP="0081024C">
      <w:pPr>
        <w:pStyle w:val="NormalWeb"/>
        <w:shd w:val="clear" w:color="auto" w:fill="FFFFFF"/>
        <w:spacing w:before="0" w:beforeAutospacing="0" w:after="0" w:afterAutospacing="0" w:line="253" w:lineRule="atLeast"/>
        <w:jc w:val="both"/>
        <w:rPr>
          <w:rFonts w:ascii="Arial" w:hAnsi="Arial" w:cs="Arial"/>
          <w:sz w:val="20"/>
          <w:szCs w:val="20"/>
        </w:rPr>
      </w:pPr>
      <w:r w:rsidRPr="0081024C">
        <w:rPr>
          <w:rFonts w:ascii="Arial" w:hAnsi="Arial" w:cs="Arial"/>
          <w:sz w:val="20"/>
          <w:szCs w:val="20"/>
        </w:rPr>
        <w:t>La incidencia global de hepatotoxicidad en el estudio MAGNITUDE fue similar para los grupos de niraparib más AAP (12,7 %) y d</w:t>
      </w:r>
      <w:r>
        <w:rPr>
          <w:rFonts w:ascii="Arial" w:hAnsi="Arial" w:cs="Arial"/>
          <w:sz w:val="20"/>
          <w:szCs w:val="20"/>
        </w:rPr>
        <w:t>e placebo más AAP (12,8 %)</w:t>
      </w:r>
      <w:r w:rsidRPr="0081024C">
        <w:rPr>
          <w:rFonts w:ascii="Arial" w:hAnsi="Arial" w:cs="Arial"/>
          <w:sz w:val="20"/>
          <w:szCs w:val="20"/>
        </w:rPr>
        <w:t>. La mayoría de estos acontecimientos fueron elevaciones de bajo grado de aminotransferasas. Se produjeron acontecimientos de Grado 3 en el 1,4 % de los pacientes y un acontecimiento de Grado 4 en un solo paciente (0,5 %). La incidencia de acontecimientos adversos graves también fue del 0,9 %. La mediana de tiempo hasta la aparición de la hepatotoxicidad en el estudio MAGNITUDE fue de 34 días. La hepatotoxicidad se trató con interrupciones de la dosis en el 0,9 % y con la reducción de la dosis en el 0,5 % de los pacientes. En el estudio MAGNITUDE, el 0,5 % de los pacientes suspendió definitivamente el tratamiento debido a la hepatotoxicidad.</w:t>
      </w:r>
    </w:p>
    <w:p w14:paraId="367508AC" w14:textId="77777777" w:rsidR="0081024C" w:rsidRPr="006F6ABB" w:rsidRDefault="0081024C" w:rsidP="00BC3E8E">
      <w:pPr>
        <w:jc w:val="both"/>
        <w:rPr>
          <w:rFonts w:ascii="Arial" w:hAnsi="Arial" w:cs="Arial"/>
          <w:iCs/>
          <w:sz w:val="20"/>
          <w:szCs w:val="20"/>
        </w:rPr>
      </w:pPr>
    </w:p>
    <w:p w14:paraId="42DA6DCD" w14:textId="77777777" w:rsidR="00BC3E8E" w:rsidRPr="006F6ABB" w:rsidRDefault="00BC3E8E" w:rsidP="00B53416">
      <w:pPr>
        <w:jc w:val="center"/>
        <w:rPr>
          <w:rFonts w:ascii="Arial" w:hAnsi="Arial" w:cs="Arial"/>
          <w:sz w:val="20"/>
          <w:szCs w:val="20"/>
          <w:lang w:val="es-ES_tradnl"/>
        </w:rPr>
      </w:pPr>
      <w:r w:rsidRPr="006F6ABB">
        <w:rPr>
          <w:rFonts w:ascii="Arial" w:hAnsi="Arial" w:cs="Arial"/>
          <w:sz w:val="20"/>
          <w:szCs w:val="20"/>
        </w:rPr>
        <w:t xml:space="preserve">                  </w:t>
      </w:r>
    </w:p>
    <w:p w14:paraId="50B3179B" w14:textId="77777777" w:rsidR="00BC3E8E" w:rsidRPr="002064C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0" w:name="_Toc344399655"/>
      <w:bookmarkStart w:id="121" w:name="_Toc348931386"/>
      <w:bookmarkStart w:id="122" w:name="_Toc153727218"/>
      <w:r w:rsidRPr="00E3472F">
        <w:rPr>
          <w:rFonts w:cs="Arial"/>
          <w:sz w:val="20"/>
        </w:rPr>
        <w:t>6.4 Precauciones de empleo</w:t>
      </w:r>
      <w:r w:rsidRPr="006F6ABB">
        <w:rPr>
          <w:rFonts w:cs="Arial"/>
          <w:sz w:val="20"/>
        </w:rPr>
        <w:t xml:space="preserve"> </w:t>
      </w:r>
      <w:r w:rsidRPr="00E3472F">
        <w:rPr>
          <w:rFonts w:cs="Arial"/>
          <w:sz w:val="20"/>
        </w:rPr>
        <w:t>en casos especiales</w:t>
      </w:r>
      <w:bookmarkEnd w:id="120"/>
      <w:bookmarkEnd w:id="121"/>
      <w:r w:rsidRPr="006F6ABB">
        <w:rPr>
          <w:rFonts w:cs="Arial"/>
          <w:sz w:val="20"/>
        </w:rPr>
        <w:t xml:space="preserve"> </w:t>
      </w:r>
      <w:r w:rsidR="002064CB" w:rsidRPr="002064CB">
        <w:rPr>
          <w:rFonts w:cs="Arial"/>
          <w:sz w:val="20"/>
          <w:vertAlign w:val="superscript"/>
        </w:rPr>
        <w:t>11,</w:t>
      </w:r>
      <w:r w:rsidR="00B51204">
        <w:rPr>
          <w:rFonts w:cs="Arial"/>
          <w:sz w:val="20"/>
          <w:vertAlign w:val="superscript"/>
        </w:rPr>
        <w:t>20</w:t>
      </w:r>
      <w:bookmarkEnd w:id="122"/>
    </w:p>
    <w:p w14:paraId="019D6FC0" w14:textId="77777777" w:rsidR="00BC3E8E" w:rsidRPr="006F6ABB" w:rsidRDefault="00BC3E8E" w:rsidP="00BC3E8E">
      <w:pPr>
        <w:rPr>
          <w:rFonts w:ascii="Arial" w:hAnsi="Arial" w:cs="Arial"/>
          <w:sz w:val="20"/>
          <w:szCs w:val="20"/>
        </w:rPr>
      </w:pPr>
    </w:p>
    <w:p w14:paraId="0FD4D572" w14:textId="77777777" w:rsidR="00351B02" w:rsidRDefault="00351B02" w:rsidP="00A56B46">
      <w:pPr>
        <w:jc w:val="both"/>
        <w:rPr>
          <w:rFonts w:ascii="Arial" w:hAnsi="Arial" w:cs="Arial"/>
          <w:sz w:val="20"/>
          <w:szCs w:val="20"/>
        </w:rPr>
      </w:pPr>
      <w:r w:rsidRPr="002064CB">
        <w:rPr>
          <w:rStyle w:val="nfasis"/>
          <w:color w:val="333333"/>
          <w:sz w:val="22"/>
          <w:szCs w:val="22"/>
        </w:rPr>
        <w:t>Edad</w:t>
      </w:r>
      <w:r w:rsidR="002064CB">
        <w:rPr>
          <w:rFonts w:ascii="Arial" w:hAnsi="Arial" w:cs="Arial"/>
          <w:sz w:val="20"/>
          <w:szCs w:val="20"/>
        </w:rPr>
        <w:t xml:space="preserve"> </w:t>
      </w:r>
    </w:p>
    <w:p w14:paraId="730D2ED5" w14:textId="77777777" w:rsidR="00351B02" w:rsidRDefault="00351B02" w:rsidP="00A56B46">
      <w:pPr>
        <w:jc w:val="both"/>
        <w:rPr>
          <w:rFonts w:ascii="Arial" w:hAnsi="Arial" w:cs="Arial"/>
          <w:sz w:val="20"/>
          <w:szCs w:val="20"/>
        </w:rPr>
      </w:pPr>
    </w:p>
    <w:p w14:paraId="5BCAA477" w14:textId="77777777" w:rsidR="00351B02" w:rsidRDefault="00351B02" w:rsidP="00A56B46">
      <w:pPr>
        <w:pStyle w:val="NormalWeb"/>
        <w:shd w:val="clear" w:color="auto" w:fill="FFFFFF"/>
        <w:spacing w:before="0" w:beforeAutospacing="0" w:after="0" w:afterAutospacing="0" w:line="253" w:lineRule="atLeast"/>
        <w:jc w:val="both"/>
        <w:rPr>
          <w:rFonts w:ascii="Arial" w:hAnsi="Arial" w:cs="Arial"/>
          <w:sz w:val="20"/>
          <w:szCs w:val="20"/>
        </w:rPr>
      </w:pPr>
      <w:r w:rsidRPr="00351B02">
        <w:rPr>
          <w:rFonts w:ascii="Arial" w:hAnsi="Arial" w:cs="Arial"/>
          <w:sz w:val="20"/>
          <w:szCs w:val="20"/>
        </w:rPr>
        <w:t>La distribución por edades en los diferentes estudios fue comparable, con sólo una distribución por edades ligeramente inferior en</w:t>
      </w:r>
      <w:r>
        <w:rPr>
          <w:rFonts w:ascii="Arial" w:hAnsi="Arial" w:cs="Arial"/>
          <w:sz w:val="20"/>
          <w:szCs w:val="20"/>
        </w:rPr>
        <w:t xml:space="preserve"> </w:t>
      </w:r>
      <w:r w:rsidRPr="00351B02">
        <w:rPr>
          <w:rFonts w:ascii="Arial" w:hAnsi="Arial" w:cs="Arial"/>
          <w:sz w:val="20"/>
          <w:szCs w:val="20"/>
        </w:rPr>
        <w:t xml:space="preserve">el brazo placebo + AAP de la cohorte 1 de MAGNITUDE. En general, la incidencia de </w:t>
      </w:r>
      <w:r w:rsidR="00A56B46">
        <w:rPr>
          <w:rFonts w:ascii="Arial" w:hAnsi="Arial" w:cs="Arial"/>
          <w:sz w:val="20"/>
          <w:szCs w:val="20"/>
        </w:rPr>
        <w:t>eventos adversos (</w:t>
      </w:r>
      <w:r w:rsidRPr="00351B02">
        <w:rPr>
          <w:rFonts w:ascii="Arial" w:hAnsi="Arial" w:cs="Arial"/>
          <w:sz w:val="20"/>
          <w:szCs w:val="20"/>
        </w:rPr>
        <w:t>EA</w:t>
      </w:r>
      <w:r w:rsidR="00A56B46">
        <w:rPr>
          <w:rFonts w:ascii="Arial" w:hAnsi="Arial" w:cs="Arial"/>
          <w:sz w:val="20"/>
          <w:szCs w:val="20"/>
        </w:rPr>
        <w:t>)</w:t>
      </w:r>
      <w:r w:rsidRPr="00351B02">
        <w:rPr>
          <w:rFonts w:ascii="Arial" w:hAnsi="Arial" w:cs="Arial"/>
          <w:sz w:val="20"/>
          <w:szCs w:val="20"/>
        </w:rPr>
        <w:t>, incluidos los de grado 3</w:t>
      </w:r>
      <w:r>
        <w:rPr>
          <w:rFonts w:ascii="Arial" w:hAnsi="Arial" w:cs="Arial"/>
          <w:sz w:val="20"/>
          <w:szCs w:val="20"/>
        </w:rPr>
        <w:t xml:space="preserve"> y 4, EA graves</w:t>
      </w:r>
      <w:r w:rsidRPr="00351B02">
        <w:rPr>
          <w:rFonts w:ascii="Arial" w:hAnsi="Arial" w:cs="Arial"/>
          <w:sz w:val="20"/>
          <w:szCs w:val="20"/>
        </w:rPr>
        <w:t xml:space="preserve"> y EA que provocaron la interrupción de un agente del estudio fue mayor en el grupo de edad &gt; 75</w:t>
      </w:r>
      <w:r>
        <w:rPr>
          <w:rFonts w:ascii="Arial" w:hAnsi="Arial" w:cs="Arial"/>
          <w:sz w:val="20"/>
          <w:szCs w:val="20"/>
        </w:rPr>
        <w:t xml:space="preserve"> </w:t>
      </w:r>
      <w:r w:rsidRPr="00351B02">
        <w:rPr>
          <w:rFonts w:ascii="Arial" w:hAnsi="Arial" w:cs="Arial"/>
          <w:sz w:val="20"/>
          <w:szCs w:val="20"/>
        </w:rPr>
        <w:t xml:space="preserve">años en el grupo de niraparib + AAP y en el grupo de placebo + AAP en la cohorte 1 de MAGNITUDE y en </w:t>
      </w:r>
      <w:r w:rsidR="00955138">
        <w:rPr>
          <w:rFonts w:ascii="Arial" w:hAnsi="Arial" w:cs="Arial"/>
          <w:sz w:val="20"/>
          <w:szCs w:val="20"/>
        </w:rPr>
        <w:t xml:space="preserve"> </w:t>
      </w:r>
      <w:r w:rsidRPr="00351B02">
        <w:rPr>
          <w:rFonts w:ascii="Arial" w:hAnsi="Arial" w:cs="Arial"/>
          <w:sz w:val="20"/>
          <w:szCs w:val="20"/>
        </w:rPr>
        <w:t xml:space="preserve">los estudios de apoyo (grupo </w:t>
      </w:r>
      <w:r>
        <w:rPr>
          <w:rFonts w:ascii="Arial" w:hAnsi="Arial" w:cs="Arial"/>
          <w:sz w:val="20"/>
          <w:szCs w:val="20"/>
        </w:rPr>
        <w:t>de los agentes no combinados</w:t>
      </w:r>
      <w:r w:rsidRPr="00351B02">
        <w:rPr>
          <w:rFonts w:ascii="Arial" w:hAnsi="Arial" w:cs="Arial"/>
          <w:sz w:val="20"/>
          <w:szCs w:val="20"/>
        </w:rPr>
        <w:t xml:space="preserve"> y cohorte MAGNITUDE 3) en comparación con</w:t>
      </w:r>
      <w:r>
        <w:rPr>
          <w:rFonts w:ascii="Arial" w:hAnsi="Arial" w:cs="Arial"/>
          <w:sz w:val="20"/>
          <w:szCs w:val="20"/>
        </w:rPr>
        <w:t xml:space="preserve"> los grupos de edad más jóvenes, l</w:t>
      </w:r>
      <w:r w:rsidRPr="00351B02">
        <w:rPr>
          <w:rFonts w:ascii="Arial" w:hAnsi="Arial" w:cs="Arial"/>
          <w:sz w:val="20"/>
          <w:szCs w:val="20"/>
        </w:rPr>
        <w:t xml:space="preserve">os perfiles de seguridad en las diferentes categorías de edad en el grupo </w:t>
      </w:r>
      <w:r w:rsidR="00955138">
        <w:rPr>
          <w:rFonts w:ascii="Arial" w:hAnsi="Arial" w:cs="Arial"/>
          <w:sz w:val="20"/>
          <w:szCs w:val="20"/>
        </w:rPr>
        <w:t>de agentes no combinados</w:t>
      </w:r>
      <w:r w:rsidRPr="00351B02">
        <w:rPr>
          <w:rFonts w:ascii="Arial" w:hAnsi="Arial" w:cs="Arial"/>
          <w:sz w:val="20"/>
          <w:szCs w:val="20"/>
        </w:rPr>
        <w:t xml:space="preserve"> fueron coherentes</w:t>
      </w:r>
      <w:r>
        <w:rPr>
          <w:rFonts w:ascii="Arial" w:hAnsi="Arial" w:cs="Arial"/>
          <w:sz w:val="20"/>
          <w:szCs w:val="20"/>
        </w:rPr>
        <w:t xml:space="preserve"> </w:t>
      </w:r>
      <w:r w:rsidRPr="00351B02">
        <w:rPr>
          <w:rFonts w:ascii="Arial" w:hAnsi="Arial" w:cs="Arial"/>
          <w:sz w:val="20"/>
          <w:szCs w:val="20"/>
        </w:rPr>
        <w:t>con el perfil de seguridad en el brazo de niraparib + AAP de la cohorte 1.</w:t>
      </w:r>
    </w:p>
    <w:p w14:paraId="08144DDD" w14:textId="77777777" w:rsidR="00955138"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p>
    <w:p w14:paraId="0DFBC897"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rStyle w:val="nfasis"/>
          <w:color w:val="333333"/>
          <w:sz w:val="22"/>
          <w:szCs w:val="22"/>
        </w:rPr>
        <w:t>Insuficiencia hepática</w:t>
      </w:r>
    </w:p>
    <w:p w14:paraId="0F4B1044" w14:textId="77777777" w:rsidR="00955138" w:rsidRPr="00955138"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955138">
        <w:rPr>
          <w:rFonts w:ascii="Arial" w:hAnsi="Arial" w:cs="Arial"/>
          <w:sz w:val="20"/>
          <w:szCs w:val="20"/>
        </w:rPr>
        <w:t>Según el análisis farmacocinético poblacional de datos de los estudios clínicos en los que los pacientes con cáncer de próstata recibieron niraparib en solitario o niraparib/AA en combinación, la insuficiencia hepática leve (criterios de la NCI-ODWG, n = 231) no afectó a la exposición de niraparib.</w:t>
      </w:r>
    </w:p>
    <w:p w14:paraId="4DBBB826"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color w:val="333333"/>
          <w:sz w:val="22"/>
          <w:szCs w:val="22"/>
        </w:rPr>
        <w:t> </w:t>
      </w:r>
    </w:p>
    <w:p w14:paraId="35947388"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En un estudio clínico de pacientes con cáncer utilizando los criterios del NCI-ODWG para clasificar el grado de insuficiencia hepática, el AUCinf de niraparib en pacientes con insuficiencia hepática moderada (n = 8) fue de 1,56 (IC del 90 %: 1,06 a 2,30) veces el AUCinf de niraparib en pacientes con función hepática normal (n = 9) tras la administración de una dosis única de 300 mg.</w:t>
      </w:r>
    </w:p>
    <w:p w14:paraId="1B20E733"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 </w:t>
      </w:r>
    </w:p>
    <w:p w14:paraId="58524B3E"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La farmacocinética de abiraterona se evaluó en pacientes con insuficiencia hepática preexistente leve (n = 8) o moderada (n = 8) (Clase A y B de Child Pugh, respectivamente) y en 8 sujetos control sanos. La exposición sistémica a la abiraterona después de una dosis oral única de 1 000 mg aumentó aproximadamente en 1,11 y 3,6 veces en pacientes con insuficiencia hepática preexistente leve y moderada, respectivamente.</w:t>
      </w:r>
    </w:p>
    <w:p w14:paraId="681D80CF"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 </w:t>
      </w:r>
    </w:p>
    <w:p w14:paraId="4EE365A2"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 xml:space="preserve">En otro estudio, se examinó la farmacocinética de la abiraterona en pacientes con insuficiencia hepática preexistente grave (n = 8) (Clase C de Child-Pugh) y en 8 sujetos control sanos con función hepática normal. El AUC de la abiraterona se multiplicó aproximadamente por 7 y la fracción de fármaco libre se multiplicó por 1,8 en pacientes con insuficiencia hepática grave en comparación con sujetos con función hepática normal. No existe experiencia clínica con </w:t>
      </w:r>
      <w:r w:rsidR="00A56B46">
        <w:rPr>
          <w:rFonts w:ascii="Arial" w:hAnsi="Arial" w:cs="Arial"/>
          <w:sz w:val="20"/>
          <w:szCs w:val="20"/>
        </w:rPr>
        <w:t>Niraparib/abiraterona</w:t>
      </w:r>
      <w:r w:rsidRPr="002064CB">
        <w:rPr>
          <w:rFonts w:ascii="Arial" w:hAnsi="Arial" w:cs="Arial"/>
          <w:sz w:val="20"/>
          <w:szCs w:val="20"/>
        </w:rPr>
        <w:t xml:space="preserve"> en pacientes con insuficiencia hepática moderada y grave.</w:t>
      </w:r>
    </w:p>
    <w:p w14:paraId="04BEC8EE"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color w:val="333333"/>
          <w:sz w:val="22"/>
          <w:szCs w:val="22"/>
        </w:rPr>
        <w:t> </w:t>
      </w:r>
    </w:p>
    <w:p w14:paraId="262EF41B"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rStyle w:val="nfasis"/>
          <w:color w:val="333333"/>
          <w:sz w:val="22"/>
          <w:szCs w:val="22"/>
        </w:rPr>
        <w:t>Insuficiencia renal</w:t>
      </w:r>
    </w:p>
    <w:p w14:paraId="725778A3"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Según el análisis farmacocinético poblacional de datos de los estudios clínicos en los que los pacientes con cáncer de próstata recibieron niraparib en solitario o niraparib/AA en combinación, los pacientes con insuficiencia renal leve (aclaramiento de creatinina de 60-90 ml/min, n = 337) y moderada (aclaramiento de creatinina de 30-60 ml/min, n = 114) presentaron una ligera reducción del aclaramiento de niraparib en comparación con las personas con función renal normal (exposición hasta un 13 % más alta en pacientes con insuficiencia renal leve y exposición un 13-40 % más alta en pacientes con insuficiencia renal moderada).</w:t>
      </w:r>
    </w:p>
    <w:p w14:paraId="20BBF456"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 </w:t>
      </w:r>
    </w:p>
    <w:p w14:paraId="6599491A"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Se realizó una comparación de la farmacocinética de la abiraterona entre pacientes con enfermedad renal terminal con un programa de hemodiálisis estable (n = 8) y sujetos control emparejados con función renal normal (n = 8). La exposición sistémica a la abiraterona tras una dosis oral única de 1 000 mg no aumentó en pacientes con enfermedad renal terminal que recibían diálisis. No existe experiencia clínica con Akeega en pacientes con insuficiencia renal grave.</w:t>
      </w:r>
    </w:p>
    <w:p w14:paraId="44965DAF"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color w:val="333333"/>
          <w:sz w:val="22"/>
          <w:szCs w:val="22"/>
        </w:rPr>
        <w:t> </w:t>
      </w:r>
    </w:p>
    <w:p w14:paraId="5794EA59" w14:textId="77777777" w:rsidR="00955138" w:rsidRDefault="00955138" w:rsidP="00A56B46">
      <w:pPr>
        <w:pStyle w:val="NormalWeb"/>
        <w:shd w:val="clear" w:color="auto" w:fill="FFFFFF"/>
        <w:spacing w:before="0" w:beforeAutospacing="0" w:after="0" w:afterAutospacing="0" w:line="253" w:lineRule="atLeast"/>
        <w:jc w:val="both"/>
        <w:rPr>
          <w:rStyle w:val="nfasis"/>
          <w:color w:val="333333"/>
          <w:sz w:val="22"/>
          <w:szCs w:val="22"/>
        </w:rPr>
      </w:pPr>
      <w:r>
        <w:rPr>
          <w:rStyle w:val="nfasis"/>
          <w:color w:val="333333"/>
          <w:sz w:val="22"/>
          <w:szCs w:val="22"/>
        </w:rPr>
        <w:t>Peso, edad y raza</w:t>
      </w:r>
    </w:p>
    <w:p w14:paraId="06EF4821" w14:textId="77777777" w:rsidR="00847425" w:rsidRDefault="00847425"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p>
    <w:p w14:paraId="24AECDC4"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Según el análisis farmacocinético poblacional de los datos de los estudios clínicos en los que los pacientes con cáncer de próstata recibieron niraparib o acetato de abiraterona solo o en combinación:</w:t>
      </w:r>
    </w:p>
    <w:p w14:paraId="61189F62" w14:textId="77777777" w:rsidR="00955138" w:rsidRPr="002064CB" w:rsidRDefault="00955138" w:rsidP="00A56B46">
      <w:pPr>
        <w:numPr>
          <w:ilvl w:val="0"/>
          <w:numId w:val="26"/>
        </w:numPr>
        <w:shd w:val="clear" w:color="auto" w:fill="FFFFFF"/>
        <w:ind w:left="201" w:firstLine="0"/>
        <w:jc w:val="both"/>
        <w:rPr>
          <w:rFonts w:ascii="Arial" w:hAnsi="Arial" w:cs="Arial"/>
          <w:sz w:val="20"/>
          <w:szCs w:val="20"/>
        </w:rPr>
      </w:pPr>
      <w:r w:rsidRPr="002064CB">
        <w:rPr>
          <w:rFonts w:ascii="Arial" w:hAnsi="Arial" w:cs="Arial"/>
          <w:sz w:val="20"/>
          <w:szCs w:val="20"/>
        </w:rPr>
        <w:t>El peso corporal no tuvo una influencia clínicamente significativa en la exposición al niraparib (intervalo de peso corporal: 43,3-165 kg) y la abiraterona (intervalo de peso corporal:</w:t>
      </w:r>
    </w:p>
    <w:p w14:paraId="08A761E0" w14:textId="77777777" w:rsidR="00955138" w:rsidRPr="002064CB" w:rsidRDefault="00955138" w:rsidP="00A56B46">
      <w:pPr>
        <w:pStyle w:val="NormalWeb"/>
        <w:shd w:val="clear" w:color="auto" w:fill="FFFFFF"/>
        <w:spacing w:before="0" w:beforeAutospacing="0" w:after="0" w:afterAutospacing="0" w:line="253" w:lineRule="atLeast"/>
        <w:ind w:left="567"/>
        <w:jc w:val="both"/>
        <w:rPr>
          <w:rFonts w:ascii="Arial" w:hAnsi="Arial" w:cs="Arial"/>
          <w:sz w:val="20"/>
          <w:szCs w:val="20"/>
        </w:rPr>
      </w:pPr>
      <w:r w:rsidRPr="002064CB">
        <w:rPr>
          <w:rFonts w:ascii="Arial" w:hAnsi="Arial" w:cs="Arial"/>
          <w:sz w:val="20"/>
          <w:szCs w:val="20"/>
        </w:rPr>
        <w:t>56,0-135 kg).</w:t>
      </w:r>
    </w:p>
    <w:p w14:paraId="186277BD" w14:textId="77777777" w:rsidR="00955138" w:rsidRPr="002064CB" w:rsidRDefault="00955138" w:rsidP="00A56B46">
      <w:pPr>
        <w:numPr>
          <w:ilvl w:val="0"/>
          <w:numId w:val="27"/>
        </w:numPr>
        <w:shd w:val="clear" w:color="auto" w:fill="FFFFFF"/>
        <w:ind w:left="201" w:firstLine="0"/>
        <w:jc w:val="both"/>
        <w:rPr>
          <w:rFonts w:ascii="Arial" w:hAnsi="Arial" w:cs="Arial"/>
          <w:sz w:val="20"/>
          <w:szCs w:val="20"/>
        </w:rPr>
      </w:pPr>
      <w:r w:rsidRPr="002064CB">
        <w:rPr>
          <w:rFonts w:ascii="Arial" w:hAnsi="Arial" w:cs="Arial"/>
          <w:sz w:val="20"/>
          <w:szCs w:val="20"/>
        </w:rPr>
        <w:t>La edad no tuvo un efecto significativo en la farmacocinética del niraparib (intervalo de edad: 45-90 años) y la abiraterona (intervalo de edad: 19-85 años).</w:t>
      </w:r>
    </w:p>
    <w:p w14:paraId="14984B54" w14:textId="77777777" w:rsidR="00847425" w:rsidRDefault="00955138" w:rsidP="00A56B46">
      <w:pPr>
        <w:jc w:val="both"/>
        <w:rPr>
          <w:rFonts w:ascii="Arial" w:hAnsi="Arial" w:cs="Arial"/>
          <w:sz w:val="20"/>
          <w:szCs w:val="20"/>
        </w:rPr>
      </w:pPr>
      <w:r w:rsidRPr="002064CB">
        <w:rPr>
          <w:rFonts w:ascii="Arial" w:hAnsi="Arial" w:cs="Arial"/>
          <w:sz w:val="20"/>
          <w:szCs w:val="20"/>
        </w:rPr>
        <w:t>No existen datos suficientes para determinar el efecto de la raza en la farmacocinética del niraparib y la abiraterona</w:t>
      </w:r>
      <w:r w:rsidRPr="002064CB">
        <w:rPr>
          <w:rFonts w:ascii="Arial" w:hAnsi="Arial" w:cs="Arial"/>
          <w:i/>
          <w:iCs/>
          <w:sz w:val="20"/>
          <w:szCs w:val="20"/>
        </w:rPr>
        <w:t>.</w:t>
      </w:r>
      <w:r w:rsidR="00847425" w:rsidRPr="00847425">
        <w:rPr>
          <w:rFonts w:ascii="Arial" w:hAnsi="Arial" w:cs="Arial"/>
          <w:sz w:val="20"/>
          <w:szCs w:val="20"/>
        </w:rPr>
        <w:t xml:space="preserve"> </w:t>
      </w:r>
      <w:r w:rsidR="00847425" w:rsidRPr="00955138">
        <w:rPr>
          <w:rFonts w:ascii="Arial" w:hAnsi="Arial" w:cs="Arial"/>
          <w:sz w:val="20"/>
          <w:szCs w:val="20"/>
        </w:rPr>
        <w:t>Los pacientes de los estudios clínicos eran predominantemente blancos</w:t>
      </w:r>
      <w:r w:rsidR="00847425">
        <w:rPr>
          <w:rFonts w:ascii="Arial" w:hAnsi="Arial" w:cs="Arial"/>
          <w:sz w:val="20"/>
          <w:szCs w:val="20"/>
        </w:rPr>
        <w:t xml:space="preserve"> (71-74%) siendo los</w:t>
      </w:r>
      <w:r w:rsidR="00847425" w:rsidRPr="00955138">
        <w:rPr>
          <w:rFonts w:ascii="Arial" w:hAnsi="Arial" w:cs="Arial"/>
          <w:sz w:val="20"/>
          <w:szCs w:val="20"/>
        </w:rPr>
        <w:t xml:space="preserve"> asiáticos</w:t>
      </w:r>
      <w:r w:rsidR="00847425">
        <w:rPr>
          <w:rFonts w:ascii="Arial" w:hAnsi="Arial" w:cs="Arial"/>
          <w:sz w:val="20"/>
          <w:szCs w:val="20"/>
        </w:rPr>
        <w:t xml:space="preserve"> segundos</w:t>
      </w:r>
      <w:r w:rsidR="00847425" w:rsidRPr="00955138">
        <w:rPr>
          <w:rFonts w:ascii="Arial" w:hAnsi="Arial" w:cs="Arial"/>
          <w:sz w:val="20"/>
          <w:szCs w:val="20"/>
        </w:rPr>
        <w:t xml:space="preserve"> (15%-17%). La categoría "Otros" representaba entre el 9,5% y el 12% de los pacientes.</w:t>
      </w:r>
    </w:p>
    <w:p w14:paraId="318E9BCD" w14:textId="77777777" w:rsidR="00955138" w:rsidRPr="002064CB" w:rsidRDefault="00955138" w:rsidP="00A56B46">
      <w:pPr>
        <w:shd w:val="clear" w:color="auto" w:fill="FFFFFF"/>
        <w:ind w:left="201"/>
        <w:jc w:val="both"/>
        <w:rPr>
          <w:rFonts w:ascii="Arial" w:hAnsi="Arial" w:cs="Arial"/>
          <w:sz w:val="20"/>
          <w:szCs w:val="20"/>
        </w:rPr>
      </w:pPr>
    </w:p>
    <w:p w14:paraId="46FBC97C"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color w:val="333333"/>
          <w:sz w:val="22"/>
          <w:szCs w:val="22"/>
        </w:rPr>
        <w:t> </w:t>
      </w:r>
    </w:p>
    <w:p w14:paraId="446D74DC" w14:textId="77777777" w:rsidR="00955138"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rStyle w:val="nfasis"/>
          <w:color w:val="333333"/>
          <w:sz w:val="22"/>
          <w:szCs w:val="22"/>
        </w:rPr>
        <w:t>Población pediátrica</w:t>
      </w:r>
    </w:p>
    <w:p w14:paraId="3628FB75" w14:textId="77777777" w:rsidR="00955138" w:rsidRPr="002064CB" w:rsidRDefault="00955138" w:rsidP="00A56B46">
      <w:pPr>
        <w:pStyle w:val="NormalWeb"/>
        <w:shd w:val="clear" w:color="auto" w:fill="FFFFFF"/>
        <w:spacing w:before="0" w:beforeAutospacing="0" w:after="0" w:afterAutospacing="0" w:line="253" w:lineRule="atLeast"/>
        <w:jc w:val="both"/>
        <w:rPr>
          <w:rFonts w:ascii="Arial" w:hAnsi="Arial" w:cs="Arial"/>
          <w:sz w:val="20"/>
          <w:szCs w:val="20"/>
        </w:rPr>
      </w:pPr>
      <w:r w:rsidRPr="002064CB">
        <w:rPr>
          <w:rFonts w:ascii="Arial" w:hAnsi="Arial" w:cs="Arial"/>
          <w:sz w:val="20"/>
          <w:szCs w:val="20"/>
        </w:rPr>
        <w:t xml:space="preserve">No se ha llevado a cabo ningún estudio para investigar las propiedades farmacocinéticas de </w:t>
      </w:r>
      <w:r w:rsidR="002064CB">
        <w:rPr>
          <w:rFonts w:ascii="Arial" w:hAnsi="Arial" w:cs="Arial"/>
          <w:sz w:val="20"/>
          <w:szCs w:val="20"/>
        </w:rPr>
        <w:t>Niraparib/AA</w:t>
      </w:r>
      <w:r w:rsidRPr="002064CB">
        <w:rPr>
          <w:rFonts w:ascii="Arial" w:hAnsi="Arial" w:cs="Arial"/>
          <w:sz w:val="20"/>
          <w:szCs w:val="20"/>
        </w:rPr>
        <w:t xml:space="preserve"> en pacientes pediátricos.</w:t>
      </w:r>
    </w:p>
    <w:p w14:paraId="5D4381AE" w14:textId="77777777" w:rsidR="00BC3E8E" w:rsidRPr="00847425" w:rsidRDefault="00955138" w:rsidP="00A56B46">
      <w:pPr>
        <w:pStyle w:val="NormalWeb"/>
        <w:shd w:val="clear" w:color="auto" w:fill="FFFFFF"/>
        <w:spacing w:before="0" w:beforeAutospacing="0" w:after="0" w:afterAutospacing="0" w:line="253" w:lineRule="atLeast"/>
        <w:jc w:val="both"/>
        <w:rPr>
          <w:rFonts w:ascii="Helvetica" w:hAnsi="Helvetica"/>
          <w:color w:val="333333"/>
          <w:sz w:val="22"/>
          <w:szCs w:val="22"/>
        </w:rPr>
      </w:pPr>
      <w:r>
        <w:rPr>
          <w:color w:val="333333"/>
          <w:sz w:val="22"/>
          <w:szCs w:val="22"/>
        </w:rPr>
        <w:t> </w:t>
      </w:r>
      <w:r w:rsidR="00C04454">
        <w:rPr>
          <w:rFonts w:ascii="Arial" w:hAnsi="Arial" w:cs="Arial"/>
          <w:b/>
          <w:sz w:val="20"/>
          <w:szCs w:val="20"/>
        </w:rPr>
        <w:br w:type="page"/>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BC3E8E" w:rsidRPr="00DA38F3" w14:paraId="135B2FD2" w14:textId="77777777" w:rsidTr="00BC3E8E">
        <w:tc>
          <w:tcPr>
            <w:tcW w:w="9001" w:type="dxa"/>
            <w:tcBorders>
              <w:top w:val="single" w:sz="4" w:space="0" w:color="auto"/>
              <w:left w:val="single" w:sz="4" w:space="0" w:color="auto"/>
              <w:bottom w:val="single" w:sz="4" w:space="0" w:color="auto"/>
              <w:right w:val="single" w:sz="4" w:space="0" w:color="auto"/>
            </w:tcBorders>
            <w:shd w:val="clear" w:color="auto" w:fill="B3B3B3"/>
          </w:tcPr>
          <w:p w14:paraId="01D2E9AC" w14:textId="77777777" w:rsidR="00BC3E8E" w:rsidRPr="00A379A0" w:rsidRDefault="00BC3E8E" w:rsidP="00BC3E8E">
            <w:pPr>
              <w:pStyle w:val="Ttulo1"/>
              <w:shd w:val="clear" w:color="auto" w:fill="A6A6A6"/>
              <w:rPr>
                <w:rFonts w:ascii="Arial" w:hAnsi="Arial" w:cs="Arial"/>
                <w:bCs w:val="0"/>
                <w:kern w:val="0"/>
                <w:sz w:val="20"/>
                <w:szCs w:val="20"/>
              </w:rPr>
            </w:pPr>
            <w:bookmarkStart w:id="123" w:name="_Toc344399656"/>
            <w:bookmarkStart w:id="124" w:name="_Toc348931387"/>
            <w:bookmarkStart w:id="125" w:name="_Toc153727219"/>
            <w:r w:rsidRPr="00A379A0">
              <w:rPr>
                <w:rFonts w:ascii="Arial" w:hAnsi="Arial" w:cs="Arial"/>
                <w:bCs w:val="0"/>
                <w:kern w:val="0"/>
                <w:sz w:val="20"/>
                <w:szCs w:val="20"/>
              </w:rPr>
              <w:t>7. AREA ECONÓMICA</w:t>
            </w:r>
            <w:bookmarkEnd w:id="123"/>
            <w:bookmarkEnd w:id="124"/>
            <w:bookmarkEnd w:id="125"/>
          </w:p>
        </w:tc>
      </w:tr>
    </w:tbl>
    <w:p w14:paraId="2C4657F2" w14:textId="77777777" w:rsidR="00BC3E8E" w:rsidRPr="00092424" w:rsidRDefault="00BC3E8E" w:rsidP="00BC3E8E">
      <w:pPr>
        <w:jc w:val="both"/>
        <w:rPr>
          <w:rFonts w:ascii="Arial" w:hAnsi="Arial" w:cs="Arial"/>
          <w:sz w:val="20"/>
          <w:szCs w:val="20"/>
          <w:shd w:val="clear" w:color="auto" w:fill="C0C0C0"/>
        </w:rPr>
      </w:pPr>
    </w:p>
    <w:p w14:paraId="21A8A26D" w14:textId="77777777" w:rsidR="006731F5" w:rsidRPr="00C67DF8" w:rsidRDefault="00092424" w:rsidP="000F5691">
      <w:pPr>
        <w:jc w:val="both"/>
        <w:rPr>
          <w:rFonts w:ascii="Arial" w:hAnsi="Arial" w:cs="Arial"/>
          <w:sz w:val="20"/>
          <w:szCs w:val="20"/>
        </w:rPr>
      </w:pPr>
      <w:r w:rsidRPr="00C67DF8">
        <w:rPr>
          <w:rFonts w:ascii="Arial" w:hAnsi="Arial" w:cs="Arial"/>
          <w:sz w:val="20"/>
          <w:szCs w:val="20"/>
        </w:rPr>
        <w:t>Nota 15/01/2017: El modelo de informe del área económica ha sido actualizada siguiendo las</w:t>
      </w:r>
      <w:r w:rsidRPr="00C67DF8">
        <w:rPr>
          <w:rFonts w:ascii="Arial" w:hAnsi="Arial" w:cs="Arial"/>
          <w:sz w:val="20"/>
          <w:szCs w:val="20"/>
          <w:shd w:val="clear" w:color="auto" w:fill="C0C0C0"/>
        </w:rPr>
        <w:t xml:space="preserve"> </w:t>
      </w:r>
      <w:r w:rsidRPr="00C67DF8">
        <w:rPr>
          <w:rFonts w:ascii="Arial" w:hAnsi="Arial" w:cs="Arial"/>
          <w:sz w:val="20"/>
          <w:szCs w:val="20"/>
        </w:rPr>
        <w:t xml:space="preserve">recomendaciones contenidas en la </w:t>
      </w:r>
      <w:r w:rsidR="000F5691" w:rsidRPr="00C67DF8">
        <w:rPr>
          <w:rFonts w:ascii="Arial" w:hAnsi="Arial" w:cs="Arial"/>
          <w:sz w:val="20"/>
          <w:szCs w:val="20"/>
        </w:rPr>
        <w:t>“</w:t>
      </w:r>
      <w:r w:rsidRPr="00C67DF8">
        <w:rPr>
          <w:rFonts w:ascii="Arial" w:hAnsi="Arial" w:cs="Arial"/>
          <w:i/>
          <w:sz w:val="20"/>
          <w:szCs w:val="20"/>
        </w:rPr>
        <w:t>Guía de Evaluación económica e impacto presupuestario en</w:t>
      </w:r>
      <w:r w:rsidRPr="00C67DF8">
        <w:rPr>
          <w:rFonts w:ascii="Arial" w:hAnsi="Arial" w:cs="Arial"/>
          <w:i/>
          <w:sz w:val="20"/>
          <w:szCs w:val="20"/>
          <w:shd w:val="clear" w:color="auto" w:fill="C0C0C0"/>
        </w:rPr>
        <w:t xml:space="preserve"> </w:t>
      </w:r>
      <w:r w:rsidRPr="00C67DF8">
        <w:rPr>
          <w:rFonts w:ascii="Arial" w:hAnsi="Arial" w:cs="Arial"/>
          <w:i/>
          <w:sz w:val="20"/>
          <w:szCs w:val="20"/>
        </w:rPr>
        <w:t>los informes de evaluación de medicamentos.</w:t>
      </w:r>
      <w:r w:rsidR="000F5691" w:rsidRPr="00C67DF8">
        <w:rPr>
          <w:rFonts w:ascii="Arial" w:hAnsi="Arial" w:cs="Arial"/>
          <w:i/>
          <w:sz w:val="20"/>
          <w:szCs w:val="20"/>
        </w:rPr>
        <w:t xml:space="preserve"> </w:t>
      </w:r>
      <w:r w:rsidRPr="00C67DF8">
        <w:rPr>
          <w:rFonts w:ascii="Arial" w:hAnsi="Arial" w:cs="Arial"/>
          <w:i/>
          <w:sz w:val="20"/>
          <w:szCs w:val="20"/>
        </w:rPr>
        <w:t>Guía práctica asociada al programa MADRE 4.0.</w:t>
      </w:r>
      <w:r w:rsidRPr="00C67DF8">
        <w:rPr>
          <w:rFonts w:ascii="Arial" w:hAnsi="Arial" w:cs="Arial"/>
          <w:sz w:val="20"/>
          <w:szCs w:val="20"/>
        </w:rPr>
        <w:t xml:space="preserve"> </w:t>
      </w:r>
      <w:r w:rsidRPr="00C67DF8">
        <w:rPr>
          <w:rFonts w:ascii="Arial" w:hAnsi="Arial" w:cs="Arial"/>
          <w:i/>
          <w:sz w:val="20"/>
          <w:szCs w:val="20"/>
        </w:rPr>
        <w:t>Noviembre 2016</w:t>
      </w:r>
      <w:r w:rsidR="000F5691" w:rsidRPr="00C67DF8">
        <w:rPr>
          <w:rFonts w:ascii="Arial" w:hAnsi="Arial" w:cs="Arial"/>
          <w:i/>
          <w:sz w:val="20"/>
          <w:szCs w:val="20"/>
        </w:rPr>
        <w:t>”</w:t>
      </w:r>
      <w:r w:rsidR="000F5691" w:rsidRPr="00C67DF8">
        <w:rPr>
          <w:rFonts w:ascii="Arial" w:hAnsi="Arial" w:cs="Arial"/>
          <w:sz w:val="20"/>
          <w:szCs w:val="20"/>
        </w:rPr>
        <w:t>.</w:t>
      </w:r>
      <w:r w:rsidR="00A56B46">
        <w:rPr>
          <w:rFonts w:ascii="Arial" w:hAnsi="Arial" w:cs="Arial"/>
          <w:sz w:val="20"/>
          <w:szCs w:val="20"/>
        </w:rPr>
        <w:t xml:space="preserve"> </w:t>
      </w:r>
      <w:r w:rsidR="00B51204">
        <w:rPr>
          <w:rFonts w:ascii="Arial" w:hAnsi="Arial" w:cs="Arial"/>
          <w:sz w:val="20"/>
          <w:szCs w:val="20"/>
        </w:rPr>
        <w:t>(35)</w:t>
      </w:r>
    </w:p>
    <w:p w14:paraId="5D6BFC53" w14:textId="77777777" w:rsidR="00092424" w:rsidRDefault="00092424" w:rsidP="000F5691">
      <w:pPr>
        <w:jc w:val="both"/>
        <w:rPr>
          <w:rFonts w:ascii="Arial" w:hAnsi="Arial" w:cs="Arial"/>
          <w:b/>
          <w:sz w:val="20"/>
          <w:szCs w:val="20"/>
          <w:shd w:val="clear" w:color="auto" w:fill="C0C0C0"/>
        </w:rPr>
      </w:pPr>
      <w:r w:rsidRPr="00092424">
        <w:rPr>
          <w:rFonts w:ascii="Arial" w:hAnsi="Arial" w:cs="Arial"/>
          <w:b/>
          <w:sz w:val="16"/>
          <w:szCs w:val="20"/>
          <w:shd w:val="clear" w:color="auto" w:fill="C0C0C0"/>
        </w:rPr>
        <w:t xml:space="preserve"> </w:t>
      </w:r>
    </w:p>
    <w:p w14:paraId="12BBD5FF" w14:textId="77777777" w:rsidR="00092424" w:rsidRDefault="00092424" w:rsidP="00BC3E8E">
      <w:pPr>
        <w:jc w:val="both"/>
        <w:rPr>
          <w:rFonts w:ascii="Arial" w:hAnsi="Arial" w:cs="Arial"/>
          <w:b/>
          <w:sz w:val="20"/>
          <w:szCs w:val="20"/>
          <w:shd w:val="clear" w:color="auto" w:fill="C0C0C0"/>
        </w:rPr>
      </w:pPr>
    </w:p>
    <w:p w14:paraId="4B0D42F2"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6" w:name="_Toc344399657"/>
      <w:bookmarkStart w:id="127" w:name="_Toc348931388"/>
      <w:bookmarkStart w:id="128" w:name="_Toc153727220"/>
      <w:r w:rsidRPr="00E3472F">
        <w:rPr>
          <w:rFonts w:cs="Arial"/>
          <w:sz w:val="20"/>
        </w:rPr>
        <w:t>7.1 Coste</w:t>
      </w:r>
      <w:r w:rsidR="00A93E29">
        <w:rPr>
          <w:rFonts w:cs="Arial"/>
          <w:sz w:val="20"/>
        </w:rPr>
        <w:t>s</w:t>
      </w:r>
      <w:r w:rsidRPr="00E3472F">
        <w:rPr>
          <w:rFonts w:cs="Arial"/>
          <w:sz w:val="20"/>
        </w:rPr>
        <w:t>.</w:t>
      </w:r>
      <w:r w:rsidRPr="006F6ABB">
        <w:rPr>
          <w:rFonts w:cs="Arial"/>
          <w:sz w:val="20"/>
        </w:rPr>
        <w:t xml:space="preserve"> </w:t>
      </w:r>
      <w:r w:rsidRPr="00E3472F">
        <w:rPr>
          <w:rFonts w:cs="Arial"/>
          <w:sz w:val="20"/>
        </w:rPr>
        <w:t>Coste incremental</w:t>
      </w:r>
      <w:bookmarkEnd w:id="126"/>
      <w:bookmarkEnd w:id="127"/>
      <w:bookmarkEnd w:id="128"/>
    </w:p>
    <w:tbl>
      <w:tblPr>
        <w:tblpPr w:leftFromText="141" w:rightFromText="141" w:vertAnchor="text" w:horzAnchor="margin" w:tblpXSpec="center" w:tblpY="1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878"/>
        <w:gridCol w:w="1134"/>
        <w:gridCol w:w="1732"/>
        <w:gridCol w:w="1843"/>
        <w:gridCol w:w="1417"/>
      </w:tblGrid>
      <w:tr w:rsidR="002419AB" w:rsidRPr="00535FE3" w14:paraId="3B60D990" w14:textId="77777777" w:rsidTr="001E2C32">
        <w:trPr>
          <w:cantSplit/>
        </w:trPr>
        <w:tc>
          <w:tcPr>
            <w:tcW w:w="9634" w:type="dxa"/>
            <w:gridSpan w:val="6"/>
            <w:shd w:val="clear" w:color="auto" w:fill="CCFFCC"/>
          </w:tcPr>
          <w:p w14:paraId="56CE174D" w14:textId="77777777" w:rsidR="002419AB" w:rsidRPr="00117945" w:rsidRDefault="002419AB" w:rsidP="002419AB">
            <w:pPr>
              <w:rPr>
                <w:rFonts w:ascii="Arial" w:hAnsi="Arial" w:cs="Arial"/>
                <w:b/>
                <w:sz w:val="18"/>
                <w:szCs w:val="16"/>
              </w:rPr>
            </w:pPr>
            <w:r w:rsidRPr="00117945">
              <w:rPr>
                <w:rFonts w:ascii="Arial" w:hAnsi="Arial" w:cs="Arial"/>
                <w:b/>
                <w:sz w:val="18"/>
                <w:szCs w:val="16"/>
              </w:rPr>
              <w:t xml:space="preserve">Tabla 7.1.1  Costes de la terapia con el medicamento y con las distintas alternativas </w:t>
            </w:r>
          </w:p>
        </w:tc>
      </w:tr>
      <w:tr w:rsidR="006C5E7C" w:rsidRPr="006F6ABB" w14:paraId="20F47877" w14:textId="77777777" w:rsidTr="001E2C32">
        <w:tc>
          <w:tcPr>
            <w:tcW w:w="1630" w:type="dxa"/>
            <w:shd w:val="clear" w:color="auto" w:fill="E6E6E6"/>
          </w:tcPr>
          <w:p w14:paraId="0D873512" w14:textId="77777777" w:rsidR="006C5E7C" w:rsidRPr="006F6ABB" w:rsidRDefault="006C5E7C" w:rsidP="006B1B65">
            <w:pPr>
              <w:jc w:val="both"/>
              <w:rPr>
                <w:rFonts w:ascii="Arial" w:hAnsi="Arial" w:cs="Arial"/>
              </w:rPr>
            </w:pPr>
          </w:p>
        </w:tc>
        <w:tc>
          <w:tcPr>
            <w:tcW w:w="1878" w:type="dxa"/>
            <w:shd w:val="clear" w:color="auto" w:fill="E6E6E6"/>
          </w:tcPr>
          <w:p w14:paraId="170B9928" w14:textId="77777777" w:rsidR="006C5E7C" w:rsidRPr="006F6ABB" w:rsidRDefault="006C5E7C" w:rsidP="006B1B65">
            <w:pPr>
              <w:jc w:val="both"/>
              <w:rPr>
                <w:rFonts w:ascii="Arial" w:hAnsi="Arial" w:cs="Arial"/>
                <w:b/>
                <w:sz w:val="16"/>
              </w:rPr>
            </w:pPr>
            <w:r>
              <w:rPr>
                <w:rFonts w:ascii="Arial" w:hAnsi="Arial" w:cs="Arial"/>
                <w:b/>
                <w:sz w:val="16"/>
              </w:rPr>
              <w:t>Niraparib 100 mg</w:t>
            </w:r>
          </w:p>
          <w:p w14:paraId="32FF4E0D" w14:textId="77777777" w:rsidR="006C5E7C" w:rsidRDefault="006C5E7C" w:rsidP="006B1B65">
            <w:pPr>
              <w:jc w:val="both"/>
              <w:rPr>
                <w:rFonts w:ascii="Arial" w:hAnsi="Arial" w:cs="Arial"/>
                <w:sz w:val="16"/>
              </w:rPr>
            </w:pPr>
            <w:r>
              <w:rPr>
                <w:rFonts w:ascii="Arial" w:hAnsi="Arial" w:cs="Arial"/>
                <w:sz w:val="16"/>
              </w:rPr>
              <w:t>Cápsulas duras x 56 cps +</w:t>
            </w:r>
          </w:p>
          <w:p w14:paraId="07621D3F" w14:textId="77777777" w:rsidR="006C5E7C" w:rsidRPr="006F6ABB" w:rsidRDefault="006C5E7C" w:rsidP="006B1B65">
            <w:pPr>
              <w:jc w:val="both"/>
              <w:rPr>
                <w:rFonts w:ascii="Arial" w:hAnsi="Arial" w:cs="Arial"/>
              </w:rPr>
            </w:pPr>
            <w:r w:rsidRPr="00DA5866">
              <w:rPr>
                <w:rFonts w:ascii="Arial" w:hAnsi="Arial" w:cs="Arial"/>
                <w:b/>
                <w:sz w:val="16"/>
              </w:rPr>
              <w:t>Abiraterona 500 mg</w:t>
            </w:r>
            <w:r>
              <w:rPr>
                <w:rFonts w:ascii="Arial" w:hAnsi="Arial" w:cs="Arial"/>
                <w:sz w:val="16"/>
              </w:rPr>
              <w:t xml:space="preserve"> comprimidos recubiertos con película, 60 comprimidos + Prednisona </w:t>
            </w:r>
          </w:p>
        </w:tc>
        <w:tc>
          <w:tcPr>
            <w:tcW w:w="1134" w:type="dxa"/>
            <w:shd w:val="clear" w:color="auto" w:fill="E6E6E6"/>
          </w:tcPr>
          <w:p w14:paraId="5A08A92A" w14:textId="77777777" w:rsidR="006C5E7C" w:rsidRPr="006F6ABB" w:rsidRDefault="006C5E7C" w:rsidP="006B1B65">
            <w:pPr>
              <w:jc w:val="both"/>
              <w:rPr>
                <w:rFonts w:ascii="Arial" w:hAnsi="Arial" w:cs="Arial"/>
                <w:b/>
                <w:sz w:val="16"/>
              </w:rPr>
            </w:pPr>
            <w:r>
              <w:rPr>
                <w:rFonts w:ascii="Arial" w:hAnsi="Arial" w:cs="Arial"/>
                <w:b/>
                <w:sz w:val="16"/>
              </w:rPr>
              <w:t xml:space="preserve">Abiraterona </w:t>
            </w:r>
            <w:r w:rsidRPr="00DA5866">
              <w:rPr>
                <w:rFonts w:ascii="Arial" w:hAnsi="Arial" w:cs="Arial"/>
                <w:sz w:val="16"/>
              </w:rPr>
              <w:t>comprimidos recubiertos con película, 60 comp</w:t>
            </w:r>
          </w:p>
        </w:tc>
        <w:tc>
          <w:tcPr>
            <w:tcW w:w="1732" w:type="dxa"/>
            <w:shd w:val="clear" w:color="auto" w:fill="E6E6E6"/>
          </w:tcPr>
          <w:p w14:paraId="194EA1B4" w14:textId="77777777" w:rsidR="006C5E7C" w:rsidRPr="006F6ABB" w:rsidRDefault="006C5E7C" w:rsidP="006B1B65">
            <w:pPr>
              <w:jc w:val="both"/>
              <w:rPr>
                <w:rFonts w:ascii="Arial" w:hAnsi="Arial" w:cs="Arial"/>
                <w:b/>
                <w:sz w:val="16"/>
              </w:rPr>
            </w:pPr>
            <w:r>
              <w:rPr>
                <w:rFonts w:ascii="Arial" w:hAnsi="Arial" w:cs="Arial"/>
                <w:b/>
                <w:sz w:val="16"/>
              </w:rPr>
              <w:t>Olaparib</w:t>
            </w:r>
            <w:r w:rsidRPr="006F6ABB">
              <w:rPr>
                <w:rFonts w:ascii="Arial" w:hAnsi="Arial" w:cs="Arial"/>
                <w:b/>
                <w:sz w:val="16"/>
              </w:rPr>
              <w:t xml:space="preserve"> </w:t>
            </w:r>
            <w:r>
              <w:rPr>
                <w:rFonts w:ascii="Arial" w:hAnsi="Arial" w:cs="Arial"/>
                <w:b/>
                <w:sz w:val="16"/>
              </w:rPr>
              <w:t xml:space="preserve">150 mg </w:t>
            </w:r>
            <w:r w:rsidRPr="00EB6317">
              <w:rPr>
                <w:rFonts w:ascii="Arial" w:hAnsi="Arial" w:cs="Arial"/>
                <w:sz w:val="16"/>
              </w:rPr>
              <w:t>comprimidos recubiertos con película, 56 comprimidos</w:t>
            </w:r>
          </w:p>
          <w:p w14:paraId="789E2A03" w14:textId="77777777" w:rsidR="006C5E7C" w:rsidRPr="006F6ABB" w:rsidRDefault="006C5E7C" w:rsidP="006B1B65">
            <w:pPr>
              <w:jc w:val="both"/>
              <w:rPr>
                <w:rFonts w:ascii="Arial" w:hAnsi="Arial" w:cs="Arial"/>
              </w:rPr>
            </w:pPr>
            <w:r w:rsidRPr="00EB6317">
              <w:rPr>
                <w:rFonts w:ascii="Arial" w:hAnsi="Arial" w:cs="Arial"/>
                <w:b/>
                <w:sz w:val="16"/>
              </w:rPr>
              <w:t>Abiraterona 500 mg</w:t>
            </w:r>
            <w:r>
              <w:rPr>
                <w:rFonts w:ascii="Arial" w:hAnsi="Arial" w:cs="Arial"/>
                <w:sz w:val="16"/>
              </w:rPr>
              <w:t xml:space="preserve"> comprimidos recubiertos con película, 60 comprimidos</w:t>
            </w:r>
          </w:p>
        </w:tc>
        <w:tc>
          <w:tcPr>
            <w:tcW w:w="1843" w:type="dxa"/>
            <w:shd w:val="clear" w:color="auto" w:fill="E6E6E6"/>
          </w:tcPr>
          <w:p w14:paraId="66BEBB0F" w14:textId="77777777" w:rsidR="006C5E7C" w:rsidRDefault="006C5E7C" w:rsidP="006B1B65">
            <w:pPr>
              <w:jc w:val="both"/>
              <w:rPr>
                <w:rFonts w:ascii="Arial" w:hAnsi="Arial" w:cs="Arial"/>
                <w:b/>
                <w:sz w:val="16"/>
              </w:rPr>
            </w:pPr>
            <w:r>
              <w:rPr>
                <w:rFonts w:ascii="Arial" w:hAnsi="Arial" w:cs="Arial"/>
                <w:b/>
                <w:sz w:val="16"/>
              </w:rPr>
              <w:t xml:space="preserve">Talazoparib 0,25 mg </w:t>
            </w:r>
            <w:r w:rsidRPr="00DA5866">
              <w:rPr>
                <w:rFonts w:ascii="Arial" w:hAnsi="Arial" w:cs="Arial"/>
                <w:sz w:val="16"/>
              </w:rPr>
              <w:t>cápsulas duras, 30 cápsulas</w:t>
            </w:r>
          </w:p>
          <w:p w14:paraId="3E1B25F6" w14:textId="77777777" w:rsidR="006C5E7C" w:rsidRPr="006F6ABB" w:rsidRDefault="006C5E7C" w:rsidP="006B1B65">
            <w:pPr>
              <w:jc w:val="both"/>
              <w:rPr>
                <w:rFonts w:ascii="Arial" w:hAnsi="Arial" w:cs="Arial"/>
                <w:b/>
                <w:sz w:val="16"/>
              </w:rPr>
            </w:pPr>
            <w:r>
              <w:rPr>
                <w:rFonts w:ascii="Arial" w:hAnsi="Arial" w:cs="Arial"/>
                <w:b/>
                <w:sz w:val="16"/>
              </w:rPr>
              <w:t xml:space="preserve">+ Enzalutamida 40 mg </w:t>
            </w:r>
            <w:r w:rsidRPr="00DA5866">
              <w:rPr>
                <w:rFonts w:ascii="Arial" w:hAnsi="Arial" w:cs="Arial"/>
                <w:sz w:val="16"/>
              </w:rPr>
              <w:t>comprimidos recubiertos con película</w:t>
            </w:r>
            <w:r>
              <w:rPr>
                <w:rFonts w:ascii="Arial" w:hAnsi="Arial" w:cs="Arial"/>
                <w:sz w:val="16"/>
              </w:rPr>
              <w:t>, 112 comp</w:t>
            </w:r>
          </w:p>
        </w:tc>
        <w:tc>
          <w:tcPr>
            <w:tcW w:w="1417" w:type="dxa"/>
            <w:shd w:val="clear" w:color="auto" w:fill="E6E6E6"/>
          </w:tcPr>
          <w:p w14:paraId="328C1D58" w14:textId="77777777" w:rsidR="006C5E7C" w:rsidRPr="006F6ABB" w:rsidRDefault="006C5E7C" w:rsidP="006B1B65">
            <w:pPr>
              <w:jc w:val="both"/>
              <w:rPr>
                <w:rFonts w:ascii="Arial" w:hAnsi="Arial" w:cs="Arial"/>
                <w:b/>
                <w:sz w:val="16"/>
              </w:rPr>
            </w:pPr>
            <w:r>
              <w:rPr>
                <w:rFonts w:ascii="Arial" w:hAnsi="Arial" w:cs="Arial"/>
                <w:b/>
                <w:sz w:val="16"/>
              </w:rPr>
              <w:t xml:space="preserve">Enzalutamida 40 mg </w:t>
            </w:r>
            <w:r w:rsidRPr="00DA5866">
              <w:rPr>
                <w:rFonts w:ascii="Arial" w:hAnsi="Arial" w:cs="Arial"/>
                <w:sz w:val="16"/>
              </w:rPr>
              <w:t>comprimidos recubiertos con película, 112 comp</w:t>
            </w:r>
          </w:p>
        </w:tc>
      </w:tr>
      <w:tr w:rsidR="006C5E7C" w:rsidRPr="006F6ABB" w14:paraId="446CFAED" w14:textId="77777777" w:rsidTr="001E2C32">
        <w:trPr>
          <w:trHeight w:val="168"/>
        </w:trPr>
        <w:tc>
          <w:tcPr>
            <w:tcW w:w="1630" w:type="dxa"/>
          </w:tcPr>
          <w:p w14:paraId="5DBE34A3" w14:textId="7BB194BE" w:rsidR="006C5E7C" w:rsidRPr="006F6ABB" w:rsidRDefault="006C5E7C" w:rsidP="00E1476B">
            <w:pPr>
              <w:jc w:val="both"/>
              <w:rPr>
                <w:rFonts w:ascii="Arial" w:hAnsi="Arial" w:cs="Arial"/>
              </w:rPr>
            </w:pPr>
            <w:r>
              <w:rPr>
                <w:rFonts w:ascii="Arial" w:hAnsi="Arial" w:cs="Arial"/>
                <w:b/>
                <w:sz w:val="16"/>
              </w:rPr>
              <w:t>Precio unitario (€,</w:t>
            </w:r>
            <w:r w:rsidRPr="00A13846">
              <w:rPr>
                <w:rFonts w:ascii="Arial" w:hAnsi="Arial" w:cs="Arial"/>
                <w:b/>
                <w:sz w:val="16"/>
              </w:rPr>
              <w:t>PV</w:t>
            </w:r>
            <w:r>
              <w:rPr>
                <w:rFonts w:ascii="Arial" w:hAnsi="Arial" w:cs="Arial"/>
                <w:b/>
                <w:sz w:val="16"/>
              </w:rPr>
              <w:t>L</w:t>
            </w:r>
            <w:r w:rsidRPr="006F6ABB">
              <w:rPr>
                <w:rFonts w:ascii="Arial" w:hAnsi="Arial" w:cs="Arial"/>
                <w:b/>
                <w:sz w:val="16"/>
              </w:rPr>
              <w:t>+IVA) *</w:t>
            </w:r>
          </w:p>
        </w:tc>
        <w:tc>
          <w:tcPr>
            <w:tcW w:w="1878" w:type="dxa"/>
          </w:tcPr>
          <w:p w14:paraId="64F62F06" w14:textId="77777777" w:rsidR="006C5E7C" w:rsidRPr="00BA5B42" w:rsidRDefault="006C5E7C" w:rsidP="006B1B65">
            <w:pPr>
              <w:jc w:val="both"/>
              <w:rPr>
                <w:rFonts w:ascii="Arial" w:hAnsi="Arial" w:cs="Arial"/>
                <w:sz w:val="16"/>
              </w:rPr>
            </w:pPr>
            <w:r w:rsidRPr="00BA5B42">
              <w:rPr>
                <w:rFonts w:ascii="Arial" w:hAnsi="Arial" w:cs="Arial"/>
                <w:sz w:val="16"/>
              </w:rPr>
              <w:t>Zejula®: 93,52</w:t>
            </w:r>
          </w:p>
          <w:p w14:paraId="12EB9D13" w14:textId="169E1177" w:rsidR="006C5E7C" w:rsidRPr="00EC4B0E" w:rsidRDefault="006C5E7C" w:rsidP="00393F47">
            <w:pPr>
              <w:jc w:val="both"/>
              <w:rPr>
                <w:rFonts w:ascii="Arial" w:hAnsi="Arial" w:cs="Arial"/>
                <w:sz w:val="16"/>
              </w:rPr>
            </w:pPr>
            <w:r w:rsidRPr="00EC4B0E">
              <w:rPr>
                <w:rFonts w:ascii="Arial" w:hAnsi="Arial" w:cs="Arial"/>
                <w:sz w:val="16"/>
              </w:rPr>
              <w:t>Abiraterona EFG: 20</w:t>
            </w:r>
            <w:r>
              <w:rPr>
                <w:rFonts w:ascii="Arial" w:hAnsi="Arial" w:cs="Arial"/>
                <w:sz w:val="16"/>
              </w:rPr>
              <w:t xml:space="preserve"> €</w:t>
            </w:r>
          </w:p>
        </w:tc>
        <w:tc>
          <w:tcPr>
            <w:tcW w:w="1134" w:type="dxa"/>
          </w:tcPr>
          <w:p w14:paraId="73F59D9E" w14:textId="4356CAA2" w:rsidR="006C5E7C" w:rsidRPr="00EC4B0E" w:rsidRDefault="006C5E7C" w:rsidP="006B1B65">
            <w:pPr>
              <w:jc w:val="both"/>
              <w:rPr>
                <w:rFonts w:ascii="Arial" w:hAnsi="Arial" w:cs="Arial"/>
                <w:sz w:val="16"/>
              </w:rPr>
            </w:pPr>
            <w:r w:rsidRPr="00EC4B0E">
              <w:rPr>
                <w:rFonts w:ascii="Arial" w:hAnsi="Arial" w:cs="Arial"/>
                <w:sz w:val="16"/>
              </w:rPr>
              <w:t>2</w:t>
            </w:r>
            <w:r>
              <w:rPr>
                <w:rFonts w:ascii="Arial" w:hAnsi="Arial" w:cs="Arial"/>
                <w:sz w:val="16"/>
              </w:rPr>
              <w:t>0 €</w:t>
            </w:r>
          </w:p>
        </w:tc>
        <w:tc>
          <w:tcPr>
            <w:tcW w:w="1732" w:type="dxa"/>
          </w:tcPr>
          <w:p w14:paraId="30ACADAF" w14:textId="77777777" w:rsidR="006C5E7C" w:rsidRPr="00EC4B0E" w:rsidRDefault="006C5E7C" w:rsidP="006B1B65">
            <w:pPr>
              <w:jc w:val="both"/>
              <w:rPr>
                <w:rFonts w:ascii="Arial" w:hAnsi="Arial" w:cs="Arial"/>
                <w:sz w:val="16"/>
              </w:rPr>
            </w:pPr>
            <w:r w:rsidRPr="00EC4B0E">
              <w:rPr>
                <w:rFonts w:ascii="Arial" w:hAnsi="Arial" w:cs="Arial"/>
                <w:sz w:val="16"/>
              </w:rPr>
              <w:t>Lymparza®: 47,28</w:t>
            </w:r>
          </w:p>
          <w:p w14:paraId="6B8FF301" w14:textId="5F44CA31" w:rsidR="006C5E7C" w:rsidRPr="00EC4B0E" w:rsidRDefault="006C5E7C" w:rsidP="00E1476B">
            <w:pPr>
              <w:jc w:val="both"/>
              <w:rPr>
                <w:rFonts w:ascii="Arial" w:hAnsi="Arial" w:cs="Arial"/>
                <w:sz w:val="16"/>
              </w:rPr>
            </w:pPr>
            <w:r>
              <w:rPr>
                <w:rFonts w:ascii="Arial" w:hAnsi="Arial" w:cs="Arial"/>
                <w:sz w:val="16"/>
              </w:rPr>
              <w:t>Abiraterona EFG: 20</w:t>
            </w:r>
          </w:p>
        </w:tc>
        <w:tc>
          <w:tcPr>
            <w:tcW w:w="1843" w:type="dxa"/>
          </w:tcPr>
          <w:p w14:paraId="1FF305B9" w14:textId="13735421" w:rsidR="006C5E7C" w:rsidRDefault="006C5E7C" w:rsidP="0030210E">
            <w:pPr>
              <w:jc w:val="both"/>
              <w:rPr>
                <w:rFonts w:ascii="Arial" w:hAnsi="Arial" w:cs="Arial"/>
                <w:sz w:val="16"/>
              </w:rPr>
            </w:pPr>
            <w:r>
              <w:rPr>
                <w:rFonts w:ascii="Arial" w:hAnsi="Arial" w:cs="Arial"/>
                <w:sz w:val="16"/>
              </w:rPr>
              <w:t>Talzenna</w:t>
            </w:r>
            <w:r w:rsidRPr="00EC4B0E">
              <w:rPr>
                <w:rFonts w:ascii="Arial" w:hAnsi="Arial" w:cs="Arial"/>
                <w:sz w:val="16"/>
              </w:rPr>
              <w:t>®</w:t>
            </w:r>
            <w:r w:rsidR="001E2C32">
              <w:rPr>
                <w:rFonts w:ascii="Arial" w:hAnsi="Arial" w:cs="Arial"/>
                <w:sz w:val="16"/>
              </w:rPr>
              <w:t xml:space="preserve"> 0,5mg</w:t>
            </w:r>
            <w:r>
              <w:rPr>
                <w:rFonts w:ascii="Arial" w:hAnsi="Arial" w:cs="Arial"/>
                <w:sz w:val="16"/>
              </w:rPr>
              <w:t>***: 721,58$= 663,43 €</w:t>
            </w:r>
          </w:p>
          <w:p w14:paraId="0C6A64CD" w14:textId="709AE806" w:rsidR="006C5E7C" w:rsidRPr="00EC4B0E" w:rsidRDefault="006C5E7C" w:rsidP="0030210E">
            <w:pPr>
              <w:jc w:val="both"/>
              <w:rPr>
                <w:rFonts w:ascii="Arial" w:hAnsi="Arial" w:cs="Arial"/>
                <w:sz w:val="16"/>
              </w:rPr>
            </w:pPr>
            <w:r>
              <w:rPr>
                <w:rFonts w:ascii="Arial" w:hAnsi="Arial" w:cs="Arial"/>
                <w:sz w:val="16"/>
              </w:rPr>
              <w:t>Xtandi</w:t>
            </w:r>
            <w:r w:rsidRPr="00EC4B0E">
              <w:rPr>
                <w:rFonts w:ascii="Arial" w:hAnsi="Arial" w:cs="Arial"/>
                <w:sz w:val="16"/>
              </w:rPr>
              <w:t>®</w:t>
            </w:r>
            <w:r>
              <w:rPr>
                <w:rFonts w:ascii="Arial" w:hAnsi="Arial" w:cs="Arial"/>
                <w:sz w:val="16"/>
              </w:rPr>
              <w:t xml:space="preserve">: </w:t>
            </w:r>
            <w:r w:rsidRPr="00EC4B0E">
              <w:rPr>
                <w:rFonts w:ascii="Arial" w:hAnsi="Arial" w:cs="Arial"/>
                <w:sz w:val="16"/>
              </w:rPr>
              <w:t>29,98</w:t>
            </w:r>
            <w:r>
              <w:rPr>
                <w:rFonts w:ascii="Arial" w:hAnsi="Arial" w:cs="Arial"/>
                <w:sz w:val="16"/>
              </w:rPr>
              <w:t xml:space="preserve"> €</w:t>
            </w:r>
          </w:p>
        </w:tc>
        <w:tc>
          <w:tcPr>
            <w:tcW w:w="1417" w:type="dxa"/>
          </w:tcPr>
          <w:p w14:paraId="68A9D4A0" w14:textId="388E38B4" w:rsidR="006C5E7C" w:rsidRPr="00EC4B0E" w:rsidRDefault="006C5E7C" w:rsidP="006B1B65">
            <w:pPr>
              <w:jc w:val="both"/>
              <w:rPr>
                <w:rFonts w:ascii="Arial" w:hAnsi="Arial" w:cs="Arial"/>
                <w:sz w:val="16"/>
              </w:rPr>
            </w:pPr>
            <w:r>
              <w:rPr>
                <w:rFonts w:ascii="Arial" w:hAnsi="Arial" w:cs="Arial"/>
                <w:sz w:val="16"/>
              </w:rPr>
              <w:t>Xtandi</w:t>
            </w:r>
            <w:r w:rsidRPr="00EC4B0E">
              <w:rPr>
                <w:rFonts w:ascii="Arial" w:hAnsi="Arial" w:cs="Arial"/>
                <w:sz w:val="16"/>
              </w:rPr>
              <w:t>®</w:t>
            </w:r>
            <w:r>
              <w:rPr>
                <w:rFonts w:ascii="Arial" w:hAnsi="Arial" w:cs="Arial"/>
                <w:sz w:val="16"/>
              </w:rPr>
              <w:t xml:space="preserve">: </w:t>
            </w:r>
            <w:r w:rsidRPr="00EC4B0E">
              <w:rPr>
                <w:rFonts w:ascii="Arial" w:hAnsi="Arial" w:cs="Arial"/>
                <w:sz w:val="16"/>
              </w:rPr>
              <w:t>29,98</w:t>
            </w:r>
            <w:r>
              <w:rPr>
                <w:rFonts w:ascii="Arial" w:hAnsi="Arial" w:cs="Arial"/>
                <w:sz w:val="16"/>
              </w:rPr>
              <w:t xml:space="preserve"> €</w:t>
            </w:r>
          </w:p>
        </w:tc>
      </w:tr>
      <w:tr w:rsidR="006C5E7C" w:rsidRPr="006F6ABB" w14:paraId="7B1E615E" w14:textId="77777777" w:rsidTr="001E2C32">
        <w:tc>
          <w:tcPr>
            <w:tcW w:w="1630" w:type="dxa"/>
          </w:tcPr>
          <w:p w14:paraId="23E33F26" w14:textId="77777777" w:rsidR="006C5E7C" w:rsidRPr="006F6ABB" w:rsidRDefault="006C5E7C" w:rsidP="006B1B65">
            <w:pPr>
              <w:jc w:val="both"/>
              <w:rPr>
                <w:rFonts w:ascii="Arial" w:hAnsi="Arial" w:cs="Arial"/>
              </w:rPr>
            </w:pPr>
            <w:r w:rsidRPr="006F6ABB">
              <w:rPr>
                <w:rFonts w:ascii="Arial" w:hAnsi="Arial" w:cs="Arial"/>
                <w:b/>
                <w:sz w:val="16"/>
              </w:rPr>
              <w:t>Posología</w:t>
            </w:r>
          </w:p>
        </w:tc>
        <w:tc>
          <w:tcPr>
            <w:tcW w:w="1878" w:type="dxa"/>
          </w:tcPr>
          <w:p w14:paraId="5FFA619B" w14:textId="77777777" w:rsidR="006C5E7C" w:rsidRPr="00DA5866" w:rsidRDefault="006C5E7C" w:rsidP="006B1B65">
            <w:pPr>
              <w:jc w:val="both"/>
              <w:rPr>
                <w:rFonts w:ascii="Arial" w:hAnsi="Arial" w:cs="Arial"/>
                <w:sz w:val="16"/>
              </w:rPr>
            </w:pPr>
            <w:r w:rsidRPr="00DA5866">
              <w:rPr>
                <w:rFonts w:ascii="Arial" w:hAnsi="Arial" w:cs="Arial"/>
                <w:sz w:val="16"/>
              </w:rPr>
              <w:t xml:space="preserve">Niraparib 200 mg + Abiraterona 1000 mg </w:t>
            </w:r>
            <w:r>
              <w:rPr>
                <w:rFonts w:ascii="Arial" w:hAnsi="Arial" w:cs="Arial"/>
                <w:sz w:val="16"/>
              </w:rPr>
              <w:t>(</w:t>
            </w:r>
            <w:r w:rsidRPr="00DA5866">
              <w:rPr>
                <w:rFonts w:ascii="Arial" w:hAnsi="Arial" w:cs="Arial"/>
                <w:sz w:val="16"/>
              </w:rPr>
              <w:t>+ Prednisona 10 mg c/24h</w:t>
            </w:r>
            <w:r>
              <w:rPr>
                <w:rFonts w:ascii="Arial" w:hAnsi="Arial" w:cs="Arial"/>
                <w:sz w:val="16"/>
              </w:rPr>
              <w:t>)</w:t>
            </w:r>
          </w:p>
        </w:tc>
        <w:tc>
          <w:tcPr>
            <w:tcW w:w="1134" w:type="dxa"/>
          </w:tcPr>
          <w:p w14:paraId="237F581E" w14:textId="77777777" w:rsidR="006C5E7C" w:rsidRPr="002013E1" w:rsidRDefault="006C5E7C" w:rsidP="006B1B65">
            <w:pPr>
              <w:jc w:val="both"/>
              <w:rPr>
                <w:rFonts w:ascii="Arial" w:hAnsi="Arial"/>
                <w:sz w:val="16"/>
                <w:lang w:val="it-IT"/>
              </w:rPr>
            </w:pPr>
            <w:r w:rsidRPr="002013E1">
              <w:rPr>
                <w:rFonts w:ascii="Arial" w:hAnsi="Arial"/>
                <w:sz w:val="16"/>
                <w:lang w:val="it-IT"/>
              </w:rPr>
              <w:t>Abiraterona 1000 mg c/24h (+ Prednisona 10 mg c/24h)</w:t>
            </w:r>
          </w:p>
        </w:tc>
        <w:tc>
          <w:tcPr>
            <w:tcW w:w="1732" w:type="dxa"/>
          </w:tcPr>
          <w:p w14:paraId="67644472" w14:textId="77777777" w:rsidR="006C5E7C" w:rsidRPr="002013E1" w:rsidRDefault="006C5E7C" w:rsidP="006B1B65">
            <w:pPr>
              <w:jc w:val="both"/>
              <w:rPr>
                <w:rFonts w:ascii="Arial" w:hAnsi="Arial"/>
                <w:sz w:val="16"/>
                <w:lang w:val="it-IT"/>
              </w:rPr>
            </w:pPr>
            <w:r w:rsidRPr="002013E1">
              <w:rPr>
                <w:rFonts w:ascii="Arial" w:hAnsi="Arial"/>
                <w:sz w:val="16"/>
                <w:lang w:val="it-IT"/>
              </w:rPr>
              <w:t>Olaparib 300 mg c/12h + Abiraterona 1000 mg c/24h</w:t>
            </w:r>
          </w:p>
          <w:p w14:paraId="0CA2C98B" w14:textId="77777777" w:rsidR="006C5E7C" w:rsidRPr="002013E1" w:rsidRDefault="006C5E7C" w:rsidP="006B1B65">
            <w:pPr>
              <w:jc w:val="both"/>
              <w:rPr>
                <w:rFonts w:ascii="Arial" w:hAnsi="Arial"/>
                <w:sz w:val="16"/>
                <w:lang w:val="it-IT"/>
              </w:rPr>
            </w:pPr>
            <w:r w:rsidRPr="002013E1">
              <w:rPr>
                <w:rFonts w:ascii="Arial" w:hAnsi="Arial"/>
                <w:sz w:val="16"/>
                <w:lang w:val="it-IT"/>
              </w:rPr>
              <w:t>(+ Prednisona 10 mg c/24h (o 5 c/12h))</w:t>
            </w:r>
          </w:p>
        </w:tc>
        <w:tc>
          <w:tcPr>
            <w:tcW w:w="1843" w:type="dxa"/>
          </w:tcPr>
          <w:p w14:paraId="5C1AA433" w14:textId="77777777" w:rsidR="006C5E7C" w:rsidRPr="002013E1" w:rsidRDefault="006C5E7C" w:rsidP="006B1B65">
            <w:pPr>
              <w:jc w:val="both"/>
              <w:rPr>
                <w:rFonts w:ascii="Arial" w:hAnsi="Arial"/>
                <w:sz w:val="16"/>
                <w:lang w:val="it-IT"/>
              </w:rPr>
            </w:pPr>
            <w:r w:rsidRPr="002013E1">
              <w:rPr>
                <w:rFonts w:ascii="Arial" w:hAnsi="Arial"/>
                <w:sz w:val="16"/>
                <w:lang w:val="it-IT"/>
              </w:rPr>
              <w:t>Talazoparib 0,5 mg c/24h + Enzalutamida 160 mg c/24h</w:t>
            </w:r>
          </w:p>
        </w:tc>
        <w:tc>
          <w:tcPr>
            <w:tcW w:w="1417" w:type="dxa"/>
          </w:tcPr>
          <w:p w14:paraId="051A160B" w14:textId="77777777" w:rsidR="006C5E7C" w:rsidRPr="00DA5866" w:rsidRDefault="006C5E7C" w:rsidP="006B1B65">
            <w:pPr>
              <w:jc w:val="both"/>
              <w:rPr>
                <w:rFonts w:ascii="Arial" w:hAnsi="Arial" w:cs="Arial"/>
                <w:sz w:val="16"/>
              </w:rPr>
            </w:pPr>
            <w:r w:rsidRPr="00DA5866">
              <w:rPr>
                <w:rFonts w:ascii="Arial" w:hAnsi="Arial" w:cs="Arial"/>
                <w:sz w:val="16"/>
              </w:rPr>
              <w:t>Enzalutamida 160 mg c/24h</w:t>
            </w:r>
          </w:p>
        </w:tc>
      </w:tr>
      <w:tr w:rsidR="006C5E7C" w:rsidRPr="006F6ABB" w14:paraId="24E91BF7" w14:textId="77777777" w:rsidTr="001E2C32">
        <w:tc>
          <w:tcPr>
            <w:tcW w:w="1630" w:type="dxa"/>
          </w:tcPr>
          <w:p w14:paraId="578A5885" w14:textId="77777777" w:rsidR="006C5E7C" w:rsidRPr="006F6ABB" w:rsidRDefault="006C5E7C" w:rsidP="006B1B65">
            <w:pPr>
              <w:jc w:val="both"/>
              <w:rPr>
                <w:rFonts w:ascii="Arial" w:hAnsi="Arial" w:cs="Arial"/>
              </w:rPr>
            </w:pPr>
            <w:r w:rsidRPr="006F6ABB">
              <w:rPr>
                <w:rFonts w:ascii="Arial" w:hAnsi="Arial" w:cs="Arial"/>
                <w:b/>
                <w:sz w:val="16"/>
              </w:rPr>
              <w:t>Coste día</w:t>
            </w:r>
            <w:r>
              <w:rPr>
                <w:rFonts w:ascii="Arial" w:hAnsi="Arial" w:cs="Arial"/>
                <w:b/>
                <w:sz w:val="16"/>
              </w:rPr>
              <w:t xml:space="preserve"> </w:t>
            </w:r>
          </w:p>
        </w:tc>
        <w:tc>
          <w:tcPr>
            <w:tcW w:w="1878" w:type="dxa"/>
          </w:tcPr>
          <w:p w14:paraId="7172CC71" w14:textId="14D6EB99" w:rsidR="006C5E7C" w:rsidRPr="00EC4B0E" w:rsidRDefault="006C5E7C" w:rsidP="006B1B65">
            <w:pPr>
              <w:jc w:val="both"/>
              <w:rPr>
                <w:rFonts w:ascii="Arial" w:hAnsi="Arial" w:cs="Arial"/>
                <w:sz w:val="16"/>
              </w:rPr>
            </w:pPr>
            <w:r w:rsidRPr="00EC4B0E">
              <w:rPr>
                <w:rFonts w:ascii="Arial" w:hAnsi="Arial" w:cs="Arial"/>
                <w:sz w:val="16"/>
              </w:rPr>
              <w:t>Niraparib: 187,04</w:t>
            </w:r>
            <w:r>
              <w:rPr>
                <w:rFonts w:ascii="Arial" w:hAnsi="Arial" w:cs="Arial"/>
                <w:sz w:val="16"/>
              </w:rPr>
              <w:t xml:space="preserve"> €</w:t>
            </w:r>
          </w:p>
          <w:p w14:paraId="5C19FAFE" w14:textId="15E70D78" w:rsidR="006C5E7C" w:rsidRDefault="006C5E7C" w:rsidP="006B1B65">
            <w:pPr>
              <w:jc w:val="both"/>
              <w:rPr>
                <w:rFonts w:ascii="Arial" w:hAnsi="Arial" w:cs="Arial"/>
                <w:sz w:val="16"/>
              </w:rPr>
            </w:pPr>
            <w:r w:rsidRPr="00EC4B0E">
              <w:rPr>
                <w:rFonts w:ascii="Arial" w:hAnsi="Arial" w:cs="Arial"/>
                <w:sz w:val="16"/>
              </w:rPr>
              <w:t>AA: 4</w:t>
            </w:r>
            <w:r>
              <w:rPr>
                <w:rFonts w:ascii="Arial" w:hAnsi="Arial" w:cs="Arial"/>
                <w:sz w:val="16"/>
              </w:rPr>
              <w:t>0</w:t>
            </w:r>
          </w:p>
          <w:p w14:paraId="6BBECA7F" w14:textId="1BE3D240" w:rsidR="006C5E7C" w:rsidRPr="00EC4B0E" w:rsidRDefault="006C5E7C" w:rsidP="007D1373">
            <w:pPr>
              <w:jc w:val="both"/>
              <w:rPr>
                <w:rFonts w:ascii="Arial" w:hAnsi="Arial" w:cs="Arial"/>
                <w:sz w:val="16"/>
              </w:rPr>
            </w:pPr>
            <w:r>
              <w:rPr>
                <w:rFonts w:ascii="Arial" w:hAnsi="Arial" w:cs="Arial"/>
                <w:sz w:val="16"/>
              </w:rPr>
              <w:t>TOTAL = 227 €</w:t>
            </w:r>
          </w:p>
        </w:tc>
        <w:tc>
          <w:tcPr>
            <w:tcW w:w="1134" w:type="dxa"/>
          </w:tcPr>
          <w:p w14:paraId="116B5D61" w14:textId="7BEE77A3" w:rsidR="006C5E7C" w:rsidRPr="00EC4B0E" w:rsidRDefault="006C5E7C" w:rsidP="007D1373">
            <w:pPr>
              <w:jc w:val="both"/>
              <w:rPr>
                <w:rFonts w:ascii="Arial" w:hAnsi="Arial" w:cs="Arial"/>
                <w:sz w:val="16"/>
              </w:rPr>
            </w:pPr>
            <w:r w:rsidRPr="00EC4B0E">
              <w:rPr>
                <w:rFonts w:ascii="Arial" w:hAnsi="Arial" w:cs="Arial"/>
                <w:sz w:val="16"/>
              </w:rPr>
              <w:t>4</w:t>
            </w:r>
            <w:r>
              <w:rPr>
                <w:rFonts w:ascii="Arial" w:hAnsi="Arial" w:cs="Arial"/>
                <w:sz w:val="16"/>
              </w:rPr>
              <w:t>0 €</w:t>
            </w:r>
          </w:p>
        </w:tc>
        <w:tc>
          <w:tcPr>
            <w:tcW w:w="1732" w:type="dxa"/>
          </w:tcPr>
          <w:p w14:paraId="5EEA13CD" w14:textId="6FE3C817" w:rsidR="006C5E7C" w:rsidRPr="00EC4B0E" w:rsidRDefault="006C5E7C" w:rsidP="006B1B65">
            <w:pPr>
              <w:jc w:val="both"/>
              <w:rPr>
                <w:rFonts w:ascii="Arial" w:hAnsi="Arial" w:cs="Arial"/>
                <w:sz w:val="16"/>
              </w:rPr>
            </w:pPr>
            <w:r w:rsidRPr="00EC4B0E">
              <w:rPr>
                <w:rFonts w:ascii="Arial" w:hAnsi="Arial" w:cs="Arial"/>
                <w:sz w:val="16"/>
              </w:rPr>
              <w:t>Olaparib: 189,12</w:t>
            </w:r>
            <w:r>
              <w:rPr>
                <w:rFonts w:ascii="Arial" w:hAnsi="Arial" w:cs="Arial"/>
                <w:sz w:val="16"/>
              </w:rPr>
              <w:t xml:space="preserve"> €</w:t>
            </w:r>
          </w:p>
          <w:p w14:paraId="550676D7" w14:textId="2BC37C06" w:rsidR="006C5E7C" w:rsidRDefault="006C5E7C" w:rsidP="006B1B65">
            <w:pPr>
              <w:jc w:val="both"/>
              <w:rPr>
                <w:rFonts w:ascii="Arial" w:hAnsi="Arial" w:cs="Arial"/>
                <w:sz w:val="16"/>
              </w:rPr>
            </w:pPr>
            <w:r w:rsidRPr="00EC4B0E">
              <w:rPr>
                <w:rFonts w:ascii="Arial" w:hAnsi="Arial" w:cs="Arial"/>
                <w:sz w:val="16"/>
              </w:rPr>
              <w:t>AAP: 4</w:t>
            </w:r>
            <w:r>
              <w:rPr>
                <w:rFonts w:ascii="Arial" w:hAnsi="Arial" w:cs="Arial"/>
                <w:sz w:val="16"/>
              </w:rPr>
              <w:t>0</w:t>
            </w:r>
          </w:p>
          <w:p w14:paraId="7409E800" w14:textId="37B70306" w:rsidR="006C5E7C" w:rsidRPr="00EC4B0E" w:rsidRDefault="006C5E7C" w:rsidP="00483706">
            <w:pPr>
              <w:jc w:val="both"/>
              <w:rPr>
                <w:rFonts w:ascii="Arial" w:hAnsi="Arial" w:cs="Arial"/>
                <w:sz w:val="16"/>
              </w:rPr>
            </w:pPr>
            <w:r>
              <w:rPr>
                <w:rFonts w:ascii="Arial" w:hAnsi="Arial" w:cs="Arial"/>
                <w:sz w:val="16"/>
              </w:rPr>
              <w:t>TOTAL = 229,12 €</w:t>
            </w:r>
          </w:p>
        </w:tc>
        <w:tc>
          <w:tcPr>
            <w:tcW w:w="1843" w:type="dxa"/>
          </w:tcPr>
          <w:p w14:paraId="3B16364C" w14:textId="29909850" w:rsidR="006C5E7C" w:rsidRPr="00EC4B0E" w:rsidRDefault="006C5E7C" w:rsidP="006B1B65">
            <w:pPr>
              <w:jc w:val="both"/>
              <w:rPr>
                <w:rFonts w:ascii="Arial" w:hAnsi="Arial" w:cs="Arial"/>
                <w:sz w:val="16"/>
              </w:rPr>
            </w:pPr>
            <w:r>
              <w:rPr>
                <w:rFonts w:ascii="Arial" w:hAnsi="Arial" w:cs="Arial"/>
                <w:sz w:val="16"/>
              </w:rPr>
              <w:t>783 €</w:t>
            </w:r>
          </w:p>
        </w:tc>
        <w:tc>
          <w:tcPr>
            <w:tcW w:w="1417" w:type="dxa"/>
          </w:tcPr>
          <w:p w14:paraId="5E2DC378" w14:textId="2ABC956B" w:rsidR="006C5E7C" w:rsidRPr="00EC4B0E" w:rsidRDefault="006C5E7C" w:rsidP="006B1B65">
            <w:pPr>
              <w:jc w:val="both"/>
              <w:rPr>
                <w:rFonts w:ascii="Arial" w:hAnsi="Arial" w:cs="Arial"/>
                <w:sz w:val="16"/>
              </w:rPr>
            </w:pPr>
            <w:r w:rsidRPr="00EC4B0E">
              <w:rPr>
                <w:rFonts w:ascii="Arial" w:hAnsi="Arial" w:cs="Arial"/>
                <w:sz w:val="16"/>
              </w:rPr>
              <w:t>119,92</w:t>
            </w:r>
            <w:r>
              <w:rPr>
                <w:rFonts w:ascii="Arial" w:hAnsi="Arial" w:cs="Arial"/>
                <w:sz w:val="16"/>
              </w:rPr>
              <w:t xml:space="preserve"> €</w:t>
            </w:r>
          </w:p>
        </w:tc>
      </w:tr>
      <w:tr w:rsidR="006C5E7C" w:rsidRPr="006F6ABB" w14:paraId="4F9E7AF2" w14:textId="77777777" w:rsidTr="001E2C32">
        <w:tc>
          <w:tcPr>
            <w:tcW w:w="1630" w:type="dxa"/>
          </w:tcPr>
          <w:p w14:paraId="1DE28682" w14:textId="77777777" w:rsidR="006C5E7C" w:rsidRPr="006F6ABB" w:rsidRDefault="006C5E7C" w:rsidP="006B1B65">
            <w:pPr>
              <w:rPr>
                <w:rFonts w:ascii="Arial" w:hAnsi="Arial" w:cs="Arial"/>
                <w:sz w:val="16"/>
              </w:rPr>
            </w:pPr>
            <w:r w:rsidRPr="006F6ABB">
              <w:rPr>
                <w:rFonts w:ascii="Arial" w:hAnsi="Arial" w:cs="Arial"/>
                <w:b/>
                <w:sz w:val="16"/>
              </w:rPr>
              <w:t>Coste tratamiento</w:t>
            </w:r>
            <w:r w:rsidRPr="006F6ABB">
              <w:rPr>
                <w:rFonts w:ascii="Arial" w:hAnsi="Arial" w:cs="Arial"/>
                <w:sz w:val="16"/>
              </w:rPr>
              <w:t xml:space="preserve">  </w:t>
            </w:r>
            <w:r>
              <w:rPr>
                <w:rFonts w:ascii="Arial" w:hAnsi="Arial" w:cs="Arial"/>
                <w:sz w:val="16"/>
              </w:rPr>
              <w:t>**</w:t>
            </w:r>
          </w:p>
        </w:tc>
        <w:tc>
          <w:tcPr>
            <w:tcW w:w="1878" w:type="dxa"/>
          </w:tcPr>
          <w:p w14:paraId="164EF069" w14:textId="6A684F1E" w:rsidR="006C5E7C" w:rsidRPr="00EC4B0E" w:rsidRDefault="006C5E7C" w:rsidP="007D1373">
            <w:pPr>
              <w:jc w:val="both"/>
              <w:rPr>
                <w:rFonts w:ascii="Arial" w:hAnsi="Arial" w:cs="Arial"/>
                <w:sz w:val="16"/>
              </w:rPr>
            </w:pPr>
            <w:r>
              <w:rPr>
                <w:rFonts w:ascii="Arial" w:hAnsi="Arial" w:cs="Arial"/>
                <w:sz w:val="16"/>
              </w:rPr>
              <w:t>94.659 €</w:t>
            </w:r>
          </w:p>
        </w:tc>
        <w:tc>
          <w:tcPr>
            <w:tcW w:w="1134" w:type="dxa"/>
          </w:tcPr>
          <w:p w14:paraId="6D69B50C" w14:textId="3FFAC311" w:rsidR="006C5E7C" w:rsidRPr="00EC4B0E" w:rsidRDefault="006C5E7C" w:rsidP="007D1373">
            <w:pPr>
              <w:jc w:val="both"/>
              <w:rPr>
                <w:rFonts w:ascii="Arial" w:hAnsi="Arial" w:cs="Arial"/>
                <w:sz w:val="16"/>
              </w:rPr>
            </w:pPr>
            <w:r>
              <w:rPr>
                <w:rFonts w:ascii="Arial" w:hAnsi="Arial" w:cs="Arial"/>
                <w:sz w:val="16"/>
              </w:rPr>
              <w:t>15.240 €</w:t>
            </w:r>
          </w:p>
        </w:tc>
        <w:tc>
          <w:tcPr>
            <w:tcW w:w="1732" w:type="dxa"/>
          </w:tcPr>
          <w:p w14:paraId="0B538373" w14:textId="1D4194AC" w:rsidR="006C5E7C" w:rsidRPr="00EC4B0E" w:rsidRDefault="006C5E7C" w:rsidP="006B1B65">
            <w:pPr>
              <w:jc w:val="both"/>
              <w:rPr>
                <w:rFonts w:ascii="Arial" w:hAnsi="Arial" w:cs="Arial"/>
                <w:sz w:val="16"/>
              </w:rPr>
            </w:pPr>
            <w:r>
              <w:rPr>
                <w:rFonts w:ascii="Arial" w:hAnsi="Arial" w:cs="Arial"/>
                <w:sz w:val="16"/>
              </w:rPr>
              <w:t>127.162</w:t>
            </w:r>
          </w:p>
        </w:tc>
        <w:tc>
          <w:tcPr>
            <w:tcW w:w="1843" w:type="dxa"/>
          </w:tcPr>
          <w:p w14:paraId="1DE69072" w14:textId="62786641" w:rsidR="006C5E7C" w:rsidRPr="00EC4B0E" w:rsidRDefault="006C5E7C" w:rsidP="006B1B65">
            <w:pPr>
              <w:jc w:val="both"/>
              <w:rPr>
                <w:rFonts w:ascii="Arial" w:hAnsi="Arial" w:cs="Arial"/>
                <w:sz w:val="16"/>
              </w:rPr>
            </w:pPr>
            <w:r>
              <w:rPr>
                <w:rFonts w:ascii="Arial" w:hAnsi="Arial" w:cs="Arial"/>
                <w:sz w:val="16"/>
              </w:rPr>
              <w:t>465.310 €</w:t>
            </w:r>
          </w:p>
        </w:tc>
        <w:tc>
          <w:tcPr>
            <w:tcW w:w="1417" w:type="dxa"/>
          </w:tcPr>
          <w:p w14:paraId="31402BB3" w14:textId="32348D1A" w:rsidR="006C5E7C" w:rsidRPr="00EC4B0E" w:rsidRDefault="006C5E7C" w:rsidP="006B1B65">
            <w:pPr>
              <w:jc w:val="both"/>
              <w:rPr>
                <w:rFonts w:ascii="Arial" w:hAnsi="Arial" w:cs="Arial"/>
                <w:sz w:val="16"/>
              </w:rPr>
            </w:pPr>
            <w:r>
              <w:rPr>
                <w:rFonts w:ascii="Arial" w:hAnsi="Arial" w:cs="Arial"/>
                <w:sz w:val="16"/>
              </w:rPr>
              <w:t>59.720 €</w:t>
            </w:r>
          </w:p>
        </w:tc>
      </w:tr>
      <w:tr w:rsidR="006C5E7C" w:rsidRPr="006F6ABB" w14:paraId="5544C758" w14:textId="77777777" w:rsidTr="001E2C32">
        <w:tc>
          <w:tcPr>
            <w:tcW w:w="1630" w:type="dxa"/>
          </w:tcPr>
          <w:p w14:paraId="0DDF8689" w14:textId="77777777" w:rsidR="006C5E7C" w:rsidRPr="006F6ABB" w:rsidRDefault="006C5E7C" w:rsidP="006B1B65">
            <w:pPr>
              <w:jc w:val="both"/>
              <w:rPr>
                <w:rFonts w:ascii="Arial" w:hAnsi="Arial" w:cs="Arial"/>
                <w:b/>
                <w:sz w:val="16"/>
              </w:rPr>
            </w:pPr>
            <w:r w:rsidRPr="006F6ABB">
              <w:rPr>
                <w:rFonts w:ascii="Arial" w:hAnsi="Arial" w:cs="Arial"/>
                <w:b/>
                <w:sz w:val="16"/>
              </w:rPr>
              <w:t>Costes directos asociados</w:t>
            </w:r>
          </w:p>
        </w:tc>
        <w:tc>
          <w:tcPr>
            <w:tcW w:w="1878" w:type="dxa"/>
          </w:tcPr>
          <w:p w14:paraId="5338E978" w14:textId="77777777" w:rsidR="006C5E7C" w:rsidRPr="00EC4B0E" w:rsidRDefault="006C5E7C" w:rsidP="006B1B65">
            <w:pPr>
              <w:jc w:val="both"/>
              <w:rPr>
                <w:rFonts w:ascii="Arial" w:hAnsi="Arial" w:cs="Arial"/>
                <w:sz w:val="16"/>
              </w:rPr>
            </w:pPr>
            <w:r w:rsidRPr="00EC4B0E">
              <w:rPr>
                <w:rFonts w:ascii="Arial" w:hAnsi="Arial" w:cs="Arial"/>
                <w:sz w:val="16"/>
              </w:rPr>
              <w:t>No procede</w:t>
            </w:r>
          </w:p>
        </w:tc>
        <w:tc>
          <w:tcPr>
            <w:tcW w:w="1134" w:type="dxa"/>
          </w:tcPr>
          <w:p w14:paraId="4961872C" w14:textId="77777777" w:rsidR="006C5E7C" w:rsidRPr="00EC4B0E" w:rsidRDefault="006C5E7C" w:rsidP="006B1B65">
            <w:pPr>
              <w:jc w:val="both"/>
              <w:rPr>
                <w:rFonts w:ascii="Arial" w:hAnsi="Arial" w:cs="Arial"/>
                <w:sz w:val="16"/>
              </w:rPr>
            </w:pPr>
            <w:r w:rsidRPr="00EC4B0E">
              <w:rPr>
                <w:rFonts w:ascii="Arial" w:hAnsi="Arial" w:cs="Arial"/>
                <w:sz w:val="16"/>
              </w:rPr>
              <w:t>No procede</w:t>
            </w:r>
          </w:p>
        </w:tc>
        <w:tc>
          <w:tcPr>
            <w:tcW w:w="1732" w:type="dxa"/>
          </w:tcPr>
          <w:p w14:paraId="3D8B7003" w14:textId="77777777" w:rsidR="006C5E7C" w:rsidRPr="00EC4B0E" w:rsidRDefault="006C5E7C" w:rsidP="006B1B65">
            <w:pPr>
              <w:jc w:val="both"/>
              <w:rPr>
                <w:rFonts w:ascii="Arial" w:hAnsi="Arial" w:cs="Arial"/>
                <w:sz w:val="16"/>
              </w:rPr>
            </w:pPr>
            <w:r w:rsidRPr="00EC4B0E">
              <w:rPr>
                <w:rFonts w:ascii="Arial" w:hAnsi="Arial" w:cs="Arial"/>
                <w:sz w:val="16"/>
              </w:rPr>
              <w:t>No procede</w:t>
            </w:r>
          </w:p>
        </w:tc>
        <w:tc>
          <w:tcPr>
            <w:tcW w:w="1843" w:type="dxa"/>
          </w:tcPr>
          <w:p w14:paraId="2954F271" w14:textId="77777777" w:rsidR="006C5E7C" w:rsidRPr="00EC4B0E" w:rsidRDefault="006C5E7C" w:rsidP="006B1B65">
            <w:pPr>
              <w:jc w:val="both"/>
              <w:rPr>
                <w:rFonts w:ascii="Arial" w:hAnsi="Arial" w:cs="Arial"/>
                <w:sz w:val="16"/>
              </w:rPr>
            </w:pPr>
            <w:r w:rsidRPr="00EC4B0E">
              <w:rPr>
                <w:rFonts w:ascii="Arial" w:hAnsi="Arial" w:cs="Arial"/>
                <w:sz w:val="16"/>
              </w:rPr>
              <w:t>No procede</w:t>
            </w:r>
          </w:p>
        </w:tc>
        <w:tc>
          <w:tcPr>
            <w:tcW w:w="1417" w:type="dxa"/>
          </w:tcPr>
          <w:p w14:paraId="3AE59A3D" w14:textId="77777777" w:rsidR="006C5E7C" w:rsidRPr="00EC4B0E" w:rsidRDefault="006C5E7C" w:rsidP="006B1B65">
            <w:pPr>
              <w:jc w:val="both"/>
              <w:rPr>
                <w:rFonts w:ascii="Arial" w:hAnsi="Arial" w:cs="Arial"/>
                <w:sz w:val="16"/>
              </w:rPr>
            </w:pPr>
            <w:r w:rsidRPr="00EC4B0E">
              <w:rPr>
                <w:rFonts w:ascii="Arial" w:hAnsi="Arial" w:cs="Arial"/>
                <w:sz w:val="16"/>
              </w:rPr>
              <w:t>No procede</w:t>
            </w:r>
          </w:p>
        </w:tc>
      </w:tr>
      <w:tr w:rsidR="006C5E7C" w:rsidRPr="006F6ABB" w14:paraId="291F5842" w14:textId="77777777" w:rsidTr="001E2C32">
        <w:tc>
          <w:tcPr>
            <w:tcW w:w="1630" w:type="dxa"/>
          </w:tcPr>
          <w:p w14:paraId="4AA04E70" w14:textId="77777777" w:rsidR="006C5E7C" w:rsidRPr="006F6ABB" w:rsidRDefault="006C5E7C" w:rsidP="006B1B65">
            <w:pPr>
              <w:rPr>
                <w:rFonts w:ascii="Arial" w:hAnsi="Arial" w:cs="Arial"/>
                <w:b/>
                <w:sz w:val="16"/>
              </w:rPr>
            </w:pPr>
            <w:r w:rsidRPr="006F6ABB">
              <w:rPr>
                <w:rFonts w:ascii="Arial" w:hAnsi="Arial" w:cs="Arial"/>
                <w:b/>
                <w:sz w:val="16"/>
              </w:rPr>
              <w:t>Coste incremental (diferencial)</w:t>
            </w:r>
            <w:r>
              <w:rPr>
                <w:rFonts w:ascii="Arial" w:hAnsi="Arial" w:cs="Arial"/>
                <w:b/>
                <w:sz w:val="16"/>
              </w:rPr>
              <w:t xml:space="preserve"> </w:t>
            </w:r>
            <w:r w:rsidRPr="006F6ABB">
              <w:rPr>
                <w:rFonts w:ascii="Arial" w:hAnsi="Arial" w:cs="Arial"/>
                <w:b/>
                <w:sz w:val="16"/>
              </w:rPr>
              <w:t>respecto a</w:t>
            </w:r>
            <w:r>
              <w:rPr>
                <w:rFonts w:ascii="Arial" w:hAnsi="Arial" w:cs="Arial"/>
                <w:b/>
                <w:sz w:val="16"/>
              </w:rPr>
              <w:t>l medicamento evaluado</w:t>
            </w:r>
          </w:p>
        </w:tc>
        <w:tc>
          <w:tcPr>
            <w:tcW w:w="1878" w:type="dxa"/>
          </w:tcPr>
          <w:p w14:paraId="02EE05DE" w14:textId="77777777" w:rsidR="006C5E7C" w:rsidRPr="00EC4B0E" w:rsidRDefault="006C5E7C" w:rsidP="006B1B65">
            <w:pPr>
              <w:jc w:val="both"/>
              <w:rPr>
                <w:rFonts w:ascii="Arial" w:hAnsi="Arial" w:cs="Arial"/>
                <w:sz w:val="16"/>
              </w:rPr>
            </w:pPr>
            <w:r>
              <w:rPr>
                <w:rFonts w:ascii="Arial" w:hAnsi="Arial" w:cs="Arial"/>
                <w:sz w:val="16"/>
              </w:rPr>
              <w:t>Tratamiento evaluado</w:t>
            </w:r>
          </w:p>
        </w:tc>
        <w:tc>
          <w:tcPr>
            <w:tcW w:w="1134" w:type="dxa"/>
          </w:tcPr>
          <w:p w14:paraId="0063CDB3" w14:textId="641C76E9" w:rsidR="006C5E7C" w:rsidRPr="00EC4B0E" w:rsidRDefault="006C5E7C" w:rsidP="00E7680D">
            <w:pPr>
              <w:jc w:val="both"/>
              <w:rPr>
                <w:rFonts w:ascii="Arial" w:hAnsi="Arial" w:cs="Arial"/>
                <w:sz w:val="16"/>
              </w:rPr>
            </w:pPr>
            <w:r w:rsidRPr="00EC4B0E">
              <w:rPr>
                <w:rFonts w:ascii="Arial" w:hAnsi="Arial" w:cs="Arial"/>
                <w:sz w:val="16"/>
              </w:rPr>
              <w:t>-</w:t>
            </w:r>
            <w:r>
              <w:rPr>
                <w:rFonts w:ascii="Arial" w:hAnsi="Arial" w:cs="Arial"/>
                <w:sz w:val="16"/>
              </w:rPr>
              <w:t>79.419 €</w:t>
            </w:r>
          </w:p>
        </w:tc>
        <w:tc>
          <w:tcPr>
            <w:tcW w:w="1732" w:type="dxa"/>
          </w:tcPr>
          <w:p w14:paraId="0FD6FA6A" w14:textId="63DAA6EB" w:rsidR="006C5E7C" w:rsidRPr="00EC4B0E" w:rsidRDefault="006C5E7C" w:rsidP="006B1B65">
            <w:pPr>
              <w:jc w:val="both"/>
              <w:rPr>
                <w:rFonts w:ascii="Arial" w:hAnsi="Arial" w:cs="Arial"/>
                <w:sz w:val="16"/>
              </w:rPr>
            </w:pPr>
            <w:r>
              <w:rPr>
                <w:rFonts w:ascii="Arial" w:hAnsi="Arial" w:cs="Arial"/>
                <w:sz w:val="16"/>
              </w:rPr>
              <w:t>+32.503 €</w:t>
            </w:r>
          </w:p>
        </w:tc>
        <w:tc>
          <w:tcPr>
            <w:tcW w:w="1843" w:type="dxa"/>
          </w:tcPr>
          <w:p w14:paraId="45516954" w14:textId="098A8393" w:rsidR="006C5E7C" w:rsidRPr="00EC4B0E" w:rsidRDefault="006C5E7C" w:rsidP="006B1B65">
            <w:pPr>
              <w:jc w:val="both"/>
              <w:rPr>
                <w:rFonts w:ascii="Arial" w:hAnsi="Arial" w:cs="Arial"/>
                <w:sz w:val="16"/>
              </w:rPr>
            </w:pPr>
            <w:r>
              <w:rPr>
                <w:rFonts w:ascii="Arial" w:hAnsi="Arial" w:cs="Arial"/>
                <w:sz w:val="16"/>
              </w:rPr>
              <w:t>+370.651€</w:t>
            </w:r>
          </w:p>
        </w:tc>
        <w:tc>
          <w:tcPr>
            <w:tcW w:w="1417" w:type="dxa"/>
          </w:tcPr>
          <w:p w14:paraId="5F428744" w14:textId="6819EA0A" w:rsidR="006C5E7C" w:rsidRPr="00EC4B0E" w:rsidRDefault="006C5E7C" w:rsidP="006B1B65">
            <w:pPr>
              <w:jc w:val="both"/>
              <w:rPr>
                <w:rFonts w:ascii="Arial" w:hAnsi="Arial" w:cs="Arial"/>
                <w:sz w:val="16"/>
              </w:rPr>
            </w:pPr>
            <w:r>
              <w:rPr>
                <w:rFonts w:ascii="Arial" w:hAnsi="Arial" w:cs="Arial"/>
                <w:sz w:val="16"/>
              </w:rPr>
              <w:t>+34.939 €</w:t>
            </w:r>
          </w:p>
        </w:tc>
      </w:tr>
      <w:tr w:rsidR="006B1B65" w:rsidRPr="006F6ABB" w14:paraId="1259B8AB" w14:textId="77777777" w:rsidTr="001E2C32">
        <w:trPr>
          <w:cantSplit/>
        </w:trPr>
        <w:tc>
          <w:tcPr>
            <w:tcW w:w="9634" w:type="dxa"/>
            <w:gridSpan w:val="6"/>
            <w:shd w:val="clear" w:color="auto" w:fill="E6E6E6"/>
          </w:tcPr>
          <w:p w14:paraId="3289B19F" w14:textId="35F790D1" w:rsidR="006B1B65" w:rsidRDefault="006B1B65" w:rsidP="006B1B65">
            <w:pPr>
              <w:jc w:val="both"/>
              <w:rPr>
                <w:rFonts w:ascii="Arial" w:hAnsi="Arial" w:cs="Arial"/>
                <w:sz w:val="16"/>
                <w:szCs w:val="16"/>
              </w:rPr>
            </w:pPr>
            <w:r w:rsidRPr="00535FE3">
              <w:rPr>
                <w:rFonts w:ascii="Arial" w:hAnsi="Arial" w:cs="Arial"/>
                <w:sz w:val="16"/>
                <w:szCs w:val="16"/>
              </w:rPr>
              <w:t xml:space="preserve">* </w:t>
            </w:r>
            <w:r>
              <w:rPr>
                <w:rFonts w:ascii="Arial" w:hAnsi="Arial" w:cs="Arial"/>
                <w:sz w:val="16"/>
                <w:szCs w:val="16"/>
              </w:rPr>
              <w:t>p</w:t>
            </w:r>
            <w:r w:rsidR="002D4A81">
              <w:rPr>
                <w:rFonts w:ascii="Arial" w:hAnsi="Arial" w:cs="Arial"/>
                <w:sz w:val="16"/>
                <w:szCs w:val="16"/>
              </w:rPr>
              <w:t xml:space="preserve">recios publicados </w:t>
            </w:r>
            <w:r w:rsidR="00A4500D">
              <w:rPr>
                <w:rFonts w:ascii="Arial" w:hAnsi="Arial" w:cs="Arial"/>
                <w:sz w:val="16"/>
                <w:szCs w:val="16"/>
              </w:rPr>
              <w:t xml:space="preserve">en botplus así como </w:t>
            </w:r>
            <w:r w:rsidR="002D4A81">
              <w:rPr>
                <w:rFonts w:ascii="Arial" w:hAnsi="Arial" w:cs="Arial"/>
                <w:sz w:val="16"/>
                <w:szCs w:val="16"/>
              </w:rPr>
              <w:t xml:space="preserve">en </w:t>
            </w:r>
            <w:r w:rsidR="002D4A81" w:rsidRPr="00393F47">
              <w:rPr>
                <w:rFonts w:ascii="Arial" w:hAnsi="Arial" w:cs="Arial"/>
                <w:sz w:val="16"/>
                <w:szCs w:val="16"/>
              </w:rPr>
              <w:t>Orden SND/1186/2023, de 20 de octubre, por la que se procede a la actualización en 2023 del sistema de precios de referencia de medicamentos en el Sistema Nacional de Salud</w:t>
            </w:r>
          </w:p>
          <w:p w14:paraId="676FEBD6" w14:textId="0A0A4BAD" w:rsidR="006B1B65" w:rsidRDefault="006B1B65" w:rsidP="006B1B65">
            <w:pPr>
              <w:jc w:val="both"/>
              <w:rPr>
                <w:rFonts w:ascii="Arial" w:hAnsi="Arial" w:cs="Arial"/>
                <w:sz w:val="16"/>
                <w:szCs w:val="16"/>
              </w:rPr>
            </w:pPr>
            <w:r>
              <w:rPr>
                <w:rFonts w:ascii="Arial" w:hAnsi="Arial" w:cs="Arial"/>
                <w:sz w:val="16"/>
                <w:szCs w:val="16"/>
              </w:rPr>
              <w:t>** duración media de tratamiento de 13,9</w:t>
            </w:r>
            <w:r w:rsidR="00821FCD">
              <w:rPr>
                <w:rFonts w:ascii="Arial" w:hAnsi="Arial" w:cs="Arial"/>
                <w:sz w:val="16"/>
                <w:szCs w:val="16"/>
              </w:rPr>
              <w:t xml:space="preserve"> </w:t>
            </w:r>
            <w:r>
              <w:rPr>
                <w:rFonts w:ascii="Arial" w:hAnsi="Arial" w:cs="Arial"/>
                <w:sz w:val="16"/>
                <w:szCs w:val="16"/>
              </w:rPr>
              <w:t>meses para niraparib/abiraterona vs 12,7 meses para abiraterona (informe EPAR).</w:t>
            </w:r>
          </w:p>
          <w:p w14:paraId="179E99DD" w14:textId="77777777" w:rsidR="006C5E7C" w:rsidRDefault="00E7680D" w:rsidP="006B1B65">
            <w:pPr>
              <w:jc w:val="both"/>
              <w:rPr>
                <w:rFonts w:ascii="Arial" w:hAnsi="Arial" w:cs="Arial"/>
                <w:sz w:val="16"/>
                <w:szCs w:val="16"/>
              </w:rPr>
            </w:pPr>
            <w:r>
              <w:rPr>
                <w:rFonts w:ascii="Arial" w:hAnsi="Arial" w:cs="Arial"/>
                <w:sz w:val="16"/>
                <w:szCs w:val="16"/>
              </w:rPr>
              <w:t xml:space="preserve">**duración mediana de tratamiento </w:t>
            </w:r>
            <w:r w:rsidR="006C5E7C">
              <w:rPr>
                <w:rFonts w:ascii="Arial" w:hAnsi="Arial" w:cs="Arial"/>
                <w:sz w:val="16"/>
                <w:szCs w:val="16"/>
              </w:rPr>
              <w:t>para olaparib/abiraterona</w:t>
            </w:r>
            <w:r>
              <w:rPr>
                <w:rFonts w:ascii="Arial" w:hAnsi="Arial" w:cs="Arial"/>
                <w:sz w:val="16"/>
                <w:szCs w:val="16"/>
              </w:rPr>
              <w:t xml:space="preserve"> 18,</w:t>
            </w:r>
            <w:r w:rsidR="00483706">
              <w:rPr>
                <w:rFonts w:ascii="Arial" w:hAnsi="Arial" w:cs="Arial"/>
                <w:sz w:val="16"/>
                <w:szCs w:val="16"/>
              </w:rPr>
              <w:t>5</w:t>
            </w:r>
            <w:r>
              <w:rPr>
                <w:rFonts w:ascii="Arial" w:hAnsi="Arial" w:cs="Arial"/>
                <w:sz w:val="16"/>
                <w:szCs w:val="16"/>
              </w:rPr>
              <w:t xml:space="preserve"> meses vs 15,7 meses para placebo</w:t>
            </w:r>
            <w:r w:rsidR="006C5E7C">
              <w:rPr>
                <w:rFonts w:ascii="Arial" w:hAnsi="Arial" w:cs="Arial"/>
                <w:sz w:val="16"/>
                <w:szCs w:val="16"/>
              </w:rPr>
              <w:t xml:space="preserve"> (estudio PROpel)</w:t>
            </w:r>
            <w:r w:rsidR="0088519F">
              <w:rPr>
                <w:rFonts w:ascii="Arial" w:hAnsi="Arial" w:cs="Arial"/>
                <w:sz w:val="16"/>
                <w:szCs w:val="16"/>
              </w:rPr>
              <w:t>.</w:t>
            </w:r>
          </w:p>
          <w:p w14:paraId="4805D37C" w14:textId="29F31AAB" w:rsidR="00E7680D" w:rsidRDefault="006C5E7C" w:rsidP="006B1B65">
            <w:pPr>
              <w:jc w:val="both"/>
              <w:rPr>
                <w:rFonts w:ascii="Arial" w:hAnsi="Arial" w:cs="Arial"/>
                <w:sz w:val="16"/>
                <w:szCs w:val="16"/>
              </w:rPr>
            </w:pPr>
            <w:r>
              <w:rPr>
                <w:rFonts w:ascii="Arial" w:hAnsi="Arial" w:cs="Arial"/>
                <w:sz w:val="16"/>
                <w:szCs w:val="16"/>
              </w:rPr>
              <w:t>**</w:t>
            </w:r>
            <w:r w:rsidR="007D6407">
              <w:rPr>
                <w:rFonts w:ascii="Arial" w:hAnsi="Arial" w:cs="Arial"/>
                <w:sz w:val="16"/>
                <w:szCs w:val="16"/>
              </w:rPr>
              <w:t>duración m</w:t>
            </w:r>
            <w:r w:rsidR="0088519F">
              <w:rPr>
                <w:rFonts w:ascii="Arial" w:hAnsi="Arial" w:cs="Arial"/>
                <w:sz w:val="16"/>
                <w:szCs w:val="16"/>
              </w:rPr>
              <w:t xml:space="preserve">ediana talazoparib/enzalutamida: 19,8 meses (estudio Talapro2). </w:t>
            </w:r>
            <w:r w:rsidR="0088519F">
              <w:rPr>
                <w:rFonts w:ascii="Arial" w:hAnsi="Arial" w:cs="Arial"/>
                <w:sz w:val="16"/>
              </w:rPr>
              <w:t xml:space="preserve"> La duración del tratamiento con enzalutamida de 16,6 meses (estudio PREVAIL). Duración mediana de rucaparib </w:t>
            </w:r>
          </w:p>
          <w:p w14:paraId="577A8553" w14:textId="43AA4D4F" w:rsidR="006B1B65" w:rsidRPr="00535FE3" w:rsidRDefault="0030210E" w:rsidP="0030210E">
            <w:pPr>
              <w:rPr>
                <w:rFonts w:ascii="Arial" w:hAnsi="Arial" w:cs="Arial"/>
                <w:sz w:val="16"/>
                <w:szCs w:val="16"/>
              </w:rPr>
            </w:pPr>
            <w:r>
              <w:rPr>
                <w:rFonts w:ascii="Arial" w:hAnsi="Arial" w:cs="Arial"/>
                <w:sz w:val="16"/>
                <w:szCs w:val="16"/>
              </w:rPr>
              <w:t xml:space="preserve">***precio de uptodate, acceso: </w:t>
            </w:r>
            <w:r>
              <w:t xml:space="preserve"> </w:t>
            </w:r>
            <w:r w:rsidRPr="0030210E">
              <w:rPr>
                <w:rFonts w:ascii="Arial" w:hAnsi="Arial" w:cs="Arial"/>
                <w:sz w:val="16"/>
                <w:szCs w:val="16"/>
              </w:rPr>
              <w:t>https://www.uptodate.com/contents/talazoparib-drug-information?search=talazoparib%20price&amp;source=search_result&amp;selectedTitle=1~150&amp;usage_type=default&amp;display_rank=1#F52042929</w:t>
            </w:r>
          </w:p>
        </w:tc>
      </w:tr>
    </w:tbl>
    <w:p w14:paraId="170E20BC" w14:textId="77777777" w:rsidR="00BC3E8E" w:rsidRPr="006F6ABB" w:rsidRDefault="00BC3E8E" w:rsidP="00BC3E8E">
      <w:pPr>
        <w:jc w:val="both"/>
        <w:rPr>
          <w:rFonts w:ascii="Arial" w:hAnsi="Arial" w:cs="Arial"/>
          <w:b/>
          <w:sz w:val="20"/>
          <w:szCs w:val="20"/>
          <w:shd w:val="clear" w:color="auto" w:fill="C0C0C0"/>
        </w:rPr>
      </w:pPr>
    </w:p>
    <w:p w14:paraId="140A9102" w14:textId="77777777" w:rsidR="00E770E5" w:rsidRDefault="00E770E5" w:rsidP="00BC3E8E">
      <w:pPr>
        <w:jc w:val="both"/>
        <w:rPr>
          <w:rFonts w:ascii="Arial" w:hAnsi="Arial" w:cs="Arial"/>
          <w:sz w:val="20"/>
          <w:szCs w:val="20"/>
        </w:rPr>
      </w:pPr>
    </w:p>
    <w:p w14:paraId="7469C2DB" w14:textId="77777777" w:rsidR="00E770E5" w:rsidRDefault="00E770E5" w:rsidP="00CA2593">
      <w:pPr>
        <w:pStyle w:val="Ttulo2"/>
        <w:pBdr>
          <w:top w:val="single" w:sz="4" w:space="1" w:color="auto"/>
          <w:left w:val="single" w:sz="4" w:space="4" w:color="auto"/>
          <w:bottom w:val="single" w:sz="4" w:space="1" w:color="auto"/>
          <w:right w:val="single" w:sz="4" w:space="0" w:color="auto"/>
        </w:pBdr>
        <w:shd w:val="clear" w:color="auto" w:fill="D9D9D9"/>
        <w:rPr>
          <w:rFonts w:cs="Arial"/>
          <w:sz w:val="20"/>
        </w:rPr>
      </w:pPr>
      <w:bookmarkStart w:id="129" w:name="_Toc348931454"/>
      <w:bookmarkStart w:id="130" w:name="_Toc153727221"/>
      <w:r>
        <w:rPr>
          <w:rFonts w:cs="Arial"/>
          <w:sz w:val="20"/>
        </w:rPr>
        <w:t xml:space="preserve">7.2 </w:t>
      </w:r>
      <w:bookmarkEnd w:id="129"/>
      <w:r>
        <w:rPr>
          <w:rFonts w:cs="Arial"/>
          <w:sz w:val="20"/>
        </w:rPr>
        <w:t>Evaluaciones económicas publicadas</w:t>
      </w:r>
      <w:bookmarkEnd w:id="130"/>
      <w:r>
        <w:rPr>
          <w:rFonts w:cs="Arial"/>
          <w:sz w:val="20"/>
        </w:rPr>
        <w:t xml:space="preserve">  </w:t>
      </w:r>
    </w:p>
    <w:p w14:paraId="18653031" w14:textId="77777777" w:rsidR="00E770E5" w:rsidRDefault="00E770E5" w:rsidP="00E770E5">
      <w:pPr>
        <w:jc w:val="both"/>
        <w:rPr>
          <w:rFonts w:ascii="Arial" w:hAnsi="Arial" w:cs="Arial"/>
          <w:sz w:val="20"/>
          <w:szCs w:val="20"/>
        </w:rPr>
      </w:pPr>
    </w:p>
    <w:p w14:paraId="7CF6792D" w14:textId="77777777" w:rsidR="00E770E5" w:rsidRDefault="00E770E5" w:rsidP="00E770E5">
      <w:pPr>
        <w:jc w:val="both"/>
        <w:rPr>
          <w:rFonts w:ascii="Arial" w:hAnsi="Arial" w:cs="Arial"/>
          <w:sz w:val="20"/>
          <w:szCs w:val="20"/>
        </w:rPr>
      </w:pPr>
    </w:p>
    <w:p w14:paraId="1693A817" w14:textId="77777777" w:rsidR="00E770E5"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7.2.a Búsqueda de evaluaciones económicas publicadas</w:t>
      </w:r>
    </w:p>
    <w:p w14:paraId="39A42DD5" w14:textId="77777777" w:rsidR="00E770E5" w:rsidRDefault="00E770E5" w:rsidP="00E770E5">
      <w:pPr>
        <w:autoSpaceDE w:val="0"/>
        <w:autoSpaceDN w:val="0"/>
        <w:adjustRightInd w:val="0"/>
        <w:rPr>
          <w:rFonts w:ascii="Arial" w:hAnsi="Arial" w:cs="Arial"/>
          <w:sz w:val="20"/>
          <w:szCs w:val="20"/>
        </w:rPr>
      </w:pPr>
    </w:p>
    <w:p w14:paraId="6A7F160C" w14:textId="77777777" w:rsidR="006733CE" w:rsidRDefault="006733CE" w:rsidP="006733CE">
      <w:pPr>
        <w:autoSpaceDE w:val="0"/>
        <w:autoSpaceDN w:val="0"/>
        <w:adjustRightInd w:val="0"/>
        <w:jc w:val="both"/>
        <w:rPr>
          <w:rFonts w:ascii="Arial" w:hAnsi="Arial" w:cs="Arial"/>
          <w:sz w:val="20"/>
          <w:szCs w:val="20"/>
          <w:lang w:val="en-US"/>
        </w:rPr>
      </w:pPr>
      <w:r w:rsidRPr="00CF099E">
        <w:rPr>
          <w:rFonts w:ascii="Arial" w:hAnsi="Arial" w:cs="Arial"/>
          <w:sz w:val="20"/>
          <w:szCs w:val="20"/>
        </w:rPr>
        <w:t xml:space="preserve">En fecha </w:t>
      </w:r>
      <w:r>
        <w:rPr>
          <w:rFonts w:ascii="Arial" w:hAnsi="Arial" w:cs="Arial"/>
          <w:sz w:val="20"/>
          <w:szCs w:val="20"/>
        </w:rPr>
        <w:t>22/11/2023</w:t>
      </w:r>
      <w:r w:rsidRPr="00CF099E">
        <w:rPr>
          <w:rFonts w:ascii="Arial" w:hAnsi="Arial" w:cs="Arial"/>
          <w:sz w:val="20"/>
          <w:szCs w:val="20"/>
        </w:rPr>
        <w:t xml:space="preserve"> se realizó una búsqueda bibliográfica en las siguientes bases de datos: PUBMED y EMBASE. </w:t>
      </w:r>
      <w:r w:rsidRPr="00491D11">
        <w:rPr>
          <w:rFonts w:ascii="Arial" w:hAnsi="Arial" w:cs="Arial"/>
          <w:sz w:val="20"/>
          <w:szCs w:val="20"/>
          <w:lang w:val="en-US"/>
        </w:rPr>
        <w:t>Se aplicaron los siguientes filtros para localizar evaluaciones económicas: [</w:t>
      </w:r>
      <w:r>
        <w:rPr>
          <w:rFonts w:ascii="Arial" w:hAnsi="Arial" w:cs="Arial"/>
          <w:sz w:val="20"/>
          <w:szCs w:val="20"/>
          <w:lang w:val="en-US"/>
        </w:rPr>
        <w:t>ABIRATERONE AND NIRAPARIB</w:t>
      </w:r>
      <w:r w:rsidRPr="00491D11">
        <w:rPr>
          <w:rFonts w:ascii="Arial" w:hAnsi="Arial" w:cs="Arial"/>
          <w:sz w:val="20"/>
          <w:szCs w:val="20"/>
          <w:lang w:val="en-US"/>
        </w:rPr>
        <w:t>] AND [“ECONOMIC EVALUATION*” OR “ECONOMIC ANALYSIS” OR “COST EFFECTIVENESS ANALYSIS” OR “COST EFFECTIVENESS” OR “COST MINIMIZATION ANALYSIS” OR “COST MINIMISATION ANALYSIS” OR “COST UTILITY ANALYSIS” OR “COST UTILITY” OR “COST BENEFIT ANALYSIS” OR “COST BENEFIT” OR COST].</w:t>
      </w:r>
    </w:p>
    <w:p w14:paraId="287DCA1D" w14:textId="77777777" w:rsidR="006733CE" w:rsidRDefault="006733CE" w:rsidP="006733CE">
      <w:pPr>
        <w:autoSpaceDE w:val="0"/>
        <w:autoSpaceDN w:val="0"/>
        <w:adjustRightInd w:val="0"/>
        <w:jc w:val="both"/>
        <w:rPr>
          <w:rFonts w:ascii="Arial" w:hAnsi="Arial" w:cs="Arial"/>
          <w:sz w:val="20"/>
          <w:szCs w:val="20"/>
          <w:lang w:val="en-US"/>
        </w:rPr>
      </w:pPr>
    </w:p>
    <w:p w14:paraId="7CBF88C2" w14:textId="433A5209" w:rsidR="00E770E5" w:rsidRDefault="006733CE" w:rsidP="00A17809">
      <w:pPr>
        <w:autoSpaceDE w:val="0"/>
        <w:autoSpaceDN w:val="0"/>
        <w:adjustRightInd w:val="0"/>
        <w:jc w:val="both"/>
        <w:rPr>
          <w:rFonts w:ascii="Arial" w:hAnsi="Arial" w:cs="Arial"/>
          <w:sz w:val="20"/>
          <w:szCs w:val="20"/>
        </w:rPr>
      </w:pPr>
      <w:r w:rsidRPr="00966C6E">
        <w:rPr>
          <w:rFonts w:ascii="Arial" w:hAnsi="Arial" w:cs="Arial"/>
          <w:sz w:val="20"/>
          <w:szCs w:val="20"/>
        </w:rPr>
        <w:t xml:space="preserve">No se </w:t>
      </w:r>
      <w:r w:rsidR="00E770E5" w:rsidRPr="001C71C5">
        <w:rPr>
          <w:rFonts w:ascii="Arial" w:hAnsi="Arial" w:cs="Arial"/>
          <w:sz w:val="20"/>
          <w:szCs w:val="20"/>
        </w:rPr>
        <w:t>dispone de estudi</w:t>
      </w:r>
      <w:r w:rsidRPr="001C71C5">
        <w:rPr>
          <w:rFonts w:ascii="Arial" w:hAnsi="Arial" w:cs="Arial"/>
          <w:sz w:val="20"/>
          <w:szCs w:val="20"/>
        </w:rPr>
        <w:t>os farmacoeconómicos publicados.</w:t>
      </w:r>
    </w:p>
    <w:p w14:paraId="2F69FF0F" w14:textId="030E43D9" w:rsidR="001E3B19" w:rsidRDefault="001E3B19" w:rsidP="00A17809">
      <w:pPr>
        <w:autoSpaceDE w:val="0"/>
        <w:autoSpaceDN w:val="0"/>
        <w:adjustRightInd w:val="0"/>
        <w:jc w:val="both"/>
        <w:rPr>
          <w:rFonts w:ascii="Arial" w:hAnsi="Arial" w:cs="Arial"/>
          <w:sz w:val="20"/>
          <w:szCs w:val="20"/>
        </w:rPr>
      </w:pPr>
      <w:r>
        <w:rPr>
          <w:rFonts w:ascii="Arial" w:hAnsi="Arial" w:cs="Arial"/>
          <w:sz w:val="20"/>
          <w:szCs w:val="20"/>
        </w:rPr>
        <w:t>Solo se encuentra el informe de la agencia de evaluación de Canadá (34), en el apartado econ</w:t>
      </w:r>
      <w:r w:rsidR="00352121">
        <w:rPr>
          <w:rFonts w:ascii="Arial" w:hAnsi="Arial" w:cs="Arial"/>
          <w:sz w:val="20"/>
          <w:szCs w:val="20"/>
        </w:rPr>
        <w:t>ómico se establece:</w:t>
      </w:r>
      <w:r w:rsidR="00150640">
        <w:rPr>
          <w:rFonts w:ascii="Arial" w:hAnsi="Arial" w:cs="Arial"/>
          <w:sz w:val="20"/>
          <w:szCs w:val="20"/>
        </w:rPr>
        <w:t xml:space="preserve"> </w:t>
      </w:r>
      <w:r w:rsidR="009F74CD">
        <w:rPr>
          <w:rFonts w:ascii="Arial" w:hAnsi="Arial" w:cs="Arial"/>
          <w:sz w:val="20"/>
          <w:szCs w:val="20"/>
        </w:rPr>
        <w:t>la principal limitación en el análisis económico se encuentran</w:t>
      </w:r>
      <w:r w:rsidR="00150640">
        <w:rPr>
          <w:rFonts w:ascii="Arial" w:hAnsi="Arial" w:cs="Arial"/>
          <w:sz w:val="20"/>
          <w:szCs w:val="20"/>
        </w:rPr>
        <w:t xml:space="preserve"> que en el modelo de la industria se establece la indicación para el tratamiento de 1º línea, pero la indicación puede no ser recibida en primera línea y </w:t>
      </w:r>
      <w:r w:rsidR="009F74CD">
        <w:rPr>
          <w:rFonts w:ascii="Arial" w:hAnsi="Arial" w:cs="Arial"/>
          <w:sz w:val="20"/>
          <w:szCs w:val="20"/>
        </w:rPr>
        <w:t>por</w:t>
      </w:r>
      <w:r w:rsidR="00150640">
        <w:rPr>
          <w:rFonts w:ascii="Arial" w:hAnsi="Arial" w:cs="Arial"/>
          <w:sz w:val="20"/>
          <w:szCs w:val="20"/>
        </w:rPr>
        <w:t xml:space="preserve"> ello, tendría una población a tratar más amplia. Por ello, el coste efectividad de niraparib y abiraterona con prednisona utilizado como terapia subsiguiente es desconocid</w:t>
      </w:r>
      <w:r w:rsidR="009F74CD">
        <w:rPr>
          <w:rFonts w:ascii="Arial" w:hAnsi="Arial" w:cs="Arial"/>
          <w:sz w:val="20"/>
          <w:szCs w:val="20"/>
        </w:rPr>
        <w:t xml:space="preserve">o. La definición de </w:t>
      </w:r>
      <w:r w:rsidR="009F74CD" w:rsidRPr="009F74CD">
        <w:rPr>
          <w:rFonts w:ascii="Arial" w:hAnsi="Arial" w:cs="Arial"/>
          <w:sz w:val="20"/>
          <w:szCs w:val="20"/>
        </w:rPr>
        <w:t>inelegibilidad</w:t>
      </w:r>
      <w:r w:rsidR="00150640">
        <w:rPr>
          <w:rFonts w:ascii="Arial" w:hAnsi="Arial" w:cs="Arial"/>
          <w:sz w:val="20"/>
          <w:szCs w:val="20"/>
        </w:rPr>
        <w:t xml:space="preserve"> para quimioterapia en práctica </w:t>
      </w:r>
      <w:r w:rsidR="00847E35">
        <w:rPr>
          <w:rFonts w:ascii="Arial" w:hAnsi="Arial" w:cs="Arial"/>
          <w:sz w:val="20"/>
          <w:szCs w:val="20"/>
        </w:rPr>
        <w:t>clínica</w:t>
      </w:r>
      <w:r w:rsidR="00150640">
        <w:rPr>
          <w:rFonts w:ascii="Arial" w:hAnsi="Arial" w:cs="Arial"/>
          <w:sz w:val="20"/>
          <w:szCs w:val="20"/>
        </w:rPr>
        <w:t xml:space="preserve"> es incierta y basado en el juicio del médico tratante más que basado en criterios clínicos. Esto supone una incertidumbre en el coste-efectividad. </w:t>
      </w:r>
      <w:r w:rsidR="006B1E8C">
        <w:rPr>
          <w:rFonts w:ascii="Arial" w:hAnsi="Arial" w:cs="Arial"/>
          <w:sz w:val="20"/>
          <w:szCs w:val="20"/>
        </w:rPr>
        <w:t>La extrapolación del modelo de SG presenta incertidumbres. EL uso de la intensidad de dosis relativa para calcular el coste del medicamento puede infraestimar el total del coste del tratamiento que se verá en la práctica clínica real. EL coste asociado al test diagnóstico no fue adecuadamente introducido en el modelo por lo que el coste total podría estar infraestimado.</w:t>
      </w:r>
    </w:p>
    <w:p w14:paraId="49730392" w14:textId="3F58E22E" w:rsidR="00352121" w:rsidRPr="00847E35" w:rsidRDefault="006B1E8C" w:rsidP="00A17809">
      <w:pPr>
        <w:autoSpaceDE w:val="0"/>
        <w:autoSpaceDN w:val="0"/>
        <w:adjustRightInd w:val="0"/>
        <w:jc w:val="both"/>
        <w:rPr>
          <w:rFonts w:ascii="Arial" w:hAnsi="Arial" w:cs="Arial"/>
          <w:sz w:val="20"/>
          <w:szCs w:val="20"/>
        </w:rPr>
      </w:pPr>
      <w:r w:rsidRPr="00847E35">
        <w:rPr>
          <w:rFonts w:ascii="Arial" w:hAnsi="Arial" w:cs="Arial"/>
          <w:sz w:val="20"/>
          <w:szCs w:val="20"/>
        </w:rPr>
        <w:t xml:space="preserve">Con todo ello, las recomendaciones para la financiación teniendo en cuenta el ratio coste efectividad incremental de $271,803 por QALY ganado (coste incremental: $133,835; QALYs incremental: 0,49), se requiere una reducción del precio de aproximadamente el 61% para que se considere coste efectivo con un umbral de $50.000 por QALY ganado. </w:t>
      </w:r>
    </w:p>
    <w:p w14:paraId="5AEE6C97" w14:textId="77777777" w:rsidR="00E770E5" w:rsidRPr="00847E35" w:rsidRDefault="00E770E5" w:rsidP="00E770E5">
      <w:pPr>
        <w:jc w:val="both"/>
        <w:rPr>
          <w:rFonts w:ascii="Arial" w:hAnsi="Arial" w:cs="Arial"/>
          <w:sz w:val="20"/>
          <w:szCs w:val="20"/>
        </w:rPr>
      </w:pPr>
    </w:p>
    <w:p w14:paraId="07C8CF46" w14:textId="77777777" w:rsidR="00E770E5"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7.2.b Extracción de datos de las evaluaciones económicas publicadas</w:t>
      </w:r>
    </w:p>
    <w:p w14:paraId="3DC471EB" w14:textId="77777777" w:rsidR="00E770E5" w:rsidRDefault="00E770E5" w:rsidP="00E770E5">
      <w:pPr>
        <w:snapToGrid w:val="0"/>
        <w:jc w:val="both"/>
        <w:rPr>
          <w:rFonts w:ascii="Arial" w:hAnsi="Arial" w:cs="Arial"/>
          <w:sz w:val="20"/>
          <w:szCs w:val="20"/>
        </w:rPr>
      </w:pPr>
    </w:p>
    <w:p w14:paraId="345314C5" w14:textId="77777777" w:rsidR="002A29EE" w:rsidRPr="00C67DF8" w:rsidRDefault="001C71C5" w:rsidP="00BC3E8E">
      <w:pPr>
        <w:jc w:val="both"/>
        <w:rPr>
          <w:rFonts w:ascii="Arial" w:eastAsia="Arial" w:hAnsi="Arial" w:cs="Arial"/>
          <w:sz w:val="20"/>
          <w:szCs w:val="20"/>
        </w:rPr>
      </w:pPr>
      <w:r>
        <w:rPr>
          <w:rFonts w:ascii="Arial" w:hAnsi="Arial" w:cs="Arial"/>
          <w:b/>
          <w:sz w:val="20"/>
          <w:szCs w:val="20"/>
        </w:rPr>
        <w:t>No procede</w:t>
      </w:r>
    </w:p>
    <w:p w14:paraId="72509F95" w14:textId="77777777" w:rsidR="00BC3E8E" w:rsidRPr="00E032D0" w:rsidRDefault="00BC3E8E" w:rsidP="00BC3E8E">
      <w:pPr>
        <w:rPr>
          <w:rFonts w:ascii="Arial" w:hAnsi="Arial" w:cs="Arial"/>
          <w:b/>
          <w:color w:val="0000FF"/>
          <w:sz w:val="20"/>
          <w:szCs w:val="20"/>
        </w:rPr>
      </w:pPr>
    </w:p>
    <w:p w14:paraId="1A07050D"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1" w:name="_Toc344399659"/>
      <w:bookmarkStart w:id="132" w:name="_Toc348931390"/>
      <w:bookmarkStart w:id="133" w:name="_Toc153727222"/>
      <w:r w:rsidRPr="00E3472F">
        <w:rPr>
          <w:rFonts w:cs="Arial"/>
          <w:sz w:val="20"/>
        </w:rPr>
        <w:t>7.</w:t>
      </w:r>
      <w:r w:rsidR="009B1EC0">
        <w:rPr>
          <w:rFonts w:cs="Arial"/>
          <w:sz w:val="20"/>
        </w:rPr>
        <w:t>3</w:t>
      </w:r>
      <w:r w:rsidRPr="00E3472F">
        <w:rPr>
          <w:rFonts w:cs="Arial"/>
          <w:sz w:val="20"/>
        </w:rPr>
        <w:t xml:space="preserve"> </w:t>
      </w:r>
      <w:bookmarkEnd w:id="131"/>
      <w:bookmarkEnd w:id="132"/>
      <w:r w:rsidR="009B1EC0">
        <w:rPr>
          <w:rFonts w:cs="Arial"/>
          <w:sz w:val="20"/>
        </w:rPr>
        <w:t>Evaluación económica de elaboración propia</w:t>
      </w:r>
      <w:bookmarkEnd w:id="133"/>
    </w:p>
    <w:p w14:paraId="1A59892F" w14:textId="77777777" w:rsidR="009E5916" w:rsidRDefault="009E5916" w:rsidP="009E5916">
      <w:pPr>
        <w:jc w:val="both"/>
        <w:rPr>
          <w:rFonts w:ascii="Arial" w:hAnsi="Arial" w:cs="Arial"/>
          <w:sz w:val="20"/>
          <w:szCs w:val="20"/>
        </w:rPr>
      </w:pPr>
    </w:p>
    <w:p w14:paraId="77F09228" w14:textId="77777777" w:rsidR="009B1EC0" w:rsidRDefault="009B1EC0" w:rsidP="009B1E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7.3.0 Consideraciones generales y selección del tipo de evaluación económica </w:t>
      </w:r>
    </w:p>
    <w:p w14:paraId="632410AD" w14:textId="77777777" w:rsidR="009B1EC0" w:rsidRDefault="009B1EC0" w:rsidP="009B1EC0">
      <w:pPr>
        <w:jc w:val="both"/>
        <w:rPr>
          <w:rFonts w:ascii="Arial" w:hAnsi="Arial" w:cs="Arial"/>
          <w:sz w:val="20"/>
          <w:szCs w:val="20"/>
          <w:highlight w:val="yellow"/>
          <w:lang w:val="es-ES_tradnl"/>
        </w:rPr>
      </w:pPr>
    </w:p>
    <w:p w14:paraId="79A09855" w14:textId="77777777" w:rsidR="008F274C" w:rsidRDefault="008F274C" w:rsidP="008F27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7.3.1. Análisis de minimización de costes. Estudios propios</w:t>
      </w:r>
    </w:p>
    <w:p w14:paraId="2100ECC4" w14:textId="77777777" w:rsidR="008F274C" w:rsidRDefault="008F274C" w:rsidP="008F274C">
      <w:pPr>
        <w:snapToGrid w:val="0"/>
        <w:jc w:val="both"/>
        <w:rPr>
          <w:rFonts w:ascii="Arial" w:hAnsi="Arial" w:cs="Arial"/>
          <w:sz w:val="20"/>
          <w:szCs w:val="20"/>
        </w:rPr>
      </w:pPr>
    </w:p>
    <w:p w14:paraId="3B87E6A8" w14:textId="77777777" w:rsidR="00471A41" w:rsidRDefault="00311D8B" w:rsidP="00471A41">
      <w:pPr>
        <w:snapToGrid w:val="0"/>
        <w:rPr>
          <w:rFonts w:ascii="Arial" w:hAnsi="Arial" w:cs="Arial"/>
          <w:sz w:val="20"/>
          <w:szCs w:val="20"/>
        </w:rPr>
      </w:pPr>
      <w:r>
        <w:rPr>
          <w:rFonts w:ascii="Arial" w:hAnsi="Arial" w:cs="Arial"/>
          <w:sz w:val="20"/>
          <w:szCs w:val="20"/>
        </w:rPr>
        <w:t>No procede</w:t>
      </w:r>
    </w:p>
    <w:p w14:paraId="67A8917F" w14:textId="77777777" w:rsidR="007D02A5" w:rsidRDefault="007D02A5" w:rsidP="00471A41">
      <w:pPr>
        <w:snapToGrid w:val="0"/>
        <w:rPr>
          <w:rFonts w:ascii="Arial" w:hAnsi="Arial" w:cs="Arial"/>
          <w:sz w:val="20"/>
          <w:szCs w:val="20"/>
        </w:rPr>
      </w:pPr>
    </w:p>
    <w:p w14:paraId="48E2A681" w14:textId="77777777" w:rsidR="00471A41" w:rsidRDefault="00471A41" w:rsidP="00471A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7.3.2. Coste-efectividad. Estudios propios</w:t>
      </w:r>
    </w:p>
    <w:p w14:paraId="3A1A75E2" w14:textId="77777777" w:rsidR="00471A41" w:rsidRDefault="00471A41" w:rsidP="00471A41">
      <w:pPr>
        <w:jc w:val="both"/>
        <w:rPr>
          <w:rFonts w:ascii="Arial" w:hAnsi="Arial" w:cs="Arial"/>
          <w:color w:val="FF0000"/>
          <w:sz w:val="20"/>
          <w:szCs w:val="20"/>
        </w:rPr>
      </w:pPr>
    </w:p>
    <w:p w14:paraId="242942D5" w14:textId="77777777" w:rsidR="00471A41" w:rsidRDefault="00471A41" w:rsidP="00471A41">
      <w:pPr>
        <w:pStyle w:val="Encabezado"/>
        <w:tabs>
          <w:tab w:val="clear" w:pos="4252"/>
          <w:tab w:val="clear" w:pos="8504"/>
        </w:tabs>
        <w:jc w:val="both"/>
        <w:rPr>
          <w:rFonts w:ascii="Arial" w:hAnsi="Arial" w:cs="Arial"/>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134"/>
        <w:gridCol w:w="1134"/>
        <w:gridCol w:w="850"/>
        <w:gridCol w:w="851"/>
        <w:gridCol w:w="992"/>
        <w:gridCol w:w="850"/>
        <w:gridCol w:w="851"/>
        <w:gridCol w:w="709"/>
        <w:gridCol w:w="1134"/>
      </w:tblGrid>
      <w:tr w:rsidR="00471A41" w:rsidRPr="00471A41" w14:paraId="3659C8AA" w14:textId="77777777" w:rsidTr="005F2188">
        <w:trPr>
          <w:cantSplit/>
        </w:trPr>
        <w:tc>
          <w:tcPr>
            <w:tcW w:w="9001" w:type="dxa"/>
            <w:gridSpan w:val="10"/>
            <w:shd w:val="clear" w:color="auto" w:fill="CCFFCC"/>
          </w:tcPr>
          <w:p w14:paraId="5DF5B626" w14:textId="77777777" w:rsidR="00471A41" w:rsidRPr="00471A41" w:rsidRDefault="00471A41" w:rsidP="00DD11A7">
            <w:pPr>
              <w:jc w:val="both"/>
              <w:rPr>
                <w:rFonts w:ascii="Arial" w:hAnsi="Arial" w:cs="Arial"/>
                <w:b/>
                <w:sz w:val="16"/>
                <w:szCs w:val="16"/>
                <w:lang w:val="es-ES_tradnl"/>
              </w:rPr>
            </w:pPr>
            <w:r w:rsidRPr="00F97234">
              <w:rPr>
                <w:rFonts w:ascii="Arial" w:hAnsi="Arial" w:cs="Arial"/>
                <w:b/>
                <w:sz w:val="18"/>
                <w:szCs w:val="16"/>
                <w:lang w:val="es-ES_tradnl"/>
              </w:rPr>
              <w:t>Tabla 7.3.2.1. Análisis de coste-efectividad cuando la variable de efectividad es una variable continua</w:t>
            </w:r>
          </w:p>
        </w:tc>
      </w:tr>
      <w:tr w:rsidR="00471A41" w14:paraId="56C5B0FB" w14:textId="77777777" w:rsidTr="005F2188">
        <w:trPr>
          <w:cantSplit/>
        </w:trPr>
        <w:tc>
          <w:tcPr>
            <w:tcW w:w="496" w:type="dxa"/>
            <w:shd w:val="clear" w:color="auto" w:fill="E0E0E0"/>
          </w:tcPr>
          <w:p w14:paraId="2D73FB13" w14:textId="77777777" w:rsidR="00471A41" w:rsidRDefault="00471A41" w:rsidP="00DD11A7">
            <w:pPr>
              <w:jc w:val="center"/>
              <w:rPr>
                <w:rFonts w:ascii="Arial" w:hAnsi="Arial" w:cs="Arial"/>
                <w:sz w:val="16"/>
                <w:lang w:val="es-ES_tradnl"/>
              </w:rPr>
            </w:pPr>
          </w:p>
        </w:tc>
        <w:tc>
          <w:tcPr>
            <w:tcW w:w="1134" w:type="dxa"/>
            <w:shd w:val="clear" w:color="auto" w:fill="E0E0E0"/>
          </w:tcPr>
          <w:p w14:paraId="5573CF28" w14:textId="77777777" w:rsidR="00471A41" w:rsidRDefault="00471A41" w:rsidP="00DD11A7">
            <w:pPr>
              <w:jc w:val="center"/>
              <w:rPr>
                <w:rFonts w:ascii="Arial" w:hAnsi="Arial" w:cs="Arial"/>
                <w:sz w:val="16"/>
                <w:lang w:val="es-ES_tradnl"/>
              </w:rPr>
            </w:pPr>
            <w:r>
              <w:rPr>
                <w:rFonts w:ascii="Arial" w:hAnsi="Arial" w:cs="Arial"/>
                <w:sz w:val="16"/>
                <w:lang w:val="es-ES_tradnl"/>
              </w:rPr>
              <w:t>Variable</w:t>
            </w:r>
          </w:p>
        </w:tc>
        <w:tc>
          <w:tcPr>
            <w:tcW w:w="1134" w:type="dxa"/>
            <w:shd w:val="clear" w:color="auto" w:fill="E0E0E0"/>
          </w:tcPr>
          <w:p w14:paraId="56DF27C4" w14:textId="77777777" w:rsidR="00471A41" w:rsidRDefault="00471A41" w:rsidP="00DD11A7">
            <w:pPr>
              <w:jc w:val="center"/>
              <w:rPr>
                <w:rFonts w:ascii="Arial" w:hAnsi="Arial" w:cs="Arial"/>
                <w:sz w:val="16"/>
                <w:lang w:val="es-ES_tradnl"/>
              </w:rPr>
            </w:pPr>
            <w:r>
              <w:rPr>
                <w:rFonts w:ascii="Arial" w:hAnsi="Arial" w:cs="Arial"/>
                <w:b/>
                <w:sz w:val="16"/>
              </w:rPr>
              <w:t>Descripción de la VARIABLE  evaluada</w:t>
            </w:r>
          </w:p>
        </w:tc>
        <w:tc>
          <w:tcPr>
            <w:tcW w:w="850" w:type="dxa"/>
            <w:shd w:val="clear" w:color="auto" w:fill="E0E0E0"/>
          </w:tcPr>
          <w:p w14:paraId="4A057C2B" w14:textId="77777777" w:rsidR="00471A41" w:rsidRDefault="00471A41" w:rsidP="00285340">
            <w:pPr>
              <w:jc w:val="center"/>
              <w:rPr>
                <w:rFonts w:ascii="Arial" w:hAnsi="Arial" w:cs="Arial"/>
                <w:b/>
                <w:sz w:val="16"/>
              </w:rPr>
            </w:pPr>
            <w:r>
              <w:rPr>
                <w:rFonts w:ascii="Arial" w:hAnsi="Arial" w:cs="Arial"/>
                <w:b/>
                <w:sz w:val="16"/>
              </w:rPr>
              <w:t xml:space="preserve">Eficacia de </w:t>
            </w:r>
            <w:r w:rsidR="00285340">
              <w:rPr>
                <w:rFonts w:ascii="Arial" w:hAnsi="Arial" w:cs="Arial"/>
                <w:b/>
                <w:sz w:val="16"/>
              </w:rPr>
              <w:t>Niraparib/AAP</w:t>
            </w:r>
          </w:p>
          <w:p w14:paraId="4F796206" w14:textId="77777777" w:rsidR="00285340" w:rsidRDefault="00285340" w:rsidP="00285340">
            <w:pPr>
              <w:jc w:val="center"/>
              <w:rPr>
                <w:rFonts w:ascii="Arial" w:hAnsi="Arial" w:cs="Arial"/>
                <w:sz w:val="16"/>
                <w:lang w:val="es-ES_tradnl"/>
              </w:rPr>
            </w:pPr>
            <w:r>
              <w:rPr>
                <w:rFonts w:ascii="Arial" w:hAnsi="Arial" w:cs="Arial"/>
                <w:b/>
                <w:sz w:val="16"/>
              </w:rPr>
              <w:t>Mediana (meses)</w:t>
            </w:r>
          </w:p>
        </w:tc>
        <w:tc>
          <w:tcPr>
            <w:tcW w:w="851" w:type="dxa"/>
            <w:shd w:val="clear" w:color="auto" w:fill="E0E0E0"/>
          </w:tcPr>
          <w:p w14:paraId="7EB2694D" w14:textId="77777777" w:rsidR="00471A41" w:rsidRDefault="00471A41" w:rsidP="00285340">
            <w:pPr>
              <w:jc w:val="center"/>
              <w:rPr>
                <w:rFonts w:ascii="Arial" w:hAnsi="Arial" w:cs="Arial"/>
                <w:b/>
                <w:sz w:val="16"/>
              </w:rPr>
            </w:pPr>
            <w:r>
              <w:rPr>
                <w:rFonts w:ascii="Arial" w:hAnsi="Arial" w:cs="Arial"/>
                <w:b/>
                <w:sz w:val="16"/>
              </w:rPr>
              <w:t xml:space="preserve">Eficacia </w:t>
            </w:r>
            <w:r w:rsidR="00285340">
              <w:rPr>
                <w:rFonts w:ascii="Arial" w:hAnsi="Arial" w:cs="Arial"/>
                <w:b/>
                <w:sz w:val="16"/>
              </w:rPr>
              <w:t xml:space="preserve">placebo/AAP </w:t>
            </w:r>
          </w:p>
        </w:tc>
        <w:tc>
          <w:tcPr>
            <w:tcW w:w="992" w:type="dxa"/>
            <w:shd w:val="clear" w:color="auto" w:fill="E0E0E0"/>
          </w:tcPr>
          <w:p w14:paraId="1D7EA91C" w14:textId="77777777" w:rsidR="00471A41" w:rsidRDefault="00471A41" w:rsidP="00DD11A7">
            <w:pPr>
              <w:jc w:val="center"/>
              <w:rPr>
                <w:rFonts w:ascii="Arial" w:hAnsi="Arial" w:cs="Arial"/>
                <w:b/>
                <w:sz w:val="16"/>
                <w:lang w:val="es-ES_tradnl"/>
              </w:rPr>
            </w:pPr>
            <w:r>
              <w:rPr>
                <w:rFonts w:ascii="Arial" w:hAnsi="Arial" w:cs="Arial"/>
                <w:b/>
                <w:sz w:val="16"/>
                <w:lang w:val="es-ES_tradnl"/>
              </w:rPr>
              <w:t xml:space="preserve">Diferencia de eficacia </w:t>
            </w:r>
          </w:p>
        </w:tc>
        <w:tc>
          <w:tcPr>
            <w:tcW w:w="850" w:type="dxa"/>
            <w:shd w:val="clear" w:color="auto" w:fill="E0E0E0"/>
          </w:tcPr>
          <w:p w14:paraId="1F2A4DA6" w14:textId="77777777" w:rsidR="00471A41" w:rsidRDefault="00471A41" w:rsidP="00DD11A7">
            <w:pPr>
              <w:jc w:val="center"/>
              <w:rPr>
                <w:rFonts w:ascii="Arial" w:hAnsi="Arial" w:cs="Arial"/>
                <w:b/>
                <w:sz w:val="16"/>
              </w:rPr>
            </w:pPr>
            <w:r>
              <w:rPr>
                <w:rFonts w:ascii="Arial" w:hAnsi="Arial" w:cs="Arial"/>
                <w:b/>
                <w:sz w:val="16"/>
              </w:rPr>
              <w:t>Coste por paciente con A</w:t>
            </w:r>
          </w:p>
        </w:tc>
        <w:tc>
          <w:tcPr>
            <w:tcW w:w="851" w:type="dxa"/>
            <w:shd w:val="clear" w:color="auto" w:fill="E0E0E0"/>
          </w:tcPr>
          <w:p w14:paraId="34F18ECE" w14:textId="77777777" w:rsidR="00471A41" w:rsidRDefault="00471A41" w:rsidP="00DD11A7">
            <w:pPr>
              <w:jc w:val="center"/>
              <w:rPr>
                <w:rFonts w:ascii="Arial" w:hAnsi="Arial" w:cs="Arial"/>
                <w:b/>
                <w:sz w:val="16"/>
              </w:rPr>
            </w:pPr>
            <w:r>
              <w:rPr>
                <w:rFonts w:ascii="Arial" w:hAnsi="Arial" w:cs="Arial"/>
                <w:b/>
                <w:sz w:val="16"/>
              </w:rPr>
              <w:t>Coste por paciente con B</w:t>
            </w:r>
          </w:p>
        </w:tc>
        <w:tc>
          <w:tcPr>
            <w:tcW w:w="709" w:type="dxa"/>
            <w:shd w:val="clear" w:color="auto" w:fill="E0E0E0"/>
          </w:tcPr>
          <w:p w14:paraId="320042D6" w14:textId="77777777" w:rsidR="00471A41" w:rsidRDefault="00471A41" w:rsidP="00DD11A7">
            <w:pPr>
              <w:jc w:val="center"/>
              <w:rPr>
                <w:rFonts w:ascii="Arial" w:hAnsi="Arial" w:cs="Arial"/>
                <w:b/>
                <w:sz w:val="16"/>
              </w:rPr>
            </w:pPr>
            <w:r>
              <w:rPr>
                <w:rFonts w:ascii="Arial" w:hAnsi="Arial" w:cs="Arial"/>
                <w:b/>
                <w:sz w:val="16"/>
              </w:rPr>
              <w:t>Coste incre-mental</w:t>
            </w:r>
          </w:p>
        </w:tc>
        <w:tc>
          <w:tcPr>
            <w:tcW w:w="1134" w:type="dxa"/>
            <w:shd w:val="clear" w:color="auto" w:fill="E0E0E0"/>
          </w:tcPr>
          <w:p w14:paraId="4F10E8F4" w14:textId="77777777" w:rsidR="00471A41" w:rsidRDefault="00471A41" w:rsidP="00DD11A7">
            <w:pPr>
              <w:jc w:val="center"/>
              <w:rPr>
                <w:rFonts w:ascii="Arial" w:hAnsi="Arial" w:cs="Arial"/>
                <w:b/>
                <w:sz w:val="16"/>
                <w:lang w:val="es-ES_tradnl"/>
              </w:rPr>
            </w:pPr>
            <w:r>
              <w:rPr>
                <w:rFonts w:ascii="Arial" w:hAnsi="Arial" w:cs="Arial"/>
                <w:b/>
                <w:sz w:val="16"/>
                <w:lang w:val="es-ES_tradnl"/>
              </w:rPr>
              <w:t>Razón Coste-efectividad incremental (RCEI)</w:t>
            </w:r>
          </w:p>
        </w:tc>
      </w:tr>
      <w:tr w:rsidR="00311D8B" w14:paraId="12DC8E9C" w14:textId="77777777" w:rsidTr="0003400F">
        <w:trPr>
          <w:gridAfter w:val="8"/>
          <w:wAfter w:w="7371" w:type="dxa"/>
          <w:cantSplit/>
          <w:trHeight w:val="184"/>
        </w:trPr>
        <w:tc>
          <w:tcPr>
            <w:tcW w:w="496" w:type="dxa"/>
            <w:vMerge w:val="restart"/>
          </w:tcPr>
          <w:p w14:paraId="79236CF0" w14:textId="77777777" w:rsidR="00311D8B" w:rsidRDefault="00311D8B" w:rsidP="00DD11A7">
            <w:pPr>
              <w:rPr>
                <w:rFonts w:ascii="Arial" w:hAnsi="Arial" w:cs="Arial"/>
                <w:sz w:val="16"/>
                <w:lang w:val="es-ES_tradnl"/>
              </w:rPr>
            </w:pPr>
            <w:r>
              <w:rPr>
                <w:rFonts w:ascii="Arial" w:hAnsi="Arial" w:cs="Arial"/>
                <w:sz w:val="16"/>
                <w:lang w:val="es-ES_tradnl"/>
              </w:rPr>
              <w:t>magnitude</w:t>
            </w:r>
          </w:p>
          <w:p w14:paraId="5F1738A2" w14:textId="77777777" w:rsidR="00311D8B" w:rsidRDefault="00311D8B" w:rsidP="00DD11A7">
            <w:pPr>
              <w:rPr>
                <w:rFonts w:ascii="Arial" w:hAnsi="Arial" w:cs="Arial"/>
                <w:sz w:val="16"/>
                <w:lang w:val="es-ES_tradnl"/>
              </w:rPr>
            </w:pPr>
          </w:p>
        </w:tc>
        <w:tc>
          <w:tcPr>
            <w:tcW w:w="1134" w:type="dxa"/>
            <w:vMerge w:val="restart"/>
          </w:tcPr>
          <w:p w14:paraId="18E48C06" w14:textId="77777777" w:rsidR="00311D8B" w:rsidRDefault="00311D8B" w:rsidP="00537140">
            <w:pPr>
              <w:rPr>
                <w:rFonts w:ascii="Arial" w:hAnsi="Arial" w:cs="Arial"/>
                <w:sz w:val="16"/>
                <w:lang w:val="es-ES_tradnl"/>
              </w:rPr>
            </w:pPr>
            <w:r w:rsidRPr="0003400F">
              <w:rPr>
                <w:rFonts w:ascii="Arial" w:hAnsi="Arial" w:cs="Arial"/>
                <w:b/>
                <w:sz w:val="16"/>
                <w:lang w:val="es-ES_tradnl"/>
              </w:rPr>
              <w:t>Principal</w:t>
            </w:r>
            <w:r>
              <w:rPr>
                <w:rFonts w:ascii="Arial" w:hAnsi="Arial" w:cs="Arial"/>
                <w:sz w:val="16"/>
                <w:lang w:val="es-ES_tradnl"/>
              </w:rPr>
              <w:t xml:space="preserve"> (mediana) – </w:t>
            </w:r>
            <w:r w:rsidR="00537140">
              <w:rPr>
                <w:rFonts w:ascii="Arial" w:hAnsi="Arial" w:cs="Arial"/>
                <w:sz w:val="16"/>
                <w:lang w:val="es-ES_tradnl"/>
              </w:rPr>
              <w:t>Datos actualizados</w:t>
            </w:r>
            <w:r>
              <w:rPr>
                <w:rFonts w:ascii="Arial" w:hAnsi="Arial" w:cs="Arial"/>
                <w:sz w:val="16"/>
                <w:lang w:val="es-ES_tradnl"/>
              </w:rPr>
              <w:t xml:space="preserve"> – tiempo de seguimiento = </w:t>
            </w:r>
            <w:r w:rsidR="00537140">
              <w:rPr>
                <w:rFonts w:ascii="Arial" w:hAnsi="Arial" w:cs="Arial"/>
                <w:sz w:val="16"/>
                <w:lang w:val="es-ES_tradnl"/>
              </w:rPr>
              <w:t>24,8</w:t>
            </w:r>
            <w:r>
              <w:rPr>
                <w:rFonts w:ascii="Arial" w:hAnsi="Arial" w:cs="Arial"/>
                <w:sz w:val="16"/>
                <w:lang w:val="es-ES_tradnl"/>
              </w:rPr>
              <w:t xml:space="preserve"> meses</w:t>
            </w:r>
          </w:p>
        </w:tc>
      </w:tr>
      <w:tr w:rsidR="00537140" w14:paraId="08BC5544" w14:textId="77777777" w:rsidTr="00A56B46">
        <w:trPr>
          <w:cantSplit/>
        </w:trPr>
        <w:tc>
          <w:tcPr>
            <w:tcW w:w="496" w:type="dxa"/>
            <w:vMerge/>
          </w:tcPr>
          <w:p w14:paraId="3257B4A4" w14:textId="77777777" w:rsidR="00537140" w:rsidRDefault="00537140" w:rsidP="00537140">
            <w:pPr>
              <w:rPr>
                <w:rFonts w:ascii="Arial" w:hAnsi="Arial" w:cs="Arial"/>
                <w:sz w:val="16"/>
                <w:lang w:val="es-ES_tradnl"/>
              </w:rPr>
            </w:pPr>
          </w:p>
        </w:tc>
        <w:tc>
          <w:tcPr>
            <w:tcW w:w="1134" w:type="dxa"/>
            <w:vMerge/>
          </w:tcPr>
          <w:p w14:paraId="69B9B35E" w14:textId="77777777" w:rsidR="00537140" w:rsidRPr="0003400F" w:rsidRDefault="00537140" w:rsidP="00537140">
            <w:pPr>
              <w:rPr>
                <w:rFonts w:ascii="Arial" w:hAnsi="Arial" w:cs="Arial"/>
                <w:b/>
                <w:sz w:val="16"/>
                <w:lang w:val="es-ES_tradnl"/>
              </w:rPr>
            </w:pPr>
          </w:p>
        </w:tc>
        <w:tc>
          <w:tcPr>
            <w:tcW w:w="1134" w:type="dxa"/>
            <w:vAlign w:val="center"/>
          </w:tcPr>
          <w:p w14:paraId="14231B68" w14:textId="77777777" w:rsidR="00537140" w:rsidRDefault="00537140" w:rsidP="00537140">
            <w:pPr>
              <w:jc w:val="center"/>
              <w:rPr>
                <w:rFonts w:ascii="Arial" w:hAnsi="Arial" w:cs="Arial"/>
                <w:sz w:val="16"/>
                <w:lang w:val="es-ES_tradnl"/>
              </w:rPr>
            </w:pPr>
            <w:r>
              <w:rPr>
                <w:rFonts w:ascii="Arial" w:hAnsi="Arial" w:cs="Arial"/>
                <w:sz w:val="16"/>
                <w:lang w:val="es-ES_tradnl"/>
              </w:rPr>
              <w:t>SLPr en subgrupo población BRCA1/2</w:t>
            </w:r>
          </w:p>
          <w:p w14:paraId="21DF1ABB" w14:textId="77777777" w:rsidR="00537140" w:rsidRDefault="00537140" w:rsidP="00537140">
            <w:pPr>
              <w:jc w:val="center"/>
              <w:rPr>
                <w:rFonts w:ascii="Arial" w:hAnsi="Arial" w:cs="Arial"/>
                <w:sz w:val="16"/>
                <w:lang w:val="es-ES_tradnl"/>
              </w:rPr>
            </w:pPr>
            <w:r>
              <w:rPr>
                <w:rFonts w:ascii="Arial" w:hAnsi="Arial" w:cs="Arial"/>
                <w:sz w:val="16"/>
                <w:lang w:val="es-ES_tradnl"/>
              </w:rPr>
              <w:t>Indicación aprobada</w:t>
            </w:r>
          </w:p>
        </w:tc>
        <w:tc>
          <w:tcPr>
            <w:tcW w:w="850" w:type="dxa"/>
            <w:vAlign w:val="center"/>
          </w:tcPr>
          <w:p w14:paraId="07114962" w14:textId="77777777" w:rsidR="00537140" w:rsidRDefault="00537140" w:rsidP="00537140">
            <w:pPr>
              <w:jc w:val="center"/>
              <w:rPr>
                <w:rFonts w:ascii="Arial" w:hAnsi="Arial" w:cs="Arial"/>
                <w:sz w:val="16"/>
                <w:szCs w:val="16"/>
              </w:rPr>
            </w:pPr>
            <w:r>
              <w:rPr>
                <w:rFonts w:ascii="Arial" w:hAnsi="Arial" w:cs="Arial"/>
                <w:sz w:val="16"/>
                <w:szCs w:val="16"/>
              </w:rPr>
              <w:t>19,5 meses</w:t>
            </w:r>
          </w:p>
        </w:tc>
        <w:tc>
          <w:tcPr>
            <w:tcW w:w="851" w:type="dxa"/>
            <w:vAlign w:val="center"/>
          </w:tcPr>
          <w:p w14:paraId="3D38F916" w14:textId="77777777" w:rsidR="00537140" w:rsidRDefault="00537140" w:rsidP="00A56B46">
            <w:pPr>
              <w:jc w:val="center"/>
              <w:rPr>
                <w:rFonts w:ascii="Arial" w:hAnsi="Arial" w:cs="Arial"/>
                <w:sz w:val="16"/>
                <w:lang w:val="es-ES_tradnl"/>
              </w:rPr>
            </w:pPr>
            <w:r>
              <w:rPr>
                <w:rFonts w:ascii="Arial" w:hAnsi="Arial" w:cs="Arial"/>
                <w:sz w:val="16"/>
                <w:lang w:val="es-ES_tradnl"/>
              </w:rPr>
              <w:t>10,9 meses</w:t>
            </w:r>
          </w:p>
        </w:tc>
        <w:tc>
          <w:tcPr>
            <w:tcW w:w="992" w:type="dxa"/>
            <w:vAlign w:val="center"/>
          </w:tcPr>
          <w:p w14:paraId="4DB89B94" w14:textId="77777777" w:rsidR="00537140" w:rsidRDefault="0088431D" w:rsidP="00A56B46">
            <w:pPr>
              <w:jc w:val="center"/>
              <w:rPr>
                <w:rFonts w:ascii="Arial" w:hAnsi="Arial" w:cs="Arial"/>
                <w:sz w:val="16"/>
              </w:rPr>
            </w:pPr>
            <w:r>
              <w:rPr>
                <w:rFonts w:ascii="Arial" w:hAnsi="Arial" w:cs="Arial"/>
                <w:sz w:val="16"/>
              </w:rPr>
              <w:t>0,72 años (</w:t>
            </w:r>
            <w:r w:rsidR="00537140">
              <w:rPr>
                <w:rFonts w:ascii="Arial" w:hAnsi="Arial" w:cs="Arial"/>
                <w:sz w:val="16"/>
              </w:rPr>
              <w:t>8,6</w:t>
            </w:r>
            <w:r w:rsidR="00B934A3">
              <w:rPr>
                <w:rFonts w:ascii="Arial" w:hAnsi="Arial" w:cs="Arial"/>
                <w:sz w:val="16"/>
              </w:rPr>
              <w:t xml:space="preserve"> </w:t>
            </w:r>
            <w:r w:rsidR="00537140">
              <w:rPr>
                <w:rFonts w:ascii="Arial" w:hAnsi="Arial" w:cs="Arial"/>
                <w:sz w:val="16"/>
              </w:rPr>
              <w:t>meses</w:t>
            </w:r>
            <w:r>
              <w:rPr>
                <w:rFonts w:ascii="Arial" w:hAnsi="Arial" w:cs="Arial"/>
                <w:sz w:val="16"/>
              </w:rPr>
              <w:t>)</w:t>
            </w:r>
          </w:p>
        </w:tc>
        <w:tc>
          <w:tcPr>
            <w:tcW w:w="850" w:type="dxa"/>
            <w:vAlign w:val="center"/>
          </w:tcPr>
          <w:p w14:paraId="3E356DC2" w14:textId="73D70036" w:rsidR="00537140" w:rsidRPr="00EC4B0E" w:rsidRDefault="00537140" w:rsidP="006C5E7C">
            <w:pPr>
              <w:jc w:val="center"/>
              <w:rPr>
                <w:rFonts w:ascii="Arial" w:hAnsi="Arial" w:cs="Arial"/>
                <w:sz w:val="16"/>
              </w:rPr>
            </w:pPr>
            <w:r>
              <w:rPr>
                <w:rFonts w:ascii="Arial" w:hAnsi="Arial" w:cs="Arial"/>
                <w:sz w:val="16"/>
              </w:rPr>
              <w:t>94.</w:t>
            </w:r>
            <w:r w:rsidR="006C5E7C">
              <w:rPr>
                <w:rFonts w:ascii="Arial" w:hAnsi="Arial" w:cs="Arial"/>
                <w:sz w:val="16"/>
              </w:rPr>
              <w:t>659</w:t>
            </w:r>
            <w:r>
              <w:rPr>
                <w:rFonts w:ascii="Arial" w:hAnsi="Arial" w:cs="Arial"/>
                <w:sz w:val="16"/>
              </w:rPr>
              <w:t xml:space="preserve"> €</w:t>
            </w:r>
          </w:p>
        </w:tc>
        <w:tc>
          <w:tcPr>
            <w:tcW w:w="851" w:type="dxa"/>
            <w:vAlign w:val="center"/>
          </w:tcPr>
          <w:p w14:paraId="22C08205" w14:textId="283CC24E" w:rsidR="00537140" w:rsidRPr="00EC4B0E" w:rsidRDefault="00537140" w:rsidP="006C5E7C">
            <w:pPr>
              <w:jc w:val="center"/>
              <w:rPr>
                <w:rFonts w:ascii="Arial" w:hAnsi="Arial" w:cs="Arial"/>
                <w:sz w:val="16"/>
              </w:rPr>
            </w:pPr>
            <w:r>
              <w:rPr>
                <w:rFonts w:ascii="Arial" w:hAnsi="Arial" w:cs="Arial"/>
                <w:sz w:val="16"/>
              </w:rPr>
              <w:t>15.2</w:t>
            </w:r>
            <w:r w:rsidR="006C5E7C">
              <w:rPr>
                <w:rFonts w:ascii="Arial" w:hAnsi="Arial" w:cs="Arial"/>
                <w:sz w:val="16"/>
              </w:rPr>
              <w:t>40</w:t>
            </w:r>
            <w:r>
              <w:rPr>
                <w:rFonts w:ascii="Arial" w:hAnsi="Arial" w:cs="Arial"/>
                <w:sz w:val="16"/>
              </w:rPr>
              <w:t xml:space="preserve"> €</w:t>
            </w:r>
          </w:p>
        </w:tc>
        <w:tc>
          <w:tcPr>
            <w:tcW w:w="709" w:type="dxa"/>
            <w:vAlign w:val="center"/>
          </w:tcPr>
          <w:p w14:paraId="4E48CBCA" w14:textId="3E4C248C" w:rsidR="00537140" w:rsidRDefault="00537140" w:rsidP="006C5E7C">
            <w:pPr>
              <w:jc w:val="center"/>
              <w:rPr>
                <w:rFonts w:ascii="Arial" w:hAnsi="Arial" w:cs="Arial"/>
                <w:sz w:val="16"/>
              </w:rPr>
            </w:pPr>
            <w:r>
              <w:rPr>
                <w:rFonts w:ascii="Arial" w:hAnsi="Arial" w:cs="Arial"/>
                <w:sz w:val="16"/>
              </w:rPr>
              <w:t>79.</w:t>
            </w:r>
            <w:r w:rsidR="006C5E7C">
              <w:rPr>
                <w:rFonts w:ascii="Arial" w:hAnsi="Arial" w:cs="Arial"/>
                <w:sz w:val="16"/>
              </w:rPr>
              <w:t>419</w:t>
            </w:r>
            <w:r>
              <w:rPr>
                <w:rFonts w:ascii="Arial" w:hAnsi="Arial" w:cs="Arial"/>
                <w:sz w:val="16"/>
              </w:rPr>
              <w:t xml:space="preserve"> €</w:t>
            </w:r>
          </w:p>
        </w:tc>
        <w:tc>
          <w:tcPr>
            <w:tcW w:w="1134" w:type="dxa"/>
            <w:vAlign w:val="center"/>
          </w:tcPr>
          <w:p w14:paraId="59BED348" w14:textId="33F79A8A" w:rsidR="00537140" w:rsidRDefault="0088431D" w:rsidP="006C5E7C">
            <w:pPr>
              <w:jc w:val="center"/>
              <w:rPr>
                <w:rFonts w:ascii="Arial" w:hAnsi="Arial" w:cs="Arial"/>
                <w:sz w:val="16"/>
              </w:rPr>
            </w:pPr>
            <w:r>
              <w:rPr>
                <w:rFonts w:ascii="Arial" w:hAnsi="Arial" w:cs="Arial"/>
                <w:sz w:val="16"/>
              </w:rPr>
              <w:t>110.</w:t>
            </w:r>
            <w:r w:rsidR="006C5E7C">
              <w:rPr>
                <w:rFonts w:ascii="Arial" w:hAnsi="Arial" w:cs="Arial"/>
                <w:sz w:val="16"/>
              </w:rPr>
              <w:t>304</w:t>
            </w:r>
            <w:r w:rsidR="00537140">
              <w:rPr>
                <w:rFonts w:ascii="Arial" w:hAnsi="Arial" w:cs="Arial"/>
                <w:sz w:val="16"/>
              </w:rPr>
              <w:t xml:space="preserve"> €</w:t>
            </w:r>
          </w:p>
        </w:tc>
      </w:tr>
      <w:tr w:rsidR="00537140" w14:paraId="27F95D1C" w14:textId="77777777" w:rsidTr="0003400F">
        <w:trPr>
          <w:gridAfter w:val="9"/>
          <w:wAfter w:w="8505" w:type="dxa"/>
          <w:cantSplit/>
          <w:trHeight w:val="184"/>
        </w:trPr>
        <w:tc>
          <w:tcPr>
            <w:tcW w:w="496" w:type="dxa"/>
            <w:vMerge/>
          </w:tcPr>
          <w:p w14:paraId="3C1FB897" w14:textId="77777777" w:rsidR="00537140" w:rsidRDefault="00537140" w:rsidP="00537140">
            <w:pPr>
              <w:rPr>
                <w:rFonts w:ascii="Arial" w:hAnsi="Arial" w:cs="Arial"/>
                <w:sz w:val="16"/>
              </w:rPr>
            </w:pPr>
          </w:p>
        </w:tc>
      </w:tr>
      <w:tr w:rsidR="00537140" w14:paraId="57AD636F" w14:textId="77777777" w:rsidTr="005F2188">
        <w:trPr>
          <w:cantSplit/>
        </w:trPr>
        <w:tc>
          <w:tcPr>
            <w:tcW w:w="9001" w:type="dxa"/>
            <w:gridSpan w:val="10"/>
            <w:shd w:val="clear" w:color="auto" w:fill="F2F2F2"/>
          </w:tcPr>
          <w:p w14:paraId="2475D65D" w14:textId="77777777" w:rsidR="00537140" w:rsidRPr="00A379A0" w:rsidRDefault="00537140" w:rsidP="00537140">
            <w:pPr>
              <w:pStyle w:val="Encabezado"/>
              <w:tabs>
                <w:tab w:val="clear" w:pos="4252"/>
                <w:tab w:val="clear" w:pos="8504"/>
              </w:tabs>
              <w:jc w:val="both"/>
              <w:rPr>
                <w:rFonts w:ascii="Arial" w:hAnsi="Arial" w:cs="Arial"/>
                <w:sz w:val="16"/>
                <w:szCs w:val="20"/>
              </w:rPr>
            </w:pPr>
            <w:r w:rsidRPr="00A379A0">
              <w:rPr>
                <w:rFonts w:ascii="Arial" w:hAnsi="Arial" w:cs="Arial"/>
                <w:sz w:val="16"/>
                <w:szCs w:val="20"/>
              </w:rPr>
              <w:t>Los datos de eficacia se extraen del apartado 5.2 del programa MADRE y variables recogidas en la tabla 7.3.0.1 y los de coste incremental o diferencial del apartado 7.1.</w:t>
            </w:r>
          </w:p>
        </w:tc>
      </w:tr>
    </w:tbl>
    <w:p w14:paraId="31CC7543" w14:textId="77777777" w:rsidR="00471A41" w:rsidRDefault="00471A41" w:rsidP="00471A41">
      <w:pPr>
        <w:pStyle w:val="Encabezado"/>
        <w:tabs>
          <w:tab w:val="clear" w:pos="4252"/>
          <w:tab w:val="clear" w:pos="8504"/>
        </w:tabs>
        <w:jc w:val="both"/>
        <w:rPr>
          <w:rFonts w:ascii="Arial" w:hAnsi="Arial" w:cs="Arial"/>
          <w:lang w:val="es-ES_tradnl"/>
        </w:rPr>
      </w:pPr>
    </w:p>
    <w:p w14:paraId="0BBB6050" w14:textId="77777777" w:rsidR="00471A41" w:rsidRPr="00B33A2F" w:rsidRDefault="00471A41" w:rsidP="00471A41">
      <w:pPr>
        <w:pStyle w:val="Encabezado"/>
        <w:tabs>
          <w:tab w:val="clear" w:pos="4252"/>
          <w:tab w:val="clear" w:pos="8504"/>
        </w:tabs>
        <w:rPr>
          <w:rFonts w:ascii="Arial" w:hAnsi="Arial" w:cs="Arial"/>
          <w:sz w:val="20"/>
          <w:szCs w:val="20"/>
        </w:rPr>
      </w:pPr>
    </w:p>
    <w:p w14:paraId="2E6A8FCA" w14:textId="233032AB" w:rsidR="00B33A2F" w:rsidRDefault="00471A41" w:rsidP="00471A41">
      <w:pPr>
        <w:pStyle w:val="Encabezado"/>
        <w:tabs>
          <w:tab w:val="clear" w:pos="4252"/>
          <w:tab w:val="clear" w:pos="8504"/>
        </w:tabs>
        <w:jc w:val="both"/>
        <w:rPr>
          <w:rFonts w:ascii="Arial" w:hAnsi="Arial" w:cs="Arial"/>
          <w:sz w:val="20"/>
          <w:szCs w:val="20"/>
        </w:rPr>
      </w:pPr>
      <w:r w:rsidRPr="008D2A3D">
        <w:rPr>
          <w:rFonts w:ascii="Arial" w:hAnsi="Arial" w:cs="Arial"/>
          <w:sz w:val="20"/>
          <w:szCs w:val="20"/>
        </w:rPr>
        <w:t>Según los datos del estudio</w:t>
      </w:r>
      <w:r w:rsidR="00B33A2F">
        <w:rPr>
          <w:rFonts w:ascii="Arial" w:hAnsi="Arial" w:cs="Arial"/>
          <w:sz w:val="20"/>
          <w:szCs w:val="20"/>
        </w:rPr>
        <w:t xml:space="preserve"> MAGNITUDE</w:t>
      </w:r>
      <w:r w:rsidRPr="008D2A3D">
        <w:rPr>
          <w:rFonts w:ascii="Arial" w:hAnsi="Arial" w:cs="Arial"/>
          <w:sz w:val="20"/>
          <w:szCs w:val="20"/>
        </w:rPr>
        <w:t xml:space="preserve"> sobre la eficacia con los tratamientos </w:t>
      </w:r>
      <w:r w:rsidR="00B33A2F">
        <w:rPr>
          <w:rFonts w:ascii="Arial" w:hAnsi="Arial" w:cs="Arial"/>
          <w:sz w:val="20"/>
          <w:szCs w:val="20"/>
        </w:rPr>
        <w:t>niraparib/AAP</w:t>
      </w:r>
      <w:r w:rsidRPr="008D2A3D">
        <w:rPr>
          <w:rFonts w:ascii="Arial" w:hAnsi="Arial" w:cs="Arial"/>
          <w:sz w:val="20"/>
          <w:szCs w:val="20"/>
        </w:rPr>
        <w:t xml:space="preserve"> y </w:t>
      </w:r>
      <w:r w:rsidR="00B33A2F">
        <w:rPr>
          <w:rFonts w:ascii="Arial" w:hAnsi="Arial" w:cs="Arial"/>
          <w:sz w:val="20"/>
          <w:szCs w:val="20"/>
        </w:rPr>
        <w:t xml:space="preserve">placebo/AAP en </w:t>
      </w:r>
      <w:r w:rsidR="00B33A2F" w:rsidRPr="00B33A2F">
        <w:rPr>
          <w:rFonts w:ascii="Arial" w:hAnsi="Arial" w:cs="Arial"/>
          <w:b/>
          <w:sz w:val="20"/>
          <w:szCs w:val="20"/>
          <w:u w:val="single"/>
        </w:rPr>
        <w:t xml:space="preserve">pacientes con </w:t>
      </w:r>
      <w:r w:rsidR="00B33A2F">
        <w:rPr>
          <w:rFonts w:ascii="Arial" w:hAnsi="Arial" w:cs="Arial"/>
          <w:b/>
          <w:sz w:val="20"/>
          <w:szCs w:val="20"/>
          <w:u w:val="single"/>
        </w:rPr>
        <w:t>BRCA1/2 mutado</w:t>
      </w:r>
      <w:r w:rsidRPr="008D2A3D">
        <w:rPr>
          <w:rFonts w:ascii="Arial" w:hAnsi="Arial" w:cs="Arial"/>
          <w:sz w:val="20"/>
          <w:szCs w:val="20"/>
        </w:rPr>
        <w:t xml:space="preserve"> y la diferencia de costes, si se trata a los pacientes con </w:t>
      </w:r>
      <w:r w:rsidR="00B934A3">
        <w:rPr>
          <w:rFonts w:ascii="Arial" w:hAnsi="Arial" w:cs="Arial"/>
          <w:sz w:val="20"/>
          <w:szCs w:val="20"/>
        </w:rPr>
        <w:t>niraparib</w:t>
      </w:r>
      <w:r w:rsidR="00B33A2F">
        <w:rPr>
          <w:rFonts w:ascii="Arial" w:hAnsi="Arial" w:cs="Arial"/>
          <w:sz w:val="20"/>
          <w:szCs w:val="20"/>
        </w:rPr>
        <w:t>/AAP</w:t>
      </w:r>
      <w:r w:rsidRPr="008D2A3D">
        <w:rPr>
          <w:rFonts w:ascii="Arial" w:hAnsi="Arial" w:cs="Arial"/>
          <w:sz w:val="20"/>
          <w:szCs w:val="20"/>
        </w:rPr>
        <w:t xml:space="preserve"> en lugar de con </w:t>
      </w:r>
      <w:r w:rsidR="00B33A2F">
        <w:rPr>
          <w:rFonts w:ascii="Arial" w:hAnsi="Arial" w:cs="Arial"/>
          <w:sz w:val="20"/>
          <w:szCs w:val="20"/>
        </w:rPr>
        <w:t>AAP</w:t>
      </w:r>
      <w:r w:rsidRPr="008D2A3D">
        <w:rPr>
          <w:rFonts w:ascii="Arial" w:hAnsi="Arial" w:cs="Arial"/>
          <w:sz w:val="20"/>
          <w:szCs w:val="20"/>
        </w:rPr>
        <w:t xml:space="preserve"> costará </w:t>
      </w:r>
      <w:r w:rsidR="0088431D">
        <w:rPr>
          <w:rFonts w:ascii="Arial" w:hAnsi="Arial" w:cs="Arial"/>
          <w:sz w:val="20"/>
          <w:szCs w:val="20"/>
        </w:rPr>
        <w:t>110.521</w:t>
      </w:r>
      <w:r w:rsidR="00B934A3">
        <w:rPr>
          <w:rFonts w:ascii="Arial" w:hAnsi="Arial" w:cs="Arial"/>
          <w:sz w:val="20"/>
          <w:szCs w:val="20"/>
        </w:rPr>
        <w:t xml:space="preserve"> </w:t>
      </w:r>
      <w:r w:rsidR="00B33A2F">
        <w:rPr>
          <w:rFonts w:ascii="Arial" w:hAnsi="Arial" w:cs="Arial"/>
          <w:sz w:val="20"/>
          <w:szCs w:val="20"/>
        </w:rPr>
        <w:t xml:space="preserve">€ </w:t>
      </w:r>
      <w:r w:rsidR="00B934A3">
        <w:rPr>
          <w:rFonts w:ascii="Arial" w:hAnsi="Arial" w:cs="Arial"/>
          <w:sz w:val="20"/>
          <w:szCs w:val="20"/>
        </w:rPr>
        <w:t>más</w:t>
      </w:r>
      <w:r w:rsidRPr="008D2A3D">
        <w:rPr>
          <w:rFonts w:ascii="Arial" w:hAnsi="Arial" w:cs="Arial"/>
          <w:sz w:val="20"/>
          <w:szCs w:val="20"/>
        </w:rPr>
        <w:t xml:space="preserve"> ob</w:t>
      </w:r>
      <w:r w:rsidR="00B33A2F">
        <w:rPr>
          <w:rFonts w:ascii="Arial" w:hAnsi="Arial" w:cs="Arial"/>
          <w:sz w:val="20"/>
          <w:szCs w:val="20"/>
        </w:rPr>
        <w:t>tener un</w:t>
      </w:r>
      <w:r w:rsidR="0088431D">
        <w:rPr>
          <w:rFonts w:ascii="Arial" w:hAnsi="Arial" w:cs="Arial"/>
          <w:sz w:val="20"/>
          <w:szCs w:val="20"/>
        </w:rPr>
        <w:t xml:space="preserve"> año de vida libre de progresión </w:t>
      </w:r>
      <w:r w:rsidR="00B934A3">
        <w:rPr>
          <w:rFonts w:ascii="Arial" w:hAnsi="Arial" w:cs="Arial"/>
          <w:sz w:val="20"/>
          <w:szCs w:val="20"/>
        </w:rPr>
        <w:t xml:space="preserve">radiológica </w:t>
      </w:r>
      <w:r w:rsidR="0088431D">
        <w:rPr>
          <w:rFonts w:ascii="Arial" w:hAnsi="Arial" w:cs="Arial"/>
          <w:sz w:val="20"/>
          <w:szCs w:val="20"/>
        </w:rPr>
        <w:t>(AVLP</w:t>
      </w:r>
      <w:r w:rsidR="00B934A3">
        <w:rPr>
          <w:rFonts w:ascii="Arial" w:hAnsi="Arial" w:cs="Arial"/>
          <w:sz w:val="20"/>
          <w:szCs w:val="20"/>
        </w:rPr>
        <w:t>r</w:t>
      </w:r>
      <w:r w:rsidR="0088431D">
        <w:rPr>
          <w:rFonts w:ascii="Arial" w:hAnsi="Arial" w:cs="Arial"/>
          <w:sz w:val="20"/>
          <w:szCs w:val="20"/>
        </w:rPr>
        <w:t>).</w:t>
      </w:r>
    </w:p>
    <w:p w14:paraId="491B1119" w14:textId="77777777" w:rsidR="0088431D" w:rsidRDefault="0088431D" w:rsidP="00471A41">
      <w:pPr>
        <w:pStyle w:val="Encabezado"/>
        <w:tabs>
          <w:tab w:val="clear" w:pos="4252"/>
          <w:tab w:val="clear" w:pos="8504"/>
        </w:tabs>
        <w:jc w:val="both"/>
        <w:rPr>
          <w:rFonts w:ascii="Arial" w:hAnsi="Arial" w:cs="Arial"/>
          <w:sz w:val="20"/>
          <w:szCs w:val="20"/>
        </w:rPr>
      </w:pPr>
    </w:p>
    <w:p w14:paraId="2E6BC852" w14:textId="77777777" w:rsidR="00C44A39" w:rsidRPr="00537140" w:rsidRDefault="00471A41" w:rsidP="00537140">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4" w:name="_Toc348931455"/>
      <w:bookmarkStart w:id="135" w:name="_Toc153727223"/>
      <w:r>
        <w:rPr>
          <w:rFonts w:cs="Arial"/>
          <w:sz w:val="20"/>
        </w:rPr>
        <w:t>7.3.3 Coste-utilidad. Estudios propios</w:t>
      </w:r>
      <w:bookmarkEnd w:id="134"/>
      <w:bookmarkEnd w:id="135"/>
    </w:p>
    <w:p w14:paraId="77F0BC44" w14:textId="77777777" w:rsidR="00C44A39" w:rsidRDefault="00C44A39" w:rsidP="00471A41">
      <w:pPr>
        <w:pStyle w:val="Encabezado"/>
        <w:tabs>
          <w:tab w:val="clear" w:pos="4252"/>
          <w:tab w:val="clear" w:pos="8504"/>
        </w:tabs>
        <w:jc w:val="both"/>
        <w:rPr>
          <w:rFonts w:ascii="Arial" w:hAnsi="Arial" w:cs="Arial"/>
        </w:rPr>
      </w:pPr>
    </w:p>
    <w:p w14:paraId="69736BAB" w14:textId="77777777" w:rsidR="00471A41" w:rsidRDefault="00471A41" w:rsidP="00471A41">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6" w:name="_Toc153727224"/>
      <w:r>
        <w:rPr>
          <w:rFonts w:cs="Arial"/>
          <w:sz w:val="20"/>
        </w:rPr>
        <w:t>7.3.4. Análisis de sensibilidad</w:t>
      </w:r>
      <w:bookmarkEnd w:id="136"/>
    </w:p>
    <w:p w14:paraId="0BF67FC7" w14:textId="77777777" w:rsidR="00471A41" w:rsidRDefault="00471A41" w:rsidP="00471A41">
      <w:pPr>
        <w:pStyle w:val="Encabezado"/>
        <w:tabs>
          <w:tab w:val="clear" w:pos="4252"/>
          <w:tab w:val="clear" w:pos="8504"/>
        </w:tabs>
        <w:ind w:left="360"/>
        <w:rPr>
          <w:rFonts w:ascii="Arial" w:hAnsi="Arial" w:cs="Arial"/>
        </w:rPr>
      </w:pPr>
    </w:p>
    <w:p w14:paraId="0A90A40D" w14:textId="77777777" w:rsidR="00537140" w:rsidRDefault="00537140" w:rsidP="00537140">
      <w:pPr>
        <w:pStyle w:val="Encabezado"/>
        <w:tabs>
          <w:tab w:val="clear" w:pos="4252"/>
          <w:tab w:val="clear" w:pos="8504"/>
        </w:tabs>
        <w:jc w:val="both"/>
        <w:rPr>
          <w:rFonts w:ascii="Arial" w:hAnsi="Arial" w:cs="Arial"/>
          <w:b/>
          <w:sz w:val="20"/>
          <w:szCs w:val="20"/>
          <w:u w:val="single"/>
          <w:lang w:eastAsia="en-GB"/>
        </w:rPr>
      </w:pPr>
      <w:r>
        <w:rPr>
          <w:rFonts w:ascii="Arial" w:hAnsi="Arial" w:cs="Arial"/>
          <w:b/>
          <w:sz w:val="20"/>
          <w:szCs w:val="20"/>
          <w:u w:val="single"/>
          <w:lang w:eastAsia="en-GB"/>
        </w:rPr>
        <w:t xml:space="preserve">Análisis de sensibilidad suponiendo un 30% de descuento para niraparib </w:t>
      </w:r>
    </w:p>
    <w:p w14:paraId="69F24762" w14:textId="77777777" w:rsidR="00537140" w:rsidRDefault="00537140" w:rsidP="00537140">
      <w:pPr>
        <w:pStyle w:val="Encabezado"/>
        <w:tabs>
          <w:tab w:val="clear" w:pos="4252"/>
          <w:tab w:val="clear" w:pos="8504"/>
        </w:tabs>
        <w:jc w:val="both"/>
        <w:rPr>
          <w:rFonts w:ascii="Arial" w:hAnsi="Arial" w:cs="Arial"/>
          <w:b/>
          <w:sz w:val="20"/>
          <w:szCs w:val="20"/>
          <w:u w:val="single"/>
          <w:lang w:eastAsia="en-GB"/>
        </w:rPr>
      </w:pPr>
    </w:p>
    <w:tbl>
      <w:tblPr>
        <w:tblW w:w="9049" w:type="dxa"/>
        <w:tblInd w:w="-5" w:type="dxa"/>
        <w:tblLayout w:type="fixed"/>
        <w:tblLook w:val="0000" w:firstRow="0" w:lastRow="0" w:firstColumn="0" w:lastColumn="0" w:noHBand="0" w:noVBand="0"/>
      </w:tblPr>
      <w:tblGrid>
        <w:gridCol w:w="2263"/>
        <w:gridCol w:w="1985"/>
        <w:gridCol w:w="2664"/>
        <w:gridCol w:w="2137"/>
      </w:tblGrid>
      <w:tr w:rsidR="00537140" w14:paraId="1571B2AD" w14:textId="77777777" w:rsidTr="00315A42">
        <w:tc>
          <w:tcPr>
            <w:tcW w:w="9049" w:type="dxa"/>
            <w:gridSpan w:val="4"/>
            <w:tcBorders>
              <w:top w:val="single" w:sz="4" w:space="0" w:color="000000"/>
              <w:left w:val="single" w:sz="4" w:space="0" w:color="000000"/>
              <w:bottom w:val="single" w:sz="4" w:space="0" w:color="000000"/>
              <w:right w:val="single" w:sz="4" w:space="0" w:color="000000"/>
            </w:tcBorders>
            <w:shd w:val="clear" w:color="auto" w:fill="CCFFCC"/>
          </w:tcPr>
          <w:p w14:paraId="0EA97171" w14:textId="77777777" w:rsidR="00537140" w:rsidRPr="00F253A2" w:rsidRDefault="00537140" w:rsidP="00537140">
            <w:pPr>
              <w:jc w:val="both"/>
            </w:pPr>
            <w:r w:rsidRPr="00F253A2">
              <w:rPr>
                <w:rFonts w:ascii="Arial" w:hAnsi="Arial" w:cs="Arial"/>
                <w:b/>
                <w:sz w:val="16"/>
                <w:szCs w:val="16"/>
              </w:rPr>
              <w:t>Tabla 7.3.4.</w:t>
            </w:r>
            <w:r w:rsidR="00041CE4">
              <w:rPr>
                <w:rFonts w:ascii="Arial" w:hAnsi="Arial" w:cs="Arial"/>
                <w:b/>
                <w:sz w:val="16"/>
                <w:szCs w:val="16"/>
              </w:rPr>
              <w:t>1</w:t>
            </w:r>
            <w:r w:rsidRPr="00F253A2">
              <w:rPr>
                <w:rFonts w:ascii="Arial" w:hAnsi="Arial" w:cs="Arial"/>
                <w:b/>
                <w:sz w:val="16"/>
                <w:szCs w:val="16"/>
              </w:rPr>
              <w:t>. Análisis de sensibilidad</w:t>
            </w:r>
            <w:r>
              <w:rPr>
                <w:rFonts w:ascii="Arial" w:hAnsi="Arial" w:cs="Arial"/>
                <w:b/>
                <w:sz w:val="16"/>
                <w:szCs w:val="16"/>
              </w:rPr>
              <w:t xml:space="preserve"> suponiendo un 30% de descuento para niraparib</w:t>
            </w:r>
            <w:r w:rsidRPr="00F253A2">
              <w:rPr>
                <w:rFonts w:ascii="Arial" w:hAnsi="Arial" w:cs="Arial"/>
                <w:b/>
                <w:sz w:val="16"/>
                <w:szCs w:val="16"/>
              </w:rPr>
              <w:t xml:space="preserve"> </w:t>
            </w:r>
          </w:p>
        </w:tc>
      </w:tr>
      <w:tr w:rsidR="00537140" w14:paraId="1D5149C1" w14:textId="77777777" w:rsidTr="00315A42">
        <w:trPr>
          <w:trHeight w:val="252"/>
        </w:trPr>
        <w:tc>
          <w:tcPr>
            <w:tcW w:w="2263" w:type="dxa"/>
            <w:tcBorders>
              <w:top w:val="single" w:sz="4" w:space="0" w:color="000000"/>
              <w:left w:val="single" w:sz="4" w:space="0" w:color="000000"/>
              <w:bottom w:val="single" w:sz="4" w:space="0" w:color="000000"/>
            </w:tcBorders>
            <w:shd w:val="clear" w:color="auto" w:fill="auto"/>
            <w:vAlign w:val="center"/>
          </w:tcPr>
          <w:p w14:paraId="45E05A48" w14:textId="77777777" w:rsidR="00537140" w:rsidRPr="00F253A2" w:rsidRDefault="00537140" w:rsidP="00315A42">
            <w:pPr>
              <w:pStyle w:val="Encabezado"/>
              <w:tabs>
                <w:tab w:val="clear" w:pos="4252"/>
                <w:tab w:val="clear" w:pos="8504"/>
              </w:tabs>
            </w:pPr>
            <w:r w:rsidRPr="00F253A2">
              <w:rPr>
                <w:rFonts w:ascii="Arial" w:hAnsi="Arial" w:cs="Arial"/>
                <w:b/>
                <w:sz w:val="16"/>
                <w:szCs w:val="16"/>
                <w:lang w:val="es-ES_tradnl"/>
              </w:rPr>
              <w:t>RCEI RESULTADO BASAL</w:t>
            </w:r>
          </w:p>
        </w:tc>
        <w:tc>
          <w:tcPr>
            <w:tcW w:w="67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F46847" w14:textId="025D8DA8" w:rsidR="00537140" w:rsidRPr="00537140" w:rsidRDefault="0088431D" w:rsidP="006C5E7C">
            <w:pPr>
              <w:pStyle w:val="Encabezado"/>
              <w:tabs>
                <w:tab w:val="clear" w:pos="4252"/>
                <w:tab w:val="clear" w:pos="8504"/>
              </w:tabs>
              <w:jc w:val="center"/>
            </w:pPr>
            <w:r>
              <w:rPr>
                <w:rFonts w:ascii="Arial" w:hAnsi="Arial" w:cs="Arial"/>
                <w:sz w:val="16"/>
              </w:rPr>
              <w:t>110.</w:t>
            </w:r>
            <w:r w:rsidR="006C5E7C">
              <w:rPr>
                <w:rFonts w:ascii="Arial" w:hAnsi="Arial" w:cs="Arial"/>
                <w:sz w:val="16"/>
              </w:rPr>
              <w:t>304</w:t>
            </w:r>
            <w:r w:rsidR="00537140">
              <w:rPr>
                <w:rFonts w:ascii="Arial" w:hAnsi="Arial" w:cs="Arial"/>
                <w:sz w:val="16"/>
              </w:rPr>
              <w:t xml:space="preserve"> /</w:t>
            </w:r>
            <w:r>
              <w:rPr>
                <w:rFonts w:ascii="Arial" w:hAnsi="Arial" w:cs="Arial"/>
                <w:sz w:val="16"/>
              </w:rPr>
              <w:t>AVLP</w:t>
            </w:r>
          </w:p>
        </w:tc>
      </w:tr>
      <w:tr w:rsidR="00537140" w14:paraId="34D0C3D6" w14:textId="77777777" w:rsidTr="00315A42">
        <w:tc>
          <w:tcPr>
            <w:tcW w:w="2263" w:type="dxa"/>
            <w:tcBorders>
              <w:top w:val="single" w:sz="4" w:space="0" w:color="000000"/>
              <w:left w:val="single" w:sz="4" w:space="0" w:color="000000"/>
              <w:bottom w:val="single" w:sz="4" w:space="0" w:color="000000"/>
            </w:tcBorders>
            <w:shd w:val="clear" w:color="auto" w:fill="D9D9D9"/>
          </w:tcPr>
          <w:p w14:paraId="52874269" w14:textId="77777777" w:rsidR="00537140" w:rsidRPr="00F253A2" w:rsidRDefault="00537140" w:rsidP="00315A42">
            <w:pPr>
              <w:pStyle w:val="Encabezado"/>
              <w:tabs>
                <w:tab w:val="clear" w:pos="4252"/>
                <w:tab w:val="clear" w:pos="8504"/>
              </w:tabs>
              <w:jc w:val="center"/>
            </w:pPr>
            <w:r w:rsidRPr="00F253A2">
              <w:rPr>
                <w:rFonts w:ascii="Arial" w:hAnsi="Arial" w:cs="Arial"/>
                <w:b/>
                <w:sz w:val="16"/>
                <w:szCs w:val="16"/>
                <w:lang w:val="es-ES_tradnl"/>
              </w:rPr>
              <w:t>Variable, modelo o supuesto alternativo</w:t>
            </w:r>
          </w:p>
        </w:tc>
        <w:tc>
          <w:tcPr>
            <w:tcW w:w="1985" w:type="dxa"/>
            <w:tcBorders>
              <w:top w:val="single" w:sz="4" w:space="0" w:color="000000"/>
              <w:left w:val="single" w:sz="4" w:space="0" w:color="000000"/>
              <w:bottom w:val="single" w:sz="4" w:space="0" w:color="000000"/>
            </w:tcBorders>
            <w:shd w:val="clear" w:color="auto" w:fill="D9D9D9"/>
          </w:tcPr>
          <w:p w14:paraId="2A0B930F" w14:textId="77777777" w:rsidR="00537140" w:rsidRPr="00F253A2" w:rsidRDefault="00537140" w:rsidP="00315A42">
            <w:pPr>
              <w:pStyle w:val="Encabezado"/>
              <w:tabs>
                <w:tab w:val="clear" w:pos="4252"/>
                <w:tab w:val="clear" w:pos="8504"/>
              </w:tabs>
              <w:jc w:val="center"/>
            </w:pPr>
            <w:r w:rsidRPr="00F253A2">
              <w:rPr>
                <w:rFonts w:ascii="Arial" w:hAnsi="Arial" w:cs="Arial"/>
                <w:b/>
                <w:sz w:val="16"/>
                <w:szCs w:val="16"/>
                <w:lang w:val="es-ES_tradnl"/>
              </w:rPr>
              <w:t>Valor utilizado en el análisis basal</w:t>
            </w:r>
          </w:p>
        </w:tc>
        <w:tc>
          <w:tcPr>
            <w:tcW w:w="2664" w:type="dxa"/>
            <w:tcBorders>
              <w:top w:val="single" w:sz="4" w:space="0" w:color="000000"/>
              <w:left w:val="single" w:sz="4" w:space="0" w:color="000000"/>
              <w:bottom w:val="single" w:sz="4" w:space="0" w:color="000000"/>
            </w:tcBorders>
            <w:shd w:val="clear" w:color="auto" w:fill="D9D9D9"/>
          </w:tcPr>
          <w:p w14:paraId="191562EB" w14:textId="77777777" w:rsidR="00537140" w:rsidRPr="001A0321" w:rsidRDefault="00537140" w:rsidP="00315A42">
            <w:pPr>
              <w:pStyle w:val="Encabezado"/>
              <w:tabs>
                <w:tab w:val="clear" w:pos="4252"/>
                <w:tab w:val="clear" w:pos="8504"/>
              </w:tabs>
              <w:jc w:val="center"/>
            </w:pPr>
            <w:r w:rsidRPr="00291482">
              <w:rPr>
                <w:rFonts w:ascii="Arial" w:hAnsi="Arial" w:cs="Arial"/>
                <w:b/>
                <w:sz w:val="16"/>
                <w:szCs w:val="16"/>
                <w:lang w:val="es-ES_tradnl"/>
              </w:rPr>
              <w:t>Valor probable de la nueva variable</w:t>
            </w:r>
          </w:p>
        </w:tc>
        <w:tc>
          <w:tcPr>
            <w:tcW w:w="2137" w:type="dxa"/>
            <w:tcBorders>
              <w:top w:val="single" w:sz="4" w:space="0" w:color="000000"/>
              <w:left w:val="single" w:sz="4" w:space="0" w:color="000000"/>
              <w:bottom w:val="single" w:sz="4" w:space="0" w:color="000000"/>
              <w:right w:val="single" w:sz="4" w:space="0" w:color="000000"/>
            </w:tcBorders>
            <w:shd w:val="clear" w:color="auto" w:fill="D9D9D9"/>
          </w:tcPr>
          <w:p w14:paraId="64809B40" w14:textId="77777777" w:rsidR="00537140" w:rsidRPr="001A0321" w:rsidRDefault="00537140" w:rsidP="00315A42">
            <w:pPr>
              <w:pStyle w:val="Encabezado"/>
              <w:tabs>
                <w:tab w:val="clear" w:pos="4252"/>
                <w:tab w:val="clear" w:pos="8504"/>
              </w:tabs>
              <w:jc w:val="center"/>
            </w:pPr>
            <w:r w:rsidRPr="001A0321">
              <w:rPr>
                <w:rFonts w:ascii="Arial" w:hAnsi="Arial" w:cs="Arial"/>
                <w:b/>
                <w:sz w:val="16"/>
                <w:szCs w:val="16"/>
                <w:lang w:val="es-ES_tradnl"/>
              </w:rPr>
              <w:t>RCEI media o más probable con la nueva variable</w:t>
            </w:r>
          </w:p>
        </w:tc>
      </w:tr>
      <w:tr w:rsidR="00537140" w14:paraId="39760877" w14:textId="77777777" w:rsidTr="00315A42">
        <w:trPr>
          <w:trHeight w:val="214"/>
        </w:trPr>
        <w:tc>
          <w:tcPr>
            <w:tcW w:w="9049" w:type="dxa"/>
            <w:gridSpan w:val="4"/>
            <w:tcBorders>
              <w:top w:val="single" w:sz="4" w:space="0" w:color="000000"/>
              <w:left w:val="single" w:sz="4" w:space="0" w:color="000000"/>
              <w:bottom w:val="single" w:sz="4" w:space="0" w:color="000000"/>
              <w:right w:val="single" w:sz="4" w:space="0" w:color="000000"/>
            </w:tcBorders>
            <w:shd w:val="clear" w:color="auto" w:fill="auto"/>
          </w:tcPr>
          <w:p w14:paraId="47F5BD90" w14:textId="77777777" w:rsidR="00537140" w:rsidRPr="00F253A2" w:rsidRDefault="00537140" w:rsidP="00315A42">
            <w:pPr>
              <w:pStyle w:val="Encabezado"/>
              <w:tabs>
                <w:tab w:val="clear" w:pos="4252"/>
                <w:tab w:val="clear" w:pos="8504"/>
              </w:tabs>
            </w:pPr>
            <w:r w:rsidRPr="00F253A2">
              <w:rPr>
                <w:rFonts w:ascii="Arial" w:hAnsi="Arial" w:cs="Arial"/>
                <w:sz w:val="16"/>
                <w:szCs w:val="16"/>
                <w:lang w:val="es-ES_tradnl"/>
              </w:rPr>
              <w:t>Análisis univariante</w:t>
            </w:r>
          </w:p>
        </w:tc>
      </w:tr>
      <w:tr w:rsidR="00537140" w14:paraId="000EB59F" w14:textId="77777777" w:rsidTr="00315A42">
        <w:tc>
          <w:tcPr>
            <w:tcW w:w="2263" w:type="dxa"/>
            <w:tcBorders>
              <w:top w:val="single" w:sz="4" w:space="0" w:color="000000"/>
              <w:left w:val="single" w:sz="4" w:space="0" w:color="000000"/>
              <w:bottom w:val="single" w:sz="4" w:space="0" w:color="000000"/>
            </w:tcBorders>
            <w:shd w:val="clear" w:color="auto" w:fill="auto"/>
          </w:tcPr>
          <w:p w14:paraId="002F9E31" w14:textId="77777777" w:rsidR="00537140" w:rsidRPr="00F253A2" w:rsidRDefault="0088431D" w:rsidP="00315A42">
            <w:pPr>
              <w:pStyle w:val="Encabezado"/>
              <w:tabs>
                <w:tab w:val="clear" w:pos="4252"/>
                <w:tab w:val="clear" w:pos="8504"/>
              </w:tabs>
            </w:pPr>
            <w:r>
              <w:rPr>
                <w:rFonts w:ascii="Arial" w:hAnsi="Arial" w:cs="Arial"/>
                <w:sz w:val="16"/>
                <w:szCs w:val="16"/>
                <w:lang w:val="es-ES_tradnl"/>
              </w:rPr>
              <w:t>Coste fármaco</w:t>
            </w:r>
          </w:p>
        </w:tc>
        <w:tc>
          <w:tcPr>
            <w:tcW w:w="1985" w:type="dxa"/>
            <w:tcBorders>
              <w:top w:val="single" w:sz="4" w:space="0" w:color="000000"/>
              <w:left w:val="single" w:sz="4" w:space="0" w:color="000000"/>
              <w:bottom w:val="single" w:sz="4" w:space="0" w:color="000000"/>
            </w:tcBorders>
            <w:shd w:val="clear" w:color="auto" w:fill="auto"/>
          </w:tcPr>
          <w:p w14:paraId="3DD472ED" w14:textId="77777777" w:rsidR="0088431D" w:rsidRPr="0088431D" w:rsidRDefault="0088431D" w:rsidP="0088431D">
            <w:pPr>
              <w:snapToGrid w:val="0"/>
              <w:jc w:val="center"/>
              <w:rPr>
                <w:rFonts w:ascii="Arial" w:hAnsi="Arial" w:cs="Arial"/>
                <w:sz w:val="16"/>
                <w:szCs w:val="16"/>
              </w:rPr>
            </w:pPr>
            <w:r>
              <w:rPr>
                <w:rFonts w:ascii="Arial" w:hAnsi="Arial" w:cs="Arial"/>
                <w:sz w:val="16"/>
                <w:szCs w:val="16"/>
              </w:rPr>
              <w:t xml:space="preserve">Niraparib + abiraterona: </w:t>
            </w:r>
          </w:p>
        </w:tc>
        <w:tc>
          <w:tcPr>
            <w:tcW w:w="2664" w:type="dxa"/>
            <w:tcBorders>
              <w:top w:val="single" w:sz="4" w:space="0" w:color="000000"/>
              <w:left w:val="single" w:sz="4" w:space="0" w:color="000000"/>
              <w:bottom w:val="single" w:sz="4" w:space="0" w:color="000000"/>
            </w:tcBorders>
            <w:shd w:val="clear" w:color="auto" w:fill="auto"/>
          </w:tcPr>
          <w:p w14:paraId="1A49BFA0" w14:textId="77777777" w:rsidR="00537140" w:rsidRPr="00F253A2" w:rsidRDefault="0088431D" w:rsidP="00315A42">
            <w:pPr>
              <w:snapToGrid w:val="0"/>
              <w:jc w:val="center"/>
            </w:pPr>
            <w:r>
              <w:rPr>
                <w:rFonts w:ascii="Arial" w:hAnsi="Arial" w:cs="Arial"/>
                <w:sz w:val="16"/>
                <w:szCs w:val="16"/>
              </w:rPr>
              <w:t>Niraparib + abiraterona</w:t>
            </w:r>
          </w:p>
        </w:tc>
        <w:tc>
          <w:tcPr>
            <w:tcW w:w="2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49109A" w14:textId="2030A10B" w:rsidR="00537140" w:rsidRPr="0084716C" w:rsidRDefault="0084716C" w:rsidP="006C5E7C">
            <w:pPr>
              <w:jc w:val="center"/>
            </w:pPr>
            <w:r w:rsidRPr="003016CD">
              <w:rPr>
                <w:rFonts w:ascii="Arial" w:hAnsi="Arial" w:cs="Arial"/>
                <w:sz w:val="16"/>
                <w:szCs w:val="16"/>
              </w:rPr>
              <w:t>7</w:t>
            </w:r>
            <w:r w:rsidR="006C5E7C">
              <w:rPr>
                <w:rFonts w:ascii="Arial" w:hAnsi="Arial" w:cs="Arial"/>
                <w:sz w:val="16"/>
                <w:szCs w:val="16"/>
              </w:rPr>
              <w:t>0.862</w:t>
            </w:r>
            <w:r w:rsidRPr="003016CD">
              <w:rPr>
                <w:rFonts w:ascii="Arial" w:hAnsi="Arial" w:cs="Arial"/>
                <w:sz w:val="16"/>
                <w:szCs w:val="16"/>
              </w:rPr>
              <w:t xml:space="preserve"> € /AVLP</w:t>
            </w:r>
            <w:r w:rsidR="00B934A3">
              <w:rPr>
                <w:rFonts w:ascii="Arial" w:hAnsi="Arial" w:cs="Arial"/>
                <w:sz w:val="16"/>
                <w:szCs w:val="16"/>
              </w:rPr>
              <w:t>r</w:t>
            </w:r>
          </w:p>
        </w:tc>
      </w:tr>
      <w:tr w:rsidR="00537140" w14:paraId="58840F62" w14:textId="77777777" w:rsidTr="00315A42">
        <w:tc>
          <w:tcPr>
            <w:tcW w:w="2263" w:type="dxa"/>
            <w:tcBorders>
              <w:top w:val="single" w:sz="4" w:space="0" w:color="000000"/>
              <w:left w:val="single" w:sz="4" w:space="0" w:color="000000"/>
              <w:bottom w:val="single" w:sz="4" w:space="0" w:color="000000"/>
            </w:tcBorders>
            <w:shd w:val="clear" w:color="auto" w:fill="auto"/>
          </w:tcPr>
          <w:p w14:paraId="4F5A47CA" w14:textId="77777777" w:rsidR="00537140" w:rsidRPr="00F253A2" w:rsidRDefault="00537140" w:rsidP="00315A42">
            <w:pPr>
              <w:pStyle w:val="Encabezado"/>
              <w:tabs>
                <w:tab w:val="clear" w:pos="4252"/>
                <w:tab w:val="clear" w:pos="8504"/>
              </w:tabs>
            </w:pPr>
            <w:r w:rsidRPr="00F253A2">
              <w:rPr>
                <w:rFonts w:ascii="Arial" w:hAnsi="Arial" w:cs="Arial"/>
                <w:sz w:val="16"/>
                <w:szCs w:val="16"/>
                <w:lang w:val="es-ES_tradnl"/>
              </w:rPr>
              <w:t>Coste de adquisición tratamiento completo</w:t>
            </w:r>
          </w:p>
        </w:tc>
        <w:tc>
          <w:tcPr>
            <w:tcW w:w="1985" w:type="dxa"/>
            <w:tcBorders>
              <w:top w:val="single" w:sz="4" w:space="0" w:color="000000"/>
              <w:left w:val="single" w:sz="4" w:space="0" w:color="000000"/>
              <w:bottom w:val="single" w:sz="4" w:space="0" w:color="000000"/>
            </w:tcBorders>
            <w:shd w:val="clear" w:color="auto" w:fill="auto"/>
          </w:tcPr>
          <w:p w14:paraId="5580DE9C" w14:textId="08ACB485" w:rsidR="00537140" w:rsidRPr="00F36175" w:rsidRDefault="0088431D" w:rsidP="006C5E7C">
            <w:pPr>
              <w:snapToGrid w:val="0"/>
              <w:jc w:val="center"/>
              <w:rPr>
                <w:rFonts w:ascii="Arial" w:hAnsi="Arial" w:cs="Arial"/>
                <w:sz w:val="16"/>
                <w:szCs w:val="16"/>
              </w:rPr>
            </w:pPr>
            <w:r>
              <w:rPr>
                <w:rFonts w:ascii="Arial" w:hAnsi="Arial" w:cs="Arial"/>
                <w:sz w:val="16"/>
              </w:rPr>
              <w:t>94.</w:t>
            </w:r>
            <w:r w:rsidR="006C5E7C">
              <w:rPr>
                <w:rFonts w:ascii="Arial" w:hAnsi="Arial" w:cs="Arial"/>
                <w:sz w:val="16"/>
              </w:rPr>
              <w:t>659</w:t>
            </w:r>
            <w:r>
              <w:rPr>
                <w:rFonts w:ascii="Arial" w:hAnsi="Arial" w:cs="Arial"/>
                <w:sz w:val="16"/>
              </w:rPr>
              <w:t xml:space="preserve"> €</w:t>
            </w:r>
          </w:p>
        </w:tc>
        <w:tc>
          <w:tcPr>
            <w:tcW w:w="2664" w:type="dxa"/>
            <w:tcBorders>
              <w:top w:val="single" w:sz="4" w:space="0" w:color="000000"/>
              <w:left w:val="single" w:sz="4" w:space="0" w:color="000000"/>
              <w:bottom w:val="single" w:sz="4" w:space="0" w:color="000000"/>
            </w:tcBorders>
            <w:shd w:val="clear" w:color="auto" w:fill="auto"/>
          </w:tcPr>
          <w:p w14:paraId="4BE8E010" w14:textId="02499834" w:rsidR="00537140" w:rsidRPr="00F36175" w:rsidRDefault="006C5E7C" w:rsidP="0088431D">
            <w:pPr>
              <w:jc w:val="center"/>
              <w:rPr>
                <w:rFonts w:ascii="Arial" w:hAnsi="Arial" w:cs="Arial"/>
                <w:sz w:val="16"/>
                <w:szCs w:val="16"/>
              </w:rPr>
            </w:pPr>
            <w:r>
              <w:rPr>
                <w:rFonts w:ascii="Arial" w:hAnsi="Arial" w:cs="Arial"/>
                <w:sz w:val="16"/>
                <w:szCs w:val="16"/>
              </w:rPr>
              <w:t>66.261</w:t>
            </w:r>
            <w:r w:rsidR="0084716C">
              <w:rPr>
                <w:rFonts w:ascii="Arial" w:hAnsi="Arial" w:cs="Arial"/>
                <w:sz w:val="16"/>
                <w:szCs w:val="16"/>
              </w:rPr>
              <w:t xml:space="preserve"> €</w:t>
            </w:r>
          </w:p>
        </w:tc>
        <w:tc>
          <w:tcPr>
            <w:tcW w:w="2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E8940A" w14:textId="77777777" w:rsidR="00537140" w:rsidRPr="001A0321" w:rsidRDefault="00537140" w:rsidP="00315A42">
            <w:pPr>
              <w:pStyle w:val="Encabezado"/>
              <w:tabs>
                <w:tab w:val="clear" w:pos="4252"/>
                <w:tab w:val="clear" w:pos="8504"/>
              </w:tabs>
              <w:snapToGrid w:val="0"/>
              <w:jc w:val="center"/>
              <w:rPr>
                <w:rFonts w:ascii="Arial" w:hAnsi="Arial" w:cs="Arial"/>
                <w:sz w:val="16"/>
                <w:szCs w:val="16"/>
                <w:lang w:val="es-ES_tradnl"/>
              </w:rPr>
            </w:pPr>
          </w:p>
        </w:tc>
      </w:tr>
      <w:tr w:rsidR="00537140" w14:paraId="527870D8" w14:textId="77777777" w:rsidTr="00315A42">
        <w:tc>
          <w:tcPr>
            <w:tcW w:w="9049" w:type="dxa"/>
            <w:gridSpan w:val="4"/>
            <w:tcBorders>
              <w:top w:val="single" w:sz="4" w:space="0" w:color="000000"/>
              <w:left w:val="single" w:sz="4" w:space="0" w:color="000000"/>
              <w:bottom w:val="single" w:sz="4" w:space="0" w:color="000000"/>
              <w:right w:val="single" w:sz="4" w:space="0" w:color="000000"/>
            </w:tcBorders>
            <w:shd w:val="clear" w:color="auto" w:fill="DDDDDD"/>
          </w:tcPr>
          <w:p w14:paraId="5D4F14F1" w14:textId="31FC94D2" w:rsidR="00537140" w:rsidRDefault="0088431D" w:rsidP="00315A42">
            <w:pPr>
              <w:autoSpaceDE w:val="0"/>
              <w:jc w:val="both"/>
              <w:rPr>
                <w:rFonts w:ascii="Arial" w:hAnsi="Arial" w:cs="Arial"/>
                <w:sz w:val="16"/>
                <w:szCs w:val="20"/>
                <w:lang w:val="es-ES_tradnl" w:eastAsia="en-GB"/>
              </w:rPr>
            </w:pPr>
            <w:r>
              <w:rPr>
                <w:rFonts w:ascii="Arial" w:hAnsi="Arial" w:cs="Arial"/>
                <w:sz w:val="16"/>
                <w:szCs w:val="20"/>
                <w:lang w:val="es-ES_tradnl" w:eastAsia="en-GB"/>
              </w:rPr>
              <w:t>AVLP</w:t>
            </w:r>
            <w:r w:rsidR="00FB69D6">
              <w:rPr>
                <w:rFonts w:ascii="Arial" w:hAnsi="Arial" w:cs="Arial"/>
                <w:sz w:val="16"/>
                <w:szCs w:val="20"/>
                <w:lang w:val="es-ES_tradnl" w:eastAsia="en-GB"/>
              </w:rPr>
              <w:t>r</w:t>
            </w:r>
            <w:r w:rsidR="00537140" w:rsidRPr="00F253A2">
              <w:rPr>
                <w:rFonts w:ascii="Arial" w:hAnsi="Arial" w:cs="Arial"/>
                <w:sz w:val="16"/>
                <w:szCs w:val="20"/>
                <w:lang w:val="es-ES_tradnl" w:eastAsia="en-GB"/>
              </w:rPr>
              <w:t xml:space="preserve">: años de vida </w:t>
            </w:r>
            <w:r>
              <w:rPr>
                <w:rFonts w:ascii="Arial" w:hAnsi="Arial" w:cs="Arial"/>
                <w:sz w:val="16"/>
                <w:szCs w:val="20"/>
                <w:lang w:val="es-ES_tradnl" w:eastAsia="en-GB"/>
              </w:rPr>
              <w:t>libre de progresión</w:t>
            </w:r>
            <w:r w:rsidR="00FB69D6">
              <w:rPr>
                <w:rFonts w:ascii="Arial" w:hAnsi="Arial" w:cs="Arial"/>
                <w:sz w:val="16"/>
                <w:szCs w:val="20"/>
                <w:lang w:val="es-ES_tradnl" w:eastAsia="en-GB"/>
              </w:rPr>
              <w:t xml:space="preserve"> radiológica</w:t>
            </w:r>
            <w:r>
              <w:rPr>
                <w:rFonts w:ascii="Arial" w:hAnsi="Arial" w:cs="Arial"/>
                <w:sz w:val="16"/>
                <w:szCs w:val="20"/>
                <w:lang w:val="es-ES_tradnl" w:eastAsia="en-GB"/>
              </w:rPr>
              <w:t xml:space="preserve"> (0,72</w:t>
            </w:r>
            <w:r w:rsidR="00537140">
              <w:rPr>
                <w:rFonts w:ascii="Arial" w:hAnsi="Arial" w:cs="Arial"/>
                <w:sz w:val="16"/>
                <w:szCs w:val="20"/>
                <w:lang w:val="es-ES_tradnl" w:eastAsia="en-GB"/>
              </w:rPr>
              <w:t>)</w:t>
            </w:r>
          </w:p>
          <w:p w14:paraId="3DE3426F" w14:textId="77777777" w:rsidR="0088431D" w:rsidRPr="0088431D" w:rsidRDefault="0088431D" w:rsidP="00315A42">
            <w:pPr>
              <w:autoSpaceDE w:val="0"/>
              <w:jc w:val="both"/>
              <w:rPr>
                <w:rFonts w:ascii="Arial" w:hAnsi="Arial" w:cs="Arial"/>
                <w:sz w:val="16"/>
                <w:szCs w:val="20"/>
                <w:lang w:val="es-ES_tradnl" w:eastAsia="en-GB"/>
              </w:rPr>
            </w:pPr>
            <w:r>
              <w:rPr>
                <w:rFonts w:ascii="Arial" w:hAnsi="Arial" w:cs="Arial"/>
                <w:sz w:val="16"/>
                <w:szCs w:val="20"/>
                <w:lang w:val="es-ES_tradnl" w:eastAsia="en-GB"/>
              </w:rPr>
              <w:t xml:space="preserve">Coste abiraterona: </w:t>
            </w:r>
            <w:r>
              <w:rPr>
                <w:rFonts w:ascii="Arial" w:hAnsi="Arial" w:cs="Arial"/>
                <w:sz w:val="16"/>
              </w:rPr>
              <w:t>15.235 €</w:t>
            </w:r>
          </w:p>
        </w:tc>
      </w:tr>
    </w:tbl>
    <w:p w14:paraId="718DE41C" w14:textId="77777777" w:rsidR="00C845C0" w:rsidRDefault="00C845C0" w:rsidP="00C845C0">
      <w:pPr>
        <w:jc w:val="both"/>
        <w:rPr>
          <w:rFonts w:ascii="Arial" w:hAnsi="Arial" w:cs="Arial"/>
          <w:sz w:val="20"/>
          <w:szCs w:val="20"/>
        </w:rPr>
      </w:pPr>
    </w:p>
    <w:p w14:paraId="6B74F79C"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t>7.4. Estimación del impacto presupuestario y de los beneficios esperados en salud</w:t>
      </w:r>
    </w:p>
    <w:p w14:paraId="014C1C2E" w14:textId="77777777" w:rsidR="00C845C0" w:rsidRDefault="00C845C0" w:rsidP="00C845C0">
      <w:pPr>
        <w:jc w:val="both"/>
        <w:rPr>
          <w:rFonts w:ascii="Arial" w:hAnsi="Arial" w:cs="Arial"/>
          <w:sz w:val="20"/>
          <w:szCs w:val="20"/>
        </w:rPr>
      </w:pPr>
    </w:p>
    <w:p w14:paraId="5FE1B19A" w14:textId="77777777" w:rsidR="00C845C0" w:rsidRDefault="00C845C0" w:rsidP="00C845C0">
      <w:pPr>
        <w:jc w:val="both"/>
        <w:rPr>
          <w:rFonts w:ascii="Arial" w:hAnsi="Arial" w:cs="Arial"/>
          <w:sz w:val="20"/>
          <w:szCs w:val="20"/>
        </w:rPr>
      </w:pPr>
    </w:p>
    <w:p w14:paraId="7067572E"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7.4.1. Estimación de la población diana</w:t>
      </w:r>
    </w:p>
    <w:p w14:paraId="47887D24" w14:textId="77777777" w:rsidR="00C845C0" w:rsidRDefault="00C845C0" w:rsidP="00C845C0">
      <w:pPr>
        <w:rPr>
          <w:rFonts w:ascii="Arial" w:hAnsi="Arial" w:cs="Arial"/>
          <w:sz w:val="20"/>
          <w:szCs w:val="20"/>
        </w:rPr>
      </w:pPr>
    </w:p>
    <w:p w14:paraId="5A35AA9D" w14:textId="77777777" w:rsidR="00CC505C" w:rsidRDefault="00CC505C" w:rsidP="00CC505C">
      <w:pPr>
        <w:jc w:val="both"/>
        <w:rPr>
          <w:rFonts w:ascii="Arial" w:hAnsi="Arial" w:cs="Arial"/>
          <w:sz w:val="20"/>
          <w:szCs w:val="20"/>
        </w:rPr>
      </w:pPr>
    </w:p>
    <w:p w14:paraId="57DF2F63" w14:textId="77777777" w:rsidR="00C845C0" w:rsidRDefault="00C845C0" w:rsidP="00DC794F">
      <w:pPr>
        <w:numPr>
          <w:ilvl w:val="0"/>
          <w:numId w:val="2"/>
        </w:numPr>
        <w:jc w:val="both"/>
        <w:rPr>
          <w:rFonts w:ascii="Arial" w:hAnsi="Arial" w:cs="Arial"/>
          <w:sz w:val="20"/>
          <w:szCs w:val="20"/>
        </w:rPr>
      </w:pPr>
      <w:r>
        <w:rPr>
          <w:rFonts w:ascii="Arial" w:hAnsi="Arial" w:cs="Arial"/>
          <w:b/>
          <w:bCs/>
          <w:sz w:val="20"/>
          <w:szCs w:val="20"/>
        </w:rPr>
        <w:t>Estimación de la población diana en tratamientos de duración limitada</w:t>
      </w:r>
    </w:p>
    <w:p w14:paraId="2829C774" w14:textId="77777777" w:rsidR="00C845C0" w:rsidRDefault="00C845C0" w:rsidP="00C845C0">
      <w:pPr>
        <w:rPr>
          <w:rFonts w:ascii="Arial" w:hAnsi="Arial" w:cs="Arial"/>
          <w:sz w:val="18"/>
          <w:szCs w:val="18"/>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C845C0" w:rsidRPr="00C845C0" w14:paraId="46303BD6" w14:textId="77777777" w:rsidTr="00E00E2B">
        <w:trPr>
          <w:trHeight w:val="268"/>
        </w:trPr>
        <w:tc>
          <w:tcPr>
            <w:tcW w:w="8936" w:type="dxa"/>
            <w:gridSpan w:val="2"/>
            <w:shd w:val="clear" w:color="auto" w:fill="CCFFCC"/>
          </w:tcPr>
          <w:p w14:paraId="65D5627D" w14:textId="77777777" w:rsidR="00C845C0" w:rsidRPr="00C845C0" w:rsidRDefault="00C845C0" w:rsidP="00DD11A7">
            <w:pPr>
              <w:rPr>
                <w:rFonts w:ascii="Arial" w:hAnsi="Arial" w:cs="Arial"/>
                <w:b/>
                <w:bCs/>
                <w:sz w:val="16"/>
                <w:szCs w:val="16"/>
              </w:rPr>
            </w:pPr>
            <w:r w:rsidRPr="00EA1802">
              <w:rPr>
                <w:rFonts w:ascii="Arial" w:hAnsi="Arial" w:cs="Arial"/>
                <w:b/>
                <w:bCs/>
                <w:sz w:val="18"/>
                <w:szCs w:val="16"/>
              </w:rPr>
              <w:t>Tabla 7.4.1.1. Estimación de la población diana en tratamientos de duración limitada</w:t>
            </w:r>
          </w:p>
        </w:tc>
      </w:tr>
      <w:tr w:rsidR="00C845C0" w14:paraId="323AF7F1" w14:textId="77777777" w:rsidTr="00E00E2B">
        <w:trPr>
          <w:trHeight w:val="268"/>
        </w:trPr>
        <w:tc>
          <w:tcPr>
            <w:tcW w:w="8936" w:type="dxa"/>
            <w:gridSpan w:val="2"/>
          </w:tcPr>
          <w:p w14:paraId="43746632" w14:textId="77777777" w:rsidR="00C845C0" w:rsidRDefault="00C845C0" w:rsidP="00DD11A7">
            <w:pPr>
              <w:rPr>
                <w:rFonts w:ascii="Arial" w:hAnsi="Arial" w:cs="Arial"/>
                <w:b/>
                <w:bCs/>
                <w:sz w:val="16"/>
                <w:szCs w:val="16"/>
              </w:rPr>
            </w:pPr>
            <w:r>
              <w:rPr>
                <w:rFonts w:ascii="Arial" w:hAnsi="Arial" w:cs="Arial"/>
                <w:b/>
                <w:bCs/>
                <w:sz w:val="16"/>
                <w:szCs w:val="16"/>
              </w:rPr>
              <w:t>Fármaco e indicación:</w:t>
            </w:r>
            <w:r w:rsidR="003937A3">
              <w:rPr>
                <w:rFonts w:ascii="Arial" w:hAnsi="Arial" w:cs="Arial"/>
                <w:b/>
                <w:bCs/>
                <w:sz w:val="16"/>
                <w:szCs w:val="16"/>
              </w:rPr>
              <w:t xml:space="preserve"> Niraparib + abiraterona y prednisona en CPRCm con mutación en BRCA1/2</w:t>
            </w:r>
          </w:p>
          <w:p w14:paraId="638163C1" w14:textId="77777777" w:rsidR="00C845C0" w:rsidRDefault="00C845C0" w:rsidP="00DD11A7">
            <w:pPr>
              <w:suppressAutoHyphens/>
              <w:rPr>
                <w:rFonts w:ascii="Arial" w:hAnsi="Arial" w:cs="Arial"/>
                <w:b/>
                <w:sz w:val="16"/>
                <w:szCs w:val="16"/>
                <w:lang w:eastAsia="ar-SA"/>
              </w:rPr>
            </w:pPr>
            <w:r>
              <w:rPr>
                <w:rFonts w:ascii="Arial" w:hAnsi="Arial" w:cs="Arial"/>
                <w:b/>
                <w:sz w:val="16"/>
                <w:szCs w:val="16"/>
                <w:lang w:eastAsia="ar-SA"/>
              </w:rPr>
              <w:t xml:space="preserve">Ámbito y horizonte temporal: </w:t>
            </w:r>
            <w:r w:rsidR="00861752">
              <w:rPr>
                <w:rFonts w:ascii="Arial" w:hAnsi="Arial" w:cs="Arial"/>
                <w:sz w:val="16"/>
                <w:szCs w:val="16"/>
                <w:lang w:eastAsia="ar-SA"/>
              </w:rPr>
              <w:t>Estatal. Anual</w:t>
            </w:r>
          </w:p>
          <w:p w14:paraId="75DCC9E9" w14:textId="77777777" w:rsidR="00C845C0" w:rsidRDefault="00C845C0" w:rsidP="00861752">
            <w:pPr>
              <w:rPr>
                <w:rFonts w:ascii="Cambria" w:hAnsi="Cambria" w:cs="Arial"/>
                <w:b/>
                <w:bCs/>
                <w:sz w:val="18"/>
                <w:szCs w:val="18"/>
              </w:rPr>
            </w:pPr>
          </w:p>
        </w:tc>
      </w:tr>
      <w:tr w:rsidR="00C845C0" w14:paraId="0B08B2A2" w14:textId="77777777" w:rsidTr="00E00E2B">
        <w:trPr>
          <w:trHeight w:val="375"/>
        </w:trPr>
        <w:tc>
          <w:tcPr>
            <w:tcW w:w="5959" w:type="dxa"/>
            <w:shd w:val="clear" w:color="auto" w:fill="D9D9D9"/>
          </w:tcPr>
          <w:p w14:paraId="1B469B9D" w14:textId="77777777" w:rsidR="00C845C0" w:rsidRDefault="00C845C0" w:rsidP="00DD11A7">
            <w:pPr>
              <w:rPr>
                <w:rFonts w:ascii="Arial" w:hAnsi="Arial" w:cs="Arial"/>
                <w:b/>
                <w:bCs/>
                <w:sz w:val="16"/>
                <w:szCs w:val="16"/>
              </w:rPr>
            </w:pPr>
            <w:r>
              <w:rPr>
                <w:rFonts w:ascii="Arial" w:hAnsi="Arial" w:cs="Arial"/>
                <w:b/>
                <w:bCs/>
                <w:sz w:val="16"/>
                <w:szCs w:val="16"/>
              </w:rPr>
              <w:t>Ámbito</w:t>
            </w:r>
            <w:r w:rsidR="00AA7522">
              <w:rPr>
                <w:rFonts w:ascii="Arial" w:hAnsi="Arial" w:cs="Arial"/>
                <w:b/>
                <w:bCs/>
                <w:sz w:val="16"/>
                <w:szCs w:val="16"/>
              </w:rPr>
              <w:t xml:space="preserve"> estatal</w:t>
            </w:r>
          </w:p>
        </w:tc>
        <w:tc>
          <w:tcPr>
            <w:tcW w:w="2977" w:type="dxa"/>
            <w:shd w:val="clear" w:color="auto" w:fill="D9D9D9"/>
          </w:tcPr>
          <w:p w14:paraId="7ECC9F50" w14:textId="77777777" w:rsidR="00C845C0" w:rsidRDefault="00AA7522" w:rsidP="00DD11A7">
            <w:pPr>
              <w:jc w:val="center"/>
              <w:rPr>
                <w:rFonts w:ascii="Arial" w:hAnsi="Arial" w:cs="Arial"/>
                <w:bCs/>
                <w:sz w:val="16"/>
                <w:szCs w:val="16"/>
              </w:rPr>
            </w:pPr>
            <w:r>
              <w:rPr>
                <w:rFonts w:ascii="Arial" w:hAnsi="Arial" w:cs="Arial"/>
                <w:bCs/>
                <w:sz w:val="16"/>
                <w:szCs w:val="16"/>
              </w:rPr>
              <w:t>N</w:t>
            </w:r>
          </w:p>
        </w:tc>
      </w:tr>
      <w:tr w:rsidR="00C845C0" w14:paraId="219F81EB" w14:textId="77777777" w:rsidTr="00E00E2B">
        <w:trPr>
          <w:trHeight w:val="375"/>
        </w:trPr>
        <w:tc>
          <w:tcPr>
            <w:tcW w:w="5959" w:type="dxa"/>
            <w:vAlign w:val="center"/>
            <w:hideMark/>
          </w:tcPr>
          <w:p w14:paraId="67B999FC" w14:textId="77777777" w:rsidR="00C845C0" w:rsidRDefault="009E3516" w:rsidP="009E3516">
            <w:pPr>
              <w:rPr>
                <w:rFonts w:ascii="Arial" w:hAnsi="Arial" w:cs="Arial"/>
                <w:b/>
                <w:bCs/>
                <w:sz w:val="16"/>
                <w:szCs w:val="16"/>
              </w:rPr>
            </w:pPr>
            <w:r>
              <w:rPr>
                <w:rFonts w:ascii="Arial" w:hAnsi="Arial" w:cs="Arial"/>
                <w:b/>
                <w:bCs/>
                <w:sz w:val="16"/>
                <w:szCs w:val="16"/>
              </w:rPr>
              <w:t xml:space="preserve">A. Estimación de nuevos diagnósticos cáncer de próstata en España 2023 </w:t>
            </w:r>
          </w:p>
        </w:tc>
        <w:tc>
          <w:tcPr>
            <w:tcW w:w="2977" w:type="dxa"/>
            <w:vAlign w:val="center"/>
            <w:hideMark/>
          </w:tcPr>
          <w:p w14:paraId="56554E09" w14:textId="77777777" w:rsidR="00C845C0" w:rsidRDefault="009E3516" w:rsidP="00DD11A7">
            <w:pPr>
              <w:jc w:val="center"/>
              <w:rPr>
                <w:rFonts w:ascii="Arial" w:hAnsi="Arial" w:cs="Arial"/>
                <w:b/>
                <w:bCs/>
                <w:sz w:val="16"/>
                <w:szCs w:val="16"/>
              </w:rPr>
            </w:pPr>
            <w:r>
              <w:rPr>
                <w:rFonts w:ascii="Arial" w:hAnsi="Arial" w:cs="Arial"/>
                <w:sz w:val="16"/>
                <w:szCs w:val="16"/>
              </w:rPr>
              <w:t>29.002</w:t>
            </w:r>
          </w:p>
        </w:tc>
      </w:tr>
      <w:tr w:rsidR="00C845C0" w14:paraId="36DEB5C2" w14:textId="77777777" w:rsidTr="00F574A3">
        <w:trPr>
          <w:trHeight w:val="510"/>
        </w:trPr>
        <w:tc>
          <w:tcPr>
            <w:tcW w:w="5959" w:type="dxa"/>
            <w:vAlign w:val="center"/>
            <w:hideMark/>
          </w:tcPr>
          <w:p w14:paraId="7F47D541" w14:textId="77777777" w:rsidR="00C845C0" w:rsidRDefault="00F574A3" w:rsidP="000C4156">
            <w:pPr>
              <w:rPr>
                <w:rFonts w:ascii="Arial" w:hAnsi="Arial" w:cs="Arial"/>
                <w:b/>
                <w:bCs/>
                <w:sz w:val="16"/>
                <w:szCs w:val="16"/>
              </w:rPr>
            </w:pPr>
            <w:r>
              <w:rPr>
                <w:rFonts w:ascii="Arial" w:hAnsi="Arial" w:cs="Arial"/>
                <w:b/>
                <w:bCs/>
                <w:sz w:val="16"/>
                <w:szCs w:val="16"/>
              </w:rPr>
              <w:t>B.</w:t>
            </w:r>
            <w:r w:rsidR="009E3516">
              <w:rPr>
                <w:rFonts w:ascii="Arial" w:hAnsi="Arial" w:cs="Arial"/>
                <w:sz w:val="16"/>
                <w:szCs w:val="16"/>
              </w:rPr>
              <w:t xml:space="preserve"> pacientes con cáncer de próstata metastásico de inicio</w:t>
            </w:r>
            <w:r>
              <w:rPr>
                <w:rFonts w:ascii="Arial" w:hAnsi="Arial" w:cs="Arial"/>
                <w:sz w:val="16"/>
                <w:szCs w:val="16"/>
              </w:rPr>
              <w:t xml:space="preserve"> (5%)</w:t>
            </w:r>
          </w:p>
        </w:tc>
        <w:tc>
          <w:tcPr>
            <w:tcW w:w="2977" w:type="dxa"/>
            <w:vAlign w:val="center"/>
          </w:tcPr>
          <w:p w14:paraId="01CD2A5C" w14:textId="77777777" w:rsidR="00C845C0" w:rsidRDefault="00F574A3" w:rsidP="00DD11A7">
            <w:pPr>
              <w:jc w:val="center"/>
              <w:rPr>
                <w:rFonts w:ascii="Arial" w:hAnsi="Arial" w:cs="Arial"/>
                <w:sz w:val="16"/>
                <w:szCs w:val="16"/>
              </w:rPr>
            </w:pPr>
            <w:r>
              <w:rPr>
                <w:rFonts w:ascii="Arial" w:hAnsi="Arial" w:cs="Arial"/>
                <w:sz w:val="16"/>
                <w:szCs w:val="16"/>
              </w:rPr>
              <w:t>1.450</w:t>
            </w:r>
          </w:p>
        </w:tc>
      </w:tr>
      <w:tr w:rsidR="005B54D6" w14:paraId="7E50E5A6" w14:textId="77777777" w:rsidTr="00E00E2B">
        <w:trPr>
          <w:trHeight w:val="510"/>
        </w:trPr>
        <w:tc>
          <w:tcPr>
            <w:tcW w:w="5959" w:type="dxa"/>
            <w:vAlign w:val="center"/>
          </w:tcPr>
          <w:p w14:paraId="18EF9F02" w14:textId="77777777" w:rsidR="005B54D6" w:rsidRDefault="000C4156" w:rsidP="00AA7522">
            <w:pPr>
              <w:rPr>
                <w:rFonts w:ascii="Arial" w:hAnsi="Arial" w:cs="Arial"/>
                <w:b/>
                <w:bCs/>
                <w:sz w:val="16"/>
                <w:szCs w:val="16"/>
              </w:rPr>
            </w:pPr>
            <w:r>
              <w:rPr>
                <w:rFonts w:ascii="Arial" w:hAnsi="Arial" w:cs="Arial"/>
                <w:b/>
                <w:bCs/>
                <w:sz w:val="16"/>
                <w:szCs w:val="16"/>
              </w:rPr>
              <w:t>C</w:t>
            </w:r>
            <w:r w:rsidR="009E3516">
              <w:rPr>
                <w:rFonts w:ascii="Arial" w:hAnsi="Arial" w:cs="Arial"/>
                <w:b/>
                <w:bCs/>
                <w:sz w:val="16"/>
                <w:szCs w:val="16"/>
              </w:rPr>
              <w:t>. pacientes con cáncer de próstata que evolucionan a enfermedad metastásica</w:t>
            </w:r>
            <w:r w:rsidR="00F574A3">
              <w:rPr>
                <w:rFonts w:ascii="Arial" w:hAnsi="Arial" w:cs="Arial"/>
                <w:b/>
                <w:bCs/>
                <w:sz w:val="16"/>
                <w:szCs w:val="16"/>
              </w:rPr>
              <w:t xml:space="preserve"> (20-30%)</w:t>
            </w:r>
          </w:p>
        </w:tc>
        <w:tc>
          <w:tcPr>
            <w:tcW w:w="2977" w:type="dxa"/>
            <w:vAlign w:val="center"/>
          </w:tcPr>
          <w:p w14:paraId="3BB3DDCD" w14:textId="77777777" w:rsidR="005B54D6" w:rsidRDefault="00977362" w:rsidP="00DD11A7">
            <w:pPr>
              <w:jc w:val="center"/>
              <w:rPr>
                <w:rFonts w:ascii="Arial" w:hAnsi="Arial" w:cs="Arial"/>
                <w:sz w:val="16"/>
                <w:szCs w:val="16"/>
              </w:rPr>
            </w:pPr>
            <w:r>
              <w:rPr>
                <w:rFonts w:ascii="Arial" w:hAnsi="Arial" w:cs="Arial"/>
                <w:sz w:val="16"/>
                <w:szCs w:val="16"/>
              </w:rPr>
              <w:t>6.888</w:t>
            </w:r>
          </w:p>
        </w:tc>
      </w:tr>
      <w:tr w:rsidR="00F574A3" w14:paraId="432B4025" w14:textId="77777777" w:rsidTr="00E00E2B">
        <w:trPr>
          <w:trHeight w:val="510"/>
        </w:trPr>
        <w:tc>
          <w:tcPr>
            <w:tcW w:w="5959" w:type="dxa"/>
            <w:vAlign w:val="center"/>
          </w:tcPr>
          <w:p w14:paraId="00870BE4" w14:textId="77777777" w:rsidR="00F574A3" w:rsidRDefault="00F574A3" w:rsidP="00AA7522">
            <w:pPr>
              <w:rPr>
                <w:rFonts w:ascii="Arial" w:hAnsi="Arial" w:cs="Arial"/>
                <w:b/>
                <w:bCs/>
                <w:sz w:val="16"/>
                <w:szCs w:val="16"/>
              </w:rPr>
            </w:pPr>
            <w:r>
              <w:rPr>
                <w:rFonts w:ascii="Arial" w:hAnsi="Arial" w:cs="Arial"/>
                <w:b/>
                <w:bCs/>
                <w:sz w:val="16"/>
                <w:szCs w:val="16"/>
              </w:rPr>
              <w:t>D. Total de pacientes con cáncer de próstata metastásico</w:t>
            </w:r>
          </w:p>
        </w:tc>
        <w:tc>
          <w:tcPr>
            <w:tcW w:w="2977" w:type="dxa"/>
            <w:vAlign w:val="center"/>
          </w:tcPr>
          <w:p w14:paraId="57DFE399" w14:textId="77777777" w:rsidR="00F574A3" w:rsidRDefault="00977362" w:rsidP="00DD11A7">
            <w:pPr>
              <w:jc w:val="center"/>
              <w:rPr>
                <w:rFonts w:ascii="Arial" w:hAnsi="Arial" w:cs="Arial"/>
                <w:sz w:val="16"/>
                <w:szCs w:val="16"/>
              </w:rPr>
            </w:pPr>
            <w:r>
              <w:rPr>
                <w:rFonts w:ascii="Arial" w:hAnsi="Arial" w:cs="Arial"/>
                <w:sz w:val="16"/>
                <w:szCs w:val="16"/>
              </w:rPr>
              <w:t>8.338</w:t>
            </w:r>
          </w:p>
        </w:tc>
      </w:tr>
      <w:tr w:rsidR="00AF63ED" w14:paraId="25BE51B9" w14:textId="77777777" w:rsidTr="00E00E2B">
        <w:trPr>
          <w:trHeight w:val="510"/>
        </w:trPr>
        <w:tc>
          <w:tcPr>
            <w:tcW w:w="5959" w:type="dxa"/>
            <w:vAlign w:val="center"/>
          </w:tcPr>
          <w:p w14:paraId="6D48AF65" w14:textId="77777777" w:rsidR="00AF63ED" w:rsidRDefault="004B52CA" w:rsidP="004B52CA">
            <w:pPr>
              <w:rPr>
                <w:rFonts w:ascii="Arial" w:hAnsi="Arial" w:cs="Arial"/>
                <w:b/>
                <w:bCs/>
                <w:sz w:val="16"/>
                <w:szCs w:val="16"/>
              </w:rPr>
            </w:pPr>
            <w:r>
              <w:rPr>
                <w:rFonts w:ascii="Arial" w:hAnsi="Arial" w:cs="Arial"/>
                <w:b/>
                <w:bCs/>
                <w:sz w:val="16"/>
                <w:szCs w:val="16"/>
              </w:rPr>
              <w:t>E</w:t>
            </w:r>
            <w:r w:rsidR="009E3516">
              <w:rPr>
                <w:rFonts w:ascii="Arial" w:hAnsi="Arial" w:cs="Arial"/>
                <w:b/>
                <w:bCs/>
                <w:sz w:val="16"/>
                <w:szCs w:val="16"/>
              </w:rPr>
              <w:t xml:space="preserve">. </w:t>
            </w:r>
            <w:r w:rsidR="00F574A3">
              <w:rPr>
                <w:rFonts w:ascii="Arial" w:hAnsi="Arial" w:cs="Arial"/>
                <w:b/>
                <w:bCs/>
                <w:sz w:val="16"/>
                <w:szCs w:val="16"/>
              </w:rPr>
              <w:t>E</w:t>
            </w:r>
            <w:r w:rsidR="009E3516">
              <w:rPr>
                <w:rFonts w:ascii="Arial" w:hAnsi="Arial" w:cs="Arial"/>
                <w:b/>
                <w:bCs/>
                <w:sz w:val="16"/>
                <w:szCs w:val="16"/>
              </w:rPr>
              <w:t>stimación de CPRCm con mutación BRCA1 y BRCA 2</w:t>
            </w:r>
            <w:r w:rsidR="00F574A3">
              <w:rPr>
                <w:rFonts w:ascii="Arial" w:hAnsi="Arial" w:cs="Arial"/>
                <w:b/>
                <w:bCs/>
                <w:sz w:val="16"/>
                <w:szCs w:val="16"/>
              </w:rPr>
              <w:t xml:space="preserve"> </w:t>
            </w:r>
            <w:r>
              <w:rPr>
                <w:rFonts w:ascii="Arial" w:hAnsi="Arial" w:cs="Arial"/>
                <w:b/>
                <w:bCs/>
                <w:sz w:val="16"/>
                <w:szCs w:val="16"/>
              </w:rPr>
              <w:t xml:space="preserve">somática y germinal en cáncer de próstata metastásico </w:t>
            </w:r>
            <w:r w:rsidR="00F574A3">
              <w:rPr>
                <w:rFonts w:ascii="Arial" w:hAnsi="Arial" w:cs="Arial"/>
                <w:b/>
                <w:bCs/>
                <w:sz w:val="16"/>
                <w:szCs w:val="16"/>
              </w:rPr>
              <w:t>(</w:t>
            </w:r>
            <w:r>
              <w:rPr>
                <w:rFonts w:ascii="Arial" w:hAnsi="Arial" w:cs="Arial"/>
                <w:b/>
                <w:bCs/>
                <w:sz w:val="16"/>
                <w:szCs w:val="16"/>
              </w:rPr>
              <w:t>19,2%)</w:t>
            </w:r>
          </w:p>
        </w:tc>
        <w:tc>
          <w:tcPr>
            <w:tcW w:w="2977" w:type="dxa"/>
            <w:vAlign w:val="center"/>
          </w:tcPr>
          <w:p w14:paraId="187D9B5F" w14:textId="7E3016A9" w:rsidR="00AF63ED" w:rsidRDefault="004B52CA" w:rsidP="00DD11A7">
            <w:pPr>
              <w:jc w:val="center"/>
              <w:rPr>
                <w:rFonts w:ascii="Arial" w:hAnsi="Arial" w:cs="Arial"/>
                <w:sz w:val="16"/>
                <w:szCs w:val="16"/>
              </w:rPr>
            </w:pPr>
            <w:r>
              <w:rPr>
                <w:rFonts w:ascii="Arial" w:hAnsi="Arial" w:cs="Arial"/>
                <w:sz w:val="16"/>
                <w:szCs w:val="16"/>
              </w:rPr>
              <w:t>1.601</w:t>
            </w:r>
            <w:r w:rsidR="00150640">
              <w:rPr>
                <w:rFonts w:ascii="Arial" w:hAnsi="Arial" w:cs="Arial"/>
                <w:sz w:val="16"/>
                <w:szCs w:val="16"/>
              </w:rPr>
              <w:t>*</w:t>
            </w:r>
          </w:p>
        </w:tc>
      </w:tr>
      <w:tr w:rsidR="00C845C0" w:rsidRPr="00D92C55" w14:paraId="5DB3BCE1" w14:textId="77777777" w:rsidTr="000F4DA7">
        <w:trPr>
          <w:trHeight w:val="255"/>
        </w:trPr>
        <w:tc>
          <w:tcPr>
            <w:tcW w:w="8936" w:type="dxa"/>
            <w:gridSpan w:val="2"/>
            <w:shd w:val="clear" w:color="auto" w:fill="D9D9D9"/>
            <w:hideMark/>
          </w:tcPr>
          <w:p w14:paraId="1151E141" w14:textId="77777777" w:rsidR="00C845C0" w:rsidRPr="00D92C55" w:rsidRDefault="00C845C0" w:rsidP="00DD11A7">
            <w:pPr>
              <w:rPr>
                <w:rFonts w:ascii="Arial" w:hAnsi="Arial" w:cs="Arial"/>
                <w:b/>
                <w:bCs/>
                <w:sz w:val="15"/>
                <w:szCs w:val="15"/>
              </w:rPr>
            </w:pPr>
            <w:r w:rsidRPr="00D92C55">
              <w:rPr>
                <w:rFonts w:ascii="Arial" w:hAnsi="Arial" w:cs="Arial"/>
                <w:b/>
                <w:bCs/>
                <w:sz w:val="15"/>
                <w:szCs w:val="15"/>
              </w:rPr>
              <w:t>Observaciones:</w:t>
            </w:r>
          </w:p>
          <w:p w14:paraId="0D3B3330" w14:textId="77777777" w:rsidR="009E3516" w:rsidRDefault="00C845C0" w:rsidP="00DD11A7">
            <w:pPr>
              <w:rPr>
                <w:rFonts w:ascii="Arial" w:hAnsi="Arial" w:cs="Arial"/>
                <w:b/>
                <w:bCs/>
                <w:sz w:val="15"/>
                <w:szCs w:val="15"/>
              </w:rPr>
            </w:pPr>
            <w:r w:rsidRPr="00D92C55">
              <w:rPr>
                <w:rFonts w:ascii="Arial" w:hAnsi="Arial" w:cs="Arial"/>
                <w:b/>
                <w:bCs/>
                <w:sz w:val="15"/>
                <w:szCs w:val="15"/>
              </w:rPr>
              <w:t>Referencias:</w:t>
            </w:r>
          </w:p>
          <w:p w14:paraId="3327713C" w14:textId="42FF527B" w:rsidR="009E3516" w:rsidRDefault="00C845C0" w:rsidP="009E3516">
            <w:pPr>
              <w:numPr>
                <w:ilvl w:val="0"/>
                <w:numId w:val="28"/>
              </w:numPr>
              <w:rPr>
                <w:rFonts w:ascii="Arial" w:hAnsi="Arial" w:cs="Arial"/>
                <w:sz w:val="15"/>
                <w:szCs w:val="15"/>
              </w:rPr>
            </w:pPr>
            <w:r w:rsidRPr="00D92C55">
              <w:rPr>
                <w:rFonts w:ascii="Arial" w:hAnsi="Arial" w:cs="Arial"/>
                <w:sz w:val="15"/>
                <w:szCs w:val="15"/>
              </w:rPr>
              <w:t> </w:t>
            </w:r>
            <w:r w:rsidR="009E3516">
              <w:rPr>
                <w:rFonts w:ascii="Arial" w:hAnsi="Arial" w:cs="Arial"/>
                <w:sz w:val="15"/>
                <w:szCs w:val="15"/>
              </w:rPr>
              <w:t xml:space="preserve">Las cifras de cáncer en España 2023. A: </w:t>
            </w:r>
            <w:hyperlink r:id="rId39" w:history="1">
              <w:r w:rsidR="00F574A3" w:rsidRPr="00F45461">
                <w:rPr>
                  <w:rStyle w:val="Hipervnculo"/>
                  <w:rFonts w:ascii="Arial" w:hAnsi="Arial" w:cs="Arial"/>
                  <w:sz w:val="15"/>
                  <w:szCs w:val="15"/>
                </w:rPr>
                <w:t>https://seom.org/images/Las_cifras_del_Cancer_en_Espana_2023.pdf</w:t>
              </w:r>
            </w:hyperlink>
            <w:r w:rsidR="007D6407">
              <w:rPr>
                <w:rStyle w:val="Hipervnculo"/>
                <w:rFonts w:ascii="Arial" w:hAnsi="Arial" w:cs="Arial"/>
                <w:sz w:val="15"/>
                <w:szCs w:val="15"/>
              </w:rPr>
              <w:t xml:space="preserve"> </w:t>
            </w:r>
            <w:r w:rsidR="007D6407">
              <w:rPr>
                <w:rStyle w:val="Hipervnculo"/>
                <w:sz w:val="15"/>
                <w:szCs w:val="15"/>
              </w:rPr>
              <w:t>(37)</w:t>
            </w:r>
          </w:p>
          <w:p w14:paraId="0B2FD880" w14:textId="4DFBD5BB" w:rsidR="00F574A3" w:rsidRDefault="003C19DC" w:rsidP="00F574A3">
            <w:pPr>
              <w:numPr>
                <w:ilvl w:val="0"/>
                <w:numId w:val="28"/>
              </w:numPr>
              <w:rPr>
                <w:rFonts w:ascii="Arial" w:hAnsi="Arial" w:cs="Arial"/>
                <w:sz w:val="15"/>
                <w:szCs w:val="15"/>
              </w:rPr>
            </w:pPr>
            <w:hyperlink r:id="rId40" w:history="1">
              <w:r w:rsidR="00F574A3" w:rsidRPr="00F45461">
                <w:rPr>
                  <w:rStyle w:val="Hipervnculo"/>
                  <w:rFonts w:ascii="Arial" w:hAnsi="Arial" w:cs="Arial"/>
                  <w:sz w:val="15"/>
                  <w:szCs w:val="15"/>
                </w:rPr>
                <w:t>https://seom.org/seomcms/images/stories/Informes_SEOM/IEV_olaparib_ca_prostata_resistente.pdf</w:t>
              </w:r>
            </w:hyperlink>
            <w:r w:rsidR="007D6407">
              <w:rPr>
                <w:rStyle w:val="Hipervnculo"/>
                <w:rFonts w:ascii="Arial" w:hAnsi="Arial" w:cs="Arial"/>
                <w:sz w:val="15"/>
                <w:szCs w:val="15"/>
              </w:rPr>
              <w:t xml:space="preserve"> </w:t>
            </w:r>
            <w:r w:rsidR="007D6407">
              <w:rPr>
                <w:rStyle w:val="Hipervnculo"/>
                <w:sz w:val="15"/>
                <w:szCs w:val="15"/>
              </w:rPr>
              <w:t>(38)</w:t>
            </w:r>
          </w:p>
          <w:p w14:paraId="459167D6" w14:textId="77777777" w:rsidR="00F574A3" w:rsidRDefault="003C19DC" w:rsidP="00F574A3">
            <w:pPr>
              <w:numPr>
                <w:ilvl w:val="0"/>
                <w:numId w:val="28"/>
              </w:numPr>
              <w:rPr>
                <w:rFonts w:ascii="Arial" w:hAnsi="Arial" w:cs="Arial"/>
                <w:sz w:val="15"/>
                <w:szCs w:val="15"/>
              </w:rPr>
            </w:pPr>
            <w:hyperlink r:id="rId41" w:history="1">
              <w:r w:rsidR="00F574A3" w:rsidRPr="00F45461">
                <w:rPr>
                  <w:rStyle w:val="Hipervnculo"/>
                  <w:rFonts w:ascii="Arial" w:hAnsi="Arial" w:cs="Arial"/>
                  <w:sz w:val="15"/>
                  <w:szCs w:val="15"/>
                </w:rPr>
                <w:t>https://seom.org/seomcms/images/stories/Informes_SEOM/IEV_olaparib_ca_prostata_resistente.pdf</w:t>
              </w:r>
            </w:hyperlink>
          </w:p>
          <w:p w14:paraId="76496590" w14:textId="77777777" w:rsidR="00F574A3" w:rsidRDefault="003C19DC" w:rsidP="00F574A3">
            <w:pPr>
              <w:numPr>
                <w:ilvl w:val="0"/>
                <w:numId w:val="28"/>
              </w:numPr>
              <w:rPr>
                <w:rFonts w:ascii="Arial" w:hAnsi="Arial" w:cs="Arial"/>
                <w:sz w:val="15"/>
                <w:szCs w:val="15"/>
              </w:rPr>
            </w:pPr>
            <w:hyperlink r:id="rId42" w:history="1">
              <w:r w:rsidR="00F574A3" w:rsidRPr="00F45461">
                <w:rPr>
                  <w:rStyle w:val="Hipervnculo"/>
                  <w:rFonts w:ascii="Arial" w:hAnsi="Arial" w:cs="Arial"/>
                  <w:sz w:val="15"/>
                  <w:szCs w:val="15"/>
                </w:rPr>
                <w:t>https://seom.org/seomcms/images/stories/Informes_SEOM/IEV_olaparib_ca_prostata_resistente.pdf</w:t>
              </w:r>
            </w:hyperlink>
          </w:p>
          <w:p w14:paraId="43355310" w14:textId="77777777" w:rsidR="007D6407" w:rsidRDefault="004B52CA" w:rsidP="004B52CA">
            <w:pPr>
              <w:numPr>
                <w:ilvl w:val="0"/>
                <w:numId w:val="28"/>
              </w:numPr>
              <w:rPr>
                <w:rFonts w:ascii="Arial" w:hAnsi="Arial" w:cs="Arial"/>
                <w:sz w:val="15"/>
                <w:szCs w:val="15"/>
              </w:rPr>
            </w:pPr>
            <w:r w:rsidRPr="00966C6E">
              <w:rPr>
                <w:rFonts w:ascii="Arial" w:hAnsi="Arial" w:cs="Arial"/>
                <w:sz w:val="15"/>
                <w:szCs w:val="15"/>
                <w:lang w:val="en-GB"/>
              </w:rPr>
              <w:t xml:space="preserve">Mateo J, et al. DNA-Repair Defects and Olaparib in Metastatic Prostate Cancer. N Engl J Med. 2015; 373(18):1697-708; Pritchard CC, et al. Inherited DNA-Repair Gene Mutations in Men with Metastatic Prostate Cancer. </w:t>
            </w:r>
            <w:r w:rsidRPr="004B52CA">
              <w:rPr>
                <w:rFonts w:ascii="Arial" w:hAnsi="Arial" w:cs="Arial"/>
                <w:sz w:val="15"/>
                <w:szCs w:val="15"/>
              </w:rPr>
              <w:t>N Engl J Med. 2016; 375(5):443-53;</w:t>
            </w:r>
            <w:r w:rsidR="007D6407">
              <w:rPr>
                <w:rFonts w:ascii="Arial" w:hAnsi="Arial" w:cs="Arial"/>
                <w:sz w:val="15"/>
                <w:szCs w:val="15"/>
              </w:rPr>
              <w:t xml:space="preserve"> (39)</w:t>
            </w:r>
          </w:p>
          <w:p w14:paraId="78CA49EF" w14:textId="1FC7DE62" w:rsidR="004B52CA" w:rsidRPr="007D6407" w:rsidRDefault="00916AB5" w:rsidP="007D6407">
            <w:pPr>
              <w:pStyle w:val="Prrafodelista"/>
              <w:ind w:left="720"/>
              <w:rPr>
                <w:rFonts w:ascii="Arial" w:hAnsi="Arial" w:cs="Arial"/>
                <w:sz w:val="15"/>
                <w:szCs w:val="15"/>
              </w:rPr>
            </w:pPr>
            <w:r w:rsidRPr="007D6407">
              <w:rPr>
                <w:rFonts w:ascii="Arial" w:hAnsi="Arial" w:cs="Arial"/>
                <w:sz w:val="15"/>
                <w:szCs w:val="15"/>
              </w:rPr>
              <w:t>Recomendaciones de AIOM para la implementación del análisis mutacional BRCA en pacientes con cáncer de próstata metastásico Edición de Febrero 2021.</w:t>
            </w:r>
            <w:r w:rsidR="007D6407">
              <w:rPr>
                <w:rFonts w:ascii="Arial" w:hAnsi="Arial" w:cs="Arial"/>
                <w:sz w:val="15"/>
                <w:szCs w:val="15"/>
              </w:rPr>
              <w:t>(40)</w:t>
            </w:r>
          </w:p>
          <w:p w14:paraId="03834326" w14:textId="77777777" w:rsidR="009E3516" w:rsidRPr="00D92C55" w:rsidRDefault="009E3516" w:rsidP="00AA7522">
            <w:pPr>
              <w:rPr>
                <w:rFonts w:ascii="Cambria" w:hAnsi="Cambria" w:cs="Arial"/>
                <w:b/>
                <w:bCs/>
                <w:sz w:val="15"/>
                <w:szCs w:val="15"/>
              </w:rPr>
            </w:pPr>
          </w:p>
        </w:tc>
      </w:tr>
    </w:tbl>
    <w:p w14:paraId="6DDFD887" w14:textId="58A79CA1" w:rsidR="009B1EC0" w:rsidRPr="009E3516" w:rsidRDefault="00150640" w:rsidP="001E2C32">
      <w:pPr>
        <w:rPr>
          <w:rFonts w:ascii="Arial" w:hAnsi="Arial" w:cs="Arial"/>
        </w:rPr>
      </w:pPr>
      <w:r>
        <w:rPr>
          <w:rFonts w:ascii="Arial" w:hAnsi="Arial" w:cs="Arial"/>
          <w:sz w:val="18"/>
          <w:szCs w:val="18"/>
        </w:rPr>
        <w:t>*</w:t>
      </w:r>
      <w:r w:rsidR="005C7A5C">
        <w:rPr>
          <w:rFonts w:ascii="Arial" w:hAnsi="Arial" w:cs="Arial"/>
          <w:sz w:val="18"/>
          <w:szCs w:val="18"/>
        </w:rPr>
        <w:t>No se tiene en cuenta el porcentaje de pacientes no candidatos a quimioterapia. En línea a lo expresado en el informe de la agencia de evaluación de Canadá</w:t>
      </w:r>
      <w:r w:rsidR="007D6407">
        <w:rPr>
          <w:rFonts w:ascii="Arial" w:hAnsi="Arial" w:cs="Arial"/>
          <w:sz w:val="18"/>
          <w:szCs w:val="18"/>
        </w:rPr>
        <w:t xml:space="preserve"> (34)</w:t>
      </w:r>
      <w:r w:rsidR="005C7A5C">
        <w:rPr>
          <w:rFonts w:ascii="Arial" w:hAnsi="Arial" w:cs="Arial"/>
          <w:sz w:val="18"/>
          <w:szCs w:val="18"/>
        </w:rPr>
        <w:t>, existe una</w:t>
      </w:r>
      <w:r w:rsidR="001E2C32">
        <w:rPr>
          <w:rFonts w:ascii="Arial" w:hAnsi="Arial" w:cs="Arial"/>
          <w:sz w:val="18"/>
          <w:szCs w:val="18"/>
        </w:rPr>
        <w:t xml:space="preserve"> gran incertidumbre de establecer el criterio de elegibilidad para quimioterapia en la práctica clínica </w:t>
      </w:r>
      <w:r w:rsidR="005C7A5C">
        <w:rPr>
          <w:rFonts w:ascii="Arial" w:hAnsi="Arial" w:cs="Arial"/>
          <w:sz w:val="18"/>
          <w:szCs w:val="18"/>
        </w:rPr>
        <w:t xml:space="preserve">en los diferentes centros que puede estar </w:t>
      </w:r>
      <w:r w:rsidR="001E2C32">
        <w:rPr>
          <w:rFonts w:ascii="Arial" w:hAnsi="Arial" w:cs="Arial"/>
          <w:sz w:val="18"/>
          <w:szCs w:val="18"/>
        </w:rPr>
        <w:t>basado más en el juicio clínico que en criterios clínicos consistentes</w:t>
      </w:r>
      <w:r w:rsidR="005C7A5C">
        <w:rPr>
          <w:rFonts w:ascii="Arial" w:hAnsi="Arial" w:cs="Arial"/>
          <w:sz w:val="18"/>
          <w:szCs w:val="18"/>
        </w:rPr>
        <w:t>. Por ello,</w:t>
      </w:r>
      <w:r w:rsidR="001E2C32">
        <w:rPr>
          <w:rFonts w:ascii="Arial" w:hAnsi="Arial" w:cs="Arial"/>
          <w:sz w:val="18"/>
          <w:szCs w:val="18"/>
        </w:rPr>
        <w:t xml:space="preserve"> no se tiene en cuenta en este apartado de cálculo de estimación de población diana.</w:t>
      </w:r>
    </w:p>
    <w:p w14:paraId="3F82AAA1" w14:textId="77777777" w:rsidR="00C845C0" w:rsidRDefault="00C845C0" w:rsidP="00C845C0">
      <w:pPr>
        <w:rPr>
          <w:rFonts w:ascii="Arial" w:hAnsi="Arial" w:cs="Arial"/>
          <w:sz w:val="20"/>
          <w:szCs w:val="20"/>
        </w:rPr>
      </w:pPr>
    </w:p>
    <w:p w14:paraId="12D8B86F"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7.4.2 Estudios publicados de impacto presupuestario</w:t>
      </w:r>
    </w:p>
    <w:p w14:paraId="1F283AEA" w14:textId="77777777" w:rsidR="00C845C0" w:rsidRDefault="00334E57" w:rsidP="00C845C0">
      <w:pPr>
        <w:rPr>
          <w:rFonts w:ascii="Arial" w:hAnsi="Arial" w:cs="Arial"/>
          <w:sz w:val="20"/>
          <w:szCs w:val="20"/>
        </w:rPr>
      </w:pPr>
      <w:r>
        <w:rPr>
          <w:rFonts w:ascii="Arial" w:hAnsi="Arial" w:cs="Arial"/>
          <w:sz w:val="20"/>
          <w:szCs w:val="20"/>
        </w:rPr>
        <w:t>No se dispone de estudios publicados</w:t>
      </w:r>
    </w:p>
    <w:p w14:paraId="6568EC83" w14:textId="77777777" w:rsidR="009476C2" w:rsidRDefault="009476C2" w:rsidP="009476C2">
      <w:pPr>
        <w:jc w:val="both"/>
        <w:rPr>
          <w:rFonts w:ascii="Arial" w:hAnsi="Arial" w:cs="Arial"/>
        </w:rPr>
      </w:pPr>
    </w:p>
    <w:p w14:paraId="05463EB3" w14:textId="77777777" w:rsidR="009476C2"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 Estimación propia de impacto presupuestario y beneficios en salud</w:t>
      </w:r>
    </w:p>
    <w:p w14:paraId="72E01C16" w14:textId="77777777" w:rsidR="009476C2" w:rsidRDefault="009476C2" w:rsidP="009476C2">
      <w:pPr>
        <w:jc w:val="both"/>
        <w:rPr>
          <w:rFonts w:ascii="Arial" w:hAnsi="Arial" w:cs="Arial"/>
          <w:sz w:val="20"/>
          <w:szCs w:val="20"/>
        </w:rPr>
      </w:pPr>
    </w:p>
    <w:p w14:paraId="1AA267A3" w14:textId="77777777" w:rsidR="009476C2" w:rsidRDefault="009476C2" w:rsidP="009476C2">
      <w:pPr>
        <w:jc w:val="both"/>
        <w:rPr>
          <w:rFonts w:ascii="Arial" w:hAnsi="Arial" w:cs="Arial"/>
        </w:rPr>
      </w:pPr>
    </w:p>
    <w:p w14:paraId="636EA491" w14:textId="77777777" w:rsidR="009476C2" w:rsidRDefault="009476C2"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7.4.3.1. Estimación propia de impacto presupuestario y beneficios en salud en el hospital</w:t>
      </w:r>
    </w:p>
    <w:p w14:paraId="26AC2C0A" w14:textId="77777777" w:rsidR="009476C2" w:rsidRDefault="009476C2" w:rsidP="009476C2">
      <w:pPr>
        <w:jc w:val="both"/>
        <w:rPr>
          <w:rFonts w:ascii="Arial" w:hAnsi="Arial" w:cs="Arial"/>
          <w:sz w:val="20"/>
          <w:szCs w:val="20"/>
        </w:rPr>
      </w:pPr>
    </w:p>
    <w:p w14:paraId="36223B8C" w14:textId="77777777" w:rsidR="00982C44" w:rsidRDefault="00982C44" w:rsidP="009476C2">
      <w:pPr>
        <w:rPr>
          <w:rFonts w:ascii="Arial" w:hAnsi="Arial" w:cs="Arial"/>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729"/>
        <w:gridCol w:w="1858"/>
        <w:gridCol w:w="1600"/>
        <w:gridCol w:w="2086"/>
      </w:tblGrid>
      <w:tr w:rsidR="009476C2" w:rsidRPr="009476C2" w14:paraId="46FFDFB5" w14:textId="77777777" w:rsidTr="00E00E2B">
        <w:trPr>
          <w:cantSplit/>
          <w:trHeight w:val="519"/>
        </w:trPr>
        <w:tc>
          <w:tcPr>
            <w:tcW w:w="9001" w:type="dxa"/>
            <w:gridSpan w:val="5"/>
            <w:tcBorders>
              <w:bottom w:val="single" w:sz="4" w:space="0" w:color="auto"/>
            </w:tcBorders>
            <w:shd w:val="clear" w:color="auto" w:fill="CCFFCC"/>
          </w:tcPr>
          <w:p w14:paraId="5A534160" w14:textId="77777777" w:rsidR="009476C2" w:rsidRPr="009476C2" w:rsidRDefault="009476C2" w:rsidP="00DD11A7">
            <w:pPr>
              <w:pBdr>
                <w:top w:val="single" w:sz="4" w:space="0" w:color="auto"/>
                <w:left w:val="single" w:sz="4" w:space="4" w:color="auto"/>
                <w:right w:val="single" w:sz="4" w:space="4" w:color="auto"/>
              </w:pBdr>
              <w:jc w:val="both"/>
              <w:rPr>
                <w:rFonts w:ascii="Arial" w:hAnsi="Arial" w:cs="Arial"/>
                <w:b/>
                <w:sz w:val="16"/>
                <w:szCs w:val="16"/>
              </w:rPr>
            </w:pPr>
            <w:r w:rsidRPr="002D7371">
              <w:rPr>
                <w:rFonts w:ascii="Arial" w:hAnsi="Arial" w:cs="Arial"/>
                <w:b/>
                <w:sz w:val="18"/>
                <w:szCs w:val="16"/>
              </w:rPr>
              <w:t>Tabla 7.4.3.1.1. Estimación propia de impacto presupuestario y beneficios en salud anuales en el hospital en el caso de variables de eficacia continuas</w:t>
            </w:r>
          </w:p>
        </w:tc>
      </w:tr>
      <w:tr w:rsidR="009476C2" w14:paraId="5470FB9E" w14:textId="77777777" w:rsidTr="002D7371">
        <w:trPr>
          <w:cantSplit/>
          <w:trHeight w:val="544"/>
        </w:trPr>
        <w:tc>
          <w:tcPr>
            <w:tcW w:w="9001" w:type="dxa"/>
            <w:gridSpan w:val="5"/>
            <w:tcBorders>
              <w:bottom w:val="single" w:sz="4" w:space="0" w:color="auto"/>
            </w:tcBorders>
          </w:tcPr>
          <w:p w14:paraId="613608CE" w14:textId="77777777" w:rsidR="009476C2" w:rsidRDefault="009476C2" w:rsidP="00DD11A7">
            <w:pPr>
              <w:rPr>
                <w:rFonts w:ascii="Arial" w:hAnsi="Arial" w:cs="Arial"/>
                <w:b/>
                <w:sz w:val="16"/>
                <w:szCs w:val="16"/>
              </w:rPr>
            </w:pPr>
            <w:r>
              <w:rPr>
                <w:rFonts w:ascii="Arial" w:hAnsi="Arial" w:cs="Arial"/>
                <w:b/>
                <w:sz w:val="16"/>
                <w:szCs w:val="16"/>
              </w:rPr>
              <w:t>Medicamento e indicación:</w:t>
            </w:r>
          </w:p>
          <w:p w14:paraId="70FCAFCF" w14:textId="77777777" w:rsidR="009476C2" w:rsidRDefault="009476C2" w:rsidP="00DD11A7">
            <w:pPr>
              <w:rPr>
                <w:rFonts w:ascii="Arial" w:hAnsi="Arial" w:cs="Arial"/>
                <w:b/>
                <w:sz w:val="16"/>
                <w:szCs w:val="16"/>
              </w:rPr>
            </w:pPr>
            <w:r>
              <w:rPr>
                <w:rFonts w:ascii="Arial" w:hAnsi="Arial" w:cs="Arial"/>
                <w:b/>
                <w:sz w:val="16"/>
                <w:szCs w:val="16"/>
              </w:rPr>
              <w:t>Variable evaluada y comparador:</w:t>
            </w:r>
          </w:p>
          <w:p w14:paraId="28F18466" w14:textId="77777777" w:rsidR="009476C2" w:rsidRDefault="009476C2" w:rsidP="00DD11A7">
            <w:pPr>
              <w:rPr>
                <w:rFonts w:ascii="Arial" w:hAnsi="Arial" w:cs="Arial"/>
                <w:b/>
                <w:sz w:val="20"/>
                <w:szCs w:val="20"/>
              </w:rPr>
            </w:pPr>
            <w:r>
              <w:rPr>
                <w:rFonts w:ascii="Arial" w:hAnsi="Arial" w:cs="Arial"/>
                <w:b/>
                <w:sz w:val="16"/>
                <w:szCs w:val="16"/>
              </w:rPr>
              <w:t>Escenario y ámbito:</w:t>
            </w:r>
          </w:p>
        </w:tc>
      </w:tr>
      <w:tr w:rsidR="009476C2" w14:paraId="2CF01C8A" w14:textId="77777777" w:rsidTr="002D7371">
        <w:tc>
          <w:tcPr>
            <w:tcW w:w="1728" w:type="dxa"/>
            <w:tcBorders>
              <w:top w:val="single" w:sz="4" w:space="0" w:color="auto"/>
            </w:tcBorders>
            <w:shd w:val="clear" w:color="auto" w:fill="D9D9D9"/>
          </w:tcPr>
          <w:p w14:paraId="0D71CFF1" w14:textId="77777777" w:rsidR="009476C2" w:rsidRDefault="009476C2" w:rsidP="00DD11A7">
            <w:pPr>
              <w:jc w:val="center"/>
              <w:rPr>
                <w:rFonts w:ascii="Arial" w:hAnsi="Arial" w:cs="Arial"/>
                <w:sz w:val="16"/>
                <w:szCs w:val="16"/>
              </w:rPr>
            </w:pPr>
            <w:r>
              <w:rPr>
                <w:rFonts w:ascii="Arial" w:hAnsi="Arial" w:cs="Arial"/>
                <w:sz w:val="16"/>
                <w:szCs w:val="16"/>
              </w:rPr>
              <w:t>Nº de pacientes</w:t>
            </w:r>
          </w:p>
        </w:tc>
        <w:tc>
          <w:tcPr>
            <w:tcW w:w="1729" w:type="dxa"/>
            <w:tcBorders>
              <w:top w:val="single" w:sz="4" w:space="0" w:color="auto"/>
            </w:tcBorders>
            <w:shd w:val="clear" w:color="auto" w:fill="D9D9D9"/>
          </w:tcPr>
          <w:p w14:paraId="62430779" w14:textId="77777777" w:rsidR="009476C2" w:rsidRDefault="009476C2" w:rsidP="00DD11A7">
            <w:pPr>
              <w:jc w:val="center"/>
              <w:rPr>
                <w:rFonts w:ascii="Arial" w:hAnsi="Arial" w:cs="Arial"/>
                <w:sz w:val="16"/>
                <w:szCs w:val="16"/>
              </w:rPr>
            </w:pPr>
            <w:r>
              <w:rPr>
                <w:rFonts w:ascii="Arial" w:hAnsi="Arial" w:cs="Arial"/>
                <w:sz w:val="16"/>
                <w:szCs w:val="16"/>
              </w:rPr>
              <w:t>Coste incremental por paciente</w:t>
            </w:r>
          </w:p>
        </w:tc>
        <w:tc>
          <w:tcPr>
            <w:tcW w:w="1858" w:type="dxa"/>
            <w:tcBorders>
              <w:top w:val="single" w:sz="4" w:space="0" w:color="auto"/>
            </w:tcBorders>
            <w:shd w:val="clear" w:color="auto" w:fill="D9D9D9"/>
          </w:tcPr>
          <w:p w14:paraId="40828C44" w14:textId="77777777" w:rsidR="009476C2" w:rsidRDefault="009476C2" w:rsidP="00DD11A7">
            <w:pPr>
              <w:jc w:val="center"/>
              <w:rPr>
                <w:rFonts w:ascii="Arial" w:hAnsi="Arial" w:cs="Arial"/>
                <w:sz w:val="16"/>
                <w:szCs w:val="16"/>
              </w:rPr>
            </w:pPr>
            <w:r>
              <w:rPr>
                <w:rFonts w:ascii="Arial" w:hAnsi="Arial" w:cs="Arial"/>
                <w:sz w:val="16"/>
                <w:szCs w:val="16"/>
              </w:rPr>
              <w:t>Diferencia de eficacia por paciente entre medicamentos estudiados</w:t>
            </w:r>
          </w:p>
        </w:tc>
        <w:tc>
          <w:tcPr>
            <w:tcW w:w="1600" w:type="dxa"/>
            <w:tcBorders>
              <w:top w:val="single" w:sz="4" w:space="0" w:color="auto"/>
            </w:tcBorders>
            <w:shd w:val="clear" w:color="auto" w:fill="D9D9D9"/>
          </w:tcPr>
          <w:p w14:paraId="6B4BE857" w14:textId="77777777" w:rsidR="009476C2" w:rsidRDefault="009476C2" w:rsidP="00DD11A7">
            <w:pPr>
              <w:jc w:val="center"/>
              <w:rPr>
                <w:rFonts w:ascii="Arial" w:hAnsi="Arial" w:cs="Arial"/>
                <w:sz w:val="16"/>
                <w:szCs w:val="16"/>
              </w:rPr>
            </w:pPr>
            <w:r>
              <w:rPr>
                <w:rFonts w:ascii="Arial" w:hAnsi="Arial" w:cs="Arial"/>
                <w:sz w:val="16"/>
                <w:szCs w:val="16"/>
              </w:rPr>
              <w:t xml:space="preserve">Impacto económico </w:t>
            </w:r>
          </w:p>
        </w:tc>
        <w:tc>
          <w:tcPr>
            <w:tcW w:w="2086" w:type="dxa"/>
            <w:tcBorders>
              <w:top w:val="single" w:sz="4" w:space="0" w:color="auto"/>
            </w:tcBorders>
            <w:shd w:val="clear" w:color="auto" w:fill="D9D9D9"/>
          </w:tcPr>
          <w:p w14:paraId="5A1D3110" w14:textId="77777777" w:rsidR="009476C2" w:rsidRDefault="009476C2" w:rsidP="00DD11A7">
            <w:pPr>
              <w:jc w:val="center"/>
              <w:rPr>
                <w:rFonts w:ascii="Arial" w:hAnsi="Arial" w:cs="Arial"/>
                <w:sz w:val="16"/>
                <w:szCs w:val="16"/>
              </w:rPr>
            </w:pPr>
            <w:r>
              <w:rPr>
                <w:rFonts w:ascii="Arial" w:hAnsi="Arial" w:cs="Arial"/>
                <w:sz w:val="16"/>
                <w:szCs w:val="16"/>
              </w:rPr>
              <w:t xml:space="preserve">Unidades de eficacia </w:t>
            </w:r>
          </w:p>
        </w:tc>
      </w:tr>
      <w:tr w:rsidR="009476C2" w14:paraId="6439C25F" w14:textId="77777777" w:rsidTr="002D7371">
        <w:trPr>
          <w:trHeight w:val="366"/>
        </w:trPr>
        <w:tc>
          <w:tcPr>
            <w:tcW w:w="1728" w:type="dxa"/>
            <w:tcBorders>
              <w:bottom w:val="single" w:sz="4" w:space="0" w:color="auto"/>
            </w:tcBorders>
            <w:vAlign w:val="center"/>
          </w:tcPr>
          <w:p w14:paraId="128398ED" w14:textId="77777777" w:rsidR="009476C2" w:rsidRDefault="00A720BF" w:rsidP="002D7371">
            <w:pPr>
              <w:jc w:val="center"/>
              <w:rPr>
                <w:rFonts w:ascii="Arial" w:hAnsi="Arial" w:cs="Arial"/>
                <w:sz w:val="16"/>
                <w:szCs w:val="16"/>
              </w:rPr>
            </w:pPr>
            <w:r>
              <w:rPr>
                <w:rFonts w:ascii="Arial" w:hAnsi="Arial" w:cs="Arial"/>
                <w:sz w:val="16"/>
                <w:szCs w:val="16"/>
              </w:rPr>
              <w:t>1.601</w:t>
            </w:r>
          </w:p>
        </w:tc>
        <w:tc>
          <w:tcPr>
            <w:tcW w:w="1729" w:type="dxa"/>
            <w:tcBorders>
              <w:bottom w:val="single" w:sz="4" w:space="0" w:color="auto"/>
            </w:tcBorders>
            <w:vAlign w:val="center"/>
          </w:tcPr>
          <w:p w14:paraId="5D8E77D0" w14:textId="6FABDDD7" w:rsidR="009476C2" w:rsidRDefault="00334E57" w:rsidP="007658B8">
            <w:pPr>
              <w:jc w:val="center"/>
              <w:rPr>
                <w:rFonts w:ascii="Arial" w:hAnsi="Arial" w:cs="Arial"/>
                <w:sz w:val="16"/>
                <w:szCs w:val="16"/>
              </w:rPr>
            </w:pPr>
            <w:r>
              <w:rPr>
                <w:rFonts w:ascii="Arial" w:hAnsi="Arial" w:cs="Arial"/>
                <w:sz w:val="16"/>
              </w:rPr>
              <w:t>79.</w:t>
            </w:r>
            <w:r w:rsidR="007658B8">
              <w:rPr>
                <w:rFonts w:ascii="Arial" w:hAnsi="Arial" w:cs="Arial"/>
                <w:sz w:val="16"/>
              </w:rPr>
              <w:t>419</w:t>
            </w:r>
            <w:r>
              <w:rPr>
                <w:rFonts w:ascii="Arial" w:hAnsi="Arial" w:cs="Arial"/>
                <w:sz w:val="16"/>
              </w:rPr>
              <w:t xml:space="preserve"> €</w:t>
            </w:r>
          </w:p>
        </w:tc>
        <w:tc>
          <w:tcPr>
            <w:tcW w:w="1858" w:type="dxa"/>
            <w:tcBorders>
              <w:bottom w:val="single" w:sz="4" w:space="0" w:color="auto"/>
            </w:tcBorders>
            <w:vAlign w:val="center"/>
          </w:tcPr>
          <w:p w14:paraId="3D975DD9" w14:textId="77777777" w:rsidR="009476C2" w:rsidRDefault="00334E57" w:rsidP="002D7371">
            <w:pPr>
              <w:jc w:val="center"/>
              <w:rPr>
                <w:rFonts w:ascii="Arial" w:hAnsi="Arial" w:cs="Arial"/>
                <w:sz w:val="16"/>
                <w:szCs w:val="16"/>
              </w:rPr>
            </w:pPr>
            <w:r>
              <w:rPr>
                <w:rFonts w:ascii="Arial" w:hAnsi="Arial" w:cs="Arial"/>
                <w:sz w:val="16"/>
              </w:rPr>
              <w:t>0,72 años (8,6</w:t>
            </w:r>
            <w:r w:rsidR="00B934A3">
              <w:rPr>
                <w:rFonts w:ascii="Arial" w:hAnsi="Arial" w:cs="Arial"/>
                <w:sz w:val="16"/>
              </w:rPr>
              <w:t xml:space="preserve"> </w:t>
            </w:r>
            <w:r>
              <w:rPr>
                <w:rFonts w:ascii="Arial" w:hAnsi="Arial" w:cs="Arial"/>
                <w:sz w:val="16"/>
              </w:rPr>
              <w:t>meses)</w:t>
            </w:r>
          </w:p>
        </w:tc>
        <w:tc>
          <w:tcPr>
            <w:tcW w:w="1600" w:type="dxa"/>
            <w:tcBorders>
              <w:bottom w:val="single" w:sz="4" w:space="0" w:color="auto"/>
            </w:tcBorders>
            <w:vAlign w:val="center"/>
          </w:tcPr>
          <w:p w14:paraId="72F82E43" w14:textId="36238E19" w:rsidR="009476C2" w:rsidRDefault="00A720BF" w:rsidP="00334E57">
            <w:pPr>
              <w:jc w:val="center"/>
              <w:rPr>
                <w:rFonts w:ascii="Arial" w:hAnsi="Arial" w:cs="Arial"/>
                <w:sz w:val="16"/>
              </w:rPr>
            </w:pPr>
            <w:r>
              <w:rPr>
                <w:rFonts w:ascii="Arial" w:hAnsi="Arial" w:cs="Arial"/>
                <w:sz w:val="16"/>
                <w:szCs w:val="16"/>
              </w:rPr>
              <w:t>1.601</w:t>
            </w:r>
            <w:r w:rsidR="009476C2">
              <w:rPr>
                <w:rFonts w:ascii="Arial" w:hAnsi="Arial" w:cs="Arial"/>
                <w:sz w:val="16"/>
                <w:szCs w:val="16"/>
              </w:rPr>
              <w:t xml:space="preserve"> x </w:t>
            </w:r>
            <w:r w:rsidR="007658B8">
              <w:rPr>
                <w:rFonts w:ascii="Arial" w:hAnsi="Arial" w:cs="Arial"/>
                <w:sz w:val="16"/>
              </w:rPr>
              <w:t>79.419</w:t>
            </w:r>
            <w:r w:rsidR="00334E57">
              <w:rPr>
                <w:rFonts w:ascii="Arial" w:hAnsi="Arial" w:cs="Arial"/>
                <w:sz w:val="16"/>
              </w:rPr>
              <w:t xml:space="preserve"> €</w:t>
            </w:r>
            <w:r>
              <w:rPr>
                <w:rFonts w:ascii="Arial" w:hAnsi="Arial" w:cs="Arial"/>
                <w:sz w:val="16"/>
              </w:rPr>
              <w:t xml:space="preserve">= </w:t>
            </w:r>
          </w:p>
          <w:p w14:paraId="3613B7C7" w14:textId="6520DE20" w:rsidR="00A720BF" w:rsidRDefault="00A720BF" w:rsidP="007658B8">
            <w:pPr>
              <w:jc w:val="center"/>
              <w:rPr>
                <w:rFonts w:ascii="Arial" w:hAnsi="Arial" w:cs="Arial"/>
                <w:sz w:val="16"/>
                <w:szCs w:val="16"/>
              </w:rPr>
            </w:pPr>
            <w:r>
              <w:rPr>
                <w:rFonts w:ascii="Arial" w:hAnsi="Arial" w:cs="Arial"/>
                <w:sz w:val="16"/>
              </w:rPr>
              <w:t>127.</w:t>
            </w:r>
            <w:r w:rsidR="007658B8">
              <w:rPr>
                <w:rFonts w:ascii="Arial" w:hAnsi="Arial" w:cs="Arial"/>
                <w:sz w:val="16"/>
              </w:rPr>
              <w:t>149.819</w:t>
            </w:r>
            <w:r>
              <w:rPr>
                <w:rFonts w:ascii="Arial" w:hAnsi="Arial" w:cs="Arial"/>
                <w:sz w:val="16"/>
              </w:rPr>
              <w:t xml:space="preserve"> €</w:t>
            </w:r>
          </w:p>
        </w:tc>
        <w:tc>
          <w:tcPr>
            <w:tcW w:w="2086" w:type="dxa"/>
            <w:tcBorders>
              <w:bottom w:val="single" w:sz="4" w:space="0" w:color="auto"/>
            </w:tcBorders>
            <w:vAlign w:val="center"/>
          </w:tcPr>
          <w:p w14:paraId="2D7E1573" w14:textId="77777777" w:rsidR="002D7371" w:rsidRDefault="00A720BF" w:rsidP="002D7371">
            <w:pPr>
              <w:jc w:val="center"/>
              <w:rPr>
                <w:rFonts w:ascii="Arial" w:hAnsi="Arial" w:cs="Arial"/>
                <w:sz w:val="16"/>
              </w:rPr>
            </w:pPr>
            <w:r>
              <w:rPr>
                <w:rFonts w:ascii="Arial" w:hAnsi="Arial" w:cs="Arial"/>
                <w:sz w:val="16"/>
                <w:szCs w:val="16"/>
              </w:rPr>
              <w:t>1.601</w:t>
            </w:r>
            <w:r w:rsidR="009476C2">
              <w:rPr>
                <w:rFonts w:ascii="Arial" w:hAnsi="Arial" w:cs="Arial"/>
                <w:sz w:val="16"/>
                <w:szCs w:val="16"/>
              </w:rPr>
              <w:t xml:space="preserve"> x </w:t>
            </w:r>
            <w:r w:rsidR="00334E57">
              <w:rPr>
                <w:rFonts w:ascii="Arial" w:hAnsi="Arial" w:cs="Arial"/>
                <w:sz w:val="16"/>
              </w:rPr>
              <w:t>0,72 años</w:t>
            </w:r>
            <w:r>
              <w:rPr>
                <w:rFonts w:ascii="Arial" w:hAnsi="Arial" w:cs="Arial"/>
                <w:sz w:val="16"/>
              </w:rPr>
              <w:t xml:space="preserve">= </w:t>
            </w:r>
          </w:p>
          <w:p w14:paraId="5909B38B" w14:textId="77777777" w:rsidR="00A720BF" w:rsidRDefault="00A720BF" w:rsidP="002D7371">
            <w:pPr>
              <w:jc w:val="center"/>
              <w:rPr>
                <w:rFonts w:ascii="Arial" w:hAnsi="Arial" w:cs="Arial"/>
                <w:sz w:val="16"/>
                <w:szCs w:val="16"/>
              </w:rPr>
            </w:pPr>
            <w:r>
              <w:rPr>
                <w:rFonts w:ascii="Arial" w:hAnsi="Arial" w:cs="Arial"/>
                <w:sz w:val="16"/>
              </w:rPr>
              <w:t>1.153</w:t>
            </w:r>
            <w:r w:rsidR="00B934A3">
              <w:rPr>
                <w:rFonts w:ascii="Arial" w:hAnsi="Arial" w:cs="Arial"/>
                <w:sz w:val="16"/>
              </w:rPr>
              <w:t xml:space="preserve"> años</w:t>
            </w:r>
          </w:p>
        </w:tc>
      </w:tr>
      <w:tr w:rsidR="009476C2" w14:paraId="0F0A6460" w14:textId="77777777" w:rsidTr="000F4DA7">
        <w:trPr>
          <w:cantSplit/>
        </w:trPr>
        <w:tc>
          <w:tcPr>
            <w:tcW w:w="9001" w:type="dxa"/>
            <w:gridSpan w:val="5"/>
            <w:shd w:val="clear" w:color="auto" w:fill="D9D9D9"/>
          </w:tcPr>
          <w:p w14:paraId="16E29F6A" w14:textId="77777777" w:rsidR="009476C2" w:rsidRDefault="009476C2" w:rsidP="00DD11A7">
            <w:pPr>
              <w:rPr>
                <w:rFonts w:ascii="Arial" w:hAnsi="Arial" w:cs="Arial"/>
                <w:sz w:val="16"/>
                <w:szCs w:val="16"/>
              </w:rPr>
            </w:pPr>
          </w:p>
        </w:tc>
      </w:tr>
    </w:tbl>
    <w:p w14:paraId="1CB97990" w14:textId="77777777" w:rsidR="009476C2" w:rsidRDefault="009476C2" w:rsidP="009476C2">
      <w:pPr>
        <w:rPr>
          <w:rFonts w:ascii="Arial" w:hAnsi="Arial" w:cs="Arial"/>
        </w:rPr>
      </w:pPr>
    </w:p>
    <w:p w14:paraId="1279561E" w14:textId="2F4BD458" w:rsidR="00DB3FB7" w:rsidRPr="00DB3FB7" w:rsidRDefault="009476C2" w:rsidP="00DB3FB7">
      <w:pPr>
        <w:jc w:val="both"/>
        <w:rPr>
          <w:rFonts w:ascii="Arial" w:hAnsi="Arial" w:cs="Arial"/>
          <w:sz w:val="20"/>
          <w:szCs w:val="20"/>
        </w:rPr>
      </w:pPr>
      <w:r>
        <w:rPr>
          <w:rFonts w:ascii="Arial" w:hAnsi="Arial" w:cs="Arial"/>
          <w:sz w:val="20"/>
          <w:szCs w:val="20"/>
        </w:rPr>
        <w:t xml:space="preserve">Se estima que durante un año serán tratados un total de </w:t>
      </w:r>
      <w:r w:rsidR="00A720BF" w:rsidRPr="00D1499E">
        <w:rPr>
          <w:rFonts w:ascii="Arial" w:hAnsi="Arial" w:cs="Arial"/>
          <w:sz w:val="20"/>
          <w:szCs w:val="20"/>
        </w:rPr>
        <w:t>1.601</w:t>
      </w:r>
      <w:r>
        <w:rPr>
          <w:rFonts w:ascii="Arial" w:hAnsi="Arial" w:cs="Arial"/>
          <w:sz w:val="20"/>
          <w:szCs w:val="20"/>
        </w:rPr>
        <w:t xml:space="preserve"> pacientes con </w:t>
      </w:r>
      <w:r w:rsidR="00A720BF">
        <w:rPr>
          <w:rFonts w:ascii="Arial" w:hAnsi="Arial" w:cs="Arial"/>
          <w:sz w:val="20"/>
          <w:szCs w:val="20"/>
        </w:rPr>
        <w:t>la combinación de niraparib/abiraterona</w:t>
      </w:r>
      <w:r w:rsidR="00B934A3">
        <w:rPr>
          <w:rFonts w:ascii="Arial" w:hAnsi="Arial" w:cs="Arial"/>
          <w:sz w:val="20"/>
          <w:szCs w:val="20"/>
        </w:rPr>
        <w:t xml:space="preserve"> en la indicación aprobada</w:t>
      </w:r>
      <w:r>
        <w:rPr>
          <w:rFonts w:ascii="Arial" w:hAnsi="Arial" w:cs="Arial"/>
          <w:sz w:val="20"/>
          <w:szCs w:val="20"/>
        </w:rPr>
        <w:t xml:space="preserve">. El coste adicional será </w:t>
      </w:r>
      <w:r w:rsidR="00A720BF">
        <w:rPr>
          <w:rFonts w:ascii="Arial" w:hAnsi="Arial" w:cs="Arial"/>
          <w:sz w:val="20"/>
          <w:szCs w:val="20"/>
        </w:rPr>
        <w:t xml:space="preserve">de </w:t>
      </w:r>
      <w:r w:rsidR="007658B8">
        <w:rPr>
          <w:rFonts w:ascii="Arial" w:hAnsi="Arial" w:cs="Arial"/>
          <w:sz w:val="20"/>
          <w:szCs w:val="20"/>
        </w:rPr>
        <w:t>127.149.819</w:t>
      </w:r>
      <w:r w:rsidR="00A720BF" w:rsidRPr="00A720BF">
        <w:rPr>
          <w:rFonts w:ascii="Arial" w:hAnsi="Arial" w:cs="Arial"/>
          <w:sz w:val="20"/>
          <w:szCs w:val="20"/>
        </w:rPr>
        <w:t xml:space="preserve"> €</w:t>
      </w:r>
      <w:r>
        <w:rPr>
          <w:rFonts w:ascii="Arial" w:hAnsi="Arial" w:cs="Arial"/>
          <w:sz w:val="20"/>
          <w:szCs w:val="20"/>
        </w:rPr>
        <w:t xml:space="preserve">. El beneficio global que se obtendrá será de </w:t>
      </w:r>
      <w:r w:rsidR="00A720BF">
        <w:rPr>
          <w:rFonts w:ascii="Arial" w:hAnsi="Arial" w:cs="Arial"/>
          <w:sz w:val="20"/>
          <w:szCs w:val="20"/>
        </w:rPr>
        <w:t xml:space="preserve">1.153 años de vida ganados libre de progresión radiológica. </w:t>
      </w:r>
    </w:p>
    <w:p w14:paraId="53E97757" w14:textId="77777777" w:rsidR="00DB3FB7" w:rsidRDefault="00DB3FB7" w:rsidP="009476C2">
      <w:pPr>
        <w:rPr>
          <w:rFonts w:ascii="Arial" w:hAnsi="Arial" w:cs="Arial"/>
          <w:sz w:val="20"/>
          <w:szCs w:val="20"/>
        </w:rPr>
      </w:pPr>
    </w:p>
    <w:p w14:paraId="3E943885" w14:textId="77777777" w:rsidR="009476C2"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7.4.3.2. Estimación propia de impacto presupuestario y beneficios en salud en atención primaria</w:t>
      </w:r>
    </w:p>
    <w:p w14:paraId="57492014" w14:textId="77777777" w:rsidR="009476C2" w:rsidRPr="003016CD" w:rsidRDefault="003016CD" w:rsidP="009476C2">
      <w:pPr>
        <w:rPr>
          <w:rFonts w:ascii="Arial" w:hAnsi="Arial" w:cs="Arial"/>
          <w:sz w:val="20"/>
          <w:szCs w:val="20"/>
        </w:rPr>
      </w:pPr>
      <w:r w:rsidRPr="003016CD">
        <w:rPr>
          <w:rFonts w:ascii="Arial" w:hAnsi="Arial" w:cs="Arial"/>
          <w:sz w:val="20"/>
          <w:szCs w:val="20"/>
        </w:rPr>
        <w:t>No procede</w:t>
      </w:r>
      <w:r w:rsidR="007D02A5">
        <w:rPr>
          <w:rFonts w:ascii="Arial" w:hAnsi="Arial" w:cs="Arial"/>
          <w:sz w:val="20"/>
          <w:szCs w:val="20"/>
        </w:rPr>
        <w:t xml:space="preserve"> </w:t>
      </w:r>
      <w:r w:rsidR="007D02A5" w:rsidRPr="006900A4">
        <w:rPr>
          <w:rFonts w:ascii="Arial" w:hAnsi="Arial" w:cs="Arial"/>
          <w:sz w:val="20"/>
          <w:szCs w:val="20"/>
        </w:rPr>
        <w:t>(fármaco de uso hospitalario).</w:t>
      </w:r>
    </w:p>
    <w:p w14:paraId="2B609056" w14:textId="77777777" w:rsidR="009476C2" w:rsidRDefault="009476C2" w:rsidP="009476C2">
      <w:pPr>
        <w:jc w:val="right"/>
        <w:rPr>
          <w:rFonts w:ascii="Arial" w:hAnsi="Arial" w:cs="Arial"/>
        </w:rPr>
      </w:pPr>
    </w:p>
    <w:p w14:paraId="328DEA64"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t>7.5. Propuesta de posicionamiento</w:t>
      </w:r>
    </w:p>
    <w:p w14:paraId="0965CC2F" w14:textId="77777777" w:rsidR="009935F1" w:rsidRDefault="009935F1" w:rsidP="009935F1">
      <w:pPr>
        <w:jc w:val="both"/>
        <w:rPr>
          <w:rFonts w:ascii="Arial" w:hAnsi="Arial" w:cs="Arial"/>
          <w:sz w:val="20"/>
          <w:szCs w:val="20"/>
        </w:rPr>
      </w:pPr>
    </w:p>
    <w:p w14:paraId="2156CFFD" w14:textId="77777777" w:rsidR="00F00622" w:rsidRPr="008D2A3D" w:rsidRDefault="00D95494" w:rsidP="00A01F27">
      <w:pPr>
        <w:pStyle w:val="Encabezado"/>
        <w:jc w:val="both"/>
        <w:rPr>
          <w:rFonts w:ascii="Arial" w:hAnsi="Arial" w:cs="Arial"/>
          <w:sz w:val="20"/>
          <w:szCs w:val="20"/>
        </w:rPr>
      </w:pPr>
      <w:r w:rsidRPr="00D95494">
        <w:rPr>
          <w:rFonts w:ascii="Arial" w:hAnsi="Arial" w:cs="Arial"/>
        </w:rPr>
        <w:tab/>
      </w:r>
      <w:r w:rsidR="00710ECA" w:rsidRPr="008D2A3D">
        <w:rPr>
          <w:rFonts w:ascii="Arial" w:hAnsi="Arial" w:cs="Arial"/>
          <w:sz w:val="20"/>
          <w:szCs w:val="20"/>
        </w:rPr>
        <w:t xml:space="preserve"> </w:t>
      </w:r>
    </w:p>
    <w:p w14:paraId="1A75D722"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7.5.1 Criterios de precio y financiación: Medicamento que presenta un valor terapéutico añadido respecto a la terapia de referencia.</w:t>
      </w:r>
    </w:p>
    <w:p w14:paraId="35CAEC00" w14:textId="40E56AE3" w:rsidR="009935F1" w:rsidRDefault="009935F1" w:rsidP="00317E66">
      <w:pPr>
        <w:keepNext/>
        <w:jc w:val="both"/>
        <w:outlineLvl w:val="2"/>
        <w:rPr>
          <w:rFonts w:ascii="Arial" w:hAnsi="Arial" w:cs="Arial"/>
          <w:sz w:val="20"/>
          <w:szCs w:val="20"/>
        </w:rPr>
      </w:pPr>
    </w:p>
    <w:p w14:paraId="3C426CE4" w14:textId="4448382D" w:rsidR="00352121" w:rsidRPr="00317E66" w:rsidRDefault="00352121" w:rsidP="00317E66">
      <w:pPr>
        <w:keepNext/>
        <w:jc w:val="both"/>
        <w:outlineLvl w:val="2"/>
        <w:rPr>
          <w:rFonts w:ascii="Arial" w:hAnsi="Arial" w:cs="Arial"/>
          <w:sz w:val="20"/>
          <w:szCs w:val="20"/>
        </w:rPr>
      </w:pPr>
      <w:r>
        <w:rPr>
          <w:rFonts w:ascii="Arial" w:hAnsi="Arial" w:cs="Arial"/>
          <w:sz w:val="20"/>
          <w:szCs w:val="20"/>
        </w:rPr>
        <w:t>No se dispone de datos de ganancia de AVAC del fármaco evaluado frente a la terapia de referencia.</w:t>
      </w:r>
    </w:p>
    <w:p w14:paraId="44CC7BC4" w14:textId="77777777" w:rsidR="009935F1" w:rsidRDefault="009935F1" w:rsidP="009935F1">
      <w:pPr>
        <w:keepNext/>
        <w:outlineLvl w:val="2"/>
        <w:rPr>
          <w:rFonts w:ascii="Arial" w:hAnsi="Arial" w:cs="Arial"/>
          <w:sz w:val="20"/>
          <w:szCs w:val="20"/>
        </w:rPr>
      </w:pPr>
    </w:p>
    <w:p w14:paraId="3CC0B26D" w14:textId="77777777" w:rsidR="00710ECA" w:rsidRPr="00432E2A" w:rsidRDefault="00710ECA" w:rsidP="00432E2A">
      <w:pPr>
        <w:pStyle w:val="Encabezado"/>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8D2A3D">
        <w:rPr>
          <w:rFonts w:ascii="Arial" w:hAnsi="Arial" w:cs="Arial"/>
          <w:b/>
          <w:sz w:val="20"/>
          <w:szCs w:val="20"/>
        </w:rPr>
        <w:t>Posicionamiento:</w:t>
      </w:r>
    </w:p>
    <w:p w14:paraId="4789C86E" w14:textId="77777777" w:rsidR="009935F1" w:rsidRDefault="009935F1" w:rsidP="009935F1">
      <w:pPr>
        <w:jc w:val="both"/>
        <w:rPr>
          <w:rFonts w:ascii="Arial" w:hAnsi="Arial" w:cs="Arial"/>
          <w:sz w:val="20"/>
          <w:szCs w:val="20"/>
        </w:rPr>
      </w:pPr>
    </w:p>
    <w:p w14:paraId="0BDAECB8"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 xml:space="preserve">7.5.2 Criterios de precio y financiación: Medicamento que presenta un valor terapéutico equivalente a la terapia de referencia. </w:t>
      </w:r>
    </w:p>
    <w:p w14:paraId="7862DCC2" w14:textId="77777777" w:rsidR="009935F1" w:rsidRDefault="009935F1" w:rsidP="009935F1">
      <w:pPr>
        <w:jc w:val="both"/>
        <w:rPr>
          <w:rFonts w:ascii="Arial" w:hAnsi="Arial" w:cs="Arial"/>
          <w:sz w:val="20"/>
          <w:szCs w:val="20"/>
        </w:rPr>
      </w:pPr>
    </w:p>
    <w:p w14:paraId="03BBEA61"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7.5.3 Criterios de precio y financiación: Medicamento que presenta un valor terapéutico menor que la terapia de referencia.</w:t>
      </w:r>
    </w:p>
    <w:p w14:paraId="3CBDE11F" w14:textId="77777777" w:rsidR="00BA1BB6" w:rsidRDefault="00BA1BB6" w:rsidP="00BA1BB6">
      <w:pPr>
        <w:rPr>
          <w:rFonts w:ascii="Arial" w:hAnsi="Arial" w:cs="Arial"/>
          <w:sz w:val="20"/>
          <w:szCs w:val="20"/>
        </w:rPr>
      </w:pPr>
    </w:p>
    <w:p w14:paraId="5B723E0C" w14:textId="77777777" w:rsidR="00BA1BB6" w:rsidRDefault="00BA1BB6" w:rsidP="00BA1BB6">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7.5.4 Criterios de precio y financiación: Medicamento que presenta un valor terapéutico añadido para algún subgrupo de pacientes.</w:t>
      </w:r>
    </w:p>
    <w:p w14:paraId="0571B073" w14:textId="77777777" w:rsidR="003C2CDB" w:rsidRPr="006F6ABB" w:rsidRDefault="003C2CDB" w:rsidP="00BC3E8E">
      <w:pPr>
        <w:rPr>
          <w:rFonts w:ascii="Arial" w:hAnsi="Arial" w:cs="Arial"/>
          <w:color w:val="0000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9"/>
      </w:tblGrid>
      <w:tr w:rsidR="00BC3E8E" w:rsidRPr="006F6ABB" w14:paraId="6B5BB584" w14:textId="77777777" w:rsidTr="00BC3E8E">
        <w:trPr>
          <w:trHeight w:val="228"/>
        </w:trPr>
        <w:tc>
          <w:tcPr>
            <w:tcW w:w="8859" w:type="dxa"/>
            <w:tcBorders>
              <w:top w:val="single" w:sz="4" w:space="0" w:color="auto"/>
              <w:left w:val="single" w:sz="4" w:space="0" w:color="auto"/>
              <w:bottom w:val="single" w:sz="4" w:space="0" w:color="auto"/>
              <w:right w:val="single" w:sz="4" w:space="0" w:color="auto"/>
            </w:tcBorders>
            <w:shd w:val="clear" w:color="auto" w:fill="B3B3B3"/>
          </w:tcPr>
          <w:p w14:paraId="758ADD60" w14:textId="77777777" w:rsidR="00BC3E8E" w:rsidRPr="00A379A0" w:rsidRDefault="00BC3E8E" w:rsidP="00BC3E8E">
            <w:pPr>
              <w:pStyle w:val="Ttulo1"/>
              <w:shd w:val="clear" w:color="auto" w:fill="A6A6A6"/>
              <w:rPr>
                <w:rFonts w:ascii="Arial" w:hAnsi="Arial" w:cs="Arial"/>
                <w:bCs w:val="0"/>
                <w:kern w:val="0"/>
                <w:sz w:val="20"/>
                <w:szCs w:val="20"/>
              </w:rPr>
            </w:pPr>
            <w:bookmarkStart w:id="137" w:name="_Toc344399663"/>
            <w:bookmarkStart w:id="138" w:name="_Toc348931394"/>
            <w:bookmarkStart w:id="139" w:name="_Toc153727225"/>
            <w:r w:rsidRPr="00A379A0">
              <w:rPr>
                <w:rFonts w:ascii="Arial" w:hAnsi="Arial" w:cs="Arial"/>
                <w:bCs w:val="0"/>
                <w:kern w:val="0"/>
                <w:sz w:val="20"/>
                <w:szCs w:val="20"/>
              </w:rPr>
              <w:t>8. EVALUACIÓN DE LA CONVENIENCIA.</w:t>
            </w:r>
            <w:bookmarkEnd w:id="137"/>
            <w:bookmarkEnd w:id="138"/>
            <w:bookmarkEnd w:id="139"/>
            <w:r w:rsidRPr="00A379A0">
              <w:rPr>
                <w:rFonts w:ascii="Arial" w:hAnsi="Arial" w:cs="Arial"/>
                <w:bCs w:val="0"/>
                <w:kern w:val="0"/>
                <w:sz w:val="20"/>
                <w:szCs w:val="20"/>
              </w:rPr>
              <w:t xml:space="preserve"> </w:t>
            </w:r>
          </w:p>
        </w:tc>
      </w:tr>
    </w:tbl>
    <w:p w14:paraId="384F7CB8" w14:textId="77777777" w:rsidR="00BC3E8E" w:rsidRPr="006F6ABB" w:rsidRDefault="00BC3E8E" w:rsidP="00BC3E8E">
      <w:pPr>
        <w:rPr>
          <w:rFonts w:ascii="Arial" w:hAnsi="Arial" w:cs="Arial"/>
          <w:sz w:val="20"/>
          <w:szCs w:val="20"/>
        </w:rPr>
      </w:pPr>
    </w:p>
    <w:p w14:paraId="5C706ABF" w14:textId="77777777" w:rsidR="00BC3E8E" w:rsidRPr="006F6ABB" w:rsidRDefault="00BC3E8E" w:rsidP="00BC3E8E">
      <w:pPr>
        <w:rPr>
          <w:rFonts w:ascii="Arial" w:hAnsi="Arial" w:cs="Arial"/>
          <w:color w:val="000080"/>
          <w:sz w:val="20"/>
          <w:szCs w:val="20"/>
        </w:rPr>
      </w:pPr>
    </w:p>
    <w:p w14:paraId="5FBBFB4D"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0" w:name="_Toc344399664"/>
      <w:bookmarkStart w:id="141" w:name="_Toc348931395"/>
      <w:bookmarkStart w:id="142" w:name="_Toc153727226"/>
      <w:r w:rsidRPr="00E3472F">
        <w:rPr>
          <w:rFonts w:cs="Arial"/>
          <w:sz w:val="20"/>
        </w:rPr>
        <w:t>8.1 Descripción de la conveniencia</w:t>
      </w:r>
      <w:bookmarkEnd w:id="140"/>
      <w:bookmarkEnd w:id="141"/>
      <w:bookmarkEnd w:id="142"/>
    </w:p>
    <w:p w14:paraId="49A4919D" w14:textId="77777777" w:rsidR="00BC3E8E" w:rsidRDefault="00BC3E8E" w:rsidP="00BC3E8E">
      <w:pPr>
        <w:shd w:val="clear" w:color="auto" w:fill="FFFFFF"/>
        <w:jc w:val="both"/>
        <w:rPr>
          <w:rFonts w:ascii="Arial" w:hAnsi="Arial" w:cs="Arial"/>
          <w:color w:val="000080"/>
          <w:sz w:val="20"/>
          <w:szCs w:val="20"/>
        </w:rPr>
      </w:pPr>
    </w:p>
    <w:p w14:paraId="4973094E" w14:textId="77777777" w:rsidR="00AD0B07" w:rsidRPr="001664F7" w:rsidRDefault="00AD0B07" w:rsidP="00BC3E8E">
      <w:pPr>
        <w:shd w:val="clear" w:color="auto" w:fill="FFFFFF"/>
        <w:jc w:val="both"/>
        <w:rPr>
          <w:rFonts w:ascii="Arial" w:hAnsi="Arial" w:cs="Arial"/>
          <w:sz w:val="20"/>
          <w:szCs w:val="20"/>
        </w:rPr>
      </w:pPr>
      <w:r w:rsidRPr="001664F7">
        <w:rPr>
          <w:rFonts w:ascii="Arial" w:hAnsi="Arial" w:cs="Arial"/>
          <w:sz w:val="20"/>
          <w:szCs w:val="20"/>
        </w:rPr>
        <w:t>Tanto niraparib como abiraterona son tratamientos de administración por vía oral.</w:t>
      </w:r>
    </w:p>
    <w:p w14:paraId="5D38C3EF" w14:textId="77777777" w:rsidR="001664F7" w:rsidRPr="006F6ABB" w:rsidRDefault="001664F7" w:rsidP="00BC3E8E">
      <w:pPr>
        <w:shd w:val="clear" w:color="auto" w:fill="FFFFFF"/>
        <w:jc w:val="both"/>
        <w:rPr>
          <w:rFonts w:ascii="Arial" w:hAnsi="Arial" w:cs="Arial"/>
          <w:color w:val="000080"/>
          <w:sz w:val="20"/>
          <w:szCs w:val="20"/>
        </w:rPr>
      </w:pPr>
      <w:r w:rsidRPr="001664F7">
        <w:rPr>
          <w:rFonts w:ascii="Arial" w:hAnsi="Arial" w:cs="Arial"/>
          <w:sz w:val="20"/>
          <w:szCs w:val="20"/>
        </w:rPr>
        <w:t>Se ha evaluado en la cohorte 3, la administración en formulación conjunta de ambos fármacos, lo que aporta beneficio en la comodidad de administración del tratamiento</w:t>
      </w:r>
      <w:r>
        <w:rPr>
          <w:rFonts w:ascii="Arial" w:hAnsi="Arial" w:cs="Arial"/>
          <w:color w:val="000080"/>
          <w:sz w:val="20"/>
          <w:szCs w:val="20"/>
        </w:rPr>
        <w:t>.</w:t>
      </w:r>
    </w:p>
    <w:p w14:paraId="65C1966B" w14:textId="77777777" w:rsidR="00BC3E8E" w:rsidRPr="006F6ABB" w:rsidRDefault="00BC3E8E" w:rsidP="00BC3E8E">
      <w:pPr>
        <w:rPr>
          <w:rFonts w:ascii="Arial" w:hAnsi="Arial" w:cs="Arial"/>
          <w:color w:val="000080"/>
          <w:sz w:val="20"/>
          <w:szCs w:val="20"/>
        </w:rPr>
      </w:pPr>
    </w:p>
    <w:p w14:paraId="4EB4649B"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3" w:name="_Toc344399665"/>
      <w:bookmarkStart w:id="144" w:name="_Toc348931396"/>
      <w:bookmarkStart w:id="145" w:name="_Toc153727227"/>
      <w:r w:rsidRPr="00E3472F">
        <w:rPr>
          <w:rFonts w:cs="Arial"/>
          <w:sz w:val="20"/>
        </w:rPr>
        <w:t>8.2 Influencia de la conveniencia en la efectividad del tratamiento</w:t>
      </w:r>
      <w:bookmarkEnd w:id="143"/>
      <w:bookmarkEnd w:id="144"/>
      <w:bookmarkEnd w:id="145"/>
    </w:p>
    <w:p w14:paraId="79847110" w14:textId="77777777" w:rsidR="00BC3E8E" w:rsidRPr="006F6ABB" w:rsidRDefault="00BC3E8E" w:rsidP="00BC3E8E">
      <w:pPr>
        <w:shd w:val="clear" w:color="auto" w:fill="FFFFFF"/>
        <w:jc w:val="both"/>
        <w:rPr>
          <w:rFonts w:ascii="Arial" w:hAnsi="Arial" w:cs="Arial"/>
          <w:b/>
          <w:bCs/>
          <w:color w:val="000080"/>
          <w:sz w:val="20"/>
          <w:szCs w:val="20"/>
        </w:rPr>
      </w:pPr>
    </w:p>
    <w:p w14:paraId="68F25C16" w14:textId="77777777" w:rsidR="00BC3E8E" w:rsidRPr="006F6ABB" w:rsidRDefault="00BC3E8E" w:rsidP="00BC3E8E">
      <w:pPr>
        <w:rPr>
          <w:rFonts w:ascii="Arial" w:hAnsi="Arial" w:cs="Arial"/>
          <w:color w:val="FF0000"/>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4EEF1C57"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34C399C6" w14:textId="77777777" w:rsidR="00BC3E8E" w:rsidRPr="00A379A0" w:rsidRDefault="00BC3E8E" w:rsidP="00BC3E8E">
            <w:pPr>
              <w:pStyle w:val="Ttulo1"/>
              <w:shd w:val="clear" w:color="auto" w:fill="A6A6A6"/>
              <w:rPr>
                <w:rFonts w:ascii="Arial" w:hAnsi="Arial" w:cs="Arial"/>
                <w:bCs w:val="0"/>
                <w:kern w:val="0"/>
                <w:sz w:val="20"/>
                <w:szCs w:val="20"/>
              </w:rPr>
            </w:pPr>
            <w:bookmarkStart w:id="146" w:name="_Toc344399666"/>
            <w:bookmarkStart w:id="147" w:name="_Toc348931397"/>
            <w:bookmarkStart w:id="148" w:name="_Toc153727228"/>
            <w:r w:rsidRPr="00A379A0">
              <w:rPr>
                <w:rFonts w:ascii="Arial" w:hAnsi="Arial" w:cs="Arial"/>
                <w:bCs w:val="0"/>
                <w:kern w:val="0"/>
                <w:sz w:val="20"/>
                <w:szCs w:val="20"/>
              </w:rPr>
              <w:t>9. AREA DE CONCLUSIONES.</w:t>
            </w:r>
            <w:bookmarkEnd w:id="146"/>
            <w:bookmarkEnd w:id="147"/>
            <w:bookmarkEnd w:id="148"/>
          </w:p>
        </w:tc>
      </w:tr>
    </w:tbl>
    <w:p w14:paraId="461F2686" w14:textId="77777777" w:rsidR="00BC3E8E" w:rsidRDefault="00BC3E8E" w:rsidP="00BC3E8E">
      <w:pPr>
        <w:pStyle w:val="Encabezado"/>
        <w:tabs>
          <w:tab w:val="clear" w:pos="4252"/>
          <w:tab w:val="clear" w:pos="8504"/>
        </w:tabs>
        <w:rPr>
          <w:rFonts w:ascii="Arial" w:hAnsi="Arial" w:cs="Arial"/>
          <w:b/>
          <w:bCs/>
        </w:rPr>
      </w:pPr>
    </w:p>
    <w:p w14:paraId="3415B241" w14:textId="77777777" w:rsidR="00BC3E8E" w:rsidRPr="00616F7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9" w:name="_Toc344399667"/>
      <w:bookmarkStart w:id="150" w:name="_Toc348931398"/>
      <w:bookmarkStart w:id="151" w:name="_Toc153727229"/>
      <w:r w:rsidRPr="00616F7A">
        <w:rPr>
          <w:rFonts w:cs="Arial"/>
          <w:sz w:val="20"/>
        </w:rPr>
        <w:t>9.1 Resumen de los aspectos más significativos respecto a la alternativa y propuestas</w:t>
      </w:r>
      <w:bookmarkEnd w:id="149"/>
      <w:bookmarkEnd w:id="150"/>
      <w:bookmarkEnd w:id="151"/>
    </w:p>
    <w:p w14:paraId="3F643DB5" w14:textId="77777777" w:rsidR="00BC3E8E" w:rsidRPr="006F6ABB" w:rsidRDefault="00BC3E8E" w:rsidP="00BC3E8E">
      <w:pPr>
        <w:jc w:val="both"/>
        <w:rPr>
          <w:rFonts w:ascii="Arial" w:hAnsi="Arial" w:cs="Arial"/>
          <w:sz w:val="20"/>
          <w:szCs w:val="20"/>
        </w:rPr>
      </w:pPr>
    </w:p>
    <w:p w14:paraId="03A01748" w14:textId="5890D30A" w:rsidR="004F0F76" w:rsidRDefault="0034271E" w:rsidP="00797B82">
      <w:pPr>
        <w:jc w:val="both"/>
        <w:rPr>
          <w:rFonts w:ascii="Arial" w:hAnsi="Arial" w:cs="Arial"/>
          <w:sz w:val="20"/>
          <w:szCs w:val="20"/>
        </w:rPr>
      </w:pPr>
      <w:r>
        <w:rPr>
          <w:rFonts w:ascii="Arial" w:hAnsi="Arial" w:cs="Arial"/>
          <w:sz w:val="20"/>
          <w:szCs w:val="20"/>
        </w:rPr>
        <w:t>Nirapari</w:t>
      </w:r>
      <w:r w:rsidR="002945C5">
        <w:rPr>
          <w:rFonts w:ascii="Arial" w:hAnsi="Arial" w:cs="Arial"/>
          <w:sz w:val="20"/>
          <w:szCs w:val="20"/>
        </w:rPr>
        <w:t xml:space="preserve">b, fármaco inhibidor de iPARP, </w:t>
      </w:r>
      <w:r>
        <w:rPr>
          <w:rFonts w:ascii="Arial" w:hAnsi="Arial" w:cs="Arial"/>
          <w:sz w:val="20"/>
          <w:szCs w:val="20"/>
        </w:rPr>
        <w:t>combinado con abiraterona</w:t>
      </w:r>
      <w:r w:rsidR="002945C5">
        <w:rPr>
          <w:rFonts w:ascii="Arial" w:hAnsi="Arial" w:cs="Arial"/>
          <w:sz w:val="20"/>
          <w:szCs w:val="20"/>
        </w:rPr>
        <w:t>, terapia dirigida al receptor androgénico</w:t>
      </w:r>
      <w:r w:rsidR="001E2C32">
        <w:rPr>
          <w:rFonts w:ascii="Arial" w:hAnsi="Arial" w:cs="Arial"/>
          <w:sz w:val="20"/>
          <w:szCs w:val="20"/>
        </w:rPr>
        <w:t xml:space="preserve"> de nueva generación</w:t>
      </w:r>
      <w:r w:rsidR="002945C5">
        <w:rPr>
          <w:rFonts w:ascii="Arial" w:hAnsi="Arial" w:cs="Arial"/>
          <w:sz w:val="20"/>
          <w:szCs w:val="20"/>
        </w:rPr>
        <w:t>,</w:t>
      </w:r>
      <w:r>
        <w:rPr>
          <w:rFonts w:ascii="Arial" w:hAnsi="Arial" w:cs="Arial"/>
          <w:sz w:val="20"/>
          <w:szCs w:val="20"/>
        </w:rPr>
        <w:t xml:space="preserve"> en combinación con prednisona/prednisolona </w:t>
      </w:r>
      <w:r w:rsidR="002E56B0">
        <w:rPr>
          <w:rFonts w:ascii="Arial" w:hAnsi="Arial" w:cs="Arial"/>
          <w:sz w:val="20"/>
          <w:szCs w:val="20"/>
        </w:rPr>
        <w:t xml:space="preserve">presentan una nueva </w:t>
      </w:r>
      <w:r w:rsidR="002945C5">
        <w:rPr>
          <w:rFonts w:ascii="Arial" w:hAnsi="Arial" w:cs="Arial"/>
          <w:sz w:val="20"/>
          <w:szCs w:val="20"/>
        </w:rPr>
        <w:t>indicación</w:t>
      </w:r>
      <w:r>
        <w:rPr>
          <w:rFonts w:ascii="Arial" w:hAnsi="Arial" w:cs="Arial"/>
          <w:sz w:val="20"/>
          <w:szCs w:val="20"/>
        </w:rPr>
        <w:t xml:space="preserve"> para el tratamiento de cáncer de próstata metastásico resistente a la castración </w:t>
      </w:r>
      <w:r w:rsidR="002945C5">
        <w:rPr>
          <w:rFonts w:ascii="Arial" w:hAnsi="Arial" w:cs="Arial"/>
          <w:sz w:val="20"/>
          <w:szCs w:val="20"/>
        </w:rPr>
        <w:t xml:space="preserve">en pacientes con </w:t>
      </w:r>
      <w:r>
        <w:rPr>
          <w:rFonts w:ascii="Arial" w:hAnsi="Arial" w:cs="Arial"/>
          <w:sz w:val="20"/>
          <w:szCs w:val="20"/>
        </w:rPr>
        <w:t xml:space="preserve">mutación en </w:t>
      </w:r>
      <w:r w:rsidR="002945C5">
        <w:rPr>
          <w:rFonts w:ascii="Arial" w:hAnsi="Arial" w:cs="Arial"/>
          <w:sz w:val="20"/>
          <w:szCs w:val="20"/>
        </w:rPr>
        <w:t xml:space="preserve">el gen </w:t>
      </w:r>
      <w:r>
        <w:rPr>
          <w:rFonts w:ascii="Arial" w:hAnsi="Arial" w:cs="Arial"/>
          <w:sz w:val="20"/>
          <w:szCs w:val="20"/>
        </w:rPr>
        <w:t>BRCA</w:t>
      </w:r>
      <w:r w:rsidR="004F0F76">
        <w:rPr>
          <w:rFonts w:ascii="Arial" w:hAnsi="Arial" w:cs="Arial"/>
          <w:sz w:val="20"/>
          <w:szCs w:val="20"/>
        </w:rPr>
        <w:t xml:space="preserve"> </w:t>
      </w:r>
      <w:r w:rsidR="00382A01">
        <w:rPr>
          <w:rFonts w:ascii="Arial" w:hAnsi="Arial" w:cs="Arial"/>
          <w:sz w:val="20"/>
          <w:szCs w:val="20"/>
        </w:rPr>
        <w:t>1/2</w:t>
      </w:r>
      <w:r w:rsidR="004F0F76">
        <w:rPr>
          <w:rFonts w:ascii="Arial" w:hAnsi="Arial" w:cs="Arial"/>
          <w:sz w:val="20"/>
          <w:szCs w:val="20"/>
        </w:rPr>
        <w:t xml:space="preserve"> en los que la quimioterapia no está clínicamente indicada.</w:t>
      </w:r>
    </w:p>
    <w:p w14:paraId="2FA9E66C" w14:textId="77777777" w:rsidR="002E56B0" w:rsidRDefault="002E56B0" w:rsidP="00797B82">
      <w:pPr>
        <w:jc w:val="both"/>
        <w:rPr>
          <w:rFonts w:ascii="Arial" w:hAnsi="Arial" w:cs="Arial"/>
          <w:sz w:val="20"/>
          <w:szCs w:val="20"/>
        </w:rPr>
      </w:pPr>
    </w:p>
    <w:p w14:paraId="23F978BB" w14:textId="77777777" w:rsidR="003F4740" w:rsidRPr="002945C5" w:rsidRDefault="00AD0B07" w:rsidP="00797B82">
      <w:pPr>
        <w:jc w:val="both"/>
        <w:rPr>
          <w:rFonts w:ascii="Arial" w:hAnsi="Arial" w:cs="Arial"/>
          <w:b/>
          <w:sz w:val="20"/>
          <w:szCs w:val="20"/>
        </w:rPr>
      </w:pPr>
      <w:r>
        <w:rPr>
          <w:rFonts w:ascii="Arial" w:hAnsi="Arial" w:cs="Arial"/>
          <w:b/>
          <w:sz w:val="20"/>
          <w:szCs w:val="20"/>
        </w:rPr>
        <w:t>Eficacia</w:t>
      </w:r>
    </w:p>
    <w:p w14:paraId="349959F4" w14:textId="77777777" w:rsidR="003F4740" w:rsidRDefault="003F4740" w:rsidP="00797B82">
      <w:pPr>
        <w:jc w:val="both"/>
        <w:rPr>
          <w:rFonts w:ascii="Arial" w:hAnsi="Arial" w:cs="Arial"/>
          <w:sz w:val="20"/>
          <w:szCs w:val="20"/>
        </w:rPr>
      </w:pPr>
    </w:p>
    <w:p w14:paraId="7A1CAC12" w14:textId="77777777" w:rsidR="005D11C1" w:rsidRDefault="002E56B0" w:rsidP="00797B82">
      <w:pPr>
        <w:jc w:val="both"/>
        <w:rPr>
          <w:rFonts w:ascii="Arial" w:hAnsi="Arial" w:cs="Arial"/>
          <w:sz w:val="20"/>
          <w:szCs w:val="20"/>
        </w:rPr>
      </w:pPr>
      <w:r>
        <w:rPr>
          <w:rFonts w:ascii="Arial" w:hAnsi="Arial" w:cs="Arial"/>
          <w:sz w:val="20"/>
          <w:szCs w:val="20"/>
        </w:rPr>
        <w:t>La combinación p</w:t>
      </w:r>
      <w:r w:rsidR="004F0F76">
        <w:rPr>
          <w:rFonts w:ascii="Arial" w:hAnsi="Arial" w:cs="Arial"/>
          <w:sz w:val="20"/>
          <w:szCs w:val="20"/>
        </w:rPr>
        <w:t xml:space="preserve">resenta un estudio </w:t>
      </w:r>
      <w:r w:rsidR="003F4740">
        <w:rPr>
          <w:rFonts w:ascii="Arial" w:hAnsi="Arial" w:cs="Arial"/>
          <w:sz w:val="20"/>
          <w:szCs w:val="20"/>
        </w:rPr>
        <w:t xml:space="preserve">pivotal </w:t>
      </w:r>
      <w:r w:rsidR="004F0F76">
        <w:rPr>
          <w:rFonts w:ascii="Arial" w:hAnsi="Arial" w:cs="Arial"/>
          <w:sz w:val="20"/>
          <w:szCs w:val="20"/>
        </w:rPr>
        <w:t xml:space="preserve">fase III, </w:t>
      </w:r>
      <w:r>
        <w:rPr>
          <w:rFonts w:ascii="Arial" w:hAnsi="Arial" w:cs="Arial"/>
          <w:sz w:val="20"/>
          <w:szCs w:val="20"/>
        </w:rPr>
        <w:t xml:space="preserve">estudio </w:t>
      </w:r>
      <w:r w:rsidR="004F0F76">
        <w:rPr>
          <w:rFonts w:ascii="Arial" w:hAnsi="Arial" w:cs="Arial"/>
          <w:sz w:val="20"/>
          <w:szCs w:val="20"/>
        </w:rPr>
        <w:t xml:space="preserve">MAGNITUDE, en 765 pacientes, doble ciego, aleatorizado, </w:t>
      </w:r>
      <w:r w:rsidR="005D11C1">
        <w:rPr>
          <w:rFonts w:ascii="Arial" w:hAnsi="Arial" w:cs="Arial"/>
          <w:sz w:val="20"/>
          <w:szCs w:val="20"/>
        </w:rPr>
        <w:t xml:space="preserve">controlado con placebo, </w:t>
      </w:r>
      <w:r w:rsidR="004F0F76">
        <w:rPr>
          <w:rFonts w:ascii="Arial" w:hAnsi="Arial" w:cs="Arial"/>
          <w:sz w:val="20"/>
          <w:szCs w:val="20"/>
        </w:rPr>
        <w:t xml:space="preserve">que </w:t>
      </w:r>
      <w:r w:rsidR="005D11C1">
        <w:rPr>
          <w:rFonts w:ascii="Arial" w:hAnsi="Arial" w:cs="Arial"/>
          <w:sz w:val="20"/>
          <w:szCs w:val="20"/>
        </w:rPr>
        <w:t>evaluó</w:t>
      </w:r>
      <w:r w:rsidR="004F0F76">
        <w:rPr>
          <w:rFonts w:ascii="Arial" w:hAnsi="Arial" w:cs="Arial"/>
          <w:sz w:val="20"/>
          <w:szCs w:val="20"/>
        </w:rPr>
        <w:t xml:space="preserve"> la </w:t>
      </w:r>
      <w:r w:rsidR="005D11C1">
        <w:rPr>
          <w:rFonts w:ascii="Arial" w:hAnsi="Arial" w:cs="Arial"/>
          <w:sz w:val="20"/>
          <w:szCs w:val="20"/>
        </w:rPr>
        <w:t>eficacia del tratamiento combinado</w:t>
      </w:r>
      <w:r w:rsidR="004F0F76">
        <w:rPr>
          <w:rFonts w:ascii="Arial" w:hAnsi="Arial" w:cs="Arial"/>
          <w:sz w:val="20"/>
          <w:szCs w:val="20"/>
        </w:rPr>
        <w:t xml:space="preserve"> de niraparib + abiraterona frente a </w:t>
      </w:r>
      <w:r w:rsidR="003F4740">
        <w:rPr>
          <w:rFonts w:ascii="Arial" w:hAnsi="Arial" w:cs="Arial"/>
          <w:sz w:val="20"/>
          <w:szCs w:val="20"/>
        </w:rPr>
        <w:t xml:space="preserve">placebo + </w:t>
      </w:r>
      <w:r w:rsidR="004F0F76">
        <w:rPr>
          <w:rFonts w:ascii="Arial" w:hAnsi="Arial" w:cs="Arial"/>
          <w:sz w:val="20"/>
          <w:szCs w:val="20"/>
        </w:rPr>
        <w:t>abiraterona</w:t>
      </w:r>
      <w:r w:rsidR="005D11C1">
        <w:rPr>
          <w:rFonts w:ascii="Arial" w:hAnsi="Arial" w:cs="Arial"/>
          <w:sz w:val="20"/>
          <w:szCs w:val="20"/>
        </w:rPr>
        <w:t xml:space="preserve"> en pacientes con CPRCm que no habían recibido tratamiento sistémico previo en el contexto del CPRCm</w:t>
      </w:r>
      <w:r w:rsidR="004F0F76">
        <w:rPr>
          <w:rFonts w:ascii="Arial" w:hAnsi="Arial" w:cs="Arial"/>
          <w:sz w:val="20"/>
          <w:szCs w:val="20"/>
        </w:rPr>
        <w:t>.</w:t>
      </w:r>
    </w:p>
    <w:p w14:paraId="390224DA" w14:textId="77777777" w:rsidR="005D11C1" w:rsidRDefault="005D11C1" w:rsidP="00797B82">
      <w:pPr>
        <w:jc w:val="both"/>
        <w:rPr>
          <w:rFonts w:ascii="Arial" w:hAnsi="Arial" w:cs="Arial"/>
          <w:sz w:val="20"/>
          <w:szCs w:val="20"/>
        </w:rPr>
      </w:pPr>
    </w:p>
    <w:p w14:paraId="224C91D8" w14:textId="04B1FE79" w:rsidR="003F4740" w:rsidRDefault="004F0F76" w:rsidP="00797B82">
      <w:pPr>
        <w:jc w:val="both"/>
        <w:rPr>
          <w:rFonts w:ascii="Arial" w:hAnsi="Arial" w:cs="Arial"/>
          <w:sz w:val="20"/>
          <w:szCs w:val="20"/>
        </w:rPr>
      </w:pPr>
      <w:r>
        <w:rPr>
          <w:rFonts w:ascii="Arial" w:hAnsi="Arial" w:cs="Arial"/>
          <w:sz w:val="20"/>
          <w:szCs w:val="20"/>
        </w:rPr>
        <w:t>Se realizaron 3 cohortes</w:t>
      </w:r>
      <w:r w:rsidR="002E56B0">
        <w:rPr>
          <w:rFonts w:ascii="Arial" w:hAnsi="Arial" w:cs="Arial"/>
          <w:sz w:val="20"/>
          <w:szCs w:val="20"/>
        </w:rPr>
        <w:t xml:space="preserve">: </w:t>
      </w:r>
      <w:r w:rsidR="001E2C32">
        <w:rPr>
          <w:rFonts w:ascii="Arial" w:hAnsi="Arial" w:cs="Arial"/>
          <w:sz w:val="20"/>
          <w:szCs w:val="20"/>
        </w:rPr>
        <w:t xml:space="preserve">en </w:t>
      </w:r>
      <w:r w:rsidR="00BE6B74">
        <w:rPr>
          <w:rFonts w:ascii="Arial" w:hAnsi="Arial" w:cs="Arial"/>
          <w:sz w:val="20"/>
          <w:szCs w:val="20"/>
        </w:rPr>
        <w:t>la cohorte 1 se incluyeron pacientes con alteración en el gen HRR. En la cohorte 2 se incluyeron pacientes sin alteración del gen HRR</w:t>
      </w:r>
      <w:r w:rsidR="003F4740">
        <w:rPr>
          <w:rFonts w:ascii="Arial" w:hAnsi="Arial" w:cs="Arial"/>
          <w:sz w:val="20"/>
          <w:szCs w:val="20"/>
        </w:rPr>
        <w:t xml:space="preserve">, </w:t>
      </w:r>
      <w:r w:rsidR="002E56B0">
        <w:rPr>
          <w:rFonts w:ascii="Arial" w:hAnsi="Arial" w:cs="Arial"/>
          <w:sz w:val="20"/>
          <w:szCs w:val="20"/>
        </w:rPr>
        <w:t>y,</w:t>
      </w:r>
      <w:r w:rsidR="003F4740">
        <w:rPr>
          <w:rFonts w:ascii="Arial" w:hAnsi="Arial" w:cs="Arial"/>
          <w:sz w:val="20"/>
          <w:szCs w:val="20"/>
        </w:rPr>
        <w:t xml:space="preserve"> p</w:t>
      </w:r>
      <w:r w:rsidR="00BE6B74">
        <w:rPr>
          <w:rFonts w:ascii="Arial" w:hAnsi="Arial" w:cs="Arial"/>
          <w:sz w:val="20"/>
          <w:szCs w:val="20"/>
        </w:rPr>
        <w:t xml:space="preserve">or último, la cohorte 3 </w:t>
      </w:r>
      <w:r w:rsidR="002E56B0">
        <w:rPr>
          <w:rFonts w:ascii="Arial" w:hAnsi="Arial" w:cs="Arial"/>
          <w:sz w:val="20"/>
          <w:szCs w:val="20"/>
        </w:rPr>
        <w:t xml:space="preserve">se realizó para evaluar </w:t>
      </w:r>
      <w:r w:rsidR="00BE6B74">
        <w:rPr>
          <w:rFonts w:ascii="Arial" w:hAnsi="Arial" w:cs="Arial"/>
          <w:sz w:val="20"/>
          <w:szCs w:val="20"/>
        </w:rPr>
        <w:t xml:space="preserve">la utilización </w:t>
      </w:r>
      <w:r w:rsidR="002945C5">
        <w:rPr>
          <w:rFonts w:ascii="Arial" w:hAnsi="Arial" w:cs="Arial"/>
          <w:sz w:val="20"/>
          <w:szCs w:val="20"/>
        </w:rPr>
        <w:t xml:space="preserve">de </w:t>
      </w:r>
      <w:r w:rsidR="003F4740">
        <w:rPr>
          <w:rFonts w:ascii="Arial" w:hAnsi="Arial" w:cs="Arial"/>
          <w:sz w:val="20"/>
          <w:szCs w:val="20"/>
        </w:rPr>
        <w:t xml:space="preserve">la formulación farmacéutica conjunta de </w:t>
      </w:r>
      <w:r w:rsidR="00BE6B74">
        <w:rPr>
          <w:rFonts w:ascii="Arial" w:hAnsi="Arial" w:cs="Arial"/>
          <w:sz w:val="20"/>
          <w:szCs w:val="20"/>
        </w:rPr>
        <w:t>niraparib/abiraterona.</w:t>
      </w:r>
      <w:r w:rsidR="003F4740">
        <w:rPr>
          <w:rFonts w:ascii="Arial" w:hAnsi="Arial" w:cs="Arial"/>
          <w:sz w:val="20"/>
          <w:szCs w:val="20"/>
        </w:rPr>
        <w:t xml:space="preserve"> </w:t>
      </w:r>
    </w:p>
    <w:p w14:paraId="6E83CC5B" w14:textId="390916A5" w:rsidR="002945C5" w:rsidRDefault="002945C5" w:rsidP="00797B82">
      <w:pPr>
        <w:jc w:val="both"/>
        <w:rPr>
          <w:rFonts w:ascii="Arial" w:hAnsi="Arial" w:cs="Arial"/>
          <w:sz w:val="20"/>
          <w:szCs w:val="20"/>
        </w:rPr>
      </w:pPr>
      <w:r>
        <w:rPr>
          <w:rFonts w:ascii="Arial" w:hAnsi="Arial" w:cs="Arial"/>
          <w:sz w:val="20"/>
          <w:szCs w:val="20"/>
        </w:rPr>
        <w:t xml:space="preserve">Los pacientes no habían recibido de forma previa un fármaco iPARP ni terapia sistémica </w:t>
      </w:r>
      <w:r w:rsidR="001E2C32">
        <w:rPr>
          <w:rFonts w:ascii="Arial" w:hAnsi="Arial" w:cs="Arial"/>
          <w:sz w:val="20"/>
          <w:szCs w:val="20"/>
        </w:rPr>
        <w:t xml:space="preserve">en la enfermedad metastásica con </w:t>
      </w:r>
      <w:r>
        <w:rPr>
          <w:rFonts w:ascii="Arial" w:hAnsi="Arial" w:cs="Arial"/>
          <w:sz w:val="20"/>
          <w:szCs w:val="20"/>
        </w:rPr>
        <w:t xml:space="preserve">terapia de </w:t>
      </w:r>
      <w:r w:rsidR="001E2C32">
        <w:rPr>
          <w:rFonts w:ascii="Arial" w:hAnsi="Arial" w:cs="Arial"/>
          <w:sz w:val="20"/>
          <w:szCs w:val="20"/>
        </w:rPr>
        <w:t>nueva</w:t>
      </w:r>
      <w:r>
        <w:rPr>
          <w:rFonts w:ascii="Arial" w:hAnsi="Arial" w:cs="Arial"/>
          <w:sz w:val="20"/>
          <w:szCs w:val="20"/>
        </w:rPr>
        <w:t xml:space="preserve"> generación dirigida al receptor androgénico, taxanos o más de 4 meses con abiraterona antes de la aleatorización.</w:t>
      </w:r>
    </w:p>
    <w:p w14:paraId="5143A470" w14:textId="77777777" w:rsidR="002945C5" w:rsidRDefault="002945C5" w:rsidP="00797B82">
      <w:pPr>
        <w:jc w:val="both"/>
        <w:rPr>
          <w:rFonts w:ascii="Arial" w:hAnsi="Arial" w:cs="Arial"/>
          <w:sz w:val="20"/>
          <w:szCs w:val="20"/>
        </w:rPr>
      </w:pPr>
    </w:p>
    <w:p w14:paraId="2B082D63" w14:textId="77777777" w:rsidR="003F4740" w:rsidRDefault="003F4740" w:rsidP="00797B82">
      <w:pPr>
        <w:jc w:val="both"/>
        <w:rPr>
          <w:rFonts w:ascii="Arial" w:hAnsi="Arial" w:cs="Arial"/>
          <w:sz w:val="20"/>
          <w:szCs w:val="20"/>
        </w:rPr>
      </w:pPr>
      <w:r>
        <w:rPr>
          <w:rFonts w:ascii="Arial" w:hAnsi="Arial" w:cs="Arial"/>
          <w:sz w:val="20"/>
          <w:szCs w:val="20"/>
        </w:rPr>
        <w:t>Se planificó un análisis de futilidad para la cohorte 2</w:t>
      </w:r>
      <w:r w:rsidR="002945C5">
        <w:rPr>
          <w:rFonts w:ascii="Arial" w:hAnsi="Arial" w:cs="Arial"/>
          <w:sz w:val="20"/>
          <w:szCs w:val="20"/>
        </w:rPr>
        <w:t xml:space="preserve"> en la población sin alteración del gen HRR</w:t>
      </w:r>
      <w:r>
        <w:rPr>
          <w:rFonts w:ascii="Arial" w:hAnsi="Arial" w:cs="Arial"/>
          <w:sz w:val="20"/>
          <w:szCs w:val="20"/>
        </w:rPr>
        <w:t>. Tras la evaluación de 233 pacientes, con un HR=1,087 para la variable combinada de progresión radiográfica, progresión del PSA o muerte, se interrumpió el estudio de dicha cohorte.</w:t>
      </w:r>
    </w:p>
    <w:p w14:paraId="73C1FA7D" w14:textId="77777777" w:rsidR="00EF3080" w:rsidRPr="002E56B0" w:rsidRDefault="00EF3080" w:rsidP="00797B82">
      <w:pPr>
        <w:jc w:val="both"/>
        <w:rPr>
          <w:rFonts w:ascii="Arial" w:hAnsi="Arial" w:cs="Arial"/>
          <w:sz w:val="20"/>
          <w:szCs w:val="20"/>
        </w:rPr>
      </w:pPr>
    </w:p>
    <w:p w14:paraId="73B39135" w14:textId="77777777" w:rsidR="006941ED" w:rsidRPr="002E56B0" w:rsidRDefault="006941ED" w:rsidP="00797B82">
      <w:pPr>
        <w:jc w:val="both"/>
        <w:rPr>
          <w:rFonts w:ascii="Arial" w:hAnsi="Arial" w:cs="Arial"/>
          <w:sz w:val="20"/>
          <w:szCs w:val="20"/>
        </w:rPr>
      </w:pPr>
      <w:r w:rsidRPr="002E56B0">
        <w:rPr>
          <w:rFonts w:ascii="Arial" w:hAnsi="Arial" w:cs="Arial"/>
          <w:sz w:val="20"/>
          <w:szCs w:val="20"/>
        </w:rPr>
        <w:t xml:space="preserve">Los datos de eficacia se realizaron sobre la población incluida en la cohorte 1. </w:t>
      </w:r>
    </w:p>
    <w:p w14:paraId="4AD68B93" w14:textId="0DA2F28D" w:rsidR="006941ED" w:rsidRPr="002E56B0" w:rsidRDefault="006941ED" w:rsidP="00797B82">
      <w:pPr>
        <w:jc w:val="both"/>
        <w:rPr>
          <w:rFonts w:ascii="Arial" w:hAnsi="Arial" w:cs="Arial"/>
          <w:sz w:val="20"/>
          <w:szCs w:val="20"/>
        </w:rPr>
      </w:pPr>
      <w:r w:rsidRPr="002E56B0">
        <w:rPr>
          <w:rFonts w:ascii="Arial" w:hAnsi="Arial" w:cs="Arial"/>
          <w:sz w:val="20"/>
          <w:szCs w:val="20"/>
        </w:rPr>
        <w:t>En la variable principal, SLPr, la adición de niraparib a abirater</w:t>
      </w:r>
      <w:r w:rsidR="007D41A6">
        <w:rPr>
          <w:rFonts w:ascii="Arial" w:hAnsi="Arial" w:cs="Arial"/>
          <w:sz w:val="20"/>
          <w:szCs w:val="20"/>
        </w:rPr>
        <w:t>o</w:t>
      </w:r>
      <w:r w:rsidRPr="002E56B0">
        <w:rPr>
          <w:rFonts w:ascii="Arial" w:hAnsi="Arial" w:cs="Arial"/>
          <w:sz w:val="20"/>
          <w:szCs w:val="20"/>
        </w:rPr>
        <w:t xml:space="preserve">na en pacientes </w:t>
      </w:r>
      <w:r w:rsidR="002945C5">
        <w:rPr>
          <w:rFonts w:ascii="Arial" w:hAnsi="Arial" w:cs="Arial"/>
          <w:sz w:val="20"/>
          <w:szCs w:val="20"/>
        </w:rPr>
        <w:t xml:space="preserve">CPRCm </w:t>
      </w:r>
      <w:r w:rsidRPr="002E56B0">
        <w:rPr>
          <w:rFonts w:ascii="Arial" w:hAnsi="Arial" w:cs="Arial"/>
          <w:sz w:val="20"/>
          <w:szCs w:val="20"/>
        </w:rPr>
        <w:t xml:space="preserve">con mutación HRR positiva </w:t>
      </w:r>
      <w:r w:rsidR="00FE46AE">
        <w:rPr>
          <w:rFonts w:ascii="Arial" w:hAnsi="Arial" w:cs="Arial"/>
          <w:sz w:val="20"/>
          <w:szCs w:val="20"/>
        </w:rPr>
        <w:t>obtiene</w:t>
      </w:r>
      <w:r w:rsidRPr="002E56B0">
        <w:rPr>
          <w:rFonts w:ascii="Arial" w:hAnsi="Arial" w:cs="Arial"/>
          <w:sz w:val="20"/>
          <w:szCs w:val="20"/>
        </w:rPr>
        <w:t xml:space="preserve"> un aumento estadísticamente significativo frente al brazo comparador de 2,76 meses, HR: 0,73 (0,56-0,96, p=0,22). En el subgrupo de pacientes con BRCA </w:t>
      </w:r>
      <w:r w:rsidR="00382A01">
        <w:rPr>
          <w:rFonts w:ascii="Arial" w:hAnsi="Arial" w:cs="Arial"/>
          <w:sz w:val="20"/>
          <w:szCs w:val="20"/>
        </w:rPr>
        <w:t>1 o 2</w:t>
      </w:r>
      <w:r w:rsidRPr="002E56B0">
        <w:rPr>
          <w:rFonts w:ascii="Arial" w:hAnsi="Arial" w:cs="Arial"/>
          <w:sz w:val="20"/>
          <w:szCs w:val="20"/>
        </w:rPr>
        <w:t xml:space="preserve"> mutado, la combinación logra un mayor beneficio de +5,7 meses en SLPr (mediana de 16,56 vs 10,87, HR: 0,53 (0,36-0,79, p=0,001).</w:t>
      </w:r>
    </w:p>
    <w:p w14:paraId="23B560D8" w14:textId="755FAFBF" w:rsidR="006941ED" w:rsidRDefault="006941ED" w:rsidP="00797B82">
      <w:pPr>
        <w:jc w:val="both"/>
        <w:rPr>
          <w:rFonts w:ascii="Arial" w:hAnsi="Arial" w:cs="Arial"/>
          <w:sz w:val="20"/>
          <w:szCs w:val="20"/>
        </w:rPr>
      </w:pPr>
      <w:r w:rsidRPr="002E56B0">
        <w:rPr>
          <w:rFonts w:ascii="Arial" w:hAnsi="Arial" w:cs="Arial"/>
          <w:sz w:val="20"/>
          <w:szCs w:val="20"/>
        </w:rPr>
        <w:t xml:space="preserve">En el subgrupo de pacientes HRR+, </w:t>
      </w:r>
      <w:r w:rsidR="00382A01">
        <w:rPr>
          <w:rFonts w:ascii="Arial" w:hAnsi="Arial" w:cs="Arial"/>
          <w:sz w:val="20"/>
          <w:szCs w:val="20"/>
        </w:rPr>
        <w:t>con mutación distinta a</w:t>
      </w:r>
      <w:r w:rsidRPr="002E56B0">
        <w:rPr>
          <w:rFonts w:ascii="Arial" w:hAnsi="Arial" w:cs="Arial"/>
          <w:sz w:val="20"/>
          <w:szCs w:val="20"/>
        </w:rPr>
        <w:t xml:space="preserve"> BRCA</w:t>
      </w:r>
      <w:r w:rsidR="00382A01">
        <w:rPr>
          <w:rFonts w:ascii="Arial" w:hAnsi="Arial" w:cs="Arial"/>
          <w:sz w:val="20"/>
          <w:szCs w:val="20"/>
        </w:rPr>
        <w:t>,</w:t>
      </w:r>
      <w:r w:rsidRPr="002E56B0">
        <w:rPr>
          <w:rFonts w:ascii="Arial" w:hAnsi="Arial" w:cs="Arial"/>
          <w:sz w:val="20"/>
          <w:szCs w:val="20"/>
        </w:rPr>
        <w:t xml:space="preserve"> dicho beneficio no se observa en el brazo experimental </w:t>
      </w:r>
      <w:r w:rsidR="002E56B0" w:rsidRPr="002E56B0">
        <w:rPr>
          <w:rFonts w:ascii="Arial" w:hAnsi="Arial" w:cs="Arial"/>
          <w:sz w:val="20"/>
          <w:szCs w:val="20"/>
        </w:rPr>
        <w:t>con un HR para la SLPr de 0,87 (0,51-1,49).</w:t>
      </w:r>
      <w:r w:rsidR="002945C5">
        <w:rPr>
          <w:rFonts w:ascii="Arial" w:hAnsi="Arial" w:cs="Arial"/>
          <w:sz w:val="20"/>
          <w:szCs w:val="20"/>
        </w:rPr>
        <w:t xml:space="preserve"> En base a ello,</w:t>
      </w:r>
      <w:r w:rsidR="00FE46AE">
        <w:rPr>
          <w:rFonts w:ascii="Arial" w:hAnsi="Arial" w:cs="Arial"/>
          <w:sz w:val="20"/>
          <w:szCs w:val="20"/>
        </w:rPr>
        <w:t xml:space="preserve"> la indicación europea aprobada es </w:t>
      </w:r>
      <w:r w:rsidR="00382A01">
        <w:rPr>
          <w:rFonts w:ascii="Arial" w:hAnsi="Arial" w:cs="Arial"/>
          <w:sz w:val="20"/>
          <w:szCs w:val="20"/>
        </w:rPr>
        <w:t xml:space="preserve">para </w:t>
      </w:r>
      <w:r w:rsidR="00FE46AE">
        <w:rPr>
          <w:rFonts w:ascii="Arial" w:hAnsi="Arial" w:cs="Arial"/>
          <w:sz w:val="20"/>
          <w:szCs w:val="20"/>
        </w:rPr>
        <w:t xml:space="preserve">el tratamiento en </w:t>
      </w:r>
      <w:r w:rsidR="00382A01">
        <w:rPr>
          <w:rFonts w:ascii="Arial" w:hAnsi="Arial" w:cs="Arial"/>
          <w:sz w:val="20"/>
          <w:szCs w:val="20"/>
        </w:rPr>
        <w:t>el</w:t>
      </w:r>
      <w:r w:rsidR="002945C5">
        <w:rPr>
          <w:rFonts w:ascii="Arial" w:hAnsi="Arial" w:cs="Arial"/>
          <w:sz w:val="20"/>
          <w:szCs w:val="20"/>
        </w:rPr>
        <w:t xml:space="preserve"> subgrupo de pacientes con mutación BRCA+.</w:t>
      </w:r>
    </w:p>
    <w:p w14:paraId="0050FB2A" w14:textId="77777777" w:rsidR="002945C5" w:rsidRPr="002E56B0" w:rsidRDefault="002945C5" w:rsidP="00797B82">
      <w:pPr>
        <w:jc w:val="both"/>
        <w:rPr>
          <w:rFonts w:ascii="Arial" w:hAnsi="Arial" w:cs="Arial"/>
          <w:sz w:val="20"/>
          <w:szCs w:val="20"/>
        </w:rPr>
      </w:pPr>
    </w:p>
    <w:p w14:paraId="3DC032AE" w14:textId="77777777" w:rsidR="002E56B0" w:rsidRDefault="002E56B0" w:rsidP="00797B82">
      <w:pPr>
        <w:jc w:val="both"/>
        <w:rPr>
          <w:rFonts w:ascii="Arial" w:hAnsi="Arial" w:cs="Arial"/>
          <w:sz w:val="20"/>
          <w:szCs w:val="20"/>
        </w:rPr>
      </w:pPr>
      <w:r w:rsidRPr="002E56B0">
        <w:rPr>
          <w:rFonts w:ascii="Arial" w:hAnsi="Arial" w:cs="Arial"/>
          <w:sz w:val="20"/>
          <w:szCs w:val="20"/>
        </w:rPr>
        <w:t xml:space="preserve">Tras un seguimiento de 24,8 meses, </w:t>
      </w:r>
      <w:r w:rsidR="002945C5">
        <w:rPr>
          <w:rFonts w:ascii="Arial" w:hAnsi="Arial" w:cs="Arial"/>
          <w:sz w:val="20"/>
          <w:szCs w:val="20"/>
        </w:rPr>
        <w:t xml:space="preserve">los datos actualizados de SLPr en el subgrupo de pacientes con mutación BRCA muestran un </w:t>
      </w:r>
      <w:r w:rsidRPr="002E56B0">
        <w:rPr>
          <w:rFonts w:ascii="Arial" w:hAnsi="Arial" w:cs="Arial"/>
          <w:sz w:val="20"/>
          <w:szCs w:val="20"/>
        </w:rPr>
        <w:t>beneficio de niraparib/abiraterona comparado con abiraterona de +8,6 meses, mediana de 19,5 meses vs 10,9 meses, HR: 0,55 (0,39-0,78).</w:t>
      </w:r>
    </w:p>
    <w:p w14:paraId="11650E70" w14:textId="77777777" w:rsidR="002945C5" w:rsidRDefault="002945C5" w:rsidP="00797B82">
      <w:pPr>
        <w:jc w:val="both"/>
        <w:rPr>
          <w:rFonts w:ascii="Arial" w:hAnsi="Arial" w:cs="Arial"/>
          <w:sz w:val="20"/>
          <w:szCs w:val="20"/>
        </w:rPr>
      </w:pPr>
      <w:r>
        <w:rPr>
          <w:rFonts w:ascii="Arial" w:hAnsi="Arial" w:cs="Arial"/>
          <w:sz w:val="20"/>
          <w:szCs w:val="20"/>
        </w:rPr>
        <w:t xml:space="preserve">Respecto a las variables secundarias, en este mismo subgrupo de pacientes con mutación BRCA (indicación finalmente autorizada) </w:t>
      </w:r>
      <w:r w:rsidR="0068586C">
        <w:rPr>
          <w:rFonts w:ascii="Arial" w:hAnsi="Arial" w:cs="Arial"/>
          <w:sz w:val="20"/>
          <w:szCs w:val="20"/>
        </w:rPr>
        <w:t>los datos muestran</w:t>
      </w:r>
      <w:r>
        <w:rPr>
          <w:rFonts w:ascii="Arial" w:hAnsi="Arial" w:cs="Arial"/>
          <w:sz w:val="20"/>
          <w:szCs w:val="20"/>
        </w:rPr>
        <w:t>:</w:t>
      </w:r>
    </w:p>
    <w:p w14:paraId="6CE79CA7" w14:textId="77777777" w:rsidR="002945C5" w:rsidRDefault="0068586C" w:rsidP="00797B82">
      <w:pPr>
        <w:numPr>
          <w:ilvl w:val="1"/>
          <w:numId w:val="13"/>
        </w:numPr>
        <w:jc w:val="both"/>
        <w:rPr>
          <w:rFonts w:ascii="Arial" w:hAnsi="Arial" w:cs="Arial"/>
          <w:sz w:val="20"/>
          <w:szCs w:val="20"/>
        </w:rPr>
      </w:pPr>
      <w:r>
        <w:rPr>
          <w:rFonts w:ascii="Arial" w:hAnsi="Arial" w:cs="Arial"/>
          <w:sz w:val="20"/>
          <w:szCs w:val="20"/>
        </w:rPr>
        <w:t xml:space="preserve">No se alcanza </w:t>
      </w:r>
      <w:r w:rsidR="00382A01">
        <w:rPr>
          <w:rFonts w:ascii="Arial" w:hAnsi="Arial" w:cs="Arial"/>
          <w:sz w:val="20"/>
          <w:szCs w:val="20"/>
        </w:rPr>
        <w:t xml:space="preserve">de momento </w:t>
      </w:r>
      <w:r>
        <w:rPr>
          <w:rFonts w:ascii="Arial" w:hAnsi="Arial" w:cs="Arial"/>
          <w:sz w:val="20"/>
          <w:szCs w:val="20"/>
        </w:rPr>
        <w:t>una diferencia estadísticamente significativa en cuanto a supervivencia global HR=0,88 (0,58-1,34, p=0,55)</w:t>
      </w:r>
      <w:r w:rsidR="00382A01">
        <w:rPr>
          <w:rFonts w:ascii="Arial" w:hAnsi="Arial" w:cs="Arial"/>
          <w:sz w:val="20"/>
          <w:szCs w:val="20"/>
        </w:rPr>
        <w:t>, pendiente del análisis final.</w:t>
      </w:r>
    </w:p>
    <w:p w14:paraId="0C7194D4" w14:textId="77777777" w:rsidR="0068586C" w:rsidRDefault="00382A01" w:rsidP="00797B82">
      <w:pPr>
        <w:numPr>
          <w:ilvl w:val="1"/>
          <w:numId w:val="13"/>
        </w:numPr>
        <w:jc w:val="both"/>
        <w:rPr>
          <w:rFonts w:ascii="Arial" w:hAnsi="Arial" w:cs="Arial"/>
          <w:sz w:val="20"/>
          <w:szCs w:val="20"/>
        </w:rPr>
      </w:pPr>
      <w:r>
        <w:rPr>
          <w:rFonts w:ascii="Arial" w:hAnsi="Arial" w:cs="Arial"/>
          <w:sz w:val="20"/>
          <w:szCs w:val="20"/>
        </w:rPr>
        <w:t xml:space="preserve">Se obtiene </w:t>
      </w:r>
      <w:r w:rsidR="0068586C">
        <w:rPr>
          <w:rFonts w:ascii="Arial" w:hAnsi="Arial" w:cs="Arial"/>
          <w:sz w:val="20"/>
          <w:szCs w:val="20"/>
        </w:rPr>
        <w:t>beneficio en el tiempo de progresión sintomática, mediana no alcanzada vs 23,6 meses (HR: 0,54; 0,35-0,85, p=0,0071)</w:t>
      </w:r>
    </w:p>
    <w:p w14:paraId="7C673AB1" w14:textId="77777777" w:rsidR="0068586C" w:rsidRDefault="0068586C" w:rsidP="00797B82">
      <w:pPr>
        <w:numPr>
          <w:ilvl w:val="1"/>
          <w:numId w:val="13"/>
        </w:numPr>
        <w:jc w:val="both"/>
        <w:rPr>
          <w:rFonts w:ascii="Arial" w:hAnsi="Arial" w:cs="Arial"/>
          <w:sz w:val="20"/>
          <w:szCs w:val="20"/>
        </w:rPr>
      </w:pPr>
      <w:r>
        <w:rPr>
          <w:rFonts w:ascii="Arial" w:hAnsi="Arial" w:cs="Arial"/>
          <w:sz w:val="20"/>
          <w:szCs w:val="20"/>
        </w:rPr>
        <w:t>beneficio en el tiempo de inicio de quimioterapia, HR: 0,56 (0,35-0,90, p= 0,0152)</w:t>
      </w:r>
    </w:p>
    <w:p w14:paraId="1F43828D" w14:textId="72E62985" w:rsidR="00052421" w:rsidRDefault="00052421" w:rsidP="00797B82">
      <w:pPr>
        <w:numPr>
          <w:ilvl w:val="1"/>
          <w:numId w:val="13"/>
        </w:numPr>
        <w:jc w:val="both"/>
        <w:rPr>
          <w:rFonts w:ascii="Arial" w:hAnsi="Arial" w:cs="Arial"/>
          <w:sz w:val="20"/>
          <w:szCs w:val="20"/>
        </w:rPr>
      </w:pPr>
      <w:r>
        <w:rPr>
          <w:rFonts w:ascii="Arial" w:hAnsi="Arial" w:cs="Arial"/>
          <w:sz w:val="20"/>
          <w:szCs w:val="20"/>
        </w:rPr>
        <w:t>Beneficio en el tiempo de progresión de PSA, con una mediana de 18,4</w:t>
      </w:r>
      <w:r w:rsidR="00FE46AE">
        <w:rPr>
          <w:rFonts w:ascii="Arial" w:hAnsi="Arial" w:cs="Arial"/>
          <w:sz w:val="20"/>
          <w:szCs w:val="20"/>
        </w:rPr>
        <w:t xml:space="preserve"> </w:t>
      </w:r>
      <w:r>
        <w:rPr>
          <w:rFonts w:ascii="Arial" w:hAnsi="Arial" w:cs="Arial"/>
          <w:sz w:val="20"/>
          <w:szCs w:val="20"/>
        </w:rPr>
        <w:t>meses vs 9,2 meses, HR: 0,48 (0,33-0,7)</w:t>
      </w:r>
    </w:p>
    <w:p w14:paraId="7BF42493" w14:textId="77777777" w:rsidR="00052421" w:rsidRDefault="00052421" w:rsidP="00797B82">
      <w:pPr>
        <w:numPr>
          <w:ilvl w:val="1"/>
          <w:numId w:val="13"/>
        </w:numPr>
        <w:jc w:val="both"/>
        <w:rPr>
          <w:rFonts w:ascii="Arial" w:hAnsi="Arial" w:cs="Arial"/>
          <w:sz w:val="20"/>
          <w:szCs w:val="20"/>
        </w:rPr>
      </w:pPr>
      <w:r>
        <w:rPr>
          <w:rFonts w:ascii="Arial" w:hAnsi="Arial" w:cs="Arial"/>
          <w:sz w:val="20"/>
          <w:szCs w:val="20"/>
        </w:rPr>
        <w:t>Tasa de respuesta de 50% vs 31,3%, RR= 1,6 (0,98-2,62, p=0,053)</w:t>
      </w:r>
    </w:p>
    <w:p w14:paraId="602C14EF" w14:textId="4599D2C7" w:rsidR="005D11C1" w:rsidRDefault="005D11C1" w:rsidP="00797B82">
      <w:pPr>
        <w:numPr>
          <w:ilvl w:val="1"/>
          <w:numId w:val="13"/>
        </w:numPr>
        <w:jc w:val="both"/>
        <w:rPr>
          <w:rFonts w:ascii="Arial" w:hAnsi="Arial" w:cs="Arial"/>
          <w:sz w:val="20"/>
          <w:szCs w:val="20"/>
        </w:rPr>
      </w:pPr>
      <w:r>
        <w:rPr>
          <w:rFonts w:ascii="Arial" w:hAnsi="Arial" w:cs="Arial"/>
          <w:sz w:val="20"/>
          <w:szCs w:val="20"/>
        </w:rPr>
        <w:t xml:space="preserve">No </w:t>
      </w:r>
      <w:r w:rsidR="00FE46AE">
        <w:rPr>
          <w:rFonts w:ascii="Arial" w:hAnsi="Arial" w:cs="Arial"/>
          <w:sz w:val="20"/>
          <w:szCs w:val="20"/>
        </w:rPr>
        <w:t>se encuentran d</w:t>
      </w:r>
      <w:r>
        <w:rPr>
          <w:rFonts w:ascii="Arial" w:hAnsi="Arial" w:cs="Arial"/>
          <w:sz w:val="20"/>
          <w:szCs w:val="20"/>
        </w:rPr>
        <w:t xml:space="preserve">iferencias </w:t>
      </w:r>
      <w:r w:rsidR="00FE46AE">
        <w:rPr>
          <w:rFonts w:ascii="Arial" w:hAnsi="Arial" w:cs="Arial"/>
          <w:sz w:val="20"/>
          <w:szCs w:val="20"/>
        </w:rPr>
        <w:t xml:space="preserve">estadísticamente </w:t>
      </w:r>
      <w:r>
        <w:rPr>
          <w:rFonts w:ascii="Arial" w:hAnsi="Arial" w:cs="Arial"/>
          <w:sz w:val="20"/>
          <w:szCs w:val="20"/>
        </w:rPr>
        <w:t>significativas en la calidad de vida</w:t>
      </w:r>
    </w:p>
    <w:p w14:paraId="162C06A5" w14:textId="657C6CC9" w:rsidR="005D11C1" w:rsidRPr="002E56B0" w:rsidRDefault="005D11C1" w:rsidP="00797B82">
      <w:pPr>
        <w:numPr>
          <w:ilvl w:val="1"/>
          <w:numId w:val="13"/>
        </w:numPr>
        <w:jc w:val="both"/>
        <w:rPr>
          <w:rFonts w:ascii="Arial" w:hAnsi="Arial" w:cs="Arial"/>
          <w:sz w:val="20"/>
          <w:szCs w:val="20"/>
        </w:rPr>
      </w:pPr>
      <w:r>
        <w:rPr>
          <w:rFonts w:ascii="Arial" w:hAnsi="Arial" w:cs="Arial"/>
          <w:sz w:val="20"/>
          <w:szCs w:val="20"/>
        </w:rPr>
        <w:t xml:space="preserve">No se </w:t>
      </w:r>
      <w:r w:rsidR="00FE46AE">
        <w:rPr>
          <w:rFonts w:ascii="Arial" w:hAnsi="Arial" w:cs="Arial"/>
          <w:sz w:val="20"/>
          <w:szCs w:val="20"/>
        </w:rPr>
        <w:t>encuentran</w:t>
      </w:r>
      <w:r>
        <w:rPr>
          <w:rFonts w:ascii="Arial" w:hAnsi="Arial" w:cs="Arial"/>
          <w:sz w:val="20"/>
          <w:szCs w:val="20"/>
        </w:rPr>
        <w:t xml:space="preserve"> diferencias </w:t>
      </w:r>
      <w:r w:rsidR="00FE46AE">
        <w:rPr>
          <w:rFonts w:ascii="Arial" w:hAnsi="Arial" w:cs="Arial"/>
          <w:sz w:val="20"/>
          <w:szCs w:val="20"/>
        </w:rPr>
        <w:t xml:space="preserve">estadísticamente </w:t>
      </w:r>
      <w:r>
        <w:rPr>
          <w:rFonts w:ascii="Arial" w:hAnsi="Arial" w:cs="Arial"/>
          <w:sz w:val="20"/>
          <w:szCs w:val="20"/>
        </w:rPr>
        <w:t>significativas en el retraso del tiempo hasta la peor intensidad del dolor (HR: 0,7, 0,44-1,12)</w:t>
      </w:r>
      <w:r w:rsidR="00AD0B07">
        <w:rPr>
          <w:rFonts w:ascii="Arial" w:hAnsi="Arial" w:cs="Arial"/>
          <w:sz w:val="20"/>
          <w:szCs w:val="20"/>
        </w:rPr>
        <w:t xml:space="preserve"> y de l</w:t>
      </w:r>
      <w:r>
        <w:rPr>
          <w:rFonts w:ascii="Arial" w:hAnsi="Arial" w:cs="Arial"/>
          <w:sz w:val="20"/>
          <w:szCs w:val="20"/>
        </w:rPr>
        <w:t>a interferencia del dolor (HR= 0,67, 0,4-1,12).</w:t>
      </w:r>
    </w:p>
    <w:p w14:paraId="3207980C" w14:textId="77777777" w:rsidR="002E56B0" w:rsidRPr="002E56B0" w:rsidRDefault="00AB04EE" w:rsidP="00797B82">
      <w:pPr>
        <w:jc w:val="both"/>
        <w:rPr>
          <w:rFonts w:ascii="Arial" w:hAnsi="Arial" w:cs="Arial"/>
          <w:sz w:val="20"/>
          <w:szCs w:val="20"/>
        </w:rPr>
      </w:pPr>
      <w:r>
        <w:rPr>
          <w:rFonts w:ascii="Arial" w:hAnsi="Arial" w:cs="Arial"/>
          <w:sz w:val="20"/>
          <w:szCs w:val="20"/>
        </w:rPr>
        <w:t xml:space="preserve">En cuanto a los subgrupos, se observa diferencia de eficacia en aquellos pacientes con mutación HRR </w:t>
      </w:r>
      <w:r w:rsidR="00382A01">
        <w:rPr>
          <w:rFonts w:ascii="Arial" w:hAnsi="Arial" w:cs="Arial"/>
          <w:sz w:val="20"/>
          <w:szCs w:val="20"/>
        </w:rPr>
        <w:t>diferente</w:t>
      </w:r>
      <w:r>
        <w:rPr>
          <w:rFonts w:ascii="Arial" w:hAnsi="Arial" w:cs="Arial"/>
          <w:sz w:val="20"/>
          <w:szCs w:val="20"/>
        </w:rPr>
        <w:t xml:space="preserve"> a BRCA</w:t>
      </w:r>
      <w:r w:rsidR="00024B8F">
        <w:rPr>
          <w:rFonts w:ascii="Arial" w:hAnsi="Arial" w:cs="Arial"/>
          <w:sz w:val="20"/>
          <w:szCs w:val="20"/>
        </w:rPr>
        <w:t xml:space="preserve"> frente a los pacientes con mutación BRCA, obteniendo aprobación solo para el subgrupo de pacientes BRCA+</w:t>
      </w:r>
      <w:r>
        <w:rPr>
          <w:rFonts w:ascii="Arial" w:hAnsi="Arial" w:cs="Arial"/>
          <w:sz w:val="20"/>
          <w:szCs w:val="20"/>
        </w:rPr>
        <w:t>.</w:t>
      </w:r>
    </w:p>
    <w:p w14:paraId="6860CF5C" w14:textId="77777777" w:rsidR="002E56B0" w:rsidRDefault="00AD0B07" w:rsidP="00797B82">
      <w:pPr>
        <w:jc w:val="both"/>
        <w:rPr>
          <w:rFonts w:ascii="Arial" w:hAnsi="Arial" w:cs="Arial"/>
          <w:sz w:val="20"/>
          <w:szCs w:val="20"/>
        </w:rPr>
      </w:pPr>
      <w:r>
        <w:rPr>
          <w:rFonts w:ascii="Arial" w:hAnsi="Arial" w:cs="Arial"/>
          <w:sz w:val="20"/>
          <w:szCs w:val="20"/>
        </w:rPr>
        <w:t>La cohorte 3 mostró una preferencia por la administración de comprimidos combinados que por separado</w:t>
      </w:r>
      <w:r w:rsidR="00382A01">
        <w:rPr>
          <w:rFonts w:ascii="Arial" w:hAnsi="Arial" w:cs="Arial"/>
          <w:sz w:val="20"/>
          <w:szCs w:val="20"/>
        </w:rPr>
        <w:t>, encontrando los datos de eficacia y seguridad en línea a la cohorte 1.</w:t>
      </w:r>
    </w:p>
    <w:p w14:paraId="64FFF5CE" w14:textId="77777777" w:rsidR="00AD0B07" w:rsidRDefault="00AD0B07" w:rsidP="00797B82">
      <w:pPr>
        <w:jc w:val="both"/>
        <w:rPr>
          <w:rFonts w:ascii="Arial" w:hAnsi="Arial" w:cs="Arial"/>
          <w:sz w:val="20"/>
          <w:szCs w:val="20"/>
        </w:rPr>
      </w:pPr>
    </w:p>
    <w:p w14:paraId="44D0F9E4" w14:textId="77777777" w:rsidR="00536484" w:rsidRPr="00877C49" w:rsidRDefault="00536484" w:rsidP="00797B82">
      <w:pPr>
        <w:jc w:val="both"/>
        <w:rPr>
          <w:rFonts w:ascii="Arial" w:hAnsi="Arial" w:cs="Arial"/>
          <w:sz w:val="20"/>
          <w:szCs w:val="20"/>
          <w:u w:val="single"/>
        </w:rPr>
      </w:pPr>
      <w:r w:rsidRPr="00877C49">
        <w:rPr>
          <w:rFonts w:ascii="Arial" w:hAnsi="Arial" w:cs="Arial"/>
          <w:sz w:val="20"/>
          <w:szCs w:val="20"/>
          <w:u w:val="single"/>
        </w:rPr>
        <w:t>Alternativas terapéuticas:</w:t>
      </w:r>
    </w:p>
    <w:p w14:paraId="4A85C391" w14:textId="60374EA5" w:rsidR="001664F7" w:rsidRPr="003651D4" w:rsidRDefault="001664F7" w:rsidP="00797B82">
      <w:pPr>
        <w:jc w:val="both"/>
        <w:rPr>
          <w:rFonts w:ascii="Arial" w:hAnsi="Arial" w:cs="Arial"/>
          <w:sz w:val="20"/>
          <w:szCs w:val="20"/>
        </w:rPr>
      </w:pPr>
      <w:r w:rsidRPr="003651D4">
        <w:rPr>
          <w:rFonts w:ascii="Arial" w:hAnsi="Arial" w:cs="Arial"/>
          <w:sz w:val="20"/>
          <w:szCs w:val="20"/>
        </w:rPr>
        <w:t xml:space="preserve">En estos momentos, se dispone de </w:t>
      </w:r>
      <w:r w:rsidR="006D0156">
        <w:rPr>
          <w:rFonts w:ascii="Arial" w:hAnsi="Arial" w:cs="Arial"/>
          <w:sz w:val="20"/>
          <w:szCs w:val="20"/>
        </w:rPr>
        <w:t>otra</w:t>
      </w:r>
      <w:r w:rsidRPr="003651D4">
        <w:rPr>
          <w:rFonts w:ascii="Arial" w:hAnsi="Arial" w:cs="Arial"/>
          <w:sz w:val="20"/>
          <w:szCs w:val="20"/>
        </w:rPr>
        <w:t xml:space="preserve"> combinaci</w:t>
      </w:r>
      <w:r w:rsidR="006D0156">
        <w:rPr>
          <w:rFonts w:ascii="Arial" w:hAnsi="Arial" w:cs="Arial"/>
          <w:sz w:val="20"/>
          <w:szCs w:val="20"/>
        </w:rPr>
        <w:t>ón</w:t>
      </w:r>
      <w:r w:rsidRPr="003651D4">
        <w:rPr>
          <w:rFonts w:ascii="Arial" w:hAnsi="Arial" w:cs="Arial"/>
          <w:sz w:val="20"/>
          <w:szCs w:val="20"/>
        </w:rPr>
        <w:t xml:space="preserve"> </w:t>
      </w:r>
      <w:r w:rsidR="00382A01">
        <w:rPr>
          <w:rFonts w:ascii="Arial" w:hAnsi="Arial" w:cs="Arial"/>
          <w:sz w:val="20"/>
          <w:szCs w:val="20"/>
        </w:rPr>
        <w:t xml:space="preserve">aprobada </w:t>
      </w:r>
      <w:r w:rsidRPr="003651D4">
        <w:rPr>
          <w:rFonts w:ascii="Arial" w:hAnsi="Arial" w:cs="Arial"/>
          <w:sz w:val="20"/>
          <w:szCs w:val="20"/>
        </w:rPr>
        <w:t>para el tratamiento de CPRCm en pacientes sin tratamiento sistémico previo para el entorno metastásico resistente a la castraci</w:t>
      </w:r>
      <w:r w:rsidR="006D0156">
        <w:rPr>
          <w:rFonts w:ascii="Arial" w:hAnsi="Arial" w:cs="Arial"/>
          <w:sz w:val="20"/>
          <w:szCs w:val="20"/>
        </w:rPr>
        <w:t xml:space="preserve">ón: </w:t>
      </w:r>
    </w:p>
    <w:p w14:paraId="2A1A57E5" w14:textId="38E3F0E0" w:rsidR="00660284" w:rsidRPr="00660284" w:rsidRDefault="00272F35" w:rsidP="00660284">
      <w:pPr>
        <w:jc w:val="both"/>
        <w:rPr>
          <w:rFonts w:ascii="Arial" w:hAnsi="Arial" w:cs="Arial"/>
          <w:sz w:val="20"/>
          <w:szCs w:val="20"/>
        </w:rPr>
      </w:pPr>
      <w:r>
        <w:rPr>
          <w:rFonts w:ascii="Arial" w:hAnsi="Arial" w:cs="Arial"/>
          <w:sz w:val="20"/>
          <w:szCs w:val="20"/>
        </w:rPr>
        <w:t>o</w:t>
      </w:r>
      <w:r w:rsidRPr="003651D4">
        <w:rPr>
          <w:rFonts w:ascii="Arial" w:hAnsi="Arial" w:cs="Arial"/>
          <w:sz w:val="20"/>
          <w:szCs w:val="20"/>
        </w:rPr>
        <w:t>lapari</w:t>
      </w:r>
      <w:r>
        <w:rPr>
          <w:rFonts w:ascii="Arial" w:hAnsi="Arial" w:cs="Arial"/>
          <w:sz w:val="20"/>
          <w:szCs w:val="20"/>
        </w:rPr>
        <w:t>b</w:t>
      </w:r>
      <w:r w:rsidR="001664F7" w:rsidRPr="003651D4">
        <w:rPr>
          <w:rFonts w:ascii="Arial" w:hAnsi="Arial" w:cs="Arial"/>
          <w:sz w:val="20"/>
          <w:szCs w:val="20"/>
        </w:rPr>
        <w:t>/abiraterona</w:t>
      </w:r>
      <w:r w:rsidR="006D0156">
        <w:rPr>
          <w:rFonts w:ascii="Arial" w:hAnsi="Arial" w:cs="Arial"/>
          <w:sz w:val="20"/>
          <w:szCs w:val="20"/>
        </w:rPr>
        <w:t>,</w:t>
      </w:r>
      <w:r w:rsidR="007D6407">
        <w:rPr>
          <w:rFonts w:ascii="Arial" w:hAnsi="Arial" w:cs="Arial"/>
          <w:sz w:val="20"/>
          <w:szCs w:val="20"/>
        </w:rPr>
        <w:t xml:space="preserve"> </w:t>
      </w:r>
      <w:r w:rsidR="003D45D3">
        <w:rPr>
          <w:rFonts w:ascii="Arial" w:hAnsi="Arial" w:cs="Arial"/>
          <w:sz w:val="20"/>
          <w:szCs w:val="20"/>
        </w:rPr>
        <w:t xml:space="preserve">con indicación europea aprobada para el tratamiento de </w:t>
      </w:r>
      <w:r w:rsidR="001664F7" w:rsidRPr="003651D4">
        <w:rPr>
          <w:rFonts w:ascii="Arial" w:hAnsi="Arial" w:cs="Arial"/>
          <w:sz w:val="20"/>
          <w:szCs w:val="20"/>
        </w:rPr>
        <w:t>pacientes con CPRCm en los que la quimioterapia no está indicada</w:t>
      </w:r>
      <w:r w:rsidR="006D0156">
        <w:rPr>
          <w:rFonts w:ascii="Arial" w:hAnsi="Arial" w:cs="Arial"/>
          <w:sz w:val="20"/>
          <w:szCs w:val="20"/>
        </w:rPr>
        <w:t xml:space="preserve"> </w:t>
      </w:r>
      <w:r w:rsidR="00382A01">
        <w:rPr>
          <w:rFonts w:ascii="Arial" w:hAnsi="Arial" w:cs="Arial"/>
          <w:sz w:val="20"/>
          <w:szCs w:val="20"/>
        </w:rPr>
        <w:t>(</w:t>
      </w:r>
      <w:r w:rsidR="006D0156">
        <w:rPr>
          <w:rFonts w:ascii="Arial" w:hAnsi="Arial" w:cs="Arial"/>
          <w:sz w:val="20"/>
          <w:szCs w:val="20"/>
        </w:rPr>
        <w:t>independientemente del estado de mutación de HRR o BRCA</w:t>
      </w:r>
      <w:r w:rsidR="00382A01">
        <w:rPr>
          <w:rFonts w:ascii="Arial" w:hAnsi="Arial" w:cs="Arial"/>
          <w:sz w:val="20"/>
          <w:szCs w:val="20"/>
        </w:rPr>
        <w:t>)</w:t>
      </w:r>
      <w:r w:rsidR="00660284">
        <w:rPr>
          <w:rFonts w:ascii="Arial" w:hAnsi="Arial" w:cs="Arial"/>
          <w:sz w:val="20"/>
          <w:szCs w:val="20"/>
        </w:rPr>
        <w:t xml:space="preserve"> (estudio PROpel)</w:t>
      </w:r>
      <w:r w:rsidR="006D0156">
        <w:rPr>
          <w:rFonts w:ascii="Arial" w:hAnsi="Arial" w:cs="Arial"/>
          <w:sz w:val="20"/>
          <w:szCs w:val="20"/>
        </w:rPr>
        <w:t>.</w:t>
      </w:r>
      <w:r w:rsidR="00660284">
        <w:rPr>
          <w:rFonts w:ascii="Arial" w:hAnsi="Arial" w:cs="Arial"/>
          <w:sz w:val="20"/>
          <w:szCs w:val="20"/>
        </w:rPr>
        <w:t xml:space="preserve"> La población incluida fue similar </w:t>
      </w:r>
      <w:r w:rsidR="00536484">
        <w:rPr>
          <w:rFonts w:ascii="Arial" w:hAnsi="Arial" w:cs="Arial"/>
          <w:sz w:val="20"/>
          <w:szCs w:val="20"/>
        </w:rPr>
        <w:t>al estudio MAGNITUDE siendo la</w:t>
      </w:r>
      <w:r w:rsidR="00660284" w:rsidRPr="00536484">
        <w:rPr>
          <w:rFonts w:ascii="Arial" w:hAnsi="Arial" w:cs="Arial"/>
          <w:sz w:val="20"/>
          <w:szCs w:val="20"/>
        </w:rPr>
        <w:t xml:space="preserve"> principal diferencia </w:t>
      </w:r>
      <w:r w:rsidR="00536484">
        <w:rPr>
          <w:rFonts w:ascii="Arial" w:hAnsi="Arial" w:cs="Arial"/>
          <w:sz w:val="20"/>
          <w:szCs w:val="20"/>
        </w:rPr>
        <w:t>en el diseño de</w:t>
      </w:r>
      <w:r w:rsidR="00660284" w:rsidRPr="00536484">
        <w:rPr>
          <w:rFonts w:ascii="Arial" w:hAnsi="Arial" w:cs="Arial"/>
          <w:sz w:val="20"/>
          <w:szCs w:val="20"/>
        </w:rPr>
        <w:t xml:space="preserve"> ambos estudios la población incluida en relación al estado de mutación HRR. </w:t>
      </w:r>
      <w:r w:rsidR="00536484">
        <w:rPr>
          <w:rFonts w:ascii="Arial" w:hAnsi="Arial" w:cs="Arial"/>
          <w:sz w:val="20"/>
          <w:szCs w:val="20"/>
        </w:rPr>
        <w:t>N</w:t>
      </w:r>
      <w:r w:rsidR="00660284" w:rsidRPr="00536484">
        <w:rPr>
          <w:rFonts w:ascii="Arial" w:hAnsi="Arial" w:cs="Arial"/>
          <w:sz w:val="20"/>
          <w:szCs w:val="20"/>
        </w:rPr>
        <w:t xml:space="preserve">iraparib/abiraterona se estudió finalmente solo en la cohorte HRR+ por falta de eficacia demostrada en población HRR-, </w:t>
      </w:r>
      <w:r w:rsidR="00536484">
        <w:rPr>
          <w:rFonts w:ascii="Arial" w:hAnsi="Arial" w:cs="Arial"/>
          <w:sz w:val="20"/>
          <w:szCs w:val="20"/>
        </w:rPr>
        <w:t>mientras que olaparib/abiraterona i</w:t>
      </w:r>
      <w:r w:rsidR="00660284" w:rsidRPr="00536484">
        <w:rPr>
          <w:rFonts w:ascii="Arial" w:hAnsi="Arial" w:cs="Arial"/>
          <w:sz w:val="20"/>
          <w:szCs w:val="20"/>
        </w:rPr>
        <w:t>ncluyó a pacientes independientemente del estado de mutación HRR</w:t>
      </w:r>
      <w:r w:rsidR="00536484">
        <w:rPr>
          <w:rFonts w:ascii="Arial" w:hAnsi="Arial" w:cs="Arial"/>
          <w:sz w:val="20"/>
          <w:szCs w:val="20"/>
        </w:rPr>
        <w:t>. Se realizó u</w:t>
      </w:r>
      <w:r w:rsidR="00660284" w:rsidRPr="00536484">
        <w:rPr>
          <w:rFonts w:ascii="Arial" w:hAnsi="Arial" w:cs="Arial"/>
          <w:sz w:val="20"/>
          <w:szCs w:val="20"/>
        </w:rPr>
        <w:t xml:space="preserve">n análisis </w:t>
      </w:r>
      <w:r w:rsidR="00536484">
        <w:rPr>
          <w:rFonts w:ascii="Arial" w:hAnsi="Arial" w:cs="Arial"/>
          <w:sz w:val="20"/>
          <w:szCs w:val="20"/>
        </w:rPr>
        <w:t>posterior</w:t>
      </w:r>
      <w:r w:rsidR="00660284" w:rsidRPr="00536484">
        <w:rPr>
          <w:rFonts w:ascii="Arial" w:hAnsi="Arial" w:cs="Arial"/>
          <w:sz w:val="20"/>
          <w:szCs w:val="20"/>
        </w:rPr>
        <w:t xml:space="preserve"> no preespecificado en población con mutación con HRR+ así como en población BRCA 1/2. El 72% de los pacientes incluidos en el estudio PROpel no presentaba mutación HRR, siendo la población BRCAm el 11% de la población del estudio. Olaparib/abiraterona no encuentra ganancia en SG en la población general, si bien, si </w:t>
      </w:r>
      <w:r w:rsidR="007D6407">
        <w:rPr>
          <w:rFonts w:ascii="Arial" w:hAnsi="Arial" w:cs="Arial"/>
          <w:sz w:val="20"/>
          <w:szCs w:val="20"/>
        </w:rPr>
        <w:t>se muestra beneficio</w:t>
      </w:r>
      <w:r w:rsidR="00660284" w:rsidRPr="00536484">
        <w:rPr>
          <w:rFonts w:ascii="Arial" w:hAnsi="Arial" w:cs="Arial"/>
          <w:sz w:val="20"/>
          <w:szCs w:val="20"/>
        </w:rPr>
        <w:t xml:space="preserve"> en población HRR+ siendo la mayor ganancia para BRCAm, HR: 0,29 (IC95% 0,14-0,56). </w:t>
      </w:r>
    </w:p>
    <w:p w14:paraId="4FAAB83E" w14:textId="582406BF" w:rsidR="00660284" w:rsidRPr="00536484" w:rsidRDefault="00660284" w:rsidP="00660284">
      <w:pPr>
        <w:autoSpaceDE w:val="0"/>
        <w:autoSpaceDN w:val="0"/>
        <w:adjustRightInd w:val="0"/>
        <w:jc w:val="both"/>
        <w:rPr>
          <w:rFonts w:ascii="Arial" w:hAnsi="Arial" w:cs="Arial"/>
          <w:sz w:val="20"/>
          <w:szCs w:val="20"/>
        </w:rPr>
      </w:pPr>
      <w:r w:rsidRPr="00536484">
        <w:rPr>
          <w:rFonts w:ascii="Arial" w:hAnsi="Arial" w:cs="Arial"/>
          <w:sz w:val="20"/>
          <w:szCs w:val="20"/>
        </w:rPr>
        <w:t>Una importante limitación del estudio es</w:t>
      </w:r>
      <w:r w:rsidR="007D6407">
        <w:rPr>
          <w:rFonts w:ascii="Arial" w:hAnsi="Arial" w:cs="Arial"/>
          <w:sz w:val="20"/>
          <w:szCs w:val="20"/>
        </w:rPr>
        <w:t xml:space="preserve"> la no preespecificación del</w:t>
      </w:r>
      <w:r w:rsidRPr="00536484">
        <w:rPr>
          <w:rFonts w:ascii="Arial" w:hAnsi="Arial" w:cs="Arial"/>
          <w:sz w:val="20"/>
          <w:szCs w:val="20"/>
        </w:rPr>
        <w:t xml:space="preserve"> análisis de este subgrupo</w:t>
      </w:r>
      <w:r w:rsidR="007D6407">
        <w:rPr>
          <w:rFonts w:ascii="Arial" w:hAnsi="Arial" w:cs="Arial"/>
          <w:sz w:val="20"/>
          <w:szCs w:val="20"/>
        </w:rPr>
        <w:t>.</w:t>
      </w:r>
      <w:r w:rsidRPr="00536484">
        <w:rPr>
          <w:rFonts w:ascii="Arial" w:hAnsi="Arial" w:cs="Arial"/>
          <w:sz w:val="20"/>
          <w:szCs w:val="20"/>
        </w:rPr>
        <w:t xml:space="preserve"> Limitación importante si se tiene en cuenta los resultados previos </w:t>
      </w:r>
      <w:r w:rsidR="00536484">
        <w:rPr>
          <w:rFonts w:ascii="Arial" w:hAnsi="Arial" w:cs="Arial"/>
          <w:sz w:val="20"/>
          <w:szCs w:val="20"/>
        </w:rPr>
        <w:t xml:space="preserve">de mayor ganancia </w:t>
      </w:r>
      <w:r w:rsidRPr="00536484">
        <w:rPr>
          <w:rFonts w:ascii="Arial" w:hAnsi="Arial" w:cs="Arial"/>
          <w:sz w:val="20"/>
          <w:szCs w:val="20"/>
        </w:rPr>
        <w:t xml:space="preserve">en esta población BRCAm en </w:t>
      </w:r>
      <w:r w:rsidR="007D6407">
        <w:rPr>
          <w:rFonts w:ascii="Arial" w:hAnsi="Arial" w:cs="Arial"/>
          <w:sz w:val="20"/>
          <w:szCs w:val="20"/>
        </w:rPr>
        <w:t xml:space="preserve">estudios previos, como </w:t>
      </w:r>
      <w:r w:rsidRPr="00536484">
        <w:rPr>
          <w:rFonts w:ascii="Arial" w:hAnsi="Arial" w:cs="Arial"/>
          <w:sz w:val="20"/>
          <w:szCs w:val="20"/>
        </w:rPr>
        <w:t xml:space="preserve">el estudio PROfound. Con ello, olaparib/abiraterona presenta </w:t>
      </w:r>
      <w:r w:rsidR="00536484">
        <w:rPr>
          <w:rFonts w:ascii="Arial" w:hAnsi="Arial" w:cs="Arial"/>
          <w:sz w:val="20"/>
          <w:szCs w:val="20"/>
        </w:rPr>
        <w:t xml:space="preserve">una importante </w:t>
      </w:r>
      <w:r w:rsidRPr="00536484">
        <w:rPr>
          <w:rFonts w:ascii="Arial" w:hAnsi="Arial" w:cs="Arial"/>
          <w:sz w:val="20"/>
          <w:szCs w:val="20"/>
        </w:rPr>
        <w:t xml:space="preserve">incertidumbre del beneficio en la población BRCA no mutado. </w:t>
      </w:r>
    </w:p>
    <w:p w14:paraId="6ECB93D2" w14:textId="77777777" w:rsidR="00536484" w:rsidRDefault="00536484" w:rsidP="00660284">
      <w:pPr>
        <w:jc w:val="both"/>
        <w:rPr>
          <w:rFonts w:ascii="Arial" w:hAnsi="Arial" w:cs="Arial"/>
          <w:sz w:val="20"/>
          <w:szCs w:val="20"/>
        </w:rPr>
      </w:pPr>
    </w:p>
    <w:p w14:paraId="636B0A5F" w14:textId="3C05A9FC" w:rsidR="00660284" w:rsidRDefault="007D6407" w:rsidP="00660284">
      <w:pPr>
        <w:jc w:val="both"/>
        <w:rPr>
          <w:rFonts w:ascii="Arial" w:hAnsi="Arial" w:cs="Arial"/>
          <w:sz w:val="20"/>
          <w:szCs w:val="20"/>
        </w:rPr>
      </w:pPr>
      <w:r>
        <w:rPr>
          <w:rFonts w:ascii="Arial" w:hAnsi="Arial" w:cs="Arial"/>
          <w:sz w:val="20"/>
          <w:szCs w:val="20"/>
        </w:rPr>
        <w:t>Por tanto, se encuentran</w:t>
      </w:r>
      <w:r w:rsidR="00536484">
        <w:rPr>
          <w:rFonts w:ascii="Arial" w:hAnsi="Arial" w:cs="Arial"/>
          <w:sz w:val="20"/>
          <w:szCs w:val="20"/>
        </w:rPr>
        <w:t xml:space="preserve"> </w:t>
      </w:r>
      <w:r w:rsidR="00660284">
        <w:rPr>
          <w:rFonts w:ascii="Arial" w:hAnsi="Arial" w:cs="Arial"/>
          <w:sz w:val="20"/>
          <w:szCs w:val="20"/>
        </w:rPr>
        <w:t xml:space="preserve">en estos momentos dos combinaciones con beneficio demostrado en SLPr frente a un comparador común, abiraterona, pero con diferentes diseños de estudio. En estos momentos, se carece de evidencia para poder determinar la superioridad de una combinación sobre </w:t>
      </w:r>
      <w:r w:rsidR="001B130F">
        <w:rPr>
          <w:rFonts w:ascii="Arial" w:hAnsi="Arial" w:cs="Arial"/>
          <w:sz w:val="20"/>
          <w:szCs w:val="20"/>
        </w:rPr>
        <w:t>otra,</w:t>
      </w:r>
      <w:r w:rsidR="00660284">
        <w:rPr>
          <w:rFonts w:ascii="Arial" w:hAnsi="Arial" w:cs="Arial"/>
          <w:sz w:val="20"/>
          <w:szCs w:val="20"/>
        </w:rPr>
        <w:t xml:space="preserve"> aunque en el subgrupo de pacientes BRCAm</w:t>
      </w:r>
      <w:r w:rsidR="00536484">
        <w:rPr>
          <w:rFonts w:ascii="Arial" w:hAnsi="Arial" w:cs="Arial"/>
          <w:sz w:val="20"/>
          <w:szCs w:val="20"/>
        </w:rPr>
        <w:t>,</w:t>
      </w:r>
      <w:r w:rsidR="00660284">
        <w:rPr>
          <w:rFonts w:ascii="Arial" w:hAnsi="Arial" w:cs="Arial"/>
          <w:sz w:val="20"/>
          <w:szCs w:val="20"/>
        </w:rPr>
        <w:t xml:space="preserve"> olaparib/abiraterona ha mostrado ganancia de SG con las limitaciones en el diseño del estudio antes mencionadas</w:t>
      </w:r>
      <w:r w:rsidR="00536484">
        <w:rPr>
          <w:rFonts w:ascii="Arial" w:hAnsi="Arial" w:cs="Arial"/>
          <w:sz w:val="20"/>
          <w:szCs w:val="20"/>
        </w:rPr>
        <w:t>,</w:t>
      </w:r>
      <w:r w:rsidR="00660284">
        <w:rPr>
          <w:rFonts w:ascii="Arial" w:hAnsi="Arial" w:cs="Arial"/>
          <w:sz w:val="20"/>
          <w:szCs w:val="20"/>
        </w:rPr>
        <w:t xml:space="preserve"> mientras que niraparib/abiraterona no ha logrado mostrar beneficio en SG</w:t>
      </w:r>
      <w:r>
        <w:rPr>
          <w:rFonts w:ascii="Arial" w:hAnsi="Arial" w:cs="Arial"/>
          <w:sz w:val="20"/>
          <w:szCs w:val="20"/>
        </w:rPr>
        <w:t xml:space="preserve"> en esta misma población de pacientes BRCAm en el momento actual</w:t>
      </w:r>
      <w:r w:rsidR="00660284">
        <w:rPr>
          <w:rFonts w:ascii="Arial" w:hAnsi="Arial" w:cs="Arial"/>
          <w:sz w:val="20"/>
          <w:szCs w:val="20"/>
        </w:rPr>
        <w:t xml:space="preserve">. </w:t>
      </w:r>
    </w:p>
    <w:p w14:paraId="15D49ED9" w14:textId="77777777" w:rsidR="00536484" w:rsidRDefault="00536484" w:rsidP="00797B82">
      <w:pPr>
        <w:jc w:val="both"/>
        <w:rPr>
          <w:rFonts w:ascii="Arial" w:hAnsi="Arial" w:cs="Arial"/>
          <w:sz w:val="20"/>
          <w:szCs w:val="20"/>
        </w:rPr>
      </w:pPr>
    </w:p>
    <w:p w14:paraId="7D473EFE" w14:textId="1B63E2DC" w:rsidR="003D45D3" w:rsidRDefault="007D6407" w:rsidP="00797B82">
      <w:pPr>
        <w:jc w:val="both"/>
        <w:rPr>
          <w:rFonts w:ascii="Arial" w:hAnsi="Arial" w:cs="Arial"/>
          <w:sz w:val="20"/>
          <w:szCs w:val="20"/>
        </w:rPr>
      </w:pPr>
      <w:r>
        <w:rPr>
          <w:rFonts w:ascii="Arial" w:hAnsi="Arial" w:cs="Arial"/>
          <w:sz w:val="20"/>
          <w:szCs w:val="20"/>
        </w:rPr>
        <w:t>C</w:t>
      </w:r>
      <w:r w:rsidR="00536484">
        <w:rPr>
          <w:rFonts w:ascii="Arial" w:hAnsi="Arial" w:cs="Arial"/>
          <w:sz w:val="20"/>
          <w:szCs w:val="20"/>
        </w:rPr>
        <w:t xml:space="preserve">on los datos de eficacia </w:t>
      </w:r>
      <w:r>
        <w:rPr>
          <w:rFonts w:ascii="Arial" w:hAnsi="Arial" w:cs="Arial"/>
          <w:sz w:val="20"/>
          <w:szCs w:val="20"/>
        </w:rPr>
        <w:t>actuales de</w:t>
      </w:r>
      <w:r w:rsidR="00536484">
        <w:rPr>
          <w:rFonts w:ascii="Arial" w:hAnsi="Arial" w:cs="Arial"/>
          <w:sz w:val="20"/>
          <w:szCs w:val="20"/>
        </w:rPr>
        <w:t xml:space="preserve"> SG de niraparib/abiraterona, no se puede afirmar que el fármaco aporte una relevancia clínica en el contexto de la enfermedad estudiada.</w:t>
      </w:r>
    </w:p>
    <w:p w14:paraId="47F3822C" w14:textId="77777777" w:rsidR="00536484" w:rsidRDefault="00536484" w:rsidP="00797B82">
      <w:pPr>
        <w:jc w:val="both"/>
        <w:rPr>
          <w:rFonts w:ascii="Arial" w:hAnsi="Arial" w:cs="Arial"/>
          <w:sz w:val="20"/>
          <w:szCs w:val="20"/>
        </w:rPr>
      </w:pPr>
    </w:p>
    <w:p w14:paraId="5849A846" w14:textId="15AE3953" w:rsidR="001664F7" w:rsidRPr="003651D4" w:rsidRDefault="006D0156" w:rsidP="00797B82">
      <w:pPr>
        <w:jc w:val="both"/>
        <w:rPr>
          <w:rFonts w:ascii="Arial" w:hAnsi="Arial" w:cs="Arial"/>
          <w:sz w:val="20"/>
          <w:szCs w:val="20"/>
        </w:rPr>
      </w:pPr>
      <w:r>
        <w:rPr>
          <w:rFonts w:ascii="Arial" w:hAnsi="Arial" w:cs="Arial"/>
          <w:sz w:val="20"/>
          <w:szCs w:val="20"/>
        </w:rPr>
        <w:t xml:space="preserve">Está pendiente la aprobación por la EMA </w:t>
      </w:r>
      <w:r w:rsidR="00382A01">
        <w:rPr>
          <w:rFonts w:ascii="Arial" w:hAnsi="Arial" w:cs="Arial"/>
          <w:sz w:val="20"/>
          <w:szCs w:val="20"/>
        </w:rPr>
        <w:t xml:space="preserve">de </w:t>
      </w:r>
      <w:r>
        <w:rPr>
          <w:rFonts w:ascii="Arial" w:hAnsi="Arial" w:cs="Arial"/>
          <w:sz w:val="20"/>
          <w:szCs w:val="20"/>
        </w:rPr>
        <w:t>la combinación de t</w:t>
      </w:r>
      <w:r w:rsidR="001664F7" w:rsidRPr="003651D4">
        <w:rPr>
          <w:rFonts w:ascii="Arial" w:hAnsi="Arial" w:cs="Arial"/>
          <w:sz w:val="20"/>
          <w:szCs w:val="20"/>
        </w:rPr>
        <w:t>alazoparib/enzalutamida</w:t>
      </w:r>
      <w:r>
        <w:rPr>
          <w:rFonts w:ascii="Arial" w:hAnsi="Arial" w:cs="Arial"/>
          <w:sz w:val="20"/>
          <w:szCs w:val="20"/>
        </w:rPr>
        <w:t xml:space="preserve"> evaluado en </w:t>
      </w:r>
      <w:r w:rsidR="003D45D3">
        <w:rPr>
          <w:rFonts w:ascii="Arial" w:hAnsi="Arial" w:cs="Arial"/>
          <w:sz w:val="20"/>
          <w:szCs w:val="20"/>
        </w:rPr>
        <w:t xml:space="preserve">este mismo contexto </w:t>
      </w:r>
      <w:r w:rsidR="001664F7" w:rsidRPr="003651D4">
        <w:rPr>
          <w:rFonts w:ascii="Arial" w:hAnsi="Arial" w:cs="Arial"/>
          <w:sz w:val="20"/>
          <w:szCs w:val="20"/>
        </w:rPr>
        <w:t xml:space="preserve">CPRCm </w:t>
      </w:r>
      <w:r w:rsidR="003D45D3">
        <w:rPr>
          <w:rFonts w:ascii="Arial" w:hAnsi="Arial" w:cs="Arial"/>
          <w:sz w:val="20"/>
          <w:szCs w:val="20"/>
        </w:rPr>
        <w:t xml:space="preserve">en población </w:t>
      </w:r>
      <w:r w:rsidR="001664F7" w:rsidRPr="003651D4">
        <w:rPr>
          <w:rFonts w:ascii="Arial" w:hAnsi="Arial" w:cs="Arial"/>
          <w:sz w:val="20"/>
          <w:szCs w:val="20"/>
        </w:rPr>
        <w:t>HRR+</w:t>
      </w:r>
      <w:r>
        <w:rPr>
          <w:rFonts w:ascii="Arial" w:hAnsi="Arial" w:cs="Arial"/>
          <w:sz w:val="20"/>
          <w:szCs w:val="20"/>
        </w:rPr>
        <w:t>.</w:t>
      </w:r>
    </w:p>
    <w:p w14:paraId="1CC95EBF" w14:textId="77777777" w:rsidR="006D0156" w:rsidRDefault="006D0156" w:rsidP="00797B82">
      <w:pPr>
        <w:jc w:val="both"/>
        <w:rPr>
          <w:rFonts w:ascii="Arial" w:hAnsi="Arial" w:cs="Arial"/>
          <w:b/>
          <w:sz w:val="20"/>
          <w:szCs w:val="20"/>
        </w:rPr>
      </w:pPr>
    </w:p>
    <w:p w14:paraId="74448CA4" w14:textId="77777777" w:rsidR="006D0156" w:rsidRPr="006D0156" w:rsidRDefault="006D0156" w:rsidP="00797B82">
      <w:pPr>
        <w:jc w:val="both"/>
        <w:rPr>
          <w:rFonts w:ascii="Arial" w:hAnsi="Arial" w:cs="Arial"/>
          <w:sz w:val="20"/>
          <w:szCs w:val="20"/>
        </w:rPr>
      </w:pPr>
      <w:r w:rsidRPr="006D0156">
        <w:rPr>
          <w:rFonts w:ascii="Arial" w:hAnsi="Arial" w:cs="Arial"/>
          <w:sz w:val="20"/>
          <w:szCs w:val="20"/>
        </w:rPr>
        <w:t xml:space="preserve">No hay evidencia de la utilización de fármacos iPARP a la progresión del tratamiento combinado </w:t>
      </w:r>
      <w:r w:rsidR="00382A01">
        <w:rPr>
          <w:rFonts w:ascii="Arial" w:hAnsi="Arial" w:cs="Arial"/>
          <w:sz w:val="20"/>
          <w:szCs w:val="20"/>
        </w:rPr>
        <w:t>iPARP/</w:t>
      </w:r>
      <w:r w:rsidRPr="006D0156">
        <w:rPr>
          <w:rFonts w:ascii="Arial" w:hAnsi="Arial" w:cs="Arial"/>
          <w:sz w:val="20"/>
          <w:szCs w:val="20"/>
        </w:rPr>
        <w:t>agente hormonal</w:t>
      </w:r>
      <w:r w:rsidR="00382A01">
        <w:rPr>
          <w:rFonts w:ascii="Arial" w:hAnsi="Arial" w:cs="Arial"/>
          <w:sz w:val="20"/>
          <w:szCs w:val="20"/>
        </w:rPr>
        <w:t xml:space="preserve"> de nueva generación y se desconoce la secuenciación óptima de estos tratamientos en el contexto metastásico resistente a la castración</w:t>
      </w:r>
      <w:r w:rsidRPr="006D0156">
        <w:rPr>
          <w:rFonts w:ascii="Arial" w:hAnsi="Arial" w:cs="Arial"/>
          <w:sz w:val="20"/>
          <w:szCs w:val="20"/>
        </w:rPr>
        <w:t>.</w:t>
      </w:r>
    </w:p>
    <w:p w14:paraId="04D465D2" w14:textId="77777777" w:rsidR="006D0156" w:rsidRDefault="006D0156" w:rsidP="00797B82">
      <w:pPr>
        <w:jc w:val="both"/>
        <w:rPr>
          <w:rFonts w:ascii="Arial" w:hAnsi="Arial" w:cs="Arial"/>
          <w:b/>
          <w:sz w:val="20"/>
          <w:szCs w:val="20"/>
        </w:rPr>
      </w:pPr>
    </w:p>
    <w:p w14:paraId="6352CEAD" w14:textId="77777777" w:rsidR="00FA140C" w:rsidRDefault="00FA140C" w:rsidP="00797B82">
      <w:pPr>
        <w:jc w:val="both"/>
        <w:rPr>
          <w:rFonts w:ascii="Arial" w:hAnsi="Arial" w:cs="Arial"/>
          <w:b/>
          <w:sz w:val="20"/>
          <w:szCs w:val="20"/>
        </w:rPr>
      </w:pPr>
      <w:r w:rsidRPr="00024B8F">
        <w:rPr>
          <w:rFonts w:ascii="Arial" w:hAnsi="Arial" w:cs="Arial"/>
          <w:b/>
          <w:sz w:val="20"/>
          <w:szCs w:val="20"/>
        </w:rPr>
        <w:t>S</w:t>
      </w:r>
      <w:r w:rsidR="00881D6E" w:rsidRPr="00024B8F">
        <w:rPr>
          <w:rFonts w:ascii="Arial" w:hAnsi="Arial" w:cs="Arial"/>
          <w:b/>
          <w:sz w:val="20"/>
          <w:szCs w:val="20"/>
        </w:rPr>
        <w:t>eguridad</w:t>
      </w:r>
    </w:p>
    <w:p w14:paraId="5E352462" w14:textId="17DE612B" w:rsidR="00536484" w:rsidRPr="00536484" w:rsidRDefault="00536484" w:rsidP="00797B82">
      <w:pPr>
        <w:jc w:val="both"/>
        <w:rPr>
          <w:rFonts w:ascii="Arial" w:hAnsi="Arial" w:cs="Arial"/>
          <w:bCs/>
          <w:sz w:val="20"/>
          <w:szCs w:val="20"/>
        </w:rPr>
      </w:pPr>
      <w:r w:rsidRPr="00536484">
        <w:rPr>
          <w:rFonts w:ascii="Arial" w:hAnsi="Arial" w:cs="Arial"/>
          <w:bCs/>
          <w:sz w:val="20"/>
          <w:szCs w:val="20"/>
        </w:rPr>
        <w:t>La adición de niraparib a la terapia abiraterona supone un aumento de efectos secundarios</w:t>
      </w:r>
      <w:r>
        <w:rPr>
          <w:rFonts w:ascii="Arial" w:hAnsi="Arial" w:cs="Arial"/>
          <w:bCs/>
          <w:sz w:val="20"/>
          <w:szCs w:val="20"/>
        </w:rPr>
        <w:t xml:space="preserve"> de cualquier </w:t>
      </w:r>
      <w:r w:rsidR="001B130F">
        <w:rPr>
          <w:rFonts w:ascii="Arial" w:hAnsi="Arial" w:cs="Arial"/>
          <w:bCs/>
          <w:sz w:val="20"/>
          <w:szCs w:val="20"/>
        </w:rPr>
        <w:t>grado,</w:t>
      </w:r>
      <w:r>
        <w:rPr>
          <w:rFonts w:ascii="Arial" w:hAnsi="Arial" w:cs="Arial"/>
          <w:bCs/>
          <w:sz w:val="20"/>
          <w:szCs w:val="20"/>
        </w:rPr>
        <w:t xml:space="preserve"> así como efectos adversos graves.</w:t>
      </w:r>
    </w:p>
    <w:p w14:paraId="7ACFB52F" w14:textId="77777777" w:rsidR="00024B8F" w:rsidRPr="00AD0B07" w:rsidRDefault="00024B8F" w:rsidP="00797B82">
      <w:pPr>
        <w:jc w:val="both"/>
        <w:rPr>
          <w:rFonts w:ascii="Arial" w:hAnsi="Arial" w:cs="Arial"/>
          <w:sz w:val="20"/>
          <w:szCs w:val="20"/>
        </w:rPr>
      </w:pPr>
      <w:r w:rsidRPr="00AD0B07">
        <w:rPr>
          <w:rFonts w:ascii="Arial" w:hAnsi="Arial" w:cs="Arial"/>
          <w:sz w:val="20"/>
          <w:szCs w:val="20"/>
        </w:rPr>
        <w:t>Se produjo reacciones adversas de cualquier grado en un 99,1% de los pacientes tratados con la combinación vs el 94,3% del brazo de abiraterona, siendo los más frecuentes la anemia (46% vs 20,4%), hipertensión (31% vs 21%), estreñimiento (31% vs 21%), fatiga (26,4% vs 13,7%), y náuseas (24% vs 14%).</w:t>
      </w:r>
    </w:p>
    <w:p w14:paraId="0D66D353" w14:textId="77777777" w:rsidR="00024B8F" w:rsidRPr="00AD0B07" w:rsidRDefault="00024B8F" w:rsidP="00797B82">
      <w:pPr>
        <w:jc w:val="both"/>
        <w:rPr>
          <w:rFonts w:ascii="Arial" w:hAnsi="Arial" w:cs="Arial"/>
          <w:sz w:val="20"/>
          <w:szCs w:val="20"/>
        </w:rPr>
      </w:pPr>
      <w:r w:rsidRPr="00AD0B07">
        <w:rPr>
          <w:rFonts w:ascii="Arial" w:hAnsi="Arial" w:cs="Arial"/>
          <w:sz w:val="20"/>
          <w:szCs w:val="20"/>
        </w:rPr>
        <w:t>En cuanto a reacciones adversas grado 3-4 se produjeron en un 67% del brazo de la combinación frente al 46%</w:t>
      </w:r>
      <w:r w:rsidR="00AD0B07" w:rsidRPr="00AD0B07">
        <w:rPr>
          <w:rFonts w:ascii="Arial" w:hAnsi="Arial" w:cs="Arial"/>
          <w:sz w:val="20"/>
          <w:szCs w:val="20"/>
        </w:rPr>
        <w:t xml:space="preserve"> de abiraterona destacando la anemia (30% vs 11,4%), hipertensión (14,6% vs 12,3%) y trombocitopenia (6,6% vs 2,4%).</w:t>
      </w:r>
    </w:p>
    <w:p w14:paraId="3CC5C562" w14:textId="77777777" w:rsidR="00881D6E" w:rsidRPr="00AD0B07" w:rsidRDefault="00881D6E" w:rsidP="00797B82">
      <w:pPr>
        <w:ind w:left="360"/>
        <w:jc w:val="both"/>
        <w:rPr>
          <w:rFonts w:ascii="Arial" w:hAnsi="Arial" w:cs="Arial"/>
          <w:b/>
          <w:sz w:val="20"/>
          <w:szCs w:val="20"/>
        </w:rPr>
      </w:pPr>
    </w:p>
    <w:p w14:paraId="0A321D37" w14:textId="77777777" w:rsidR="00FA140C" w:rsidRPr="00AD0B07" w:rsidRDefault="00FA140C" w:rsidP="00797B82">
      <w:pPr>
        <w:jc w:val="both"/>
        <w:rPr>
          <w:rFonts w:ascii="Arial" w:hAnsi="Arial" w:cs="Arial"/>
          <w:b/>
          <w:sz w:val="20"/>
          <w:szCs w:val="20"/>
        </w:rPr>
      </w:pPr>
      <w:r w:rsidRPr="00AD0B07">
        <w:rPr>
          <w:rFonts w:ascii="Arial" w:hAnsi="Arial" w:cs="Arial"/>
          <w:b/>
          <w:sz w:val="20"/>
          <w:szCs w:val="20"/>
        </w:rPr>
        <w:t>E</w:t>
      </w:r>
      <w:r w:rsidR="00881D6E" w:rsidRPr="00AD0B07">
        <w:rPr>
          <w:rFonts w:ascii="Arial" w:hAnsi="Arial" w:cs="Arial"/>
          <w:b/>
          <w:sz w:val="20"/>
          <w:szCs w:val="20"/>
        </w:rPr>
        <w:t>valuación económica</w:t>
      </w:r>
    </w:p>
    <w:p w14:paraId="3F978DF0" w14:textId="6E7F76AC" w:rsidR="00AD0B07" w:rsidRPr="007532FC" w:rsidRDefault="00AD0B07" w:rsidP="00797B82">
      <w:pPr>
        <w:pStyle w:val="Textoindependiente32"/>
        <w:spacing w:line="276" w:lineRule="auto"/>
        <w:jc w:val="both"/>
        <w:rPr>
          <w:rFonts w:ascii="Arial" w:hAnsi="Arial" w:cs="Arial"/>
          <w:sz w:val="20"/>
          <w:szCs w:val="20"/>
          <w:lang w:eastAsia="es-ES"/>
        </w:rPr>
      </w:pPr>
      <w:r w:rsidRPr="007532FC">
        <w:rPr>
          <w:rFonts w:ascii="Arial" w:hAnsi="Arial" w:cs="Arial"/>
          <w:sz w:val="20"/>
          <w:szCs w:val="20"/>
          <w:lang w:eastAsia="es-ES"/>
        </w:rPr>
        <w:t xml:space="preserve">Actualmente </w:t>
      </w:r>
      <w:r>
        <w:rPr>
          <w:rFonts w:ascii="Arial" w:hAnsi="Arial" w:cs="Arial"/>
          <w:sz w:val="20"/>
          <w:szCs w:val="20"/>
          <w:lang w:eastAsia="es-ES"/>
        </w:rPr>
        <w:t xml:space="preserve">con el </w:t>
      </w:r>
      <w:r w:rsidRPr="007532FC">
        <w:rPr>
          <w:rFonts w:ascii="Arial" w:hAnsi="Arial" w:cs="Arial"/>
          <w:sz w:val="20"/>
          <w:szCs w:val="20"/>
          <w:lang w:eastAsia="es-ES"/>
        </w:rPr>
        <w:t xml:space="preserve">precio </w:t>
      </w:r>
      <w:r>
        <w:rPr>
          <w:rFonts w:ascii="Arial" w:hAnsi="Arial" w:cs="Arial"/>
          <w:sz w:val="20"/>
          <w:szCs w:val="20"/>
          <w:lang w:eastAsia="es-ES"/>
        </w:rPr>
        <w:t>de ambos fármacos por separado, utilizando la media de tratamiento del estudio MAGNITUDE (13,9 meses), el coste para un paciente sería de 94.</w:t>
      </w:r>
      <w:r w:rsidR="00A46FCF">
        <w:rPr>
          <w:rFonts w:ascii="Arial" w:hAnsi="Arial" w:cs="Arial"/>
          <w:sz w:val="20"/>
          <w:szCs w:val="20"/>
          <w:lang w:eastAsia="es-ES"/>
        </w:rPr>
        <w:t>659</w:t>
      </w:r>
      <w:r>
        <w:rPr>
          <w:rFonts w:ascii="Arial" w:hAnsi="Arial" w:cs="Arial"/>
          <w:sz w:val="20"/>
          <w:szCs w:val="20"/>
          <w:lang w:eastAsia="es-ES"/>
        </w:rPr>
        <w:t xml:space="preserve"> € comparado con 15.2</w:t>
      </w:r>
      <w:r w:rsidR="00A46FCF">
        <w:rPr>
          <w:rFonts w:ascii="Arial" w:hAnsi="Arial" w:cs="Arial"/>
          <w:sz w:val="20"/>
          <w:szCs w:val="20"/>
          <w:lang w:eastAsia="es-ES"/>
        </w:rPr>
        <w:t>40</w:t>
      </w:r>
      <w:r>
        <w:rPr>
          <w:rFonts w:ascii="Arial" w:hAnsi="Arial" w:cs="Arial"/>
          <w:sz w:val="20"/>
          <w:szCs w:val="20"/>
          <w:lang w:eastAsia="es-ES"/>
        </w:rPr>
        <w:t xml:space="preserve"> € del brazo de abiraterona en monoterapia, con un coste incremental de 79.</w:t>
      </w:r>
      <w:r w:rsidR="00A46FCF">
        <w:rPr>
          <w:rFonts w:ascii="Arial" w:hAnsi="Arial" w:cs="Arial"/>
          <w:sz w:val="20"/>
          <w:szCs w:val="20"/>
          <w:lang w:eastAsia="es-ES"/>
        </w:rPr>
        <w:t>419</w:t>
      </w:r>
      <w:r>
        <w:rPr>
          <w:rFonts w:ascii="Arial" w:hAnsi="Arial" w:cs="Arial"/>
          <w:sz w:val="20"/>
          <w:szCs w:val="20"/>
          <w:lang w:eastAsia="es-ES"/>
        </w:rPr>
        <w:t xml:space="preserve">€. </w:t>
      </w:r>
    </w:p>
    <w:p w14:paraId="342D0A8D" w14:textId="77777777" w:rsidR="00AD0B07" w:rsidRDefault="00AD0B07" w:rsidP="00797B82">
      <w:pPr>
        <w:pStyle w:val="Textoindependiente32"/>
        <w:spacing w:line="276" w:lineRule="auto"/>
        <w:jc w:val="both"/>
        <w:rPr>
          <w:rFonts w:ascii="Arial" w:hAnsi="Arial" w:cs="Arial"/>
          <w:sz w:val="20"/>
          <w:szCs w:val="20"/>
          <w:lang w:eastAsia="es-ES"/>
        </w:rPr>
      </w:pPr>
    </w:p>
    <w:p w14:paraId="3EFA9F4F" w14:textId="37F963B9" w:rsidR="00AD0B07" w:rsidRDefault="00AD0B07" w:rsidP="00797B82">
      <w:pPr>
        <w:pStyle w:val="Encabezado"/>
        <w:tabs>
          <w:tab w:val="clear" w:pos="4252"/>
          <w:tab w:val="clear" w:pos="8504"/>
        </w:tabs>
        <w:jc w:val="both"/>
        <w:rPr>
          <w:rFonts w:ascii="Arial" w:hAnsi="Arial" w:cs="Arial"/>
          <w:sz w:val="20"/>
          <w:szCs w:val="20"/>
        </w:rPr>
      </w:pPr>
      <w:r w:rsidRPr="007532FC">
        <w:rPr>
          <w:rFonts w:ascii="Arial" w:hAnsi="Arial" w:cs="Arial"/>
          <w:sz w:val="20"/>
          <w:szCs w:val="20"/>
        </w:rPr>
        <w:t>S</w:t>
      </w:r>
      <w:r>
        <w:rPr>
          <w:rFonts w:ascii="Arial" w:hAnsi="Arial" w:cs="Arial"/>
          <w:sz w:val="20"/>
          <w:szCs w:val="20"/>
        </w:rPr>
        <w:t xml:space="preserve">i </w:t>
      </w:r>
      <w:r w:rsidRPr="007532FC">
        <w:rPr>
          <w:rFonts w:ascii="Arial" w:hAnsi="Arial" w:cs="Arial"/>
          <w:sz w:val="20"/>
          <w:szCs w:val="20"/>
        </w:rPr>
        <w:t xml:space="preserve">se trata a los pacientes con </w:t>
      </w:r>
      <w:r w:rsidR="009A5A5B">
        <w:rPr>
          <w:rFonts w:ascii="Arial" w:hAnsi="Arial" w:cs="Arial"/>
          <w:sz w:val="20"/>
          <w:szCs w:val="20"/>
        </w:rPr>
        <w:t>niraparib</w:t>
      </w:r>
      <w:r w:rsidR="00272F35">
        <w:rPr>
          <w:rFonts w:ascii="Arial" w:hAnsi="Arial" w:cs="Arial"/>
          <w:sz w:val="20"/>
          <w:szCs w:val="20"/>
        </w:rPr>
        <w:t>/</w:t>
      </w:r>
      <w:r w:rsidR="009A5A5B">
        <w:rPr>
          <w:rFonts w:ascii="Arial" w:hAnsi="Arial" w:cs="Arial"/>
          <w:sz w:val="20"/>
          <w:szCs w:val="20"/>
        </w:rPr>
        <w:t>abiraterona frente a abiraterona en monoterapia,</w:t>
      </w:r>
      <w:r w:rsidRPr="007532FC">
        <w:rPr>
          <w:rFonts w:ascii="Arial" w:hAnsi="Arial" w:cs="Arial"/>
          <w:sz w:val="20"/>
          <w:szCs w:val="20"/>
        </w:rPr>
        <w:t xml:space="preserve"> se tendrá un RCEI </w:t>
      </w:r>
      <w:r w:rsidR="009A5A5B">
        <w:rPr>
          <w:rFonts w:ascii="Arial" w:hAnsi="Arial" w:cs="Arial"/>
          <w:sz w:val="20"/>
          <w:szCs w:val="20"/>
        </w:rPr>
        <w:t xml:space="preserve">de 110.521€ por año libre de progresión radiológica. </w:t>
      </w:r>
    </w:p>
    <w:p w14:paraId="1C0F7F81" w14:textId="77777777" w:rsidR="00877C49" w:rsidRDefault="00877C49" w:rsidP="00797B82">
      <w:pPr>
        <w:pStyle w:val="Encabezado"/>
        <w:tabs>
          <w:tab w:val="clear" w:pos="4252"/>
          <w:tab w:val="clear" w:pos="8504"/>
        </w:tabs>
        <w:jc w:val="both"/>
        <w:rPr>
          <w:rFonts w:ascii="Arial" w:hAnsi="Arial" w:cs="Arial"/>
          <w:sz w:val="20"/>
          <w:szCs w:val="20"/>
        </w:rPr>
      </w:pPr>
    </w:p>
    <w:p w14:paraId="39BF1728" w14:textId="0F8FE70B" w:rsidR="009A5A5B" w:rsidRDefault="00AD0B07" w:rsidP="00797B82">
      <w:pPr>
        <w:pStyle w:val="Textoindependiente32"/>
        <w:spacing w:line="276" w:lineRule="auto"/>
        <w:jc w:val="both"/>
        <w:rPr>
          <w:rFonts w:ascii="Arial" w:hAnsi="Arial" w:cs="Arial"/>
          <w:sz w:val="20"/>
          <w:szCs w:val="20"/>
        </w:rPr>
      </w:pPr>
      <w:r w:rsidRPr="007532FC">
        <w:rPr>
          <w:rFonts w:ascii="Arial" w:hAnsi="Arial" w:cs="Arial"/>
          <w:sz w:val="20"/>
          <w:szCs w:val="20"/>
          <w:lang w:eastAsia="es-ES"/>
        </w:rPr>
        <w:t xml:space="preserve">Considerando un escenario </w:t>
      </w:r>
      <w:r w:rsidR="009A5A5B">
        <w:rPr>
          <w:rFonts w:ascii="Arial" w:hAnsi="Arial" w:cs="Arial"/>
          <w:sz w:val="20"/>
          <w:szCs w:val="20"/>
          <w:lang w:eastAsia="es-ES"/>
        </w:rPr>
        <w:t xml:space="preserve">de 1.601 pacientes CPRCm BRCA 1-2 mutados candidatos en España, </w:t>
      </w:r>
      <w:r w:rsidRPr="007532FC">
        <w:rPr>
          <w:rFonts w:ascii="Arial" w:hAnsi="Arial" w:cs="Arial"/>
          <w:sz w:val="20"/>
          <w:szCs w:val="20"/>
          <w:lang w:eastAsia="es-ES"/>
        </w:rPr>
        <w:t xml:space="preserve">el coste anual </w:t>
      </w:r>
      <w:r w:rsidR="009A5A5B">
        <w:rPr>
          <w:rFonts w:ascii="Arial" w:hAnsi="Arial" w:cs="Arial"/>
          <w:sz w:val="20"/>
          <w:szCs w:val="20"/>
          <w:lang w:eastAsia="es-ES"/>
        </w:rPr>
        <w:t xml:space="preserve">se situaría en </w:t>
      </w:r>
      <w:r w:rsidR="009A5A5B" w:rsidRPr="00A720BF">
        <w:rPr>
          <w:rFonts w:ascii="Arial" w:hAnsi="Arial" w:cs="Arial"/>
          <w:sz w:val="20"/>
          <w:szCs w:val="20"/>
        </w:rPr>
        <w:t>127.</w:t>
      </w:r>
      <w:r w:rsidR="00877C49">
        <w:rPr>
          <w:rFonts w:ascii="Arial" w:hAnsi="Arial" w:cs="Arial"/>
          <w:sz w:val="20"/>
          <w:szCs w:val="20"/>
        </w:rPr>
        <w:t>149.819</w:t>
      </w:r>
      <w:r w:rsidR="009A5A5B" w:rsidRPr="00A720BF">
        <w:rPr>
          <w:rFonts w:ascii="Arial" w:hAnsi="Arial" w:cs="Arial"/>
          <w:sz w:val="20"/>
          <w:szCs w:val="20"/>
        </w:rPr>
        <w:t xml:space="preserve"> €</w:t>
      </w:r>
      <w:r w:rsidR="009A5A5B">
        <w:rPr>
          <w:rFonts w:ascii="Arial" w:hAnsi="Arial" w:cs="Arial"/>
          <w:sz w:val="20"/>
          <w:szCs w:val="20"/>
        </w:rPr>
        <w:t>, para obtener un beneficio global de 1.153 años de vida ganados libre de progresión radiológica (0,72 años por cada paciente).</w:t>
      </w:r>
    </w:p>
    <w:p w14:paraId="0392F417" w14:textId="77777777" w:rsidR="00881D6E" w:rsidRDefault="00881D6E" w:rsidP="00797B82">
      <w:pPr>
        <w:jc w:val="both"/>
        <w:rPr>
          <w:rFonts w:ascii="Arial" w:hAnsi="Arial" w:cs="Arial"/>
          <w:sz w:val="20"/>
          <w:szCs w:val="20"/>
        </w:rPr>
      </w:pPr>
    </w:p>
    <w:p w14:paraId="37AAC350" w14:textId="77777777" w:rsidR="00BC3E8E" w:rsidRPr="006F6ABB" w:rsidRDefault="00BC3E8E" w:rsidP="00BC3E8E">
      <w:pPr>
        <w:pStyle w:val="Textoindependiente3"/>
        <w:ind w:left="708"/>
        <w:jc w:val="both"/>
        <w:rPr>
          <w:color w:val="000080"/>
        </w:rPr>
      </w:pPr>
    </w:p>
    <w:p w14:paraId="2D13AD4E" w14:textId="77777777" w:rsidR="00BC3E8E" w:rsidRPr="00616F7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52" w:name="_Toc344399668"/>
      <w:bookmarkStart w:id="153" w:name="_Toc348931399"/>
      <w:bookmarkStart w:id="154" w:name="_Toc153727230"/>
      <w:r w:rsidRPr="00616F7A">
        <w:rPr>
          <w:rFonts w:cs="Arial"/>
          <w:sz w:val="20"/>
        </w:rPr>
        <w:t>9.2 Decisión</w:t>
      </w:r>
      <w:bookmarkEnd w:id="152"/>
      <w:bookmarkEnd w:id="153"/>
      <w:bookmarkEnd w:id="154"/>
    </w:p>
    <w:p w14:paraId="66EC499F" w14:textId="77777777" w:rsidR="00881D6E" w:rsidRDefault="00881D6E" w:rsidP="00881D6E">
      <w:pPr>
        <w:jc w:val="both"/>
        <w:rPr>
          <w:rStyle w:val="Refdecomentario1"/>
          <w:rFonts w:ascii="Arial" w:hAnsi="Arial" w:cs="Arial"/>
          <w:b/>
          <w:sz w:val="20"/>
          <w:szCs w:val="20"/>
        </w:rPr>
      </w:pPr>
    </w:p>
    <w:p w14:paraId="266E977E" w14:textId="77777777" w:rsidR="00881D6E" w:rsidRPr="00115E9A" w:rsidRDefault="00881D6E" w:rsidP="00881D6E">
      <w:pPr>
        <w:jc w:val="both"/>
        <w:rPr>
          <w:rFonts w:ascii="Arial" w:hAnsi="Arial" w:cs="Arial"/>
          <w:b/>
          <w:sz w:val="20"/>
          <w:szCs w:val="20"/>
        </w:rPr>
      </w:pPr>
    </w:p>
    <w:p w14:paraId="7BB67E55" w14:textId="77777777" w:rsidR="00BC3E8E" w:rsidRPr="00881D6E" w:rsidRDefault="00BC3E8E" w:rsidP="00BC3E8E">
      <w:pPr>
        <w:pStyle w:val="Textoindependiente2"/>
        <w:jc w:val="left"/>
        <w:rPr>
          <w:rFonts w:cs="Arial"/>
          <w:b/>
          <w:bCs/>
          <w:sz w:val="20"/>
        </w:rPr>
      </w:pPr>
    </w:p>
    <w:p w14:paraId="2319809C" w14:textId="77777777" w:rsidR="00BC3E8E" w:rsidRDefault="00BC3E8E" w:rsidP="00E806AA">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b w:val="0"/>
          <w:bCs w:val="0"/>
          <w:color w:val="FF0000"/>
        </w:rPr>
      </w:pPr>
      <w:bookmarkStart w:id="155" w:name="_Toc344399669"/>
      <w:bookmarkStart w:id="156" w:name="_Toc348931400"/>
      <w:bookmarkStart w:id="157" w:name="_Toc153727231"/>
      <w:r w:rsidRPr="00E3472F">
        <w:rPr>
          <w:rFonts w:cs="Arial"/>
          <w:sz w:val="20"/>
        </w:rPr>
        <w:t xml:space="preserve">9.3 </w:t>
      </w:r>
      <w:bookmarkEnd w:id="155"/>
      <w:bookmarkEnd w:id="156"/>
      <w:r w:rsidR="00E806AA" w:rsidRPr="00E3472F">
        <w:rPr>
          <w:rFonts w:cs="Arial"/>
          <w:sz w:val="20"/>
        </w:rPr>
        <w:t>Plan de seguimiento</w:t>
      </w:r>
      <w:bookmarkEnd w:id="157"/>
    </w:p>
    <w:p w14:paraId="2467B2B8" w14:textId="77777777" w:rsidR="00E806AA" w:rsidRDefault="00E806AA" w:rsidP="00881D6E">
      <w:pPr>
        <w:jc w:val="both"/>
        <w:rPr>
          <w:rFonts w:ascii="Arial" w:hAnsi="Arial" w:cs="Arial"/>
          <w:bCs/>
          <w:sz w:val="20"/>
          <w:szCs w:val="20"/>
          <w:lang w:eastAsia="en-US"/>
        </w:rPr>
      </w:pPr>
    </w:p>
    <w:p w14:paraId="394012B6" w14:textId="77777777" w:rsidR="00881D6E" w:rsidRPr="00881D6E" w:rsidRDefault="00881D6E" w:rsidP="00BC3E8E">
      <w:pPr>
        <w:pStyle w:val="Encabezado"/>
        <w:tabs>
          <w:tab w:val="clear" w:pos="4252"/>
          <w:tab w:val="clear" w:pos="8504"/>
        </w:tabs>
        <w:rPr>
          <w:rFonts w:ascii="Arial" w:hAnsi="Arial" w:cs="Arial"/>
          <w:b/>
          <w:bCs/>
          <w:color w:val="FF0000"/>
        </w:rPr>
      </w:pPr>
    </w:p>
    <w:p w14:paraId="6A1AB019" w14:textId="77777777" w:rsidR="003C2CDB" w:rsidRPr="006F6ABB" w:rsidRDefault="003C2CDB" w:rsidP="00BC3E8E">
      <w:pPr>
        <w:pStyle w:val="Encabezado"/>
        <w:tabs>
          <w:tab w:val="clear" w:pos="4252"/>
          <w:tab w:val="clear" w:pos="8504"/>
        </w:tabs>
        <w:rPr>
          <w:rFonts w:ascii="Arial" w:hAnsi="Arial" w:cs="Arial"/>
          <w:b/>
          <w:bCs/>
          <w:color w:val="FF0000"/>
        </w:rPr>
      </w:pPr>
    </w:p>
    <w:p w14:paraId="1CE2A313"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58" w:name="_Toc344399670"/>
      <w:bookmarkStart w:id="159" w:name="_Toc348931401"/>
      <w:bookmarkStart w:id="160" w:name="_Toc153727232"/>
      <w:r w:rsidRPr="00E3472F">
        <w:rPr>
          <w:rFonts w:cs="Arial"/>
          <w:sz w:val="20"/>
        </w:rPr>
        <w:t xml:space="preserve">9.4 </w:t>
      </w:r>
      <w:bookmarkEnd w:id="158"/>
      <w:bookmarkEnd w:id="159"/>
      <w:r w:rsidR="00E806AA" w:rsidRPr="00E806AA">
        <w:rPr>
          <w:rFonts w:cs="Arial"/>
          <w:sz w:val="20"/>
          <w:szCs w:val="20"/>
          <w:lang w:eastAsia="en-US"/>
        </w:rPr>
        <w:t>Necesidades de investigación</w:t>
      </w:r>
      <w:bookmarkEnd w:id="160"/>
    </w:p>
    <w:p w14:paraId="3D96CA46" w14:textId="77777777" w:rsidR="00BC3E8E" w:rsidRPr="006F6ABB" w:rsidRDefault="00BC3E8E" w:rsidP="00BC3E8E">
      <w:pPr>
        <w:pStyle w:val="Encabezado"/>
        <w:tabs>
          <w:tab w:val="clear" w:pos="4252"/>
          <w:tab w:val="clear" w:pos="8504"/>
        </w:tabs>
        <w:rPr>
          <w:rFonts w:ascii="Arial" w:hAnsi="Arial" w:cs="Arial"/>
          <w:b/>
          <w:bCs/>
        </w:rPr>
      </w:pPr>
    </w:p>
    <w:p w14:paraId="5CDAA603" w14:textId="77777777" w:rsidR="00BC3E8E" w:rsidRDefault="00BC3E8E" w:rsidP="00BC3E8E">
      <w:pPr>
        <w:jc w:val="right"/>
        <w:rPr>
          <w:rFonts w:ascii="Arial" w:hAnsi="Arial" w:cs="Arial"/>
          <w:color w:val="0000FF"/>
          <w:sz w:val="20"/>
          <w:szCs w:val="20"/>
          <w:u w:val="single"/>
        </w:rPr>
      </w:pPr>
    </w:p>
    <w:p w14:paraId="4B1F9EFA" w14:textId="77777777" w:rsidR="00BC3E8E" w:rsidRDefault="00BC3E8E" w:rsidP="00BC3E8E">
      <w:pPr>
        <w:jc w:val="right"/>
        <w:rPr>
          <w:rFonts w:ascii="Arial" w:hAnsi="Arial" w:cs="Arial"/>
          <w:color w:val="0000FF"/>
          <w:sz w:val="20"/>
          <w:szCs w:val="20"/>
          <w:u w:val="single"/>
        </w:rPr>
      </w:pPr>
    </w:p>
    <w:p w14:paraId="1722A727" w14:textId="77777777" w:rsidR="00BC3E8E" w:rsidRPr="008D2A3D" w:rsidRDefault="00BC3E8E" w:rsidP="00BC3E8E">
      <w:pPr>
        <w:pStyle w:val="Ttulo1"/>
        <w:pBdr>
          <w:top w:val="single" w:sz="4" w:space="1" w:color="auto"/>
          <w:left w:val="single" w:sz="4" w:space="4" w:color="auto"/>
          <w:bottom w:val="single" w:sz="4" w:space="1" w:color="auto"/>
          <w:right w:val="single" w:sz="4" w:space="4" w:color="auto"/>
        </w:pBdr>
        <w:shd w:val="clear" w:color="auto" w:fill="A6A6A6"/>
        <w:rPr>
          <w:rFonts w:cs="Arial"/>
          <w:sz w:val="20"/>
          <w:szCs w:val="20"/>
        </w:rPr>
      </w:pPr>
      <w:bookmarkStart w:id="161" w:name="_Toc348931402"/>
      <w:bookmarkStart w:id="162" w:name="_Toc153727233"/>
      <w:r w:rsidRPr="008D2A3D">
        <w:rPr>
          <w:rFonts w:cs="Arial"/>
          <w:sz w:val="20"/>
          <w:szCs w:val="20"/>
        </w:rPr>
        <w:t>10. BIBLIOGRAFÍA</w:t>
      </w:r>
      <w:bookmarkEnd w:id="161"/>
      <w:bookmarkEnd w:id="162"/>
    </w:p>
    <w:p w14:paraId="27733DD7" w14:textId="77777777" w:rsidR="00BC3E8E" w:rsidRDefault="00BC3E8E" w:rsidP="00966C6E">
      <w:pPr>
        <w:jc w:val="both"/>
        <w:rPr>
          <w:rFonts w:ascii="Arial" w:hAnsi="Arial" w:cs="Arial"/>
          <w:color w:val="0000FF"/>
          <w:sz w:val="20"/>
          <w:szCs w:val="20"/>
          <w:u w:val="single"/>
        </w:rPr>
      </w:pPr>
    </w:p>
    <w:p w14:paraId="0B181D34" w14:textId="77777777" w:rsidR="006A7804" w:rsidRDefault="006A7804" w:rsidP="00966C6E">
      <w:pPr>
        <w:jc w:val="both"/>
        <w:rPr>
          <w:rFonts w:ascii="Arial" w:hAnsi="Arial" w:cs="Arial"/>
          <w:sz w:val="20"/>
          <w:szCs w:val="20"/>
        </w:rPr>
      </w:pPr>
    </w:p>
    <w:p w14:paraId="3724FAEE" w14:textId="71EB913A" w:rsidR="006A7804" w:rsidRPr="00260A3F" w:rsidRDefault="006A7804" w:rsidP="00877C49">
      <w:pPr>
        <w:widowControl w:val="0"/>
        <w:numPr>
          <w:ilvl w:val="0"/>
          <w:numId w:val="29"/>
        </w:numPr>
        <w:suppressAutoHyphens/>
        <w:rPr>
          <w:rFonts w:ascii="Arial" w:hAnsi="Arial" w:cs="Arial"/>
          <w:bCs/>
          <w:sz w:val="20"/>
          <w:szCs w:val="20"/>
        </w:rPr>
      </w:pPr>
      <w:r w:rsidRPr="00260A3F">
        <w:rPr>
          <w:rFonts w:ascii="Arial" w:hAnsi="Arial" w:cs="Arial"/>
          <w:bCs/>
          <w:i/>
          <w:sz w:val="20"/>
          <w:szCs w:val="20"/>
        </w:rPr>
        <w:t>Marín R, Puigventós F, Fraga MD, Ortega A, López-Briz E, Arocas V, Santos B.</w:t>
      </w:r>
      <w:r w:rsidRPr="00260A3F">
        <w:rPr>
          <w:rFonts w:ascii="Arial" w:hAnsi="Arial" w:cs="Arial"/>
          <w:bCs/>
          <w:sz w:val="20"/>
          <w:szCs w:val="20"/>
        </w:rPr>
        <w:t xml:space="preserve"> Grupo de Evaluación de Novedades y Estandarización e Investigación en Selec</w:t>
      </w:r>
      <w:r w:rsidR="001B130F">
        <w:rPr>
          <w:rFonts w:ascii="Arial" w:hAnsi="Arial" w:cs="Arial"/>
          <w:bCs/>
          <w:sz w:val="20"/>
          <w:szCs w:val="20"/>
        </w:rPr>
        <w:t>ción de Medicamentos (GENESIS) </w:t>
      </w:r>
      <w:r w:rsidRPr="00260A3F">
        <w:rPr>
          <w:rFonts w:ascii="Arial" w:hAnsi="Arial" w:cs="Arial"/>
          <w:bCs/>
          <w:sz w:val="20"/>
          <w:szCs w:val="20"/>
        </w:rPr>
        <w:t xml:space="preserve">de la Sociedad Española de Farmacia Hospitalaria (SEFH). Método de Ayuda para la toma de Decisiones y la Realización de Evaluaciones de medicamentos (MADRE). Versión 4.0. Madrid: SEFH (ed.), 2013. ISBN: 978-84-695-7629-8. Disponible en </w:t>
      </w:r>
      <w:hyperlink r:id="rId43" w:tgtFrame="_blank" w:history="1">
        <w:r w:rsidRPr="00260A3F">
          <w:rPr>
            <w:rStyle w:val="Hipervnculo"/>
            <w:rFonts w:ascii="Arial" w:hAnsi="Arial" w:cs="Arial"/>
            <w:bCs/>
            <w:color w:val="auto"/>
            <w:sz w:val="20"/>
            <w:szCs w:val="20"/>
          </w:rPr>
          <w:t>http://gruposdetrabajo.sefh.es/genesis/genesis/basesmetodologicas/programamadre/index.html</w:t>
        </w:r>
      </w:hyperlink>
    </w:p>
    <w:p w14:paraId="20BB484A" w14:textId="77777777" w:rsidR="006A7804" w:rsidRPr="00260A3F" w:rsidRDefault="006A7804" w:rsidP="00966C6E">
      <w:pPr>
        <w:pStyle w:val="Textonotapie"/>
        <w:jc w:val="both"/>
        <w:rPr>
          <w:rFonts w:cs="Arial"/>
          <w:bCs/>
          <w:lang w:val="es-ES"/>
        </w:rPr>
      </w:pPr>
    </w:p>
    <w:p w14:paraId="4BD111D4" w14:textId="77777777" w:rsidR="00260A3F" w:rsidRPr="00260A3F" w:rsidRDefault="006A7804" w:rsidP="00966C6E">
      <w:pPr>
        <w:numPr>
          <w:ilvl w:val="0"/>
          <w:numId w:val="29"/>
        </w:numPr>
        <w:jc w:val="both"/>
        <w:rPr>
          <w:rFonts w:ascii="Arial" w:hAnsi="Arial" w:cs="Arial"/>
          <w:bCs/>
          <w:sz w:val="20"/>
          <w:szCs w:val="20"/>
        </w:rPr>
      </w:pPr>
      <w:r w:rsidRPr="00260A3F">
        <w:rPr>
          <w:rFonts w:ascii="Arial" w:hAnsi="Arial" w:cs="Arial"/>
          <w:bCs/>
          <w:i/>
          <w:sz w:val="20"/>
          <w:szCs w:val="20"/>
        </w:rPr>
        <w:t>Ortega Eslava A, Marín Gil R, Fraga Fuentes MD, López-Briz E, Puigventós Latorre F (GENESIS-SEFH</w:t>
      </w:r>
      <w:r w:rsidRPr="00260A3F">
        <w:rPr>
          <w:rFonts w:ascii="Arial" w:hAnsi="Arial" w:cs="Arial"/>
          <w:bCs/>
          <w:sz w:val="20"/>
          <w:szCs w:val="20"/>
        </w:rPr>
        <w:t xml:space="preserve">). Guía de evaluación económica e impacto presupuestario en los informes de evaluación de medicamentos. Guía práctica asociada al programa MADRE v4.0. Madrid: SEFH (e.), 2016 ISBN: 978-84-617-6757-1. Disponible en: </w:t>
      </w:r>
      <w:hyperlink r:id="rId44" w:history="1">
        <w:r w:rsidRPr="00260A3F">
          <w:rPr>
            <w:rStyle w:val="Hipervnculo"/>
            <w:rFonts w:ascii="Arial" w:hAnsi="Arial" w:cs="Arial"/>
            <w:bCs/>
            <w:color w:val="auto"/>
            <w:sz w:val="20"/>
            <w:szCs w:val="20"/>
          </w:rPr>
          <w:t>http://gruposdetrabajo.sefh.es/genesis</w:t>
        </w:r>
      </w:hyperlink>
      <w:r w:rsidRPr="00260A3F">
        <w:rPr>
          <w:rFonts w:ascii="Arial" w:hAnsi="Arial" w:cs="Arial"/>
          <w:bCs/>
          <w:sz w:val="20"/>
          <w:szCs w:val="20"/>
        </w:rPr>
        <w:t xml:space="preserve"> </w:t>
      </w:r>
    </w:p>
    <w:p w14:paraId="2EA5CEC7" w14:textId="77777777" w:rsidR="00260A3F" w:rsidRPr="00260A3F" w:rsidRDefault="00260A3F" w:rsidP="00966C6E">
      <w:pPr>
        <w:pStyle w:val="Prrafodelista"/>
        <w:jc w:val="both"/>
        <w:rPr>
          <w:rFonts w:ascii="Arial" w:hAnsi="Arial" w:cs="Arial"/>
          <w:bCs/>
          <w:sz w:val="20"/>
          <w:szCs w:val="20"/>
        </w:rPr>
      </w:pPr>
    </w:p>
    <w:p w14:paraId="29FA7D30" w14:textId="77777777" w:rsidR="00797B82" w:rsidRDefault="006A7804" w:rsidP="00966C6E">
      <w:pPr>
        <w:numPr>
          <w:ilvl w:val="0"/>
          <w:numId w:val="29"/>
        </w:numPr>
        <w:jc w:val="both"/>
        <w:rPr>
          <w:rFonts w:ascii="Arial" w:hAnsi="Arial" w:cs="Arial"/>
          <w:bCs/>
          <w:sz w:val="20"/>
          <w:szCs w:val="20"/>
        </w:rPr>
      </w:pPr>
      <w:r w:rsidRPr="00260A3F">
        <w:rPr>
          <w:rFonts w:ascii="Arial" w:hAnsi="Arial" w:cs="Arial"/>
          <w:bCs/>
          <w:sz w:val="20"/>
          <w:szCs w:val="20"/>
        </w:rPr>
        <w:t xml:space="preserve">Informe de Posicionamiento Terapéutico de enzalutamida (Xtandi®) en combinación con la terapia de privación androgénica (TPA) en el tratamiento del cáncer de próstata hormonosensible metastásico (CPHSm). </w:t>
      </w:r>
      <w:r w:rsidRPr="00260A3F">
        <w:rPr>
          <w:rFonts w:ascii="Arial" w:eastAsia="Arial" w:hAnsi="Arial" w:cs="Arial"/>
          <w:bCs/>
          <w:sz w:val="20"/>
          <w:szCs w:val="20"/>
          <w:highlight w:val="white"/>
        </w:rPr>
        <w:t xml:space="preserve">AEMPS. [Consulta 29/06/2023]. Disponible en: </w:t>
      </w:r>
      <w:hyperlink r:id="rId45" w:history="1">
        <w:r w:rsidRPr="00260A3F">
          <w:rPr>
            <w:rStyle w:val="Hipervnculo"/>
            <w:rFonts w:ascii="Arial" w:hAnsi="Arial" w:cs="Arial"/>
            <w:bCs/>
            <w:color w:val="auto"/>
            <w:sz w:val="20"/>
            <w:szCs w:val="20"/>
          </w:rPr>
          <w:t>https://www.aemps.gob.es/medicamentosUsoHumano/informesPublicos/docs/2022/IPT_19-2022-Xtandi.pdf</w:t>
        </w:r>
      </w:hyperlink>
    </w:p>
    <w:p w14:paraId="09A16C90" w14:textId="77777777" w:rsidR="00797B82" w:rsidRDefault="00797B82" w:rsidP="00966C6E">
      <w:pPr>
        <w:pStyle w:val="Prrafodelista"/>
        <w:jc w:val="both"/>
        <w:rPr>
          <w:rFonts w:ascii="Segoe UI" w:hAnsi="Segoe UI" w:cs="Segoe UI"/>
          <w:color w:val="374151"/>
        </w:rPr>
      </w:pPr>
    </w:p>
    <w:p w14:paraId="10CE86CA" w14:textId="77777777" w:rsidR="00260A3F" w:rsidRDefault="00797B82" w:rsidP="00966C6E">
      <w:pPr>
        <w:numPr>
          <w:ilvl w:val="0"/>
          <w:numId w:val="29"/>
        </w:numPr>
        <w:jc w:val="both"/>
        <w:rPr>
          <w:rFonts w:ascii="Arial" w:hAnsi="Arial" w:cs="Arial"/>
          <w:bCs/>
          <w:sz w:val="20"/>
          <w:szCs w:val="20"/>
        </w:rPr>
      </w:pPr>
      <w:r w:rsidRPr="00797B82">
        <w:rPr>
          <w:rFonts w:ascii="Arial" w:hAnsi="Arial" w:cs="Arial"/>
          <w:bCs/>
          <w:sz w:val="20"/>
          <w:szCs w:val="20"/>
        </w:rPr>
        <w:t xml:space="preserve">GLOBOCAN PROJECT. OMS. Disponible en: </w:t>
      </w:r>
      <w:hyperlink r:id="rId46" w:tgtFrame="_new" w:history="1">
        <w:r w:rsidRPr="00797B82">
          <w:rPr>
            <w:rFonts w:ascii="Arial" w:hAnsi="Arial" w:cs="Arial"/>
            <w:bCs/>
            <w:sz w:val="20"/>
            <w:szCs w:val="20"/>
          </w:rPr>
          <w:t>http://globocan.iarc.fr/</w:t>
        </w:r>
      </w:hyperlink>
      <w:r w:rsidRPr="00797B82">
        <w:rPr>
          <w:rFonts w:ascii="Arial" w:hAnsi="Arial" w:cs="Arial"/>
          <w:bCs/>
          <w:sz w:val="20"/>
          <w:szCs w:val="20"/>
        </w:rPr>
        <w:t xml:space="preserve"> (Fecha de acceso: [</w:t>
      </w:r>
      <w:r>
        <w:rPr>
          <w:rFonts w:ascii="Arial" w:hAnsi="Arial" w:cs="Arial"/>
          <w:bCs/>
          <w:sz w:val="20"/>
          <w:szCs w:val="20"/>
        </w:rPr>
        <w:t>25 de agosto de 2023]</w:t>
      </w:r>
    </w:p>
    <w:p w14:paraId="7FFCB419" w14:textId="77777777" w:rsidR="00797B82" w:rsidRPr="00797B82" w:rsidRDefault="00797B82" w:rsidP="00966C6E">
      <w:pPr>
        <w:ind w:left="720"/>
        <w:jc w:val="both"/>
        <w:rPr>
          <w:rFonts w:ascii="Arial" w:hAnsi="Arial" w:cs="Arial"/>
          <w:bCs/>
          <w:sz w:val="20"/>
          <w:szCs w:val="20"/>
        </w:rPr>
      </w:pPr>
    </w:p>
    <w:p w14:paraId="1C9626A9" w14:textId="77777777" w:rsidR="006A7804" w:rsidRPr="00A234B1" w:rsidRDefault="006A7804" w:rsidP="00966C6E">
      <w:pPr>
        <w:numPr>
          <w:ilvl w:val="0"/>
          <w:numId w:val="29"/>
        </w:numPr>
        <w:jc w:val="both"/>
        <w:rPr>
          <w:rFonts w:ascii="Arial" w:hAnsi="Arial" w:cs="Arial"/>
          <w:bCs/>
          <w:sz w:val="20"/>
          <w:szCs w:val="20"/>
          <w:lang w:val="en-GB"/>
        </w:rPr>
      </w:pPr>
      <w:r w:rsidRPr="00A234B1">
        <w:rPr>
          <w:rFonts w:ascii="Arial" w:hAnsi="Arial" w:cs="Arial"/>
          <w:bCs/>
          <w:sz w:val="20"/>
          <w:szCs w:val="20"/>
          <w:lang w:val="en-GB"/>
        </w:rPr>
        <w:t xml:space="preserve">Rawla P. (2019). Epidemiology of Prostate Cancer. World journal of oncology, 10(2), 63–89. </w:t>
      </w:r>
      <w:hyperlink r:id="rId47" w:history="1">
        <w:r w:rsidR="00260A3F" w:rsidRPr="00A234B1">
          <w:rPr>
            <w:rStyle w:val="Hipervnculo"/>
            <w:rFonts w:ascii="Arial" w:hAnsi="Arial" w:cs="Arial"/>
            <w:bCs/>
            <w:sz w:val="20"/>
            <w:szCs w:val="20"/>
            <w:lang w:val="en-GB"/>
          </w:rPr>
          <w:t>https://doi.org/10.14740/wjon1191</w:t>
        </w:r>
      </w:hyperlink>
    </w:p>
    <w:p w14:paraId="429AC345" w14:textId="77777777" w:rsidR="00260A3F" w:rsidRPr="00A234B1" w:rsidRDefault="00260A3F" w:rsidP="00966C6E">
      <w:pPr>
        <w:ind w:left="720"/>
        <w:jc w:val="both"/>
        <w:rPr>
          <w:rFonts w:ascii="Arial" w:hAnsi="Arial" w:cs="Arial"/>
          <w:bCs/>
          <w:sz w:val="20"/>
          <w:szCs w:val="20"/>
          <w:lang w:val="en-GB"/>
        </w:rPr>
      </w:pPr>
    </w:p>
    <w:p w14:paraId="46420D26" w14:textId="200CAA56" w:rsidR="006A7804" w:rsidRPr="00260A3F" w:rsidRDefault="006A7804" w:rsidP="00877C49">
      <w:pPr>
        <w:pStyle w:val="Prrafodelista1"/>
        <w:numPr>
          <w:ilvl w:val="0"/>
          <w:numId w:val="29"/>
        </w:numPr>
        <w:spacing w:after="160" w:line="252" w:lineRule="auto"/>
        <w:rPr>
          <w:rFonts w:ascii="Arial" w:hAnsi="Arial" w:cs="Arial"/>
          <w:bCs/>
          <w:sz w:val="20"/>
          <w:szCs w:val="20"/>
          <w:lang w:val="en-GB"/>
        </w:rPr>
      </w:pPr>
      <w:r w:rsidRPr="00811E88">
        <w:rPr>
          <w:rFonts w:ascii="Arial" w:hAnsi="Arial" w:cs="Arial"/>
          <w:bCs/>
          <w:sz w:val="20"/>
          <w:szCs w:val="20"/>
          <w:shd w:val="clear" w:color="auto" w:fill="FFFFFF"/>
          <w:lang w:val="en-GB"/>
        </w:rPr>
        <w:t xml:space="preserve">Halabi, S., Kelly, W. K., Ma, H. </w:t>
      </w:r>
      <w:r w:rsidR="00877C49" w:rsidRPr="00811E88">
        <w:rPr>
          <w:rFonts w:ascii="Arial" w:hAnsi="Arial" w:cs="Arial"/>
          <w:bCs/>
          <w:sz w:val="20"/>
          <w:szCs w:val="20"/>
          <w:shd w:val="clear" w:color="auto" w:fill="FFFFFF"/>
          <w:lang w:val="en-GB"/>
        </w:rPr>
        <w:t xml:space="preserve">Zhou H., Solomon NC, Fizazi K </w:t>
      </w:r>
      <w:r w:rsidRPr="00811E88">
        <w:rPr>
          <w:rFonts w:ascii="Arial" w:hAnsi="Arial" w:cs="Arial"/>
          <w:bCs/>
          <w:sz w:val="20"/>
          <w:szCs w:val="20"/>
          <w:shd w:val="clear" w:color="auto" w:fill="FFFFFF"/>
          <w:lang w:val="en-GB"/>
        </w:rPr>
        <w:t xml:space="preserve">et al. </w:t>
      </w:r>
      <w:r w:rsidRPr="00A234B1">
        <w:rPr>
          <w:rFonts w:ascii="Arial" w:hAnsi="Arial" w:cs="Arial"/>
          <w:bCs/>
          <w:sz w:val="20"/>
          <w:szCs w:val="20"/>
          <w:shd w:val="clear" w:color="auto" w:fill="FFFFFF"/>
          <w:lang w:val="en-GB"/>
        </w:rPr>
        <w:t>Meta-Analysis Evaluating the Impact of Site of Metastasis on Overall Survival in Men With Castration-Resistant Prostate Cancer. </w:t>
      </w:r>
      <w:r w:rsidRPr="00A234B1">
        <w:rPr>
          <w:rFonts w:ascii="Arial" w:hAnsi="Arial" w:cs="Arial"/>
          <w:bCs/>
          <w:i/>
          <w:iCs/>
          <w:sz w:val="20"/>
          <w:szCs w:val="20"/>
          <w:shd w:val="clear" w:color="auto" w:fill="FFFFFF"/>
          <w:lang w:val="en-GB"/>
        </w:rPr>
        <w:t>Journal of clinical oncology : official journal of the American Society of Clinical Oncology</w:t>
      </w:r>
      <w:r w:rsidRPr="00A234B1">
        <w:rPr>
          <w:rFonts w:ascii="Arial" w:hAnsi="Arial" w:cs="Arial"/>
          <w:bCs/>
          <w:sz w:val="20"/>
          <w:szCs w:val="20"/>
          <w:shd w:val="clear" w:color="auto" w:fill="FFFFFF"/>
          <w:lang w:val="en-GB"/>
        </w:rPr>
        <w:t>, </w:t>
      </w:r>
      <w:r w:rsidR="00877C49">
        <w:rPr>
          <w:rFonts w:ascii="Arial" w:hAnsi="Arial" w:cs="Arial"/>
          <w:bCs/>
          <w:sz w:val="20"/>
          <w:szCs w:val="20"/>
          <w:shd w:val="clear" w:color="auto" w:fill="FFFFFF"/>
          <w:lang w:val="en-GB"/>
        </w:rPr>
        <w:t xml:space="preserve">2016, </w:t>
      </w:r>
      <w:r w:rsidRPr="00A234B1">
        <w:rPr>
          <w:rFonts w:ascii="Arial" w:hAnsi="Arial" w:cs="Arial"/>
          <w:bCs/>
          <w:i/>
          <w:iCs/>
          <w:sz w:val="20"/>
          <w:szCs w:val="20"/>
          <w:shd w:val="clear" w:color="auto" w:fill="FFFFFF"/>
          <w:lang w:val="en-GB"/>
        </w:rPr>
        <w:t>34</w:t>
      </w:r>
      <w:r w:rsidRPr="00A234B1">
        <w:rPr>
          <w:rFonts w:ascii="Arial" w:hAnsi="Arial" w:cs="Arial"/>
          <w:bCs/>
          <w:sz w:val="20"/>
          <w:szCs w:val="20"/>
          <w:shd w:val="clear" w:color="auto" w:fill="FFFFFF"/>
          <w:lang w:val="en-GB"/>
        </w:rPr>
        <w:t xml:space="preserve">(14), 1652–1659. </w:t>
      </w:r>
      <w:hyperlink r:id="rId48" w:history="1">
        <w:r w:rsidRPr="00260A3F">
          <w:rPr>
            <w:rStyle w:val="Hipervnculo"/>
            <w:rFonts w:ascii="Arial" w:hAnsi="Arial" w:cs="Arial"/>
            <w:bCs/>
            <w:color w:val="auto"/>
            <w:sz w:val="20"/>
            <w:szCs w:val="20"/>
            <w:shd w:val="clear" w:color="auto" w:fill="FFFFFF"/>
          </w:rPr>
          <w:t>https://doi.org/10.1200/JCO.2015.65.7270</w:t>
        </w:r>
      </w:hyperlink>
    </w:p>
    <w:p w14:paraId="6EFF57E6" w14:textId="77777777" w:rsidR="006A7804" w:rsidRPr="00260A3F" w:rsidRDefault="006A7804" w:rsidP="00966C6E">
      <w:pPr>
        <w:pStyle w:val="Textonotaalfinal"/>
        <w:ind w:left="720"/>
        <w:jc w:val="both"/>
        <w:rPr>
          <w:rFonts w:ascii="Arial" w:hAnsi="Arial" w:cs="Arial"/>
          <w:bCs/>
        </w:rPr>
      </w:pPr>
    </w:p>
    <w:p w14:paraId="54DBFE60" w14:textId="6F1310DA" w:rsidR="006A7804" w:rsidRPr="00260A3F" w:rsidRDefault="006A7804" w:rsidP="00966C6E">
      <w:pPr>
        <w:pStyle w:val="Textonotaalfinal"/>
        <w:numPr>
          <w:ilvl w:val="0"/>
          <w:numId w:val="29"/>
        </w:numPr>
        <w:jc w:val="both"/>
        <w:rPr>
          <w:rFonts w:ascii="Arial" w:eastAsia="Arial" w:hAnsi="Arial" w:cs="Arial"/>
          <w:bCs/>
          <w:highlight w:val="white"/>
          <w:lang w:val="en-GB"/>
        </w:rPr>
      </w:pPr>
      <w:r w:rsidRPr="00260A3F">
        <w:rPr>
          <w:rFonts w:ascii="Arial" w:eastAsia="Arial" w:hAnsi="Arial" w:cs="Arial"/>
          <w:bCs/>
          <w:highlight w:val="white"/>
          <w:lang w:val="en-GB"/>
        </w:rPr>
        <w:t>Scher HI, Halabi S, Tannock I</w:t>
      </w:r>
      <w:r w:rsidR="00877C49">
        <w:rPr>
          <w:rFonts w:ascii="Arial" w:eastAsia="Arial" w:hAnsi="Arial" w:cs="Arial"/>
          <w:bCs/>
          <w:highlight w:val="white"/>
          <w:lang w:val="en-GB"/>
        </w:rPr>
        <w:t xml:space="preserve">, Morris M, Sternberg CN, Carducci MA </w:t>
      </w:r>
      <w:r w:rsidRPr="00260A3F">
        <w:rPr>
          <w:rFonts w:ascii="Arial" w:eastAsia="Arial" w:hAnsi="Arial" w:cs="Arial"/>
          <w:bCs/>
          <w:highlight w:val="white"/>
          <w:lang w:val="en-GB"/>
        </w:rPr>
        <w:t>et al. Prostate Cancer Clinical Trials Working Group. Design and end points of clinical trials for patients with progressive prostate cancer and castrate levels of testosterone: recommendations of the Prostate Cancer Clinical Trials Working Group. J Clin Oncol. 2008 Mar 1;26(7):1148-59. doi: 10.1200/JCO.2007.12.4487. PMID: 18309951; PMCID: PMC4010133.</w:t>
      </w:r>
    </w:p>
    <w:p w14:paraId="16BA9167" w14:textId="77777777" w:rsidR="006A7804" w:rsidRPr="00260A3F" w:rsidRDefault="006A7804" w:rsidP="00966C6E">
      <w:pPr>
        <w:pStyle w:val="Textonotaalfinal"/>
        <w:ind w:left="720"/>
        <w:jc w:val="both"/>
        <w:rPr>
          <w:rFonts w:ascii="Arial" w:hAnsi="Arial" w:cs="Arial"/>
          <w:bCs/>
        </w:rPr>
      </w:pPr>
    </w:p>
    <w:p w14:paraId="0E68DECF" w14:textId="77777777" w:rsidR="006A7804" w:rsidRPr="00A234B1" w:rsidRDefault="006A7804" w:rsidP="00966C6E">
      <w:pPr>
        <w:pStyle w:val="Textonotaalfinal"/>
        <w:numPr>
          <w:ilvl w:val="0"/>
          <w:numId w:val="29"/>
        </w:numPr>
        <w:jc w:val="both"/>
        <w:rPr>
          <w:rFonts w:ascii="Arial" w:eastAsia="Arial" w:hAnsi="Arial" w:cs="Arial"/>
          <w:bCs/>
        </w:rPr>
      </w:pPr>
      <w:r w:rsidRPr="00A234B1">
        <w:rPr>
          <w:rFonts w:ascii="Arial" w:eastAsia="Arial" w:hAnsi="Arial" w:cs="Arial"/>
          <w:bCs/>
          <w:highlight w:val="white"/>
        </w:rPr>
        <w:t xml:space="preserve">European Public Assessment Report (EPAR) de Akeega (Niraparib/abiraterone). Se puede consultar en: </w:t>
      </w:r>
      <w:hyperlink r:id="rId49" w:history="1">
        <w:r w:rsidRPr="00A234B1">
          <w:rPr>
            <w:rStyle w:val="Hipervnculo"/>
            <w:rFonts w:ascii="Arial" w:eastAsia="Arial" w:hAnsi="Arial" w:cs="Arial"/>
            <w:bCs/>
            <w:color w:val="auto"/>
          </w:rPr>
          <w:t>https://www.ema.europa.eu/en/documents/assessment-report/akeega-epar-public-assessment-report_en.pdf</w:t>
        </w:r>
      </w:hyperlink>
    </w:p>
    <w:p w14:paraId="68385C20" w14:textId="77777777" w:rsidR="006A7804" w:rsidRPr="00260A3F" w:rsidRDefault="006A7804" w:rsidP="00966C6E">
      <w:pPr>
        <w:pStyle w:val="Textonotaalfinal"/>
        <w:ind w:left="720"/>
        <w:jc w:val="both"/>
        <w:rPr>
          <w:rFonts w:ascii="Arial" w:hAnsi="Arial" w:cs="Arial"/>
          <w:bCs/>
        </w:rPr>
      </w:pPr>
    </w:p>
    <w:p w14:paraId="553328EA" w14:textId="16854B5D" w:rsidR="006A7804" w:rsidRPr="00966C6E" w:rsidRDefault="001A0EA8" w:rsidP="00877C49">
      <w:pPr>
        <w:pStyle w:val="Textonotaalfinal"/>
        <w:numPr>
          <w:ilvl w:val="0"/>
          <w:numId w:val="29"/>
        </w:numPr>
        <w:rPr>
          <w:rFonts w:ascii="Arial" w:hAnsi="Arial" w:cs="Arial"/>
          <w:bCs/>
          <w:lang w:val="en-GB"/>
        </w:rPr>
      </w:pPr>
      <w:r w:rsidRPr="002013E1">
        <w:rPr>
          <w:rFonts w:ascii="Arial" w:hAnsi="Arial"/>
          <w:lang w:val="it-IT"/>
        </w:rPr>
        <w:t xml:space="preserve">Parker C, Castro E, Fizazi K, </w:t>
      </w:r>
      <w:r w:rsidR="000970B0">
        <w:rPr>
          <w:rFonts w:ascii="Arial" w:hAnsi="Arial"/>
          <w:lang w:val="it-IT"/>
        </w:rPr>
        <w:t xml:space="preserve">Heidenreich A, Ost P, Procopio G </w:t>
      </w:r>
      <w:r w:rsidRPr="002013E1">
        <w:rPr>
          <w:rFonts w:ascii="Arial" w:hAnsi="Arial"/>
          <w:lang w:val="it-IT"/>
        </w:rPr>
        <w:t xml:space="preserve">et al. </w:t>
      </w:r>
      <w:r w:rsidR="006A7804" w:rsidRPr="00966C6E">
        <w:rPr>
          <w:rFonts w:ascii="Arial" w:hAnsi="Arial" w:cs="Arial"/>
          <w:bCs/>
          <w:lang w:val="en-GB"/>
        </w:rPr>
        <w:t xml:space="preserve">Prostate cancer: ESMO Clinical Practice Guidelines for diagnosis, treatment and follow-up. </w:t>
      </w:r>
      <w:r w:rsidR="006A7804" w:rsidRPr="00966C6E">
        <w:rPr>
          <w:rFonts w:ascii="Arial" w:hAnsi="Arial" w:cs="Arial"/>
          <w:bCs/>
          <w:i/>
          <w:iCs/>
          <w:lang w:val="en-GB"/>
        </w:rPr>
        <w:t>Ann Oncol</w:t>
      </w:r>
      <w:r w:rsidR="006A7804" w:rsidRPr="00966C6E">
        <w:rPr>
          <w:rFonts w:ascii="Arial" w:hAnsi="Arial" w:cs="Arial"/>
          <w:bCs/>
          <w:lang w:val="en-GB"/>
        </w:rPr>
        <w:t>. 2020;31(9):1119-1134. doi:10.1016/j.annonc.2020.06.011</w:t>
      </w:r>
      <w:r w:rsidR="000970B0" w:rsidRPr="000970B0">
        <w:rPr>
          <w:rStyle w:val="Ttulo1Car"/>
          <w:rFonts w:ascii="Segoe UI" w:hAnsi="Segoe UI" w:cs="Segoe UI"/>
          <w:color w:val="5B616B"/>
          <w:shd w:val="clear" w:color="auto" w:fill="FFFFFF"/>
        </w:rPr>
        <w:t xml:space="preserve"> </w:t>
      </w:r>
    </w:p>
    <w:p w14:paraId="26B58B6D" w14:textId="77777777" w:rsidR="006A7804" w:rsidRPr="00966C6E" w:rsidRDefault="006A7804" w:rsidP="00966C6E">
      <w:pPr>
        <w:pStyle w:val="Textonotaalfinal"/>
        <w:ind w:left="720"/>
        <w:jc w:val="both"/>
        <w:rPr>
          <w:rFonts w:ascii="Arial" w:hAnsi="Arial" w:cs="Arial"/>
          <w:bCs/>
          <w:lang w:val="en-GB"/>
        </w:rPr>
      </w:pPr>
    </w:p>
    <w:p w14:paraId="1DB29616" w14:textId="7A9A9E61" w:rsidR="006A7804" w:rsidRPr="00260A3F" w:rsidRDefault="006A7804" w:rsidP="00877C49">
      <w:pPr>
        <w:pStyle w:val="Textonotaalfinal"/>
        <w:numPr>
          <w:ilvl w:val="0"/>
          <w:numId w:val="29"/>
        </w:numPr>
        <w:rPr>
          <w:rFonts w:ascii="Arial" w:hAnsi="Arial" w:cs="Arial"/>
          <w:bCs/>
        </w:rPr>
      </w:pPr>
      <w:r w:rsidRPr="00260A3F">
        <w:rPr>
          <w:rFonts w:ascii="Arial" w:eastAsia="Arial" w:hAnsi="Arial" w:cs="Arial"/>
          <w:bCs/>
          <w:highlight w:val="white"/>
          <w:lang w:val="en-GB"/>
        </w:rPr>
        <w:t xml:space="preserve">NCCN Guideline for Prostate Cancer. </w:t>
      </w:r>
      <w:r w:rsidRPr="00260A3F">
        <w:rPr>
          <w:rFonts w:ascii="Arial" w:eastAsia="Arial" w:hAnsi="Arial" w:cs="Arial"/>
          <w:bCs/>
          <w:highlight w:val="white"/>
        </w:rPr>
        <w:t xml:space="preserve">Version </w:t>
      </w:r>
      <w:r w:rsidR="00877C49">
        <w:rPr>
          <w:rFonts w:ascii="Arial" w:eastAsia="Arial" w:hAnsi="Arial" w:cs="Arial"/>
          <w:bCs/>
          <w:highlight w:val="white"/>
        </w:rPr>
        <w:t>4</w:t>
      </w:r>
      <w:r w:rsidRPr="00260A3F">
        <w:rPr>
          <w:rFonts w:ascii="Arial" w:eastAsia="Arial" w:hAnsi="Arial" w:cs="Arial"/>
          <w:bCs/>
          <w:highlight w:val="white"/>
        </w:rPr>
        <w:t>.202</w:t>
      </w:r>
      <w:r w:rsidR="00877C49">
        <w:rPr>
          <w:rFonts w:ascii="Arial" w:eastAsia="Arial" w:hAnsi="Arial" w:cs="Arial"/>
          <w:bCs/>
          <w:highlight w:val="white"/>
        </w:rPr>
        <w:t>3</w:t>
      </w:r>
      <w:r w:rsidRPr="00260A3F">
        <w:rPr>
          <w:rFonts w:ascii="Arial" w:eastAsia="Arial" w:hAnsi="Arial" w:cs="Arial"/>
          <w:bCs/>
          <w:highlight w:val="white"/>
        </w:rPr>
        <w:t xml:space="preserve">. Disponible en: </w:t>
      </w:r>
      <w:hyperlink r:id="rId50" w:history="1">
        <w:r w:rsidRPr="00260A3F">
          <w:rPr>
            <w:rStyle w:val="Hipervnculo"/>
            <w:rFonts w:ascii="Arial" w:hAnsi="Arial" w:cs="Arial"/>
            <w:bCs/>
            <w:color w:val="auto"/>
          </w:rPr>
          <w:t>https://www.nccn.org/professionals/physician_gls/pdf/prostate.pdf</w:t>
        </w:r>
      </w:hyperlink>
    </w:p>
    <w:p w14:paraId="67349A63" w14:textId="77777777" w:rsidR="006A7804" w:rsidRPr="00260A3F" w:rsidRDefault="006A7804" w:rsidP="00966C6E">
      <w:pPr>
        <w:pStyle w:val="Prrafodelista"/>
        <w:jc w:val="both"/>
        <w:rPr>
          <w:rFonts w:ascii="Arial" w:hAnsi="Arial" w:cs="Arial"/>
          <w:bCs/>
          <w:sz w:val="20"/>
          <w:szCs w:val="20"/>
        </w:rPr>
      </w:pPr>
    </w:p>
    <w:p w14:paraId="6813C458"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Ficha técnica Lymparza FDA. Disponible en: https://www.accessdata.fda.gov/drugsatfda_docs/label/2023/208558s025lbl.pdf</w:t>
      </w:r>
    </w:p>
    <w:p w14:paraId="06B4B3D9" w14:textId="77777777" w:rsidR="000970B0" w:rsidRPr="00260A3F" w:rsidRDefault="000970B0" w:rsidP="000970B0">
      <w:pPr>
        <w:pStyle w:val="Textonotaalfinal"/>
        <w:ind w:left="720"/>
        <w:rPr>
          <w:rFonts w:ascii="Arial" w:hAnsi="Arial" w:cs="Arial"/>
          <w:bCs/>
        </w:rPr>
      </w:pPr>
    </w:p>
    <w:p w14:paraId="06F30CF7" w14:textId="77777777" w:rsidR="000970B0" w:rsidRPr="000970B0" w:rsidRDefault="001A0EA8" w:rsidP="00966C6E">
      <w:pPr>
        <w:pStyle w:val="Textonotaalfinal"/>
        <w:numPr>
          <w:ilvl w:val="0"/>
          <w:numId w:val="29"/>
        </w:numPr>
        <w:jc w:val="both"/>
        <w:rPr>
          <w:rStyle w:val="comma"/>
          <w:rFonts w:ascii="Arial" w:hAnsi="Arial" w:cs="Arial"/>
          <w:bCs/>
          <w:lang w:val="en-GB"/>
        </w:rPr>
      </w:pPr>
      <w:r w:rsidRPr="002013E1">
        <w:rPr>
          <w:rFonts w:ascii="Arial" w:hAnsi="Arial"/>
          <w:lang w:val="fr-FR"/>
        </w:rPr>
        <w:t>Anscher MS, Chang E, Gao X</w:t>
      </w:r>
      <w:r w:rsidR="000970B0">
        <w:rPr>
          <w:rFonts w:ascii="Arial" w:hAnsi="Arial"/>
          <w:lang w:val="fr-FR"/>
        </w:rPr>
        <w:t xml:space="preserve"> Gong X, Weinstock</w:t>
      </w:r>
      <w:r w:rsidRPr="002013E1">
        <w:rPr>
          <w:rFonts w:ascii="Arial" w:hAnsi="Arial"/>
          <w:lang w:val="fr-FR"/>
        </w:rPr>
        <w:t xml:space="preserve"> </w:t>
      </w:r>
      <w:r w:rsidR="000970B0">
        <w:rPr>
          <w:rFonts w:ascii="Arial" w:hAnsi="Arial"/>
          <w:lang w:val="fr-FR"/>
        </w:rPr>
        <w:t xml:space="preserve">C, Bloomquist E </w:t>
      </w:r>
      <w:r w:rsidRPr="002013E1">
        <w:rPr>
          <w:rFonts w:ascii="Arial" w:hAnsi="Arial"/>
          <w:lang w:val="fr-FR"/>
        </w:rPr>
        <w:t xml:space="preserve">et al. </w:t>
      </w:r>
      <w:r w:rsidR="006A7804" w:rsidRPr="00966C6E">
        <w:rPr>
          <w:rFonts w:ascii="Arial" w:hAnsi="Arial" w:cs="Arial"/>
          <w:bCs/>
          <w:lang w:val="en-GB"/>
        </w:rPr>
        <w:t>FDA Approval Summary: Rucaparib for the Treatment of Patients with Deleterious BRCA-Mutated Metastatic Castrate-Resistant Prostate Cancer. Oncologist. 2021 Feb;26(2):139-146. doi: 10.1002/onco.13585. Epub 2020 Nov 17. PMID: 33145877; PMCID: PMC7873319.</w:t>
      </w:r>
      <w:r w:rsidR="000970B0" w:rsidRPr="000970B0">
        <w:rPr>
          <w:rStyle w:val="Ttulo2Car"/>
        </w:rPr>
        <w:t xml:space="preserve"> </w:t>
      </w:r>
      <w:r w:rsidR="000970B0">
        <w:rPr>
          <w:rStyle w:val="comma"/>
        </w:rPr>
        <w:t> </w:t>
      </w:r>
    </w:p>
    <w:p w14:paraId="596051E3" w14:textId="0D90CC1C" w:rsidR="006A7804" w:rsidRPr="00966C6E" w:rsidRDefault="000970B0" w:rsidP="000970B0">
      <w:pPr>
        <w:pStyle w:val="Textonotaalfinal"/>
        <w:jc w:val="both"/>
        <w:rPr>
          <w:rFonts w:ascii="Arial" w:hAnsi="Arial" w:cs="Arial"/>
          <w:bCs/>
          <w:lang w:val="en-GB"/>
        </w:rPr>
      </w:pPr>
      <w:r w:rsidRPr="00966C6E">
        <w:rPr>
          <w:rFonts w:ascii="Arial" w:hAnsi="Arial" w:cs="Arial"/>
          <w:bCs/>
          <w:lang w:val="en-GB"/>
        </w:rPr>
        <w:t xml:space="preserve"> </w:t>
      </w:r>
    </w:p>
    <w:p w14:paraId="5F325D36"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 xml:space="preserve">Ficha técnica de Lymparza ®. Disponible en : </w:t>
      </w:r>
      <w:hyperlink r:id="rId51" w:history="1">
        <w:r w:rsidR="00260A3F" w:rsidRPr="00A83B6D">
          <w:rPr>
            <w:rStyle w:val="Hipervnculo"/>
            <w:rFonts w:ascii="Arial" w:hAnsi="Arial" w:cs="Arial"/>
            <w:bCs/>
          </w:rPr>
          <w:t>https://cima.aemps.es/cima/pdfs/ft/114959002/FT_114959002.pdf</w:t>
        </w:r>
      </w:hyperlink>
    </w:p>
    <w:p w14:paraId="2A2EC21A" w14:textId="77777777" w:rsidR="00260A3F" w:rsidRPr="00260A3F" w:rsidRDefault="00260A3F" w:rsidP="00966C6E">
      <w:pPr>
        <w:pStyle w:val="Textonotaalfinal"/>
        <w:ind w:left="720"/>
        <w:jc w:val="both"/>
        <w:rPr>
          <w:rFonts w:ascii="Arial" w:hAnsi="Arial" w:cs="Arial"/>
          <w:bCs/>
        </w:rPr>
      </w:pPr>
    </w:p>
    <w:p w14:paraId="5ED91EFC"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 xml:space="preserve">Ficha técnica FDA rubraca ® Disponible en: </w:t>
      </w:r>
      <w:hyperlink r:id="rId52" w:history="1">
        <w:r w:rsidR="00260A3F" w:rsidRPr="00A83B6D">
          <w:rPr>
            <w:rStyle w:val="Hipervnculo"/>
            <w:rFonts w:ascii="Arial" w:hAnsi="Arial" w:cs="Arial"/>
            <w:bCs/>
          </w:rPr>
          <w:t>https://www.accessdata.fda.gov/drugsatfda_docs/label/2022/209115s013lbl.pdf</w:t>
        </w:r>
      </w:hyperlink>
    </w:p>
    <w:p w14:paraId="4A868496" w14:textId="77777777" w:rsidR="00260A3F" w:rsidRPr="00260A3F" w:rsidRDefault="00260A3F" w:rsidP="00966C6E">
      <w:pPr>
        <w:pStyle w:val="Textonotaalfinal"/>
        <w:ind w:left="720"/>
        <w:jc w:val="both"/>
        <w:rPr>
          <w:rFonts w:ascii="Arial" w:hAnsi="Arial" w:cs="Arial"/>
          <w:bCs/>
        </w:rPr>
      </w:pPr>
    </w:p>
    <w:p w14:paraId="25993C92"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 xml:space="preserve">Ficha técnica FDA Tazelnna. Disponible en: </w:t>
      </w:r>
      <w:hyperlink r:id="rId53" w:history="1">
        <w:r w:rsidRPr="00260A3F">
          <w:rPr>
            <w:rStyle w:val="Hipervnculo"/>
            <w:rFonts w:ascii="Arial" w:hAnsi="Arial" w:cs="Arial"/>
            <w:bCs/>
            <w:color w:val="auto"/>
          </w:rPr>
          <w:t>https://www.accessdata.fda.gov/drugsatfda_docs/label/2023/211651s010lbl.pdf</w:t>
        </w:r>
      </w:hyperlink>
    </w:p>
    <w:p w14:paraId="02B56ADC" w14:textId="77777777" w:rsidR="00260A3F" w:rsidRPr="00260A3F" w:rsidRDefault="00260A3F" w:rsidP="00966C6E">
      <w:pPr>
        <w:pStyle w:val="Textonotaalfinal"/>
        <w:ind w:left="720"/>
        <w:jc w:val="both"/>
        <w:rPr>
          <w:rFonts w:ascii="Arial" w:hAnsi="Arial" w:cs="Arial"/>
          <w:bCs/>
        </w:rPr>
      </w:pPr>
    </w:p>
    <w:p w14:paraId="04D127C8"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 xml:space="preserve">Ficha técnica </w:t>
      </w:r>
      <w:r w:rsidR="00260A3F">
        <w:rPr>
          <w:rFonts w:ascii="Arial" w:hAnsi="Arial" w:cs="Arial"/>
          <w:bCs/>
        </w:rPr>
        <w:t>xtandi ®</w:t>
      </w:r>
      <w:r w:rsidRPr="00260A3F">
        <w:rPr>
          <w:rFonts w:ascii="Arial" w:hAnsi="Arial" w:cs="Arial"/>
          <w:bCs/>
        </w:rPr>
        <w:t>. Disponibl</w:t>
      </w:r>
      <w:r w:rsidR="00260A3F">
        <w:rPr>
          <w:rFonts w:ascii="Arial" w:hAnsi="Arial" w:cs="Arial"/>
          <w:bCs/>
        </w:rPr>
        <w:t>e</w:t>
      </w:r>
      <w:r w:rsidRPr="00260A3F">
        <w:rPr>
          <w:rFonts w:ascii="Arial" w:hAnsi="Arial" w:cs="Arial"/>
          <w:bCs/>
        </w:rPr>
        <w:t xml:space="preserve"> en: </w:t>
      </w:r>
      <w:hyperlink r:id="rId54" w:history="1">
        <w:r w:rsidRPr="00260A3F">
          <w:rPr>
            <w:rStyle w:val="Hipervnculo"/>
            <w:rFonts w:ascii="Arial" w:hAnsi="Arial" w:cs="Arial"/>
            <w:bCs/>
            <w:color w:val="auto"/>
          </w:rPr>
          <w:t>https://cima.aemps.es/cima/dochtml/ft/113846002/FT_113846002.html</w:t>
        </w:r>
      </w:hyperlink>
    </w:p>
    <w:p w14:paraId="1B0E9128" w14:textId="77777777" w:rsidR="00260A3F" w:rsidRPr="00260A3F" w:rsidRDefault="00260A3F" w:rsidP="00966C6E">
      <w:pPr>
        <w:pStyle w:val="Textonotaalfinal"/>
        <w:ind w:left="720"/>
        <w:jc w:val="both"/>
        <w:rPr>
          <w:rFonts w:ascii="Arial" w:hAnsi="Arial" w:cs="Arial"/>
          <w:bCs/>
        </w:rPr>
      </w:pPr>
    </w:p>
    <w:p w14:paraId="18E36BAC" w14:textId="77777777" w:rsidR="006A7804" w:rsidRDefault="006A7804" w:rsidP="000970B0">
      <w:pPr>
        <w:pStyle w:val="Textonotaalfinal"/>
        <w:numPr>
          <w:ilvl w:val="0"/>
          <w:numId w:val="29"/>
        </w:numPr>
        <w:rPr>
          <w:rFonts w:ascii="Arial" w:hAnsi="Arial" w:cs="Arial"/>
          <w:bCs/>
        </w:rPr>
      </w:pPr>
      <w:r w:rsidRPr="00260A3F">
        <w:rPr>
          <w:rFonts w:ascii="Arial" w:hAnsi="Arial" w:cs="Arial"/>
          <w:bCs/>
        </w:rPr>
        <w:t xml:space="preserve">Ficha técnica </w:t>
      </w:r>
      <w:r w:rsidR="00046C70" w:rsidRPr="00260A3F">
        <w:rPr>
          <w:rFonts w:ascii="Arial" w:hAnsi="Arial" w:cs="Arial"/>
          <w:bCs/>
        </w:rPr>
        <w:t>Zytiga ®</w:t>
      </w:r>
      <w:r w:rsidRPr="00260A3F">
        <w:rPr>
          <w:rFonts w:ascii="Arial" w:hAnsi="Arial" w:cs="Arial"/>
          <w:bCs/>
        </w:rPr>
        <w:t>. Disponible en:</w:t>
      </w:r>
      <w:r w:rsidR="00046C70" w:rsidRPr="00260A3F">
        <w:rPr>
          <w:rFonts w:ascii="Arial" w:hAnsi="Arial" w:cs="Arial"/>
          <w:bCs/>
        </w:rPr>
        <w:t xml:space="preserve"> </w:t>
      </w:r>
      <w:hyperlink r:id="rId55" w:history="1">
        <w:r w:rsidR="00260A3F" w:rsidRPr="00A83B6D">
          <w:rPr>
            <w:rStyle w:val="Hipervnculo"/>
            <w:rFonts w:ascii="Arial" w:hAnsi="Arial" w:cs="Arial"/>
            <w:bCs/>
          </w:rPr>
          <w:t>https://cima.aemps.es/cima/dochtml/ft/111714003/FT_111714003.html</w:t>
        </w:r>
      </w:hyperlink>
    </w:p>
    <w:p w14:paraId="67A66B8A" w14:textId="77777777" w:rsidR="00260A3F" w:rsidRPr="00260A3F" w:rsidRDefault="00260A3F" w:rsidP="00966C6E">
      <w:pPr>
        <w:pStyle w:val="Textonotaalfinal"/>
        <w:ind w:left="720"/>
        <w:jc w:val="both"/>
        <w:rPr>
          <w:rFonts w:ascii="Arial" w:hAnsi="Arial" w:cs="Arial"/>
          <w:bCs/>
        </w:rPr>
      </w:pPr>
    </w:p>
    <w:p w14:paraId="5E9CDAC4" w14:textId="0AF63CB5" w:rsidR="006A7804" w:rsidRPr="000970B0" w:rsidRDefault="006A7804" w:rsidP="000970B0">
      <w:pPr>
        <w:pStyle w:val="Textonotaalfinal"/>
        <w:numPr>
          <w:ilvl w:val="0"/>
          <w:numId w:val="29"/>
        </w:numPr>
        <w:rPr>
          <w:rStyle w:val="Hipervnculo"/>
          <w:rFonts w:ascii="Arial" w:hAnsi="Arial" w:cs="Arial"/>
          <w:bCs/>
          <w:color w:val="auto"/>
          <w:u w:val="none"/>
        </w:rPr>
      </w:pPr>
      <w:r w:rsidRPr="00260A3F">
        <w:rPr>
          <w:rFonts w:ascii="Arial" w:hAnsi="Arial" w:cs="Arial"/>
          <w:bCs/>
        </w:rPr>
        <w:t>Ficha técnica de Akeega</w:t>
      </w:r>
      <w:r w:rsidRPr="00260A3F">
        <w:rPr>
          <w:rFonts w:ascii="Arial" w:hAnsi="Arial" w:cs="Arial"/>
          <w:bCs/>
          <w:vertAlign w:val="superscript"/>
        </w:rPr>
        <w:t>®</w:t>
      </w:r>
      <w:r w:rsidRPr="00260A3F">
        <w:rPr>
          <w:rFonts w:ascii="Arial" w:hAnsi="Arial" w:cs="Arial"/>
          <w:bCs/>
        </w:rPr>
        <w:t xml:space="preserve">. Disponible en: </w:t>
      </w:r>
      <w:hyperlink r:id="rId56" w:anchor="5" w:history="1">
        <w:r w:rsidR="00260A3F" w:rsidRPr="00A83B6D">
          <w:rPr>
            <w:rStyle w:val="Hipervnculo"/>
            <w:rFonts w:ascii="Arial" w:hAnsi="Arial" w:cs="Arial"/>
            <w:bCs/>
          </w:rPr>
          <w:t>https://cima.aemps.es/cima/dochtml/ft/1231722002/FT_1231722002.html#5</w:t>
        </w:r>
      </w:hyperlink>
    </w:p>
    <w:p w14:paraId="6BA10E2A" w14:textId="77777777" w:rsidR="000970B0" w:rsidRPr="00470336" w:rsidRDefault="000970B0" w:rsidP="000970B0">
      <w:pPr>
        <w:pStyle w:val="Textonotaalfinal"/>
        <w:rPr>
          <w:rStyle w:val="Hipervnculo"/>
          <w:rFonts w:ascii="Arial" w:hAnsi="Arial" w:cs="Arial"/>
          <w:bCs/>
          <w:color w:val="auto"/>
          <w:u w:val="none"/>
        </w:rPr>
      </w:pPr>
    </w:p>
    <w:p w14:paraId="42816CEA" w14:textId="0F723EFC" w:rsidR="00260A3F" w:rsidRPr="000970B0" w:rsidRDefault="00470336" w:rsidP="006E4A51">
      <w:pPr>
        <w:numPr>
          <w:ilvl w:val="0"/>
          <w:numId w:val="29"/>
        </w:numPr>
        <w:spacing w:after="120" w:line="280" w:lineRule="exact"/>
        <w:jc w:val="both"/>
        <w:rPr>
          <w:rFonts w:ascii="Arial" w:hAnsi="Arial" w:cs="Arial"/>
          <w:bCs/>
        </w:rPr>
      </w:pPr>
      <w:r w:rsidRPr="000970B0">
        <w:rPr>
          <w:rFonts w:ascii="Arial" w:hAnsi="Arial"/>
          <w:sz w:val="20"/>
          <w:lang w:val="it-IT"/>
        </w:rPr>
        <w:t>Saad, F., Chi, K. N., Shore, N. D.,</w:t>
      </w:r>
      <w:r w:rsidR="000970B0" w:rsidRPr="000970B0">
        <w:rPr>
          <w:rFonts w:ascii="Arial" w:hAnsi="Arial"/>
          <w:sz w:val="20"/>
          <w:lang w:val="it-IT"/>
        </w:rPr>
        <w:t xml:space="preserve">Graff JN, Posadas EM, Lattoug JB </w:t>
      </w:r>
      <w:r w:rsidRPr="000970B0">
        <w:rPr>
          <w:rFonts w:ascii="Arial" w:hAnsi="Arial"/>
          <w:sz w:val="20"/>
          <w:lang w:val="it-IT"/>
        </w:rPr>
        <w:t xml:space="preserve">et al (2021). </w:t>
      </w:r>
      <w:r w:rsidRPr="000970B0">
        <w:rPr>
          <w:rFonts w:ascii="Arial" w:hAnsi="Arial" w:cs="Arial"/>
          <w:bCs/>
          <w:sz w:val="20"/>
          <w:szCs w:val="20"/>
          <w:lang w:val="en-GB"/>
        </w:rPr>
        <w:t xml:space="preserve">Niraparib with androgen receptor-axis-targeted therapy in patients with metastatic castration-resistant prostate cancer: safety and pharmacokinetic results from a phase 1b study (BEDIVERE). </w:t>
      </w:r>
      <w:r w:rsidRPr="000970B0">
        <w:rPr>
          <w:rFonts w:ascii="Arial" w:hAnsi="Arial" w:cs="Arial"/>
          <w:bCs/>
          <w:i/>
          <w:iCs/>
          <w:sz w:val="20"/>
          <w:szCs w:val="20"/>
        </w:rPr>
        <w:t>Cancer chemotherapy and pharmacology</w:t>
      </w:r>
      <w:r w:rsidRPr="000970B0">
        <w:rPr>
          <w:rFonts w:ascii="Arial" w:hAnsi="Arial" w:cs="Arial"/>
          <w:bCs/>
          <w:sz w:val="20"/>
          <w:szCs w:val="20"/>
        </w:rPr>
        <w:t xml:space="preserve">, </w:t>
      </w:r>
      <w:r w:rsidRPr="000970B0">
        <w:rPr>
          <w:rFonts w:ascii="Arial" w:hAnsi="Arial" w:cs="Arial"/>
          <w:bCs/>
          <w:i/>
          <w:iCs/>
          <w:sz w:val="20"/>
          <w:szCs w:val="20"/>
        </w:rPr>
        <w:t>88</w:t>
      </w:r>
      <w:r w:rsidRPr="000970B0">
        <w:rPr>
          <w:rFonts w:ascii="Arial" w:hAnsi="Arial" w:cs="Arial"/>
          <w:bCs/>
          <w:sz w:val="20"/>
          <w:szCs w:val="20"/>
        </w:rPr>
        <w:t xml:space="preserve">(1), 25–37. </w:t>
      </w:r>
      <w:hyperlink r:id="rId57" w:history="1">
        <w:r w:rsidRPr="000970B0">
          <w:rPr>
            <w:rStyle w:val="Hipervnculo"/>
            <w:rFonts w:ascii="Arial" w:hAnsi="Arial" w:cs="Arial"/>
            <w:bCs/>
            <w:color w:val="auto"/>
            <w:sz w:val="20"/>
            <w:szCs w:val="20"/>
          </w:rPr>
          <w:t>https://doi.org/10.1007/s00280-021-04249-7</w:t>
        </w:r>
      </w:hyperlink>
    </w:p>
    <w:p w14:paraId="7A3C336E" w14:textId="05880D83" w:rsidR="00046C70" w:rsidRPr="00260A3F" w:rsidRDefault="001A0EA8" w:rsidP="00966C6E">
      <w:pPr>
        <w:numPr>
          <w:ilvl w:val="0"/>
          <w:numId w:val="29"/>
        </w:numPr>
        <w:spacing w:after="120" w:line="280" w:lineRule="exact"/>
        <w:jc w:val="both"/>
        <w:rPr>
          <w:rFonts w:ascii="Arial" w:hAnsi="Arial" w:cs="Arial"/>
          <w:bCs/>
          <w:sz w:val="20"/>
          <w:szCs w:val="20"/>
        </w:rPr>
      </w:pPr>
      <w:r w:rsidRPr="00811E88">
        <w:rPr>
          <w:rFonts w:ascii="Arial" w:hAnsi="Arial"/>
          <w:sz w:val="20"/>
          <w:lang w:val="en-GB"/>
        </w:rPr>
        <w:t xml:space="preserve">Chi, K. N., Rathkopf, D., Smith, M. R </w:t>
      </w:r>
      <w:r w:rsidR="000970B0" w:rsidRPr="00811E88">
        <w:rPr>
          <w:rFonts w:ascii="Arial" w:hAnsi="Arial"/>
          <w:sz w:val="20"/>
          <w:lang w:val="en-GB"/>
        </w:rPr>
        <w:t xml:space="preserve">Efstathiou E, Attard G, Olmos D </w:t>
      </w:r>
      <w:r w:rsidRPr="00811E88">
        <w:rPr>
          <w:rFonts w:ascii="Arial" w:hAnsi="Arial"/>
          <w:sz w:val="20"/>
          <w:lang w:val="en-GB"/>
        </w:rPr>
        <w:t xml:space="preserve">et al MAGNITUDE Principal Investigators (2023). Niraparib and Abiraterone Acetate for Metastatic Castration-Resistant Prostate Cancer. </w:t>
      </w:r>
      <w:r w:rsidR="00046C70" w:rsidRPr="00A234B1">
        <w:rPr>
          <w:rFonts w:ascii="Arial" w:hAnsi="Arial" w:cs="Arial"/>
          <w:bCs/>
          <w:i/>
          <w:iCs/>
          <w:sz w:val="20"/>
          <w:szCs w:val="20"/>
          <w:lang w:val="en-GB"/>
        </w:rPr>
        <w:t xml:space="preserve">Journal of clinical </w:t>
      </w:r>
      <w:r w:rsidR="000D1DF5" w:rsidRPr="00A234B1">
        <w:rPr>
          <w:rFonts w:ascii="Arial" w:hAnsi="Arial" w:cs="Arial"/>
          <w:bCs/>
          <w:i/>
          <w:iCs/>
          <w:sz w:val="20"/>
          <w:szCs w:val="20"/>
          <w:lang w:val="en-GB"/>
        </w:rPr>
        <w:t>oncology:</w:t>
      </w:r>
      <w:r w:rsidR="00046C70" w:rsidRPr="00A234B1">
        <w:rPr>
          <w:rFonts w:ascii="Arial" w:hAnsi="Arial" w:cs="Arial"/>
          <w:bCs/>
          <w:i/>
          <w:iCs/>
          <w:sz w:val="20"/>
          <w:szCs w:val="20"/>
          <w:lang w:val="en-GB"/>
        </w:rPr>
        <w:t xml:space="preserve"> official journal of the American Society of Clinical Oncology</w:t>
      </w:r>
      <w:r w:rsidR="00046C70" w:rsidRPr="00A234B1">
        <w:rPr>
          <w:rFonts w:ascii="Arial" w:hAnsi="Arial" w:cs="Arial"/>
          <w:bCs/>
          <w:sz w:val="20"/>
          <w:szCs w:val="20"/>
          <w:lang w:val="en-GB"/>
        </w:rPr>
        <w:t xml:space="preserve">, </w:t>
      </w:r>
      <w:r w:rsidR="00046C70" w:rsidRPr="00A234B1">
        <w:rPr>
          <w:rFonts w:ascii="Arial" w:hAnsi="Arial" w:cs="Arial"/>
          <w:bCs/>
          <w:i/>
          <w:iCs/>
          <w:sz w:val="20"/>
          <w:szCs w:val="20"/>
          <w:lang w:val="en-GB"/>
        </w:rPr>
        <w:t>41</w:t>
      </w:r>
      <w:r w:rsidR="00046C70" w:rsidRPr="00A234B1">
        <w:rPr>
          <w:rFonts w:ascii="Arial" w:hAnsi="Arial" w:cs="Arial"/>
          <w:bCs/>
          <w:sz w:val="20"/>
          <w:szCs w:val="20"/>
          <w:lang w:val="en-GB"/>
        </w:rPr>
        <w:t xml:space="preserve">(18), 3339–3351. </w:t>
      </w:r>
      <w:hyperlink r:id="rId58" w:history="1">
        <w:r w:rsidR="00046C70" w:rsidRPr="00260A3F">
          <w:rPr>
            <w:rStyle w:val="Hipervnculo"/>
            <w:rFonts w:ascii="Arial" w:hAnsi="Arial" w:cs="Arial"/>
            <w:bCs/>
            <w:color w:val="auto"/>
            <w:sz w:val="20"/>
            <w:szCs w:val="20"/>
          </w:rPr>
          <w:t>https://doi.org/10.1200/JCO.22.01649</w:t>
        </w:r>
      </w:hyperlink>
      <w:r w:rsidR="00046C70" w:rsidRPr="00260A3F">
        <w:rPr>
          <w:rFonts w:ascii="Arial" w:hAnsi="Arial" w:cs="Arial"/>
          <w:bCs/>
          <w:sz w:val="20"/>
          <w:szCs w:val="20"/>
        </w:rPr>
        <w:t xml:space="preserve"> </w:t>
      </w:r>
      <w:r w:rsidR="000970B0">
        <w:rPr>
          <w:rStyle w:val="comma"/>
        </w:rPr>
        <w:t> </w:t>
      </w:r>
      <w:r w:rsidR="000970B0" w:rsidRPr="00260A3F">
        <w:rPr>
          <w:rFonts w:ascii="Arial" w:hAnsi="Arial" w:cs="Arial"/>
          <w:bCs/>
          <w:sz w:val="20"/>
          <w:szCs w:val="20"/>
        </w:rPr>
        <w:t xml:space="preserve"> </w:t>
      </w:r>
    </w:p>
    <w:p w14:paraId="728E0EC6" w14:textId="63ECAD03" w:rsidR="00046C70" w:rsidRDefault="001A0EA8" w:rsidP="00966C6E">
      <w:pPr>
        <w:numPr>
          <w:ilvl w:val="0"/>
          <w:numId w:val="29"/>
        </w:numPr>
        <w:spacing w:after="120" w:line="280" w:lineRule="exact"/>
        <w:jc w:val="both"/>
        <w:rPr>
          <w:rFonts w:ascii="Arial" w:hAnsi="Arial" w:cs="Arial"/>
          <w:bCs/>
          <w:sz w:val="20"/>
          <w:szCs w:val="20"/>
        </w:rPr>
      </w:pPr>
      <w:r w:rsidRPr="002013E1">
        <w:rPr>
          <w:rFonts w:ascii="Arial" w:hAnsi="Arial"/>
          <w:sz w:val="20"/>
          <w:lang w:val="it-IT"/>
        </w:rPr>
        <w:t xml:space="preserve">Chi, K. N., Fleshner, N., Chiuri, V. E., </w:t>
      </w:r>
      <w:r w:rsidR="000970B0">
        <w:rPr>
          <w:rFonts w:ascii="Arial" w:hAnsi="Arial"/>
          <w:sz w:val="20"/>
          <w:lang w:val="it-IT"/>
        </w:rPr>
        <w:t xml:space="preserve">Bruwaene SV, Hafron J, McNeel DG </w:t>
      </w:r>
      <w:r w:rsidRPr="002013E1">
        <w:rPr>
          <w:rFonts w:ascii="Arial" w:hAnsi="Arial"/>
          <w:sz w:val="20"/>
          <w:lang w:val="it-IT"/>
        </w:rPr>
        <w:t xml:space="preserve">et al. </w:t>
      </w:r>
      <w:r w:rsidRPr="002013E1">
        <w:rPr>
          <w:rFonts w:ascii="Arial" w:hAnsi="Arial"/>
          <w:sz w:val="20"/>
          <w:lang w:val="en-US"/>
        </w:rPr>
        <w:t xml:space="preserve">(2023). </w:t>
      </w:r>
      <w:r w:rsidR="00046C70" w:rsidRPr="00A234B1">
        <w:rPr>
          <w:rFonts w:ascii="Arial" w:hAnsi="Arial" w:cs="Arial"/>
          <w:bCs/>
          <w:sz w:val="20"/>
          <w:szCs w:val="20"/>
          <w:lang w:val="en-GB"/>
        </w:rPr>
        <w:t xml:space="preserve">Niraparib with Abiraterone Acetate and Prednisone for Metastatic Castration-Resistant Prostate Cancer: Phase II QUEST Study Results. </w:t>
      </w:r>
      <w:r w:rsidR="00046C70" w:rsidRPr="00260A3F">
        <w:rPr>
          <w:rFonts w:ascii="Arial" w:hAnsi="Arial" w:cs="Arial"/>
          <w:bCs/>
          <w:i/>
          <w:iCs/>
          <w:sz w:val="20"/>
          <w:szCs w:val="20"/>
        </w:rPr>
        <w:t>The oncologist</w:t>
      </w:r>
      <w:r w:rsidR="00046C70" w:rsidRPr="00260A3F">
        <w:rPr>
          <w:rFonts w:ascii="Arial" w:hAnsi="Arial" w:cs="Arial"/>
          <w:bCs/>
          <w:sz w:val="20"/>
          <w:szCs w:val="20"/>
        </w:rPr>
        <w:t xml:space="preserve">, </w:t>
      </w:r>
      <w:r w:rsidR="00046C70" w:rsidRPr="00260A3F">
        <w:rPr>
          <w:rFonts w:ascii="Arial" w:hAnsi="Arial" w:cs="Arial"/>
          <w:bCs/>
          <w:i/>
          <w:iCs/>
          <w:sz w:val="20"/>
          <w:szCs w:val="20"/>
        </w:rPr>
        <w:t>28</w:t>
      </w:r>
      <w:r w:rsidR="00046C70" w:rsidRPr="00260A3F">
        <w:rPr>
          <w:rFonts w:ascii="Arial" w:hAnsi="Arial" w:cs="Arial"/>
          <w:bCs/>
          <w:sz w:val="20"/>
          <w:szCs w:val="20"/>
        </w:rPr>
        <w:t xml:space="preserve">(5), e309–e312. </w:t>
      </w:r>
      <w:hyperlink r:id="rId59" w:history="1">
        <w:r w:rsidR="00046C70" w:rsidRPr="00260A3F">
          <w:rPr>
            <w:rStyle w:val="Hipervnculo"/>
            <w:rFonts w:ascii="Arial" w:hAnsi="Arial" w:cs="Arial"/>
            <w:bCs/>
            <w:color w:val="auto"/>
            <w:sz w:val="20"/>
            <w:szCs w:val="20"/>
          </w:rPr>
          <w:t>https://doi.org/10.1093/oncolo/oyad008</w:t>
        </w:r>
      </w:hyperlink>
      <w:r w:rsidR="00046C70" w:rsidRPr="00260A3F">
        <w:rPr>
          <w:rFonts w:ascii="Arial" w:hAnsi="Arial" w:cs="Arial"/>
          <w:bCs/>
          <w:sz w:val="20"/>
          <w:szCs w:val="20"/>
        </w:rPr>
        <w:t xml:space="preserve"> </w:t>
      </w:r>
    </w:p>
    <w:p w14:paraId="055A837E" w14:textId="7FC1FE6B" w:rsidR="00470336" w:rsidRPr="00470336" w:rsidRDefault="00470336" w:rsidP="00966C6E">
      <w:pPr>
        <w:numPr>
          <w:ilvl w:val="0"/>
          <w:numId w:val="29"/>
        </w:numPr>
        <w:spacing w:after="120" w:line="280" w:lineRule="exact"/>
        <w:jc w:val="both"/>
        <w:rPr>
          <w:rFonts w:ascii="Arial" w:hAnsi="Arial" w:cs="Arial"/>
          <w:bCs/>
          <w:sz w:val="20"/>
          <w:szCs w:val="20"/>
          <w:lang w:val="en-GB"/>
        </w:rPr>
      </w:pPr>
      <w:r w:rsidRPr="00470336">
        <w:rPr>
          <w:rFonts w:ascii="Arial" w:hAnsi="Arial" w:cs="Arial"/>
          <w:bCs/>
          <w:sz w:val="20"/>
          <w:szCs w:val="20"/>
          <w:lang w:val="en-GB"/>
        </w:rPr>
        <w:t xml:space="preserve">Quinn Z, Leiby B, Sonpavde G, Choudhury AD, Sweeney C, Einstein D, </w:t>
      </w:r>
      <w:r w:rsidR="000970B0">
        <w:rPr>
          <w:rFonts w:ascii="Arial" w:hAnsi="Arial" w:cs="Arial"/>
          <w:bCs/>
          <w:sz w:val="20"/>
          <w:szCs w:val="20"/>
          <w:lang w:val="en-GB"/>
        </w:rPr>
        <w:t>et al</w:t>
      </w:r>
      <w:r w:rsidRPr="00470336">
        <w:rPr>
          <w:rFonts w:ascii="Arial" w:hAnsi="Arial" w:cs="Arial"/>
          <w:bCs/>
          <w:sz w:val="20"/>
          <w:szCs w:val="20"/>
          <w:lang w:val="en-GB"/>
        </w:rPr>
        <w:t>. Phase I Study of Niraparib in Combination with Radium-223 for the Treatment of Metastatic Castrate-Resistant Prostate Cancer. Clin Cancer Res. 2023 Jan 4;29(1):50-59. doi: 10.1158/1078-0432.CCR-22-2526. PMID: 36321991; PMCID: PMC9812873.</w:t>
      </w:r>
    </w:p>
    <w:p w14:paraId="12A8E7B9" w14:textId="30224380" w:rsidR="00046C70" w:rsidRDefault="001A0EA8" w:rsidP="00966C6E">
      <w:pPr>
        <w:pStyle w:val="Textonotaalfinal"/>
        <w:numPr>
          <w:ilvl w:val="0"/>
          <w:numId w:val="29"/>
        </w:numPr>
        <w:jc w:val="both"/>
        <w:rPr>
          <w:rStyle w:val="markedcontent"/>
          <w:rFonts w:ascii="Arial" w:hAnsi="Arial" w:cs="Arial"/>
          <w:bCs/>
          <w:lang w:val="en-GB"/>
        </w:rPr>
      </w:pPr>
      <w:r w:rsidRPr="002013E1">
        <w:rPr>
          <w:rStyle w:val="markedcontent"/>
          <w:rFonts w:ascii="Arial" w:hAnsi="Arial"/>
          <w:lang w:val="fr-FR"/>
        </w:rPr>
        <w:t>Eisenhauer EA, Therasse P, Bogaerts J,</w:t>
      </w:r>
      <w:r w:rsidR="000970B0">
        <w:rPr>
          <w:rStyle w:val="markedcontent"/>
          <w:rFonts w:ascii="Arial" w:hAnsi="Arial"/>
          <w:lang w:val="fr-FR"/>
        </w:rPr>
        <w:t xml:space="preserve"> Schwartz LH, Sargent D, Ford R </w:t>
      </w:r>
      <w:r w:rsidRPr="002013E1">
        <w:rPr>
          <w:rStyle w:val="markedcontent"/>
          <w:rFonts w:ascii="Arial" w:hAnsi="Arial"/>
          <w:lang w:val="fr-FR"/>
        </w:rPr>
        <w:t xml:space="preserve">et al. </w:t>
      </w:r>
      <w:r w:rsidR="00046C70" w:rsidRPr="00966C6E">
        <w:rPr>
          <w:rStyle w:val="markedcontent"/>
          <w:rFonts w:ascii="Arial" w:hAnsi="Arial" w:cs="Arial"/>
          <w:bCs/>
          <w:lang w:val="en-GB"/>
        </w:rPr>
        <w:t>New response evaluation criteria in solid tumours:</w:t>
      </w:r>
      <w:r w:rsidR="00260A3F" w:rsidRPr="00966C6E">
        <w:rPr>
          <w:rStyle w:val="markedcontent"/>
          <w:rFonts w:ascii="Arial" w:hAnsi="Arial" w:cs="Arial"/>
          <w:bCs/>
          <w:lang w:val="en-GB"/>
        </w:rPr>
        <w:t xml:space="preserve"> </w:t>
      </w:r>
      <w:r w:rsidR="00046C70" w:rsidRPr="00966C6E">
        <w:rPr>
          <w:rStyle w:val="markedcontent"/>
          <w:rFonts w:ascii="Arial" w:hAnsi="Arial" w:cs="Arial"/>
          <w:bCs/>
          <w:lang w:val="en-GB"/>
        </w:rPr>
        <w:t>revised RECIST guideline (version 1.1). Eur J Cancer 45:228-247, 2009</w:t>
      </w:r>
    </w:p>
    <w:p w14:paraId="37AB0E79" w14:textId="77777777" w:rsidR="000970B0" w:rsidRPr="00966C6E" w:rsidRDefault="000970B0" w:rsidP="000970B0">
      <w:pPr>
        <w:pStyle w:val="Textonotaalfinal"/>
        <w:ind w:left="720"/>
        <w:jc w:val="both"/>
        <w:rPr>
          <w:rStyle w:val="markedcontent"/>
          <w:rFonts w:ascii="Arial" w:hAnsi="Arial" w:cs="Arial"/>
          <w:bCs/>
          <w:lang w:val="en-GB"/>
        </w:rPr>
      </w:pPr>
    </w:p>
    <w:p w14:paraId="2C0C3A7B" w14:textId="6EFB4AFF" w:rsidR="006A7804" w:rsidRPr="00966C6E" w:rsidRDefault="00E4143F" w:rsidP="00966C6E">
      <w:pPr>
        <w:pStyle w:val="Textonotaalfinal"/>
        <w:numPr>
          <w:ilvl w:val="0"/>
          <w:numId w:val="29"/>
        </w:numPr>
        <w:jc w:val="both"/>
        <w:rPr>
          <w:rFonts w:ascii="Arial" w:hAnsi="Arial" w:cs="Arial"/>
          <w:bCs/>
          <w:lang w:val="en-GB"/>
        </w:rPr>
      </w:pPr>
      <w:r w:rsidRPr="00A234B1">
        <w:rPr>
          <w:rFonts w:ascii="Arial" w:hAnsi="Arial" w:cs="Arial"/>
          <w:bCs/>
          <w:lang w:val="en-GB"/>
        </w:rPr>
        <w:t xml:space="preserve">Chi, K. N., Sandhu, S., Smith, M. R., Attard, G., Saad, M., Olmos, D. et al. </w:t>
      </w:r>
      <w:r w:rsidRPr="00966C6E">
        <w:rPr>
          <w:rFonts w:ascii="Arial" w:hAnsi="Arial" w:cs="Arial"/>
          <w:bCs/>
          <w:lang w:val="en-GB"/>
        </w:rPr>
        <w:t xml:space="preserve">Niraparib plus abiraterone acetate with prednisone in patients with metastatic castration-resistant prostate </w:t>
      </w:r>
      <w:r w:rsidR="00864C22" w:rsidRPr="00966C6E">
        <w:rPr>
          <w:rFonts w:ascii="Arial" w:hAnsi="Arial" w:cs="Arial"/>
          <w:bCs/>
          <w:lang w:val="en-GB"/>
        </w:rPr>
        <w:t>c</w:t>
      </w:r>
      <w:r w:rsidR="00864C22">
        <w:rPr>
          <w:rFonts w:ascii="Arial" w:hAnsi="Arial" w:cs="Arial"/>
          <w:bCs/>
          <w:lang w:val="en-GB"/>
        </w:rPr>
        <w:t>a</w:t>
      </w:r>
      <w:r w:rsidR="00864C22" w:rsidRPr="00966C6E">
        <w:rPr>
          <w:rFonts w:ascii="Arial" w:hAnsi="Arial" w:cs="Arial"/>
          <w:bCs/>
          <w:lang w:val="en-GB"/>
        </w:rPr>
        <w:t xml:space="preserve">ncer </w:t>
      </w:r>
      <w:r w:rsidRPr="00966C6E">
        <w:rPr>
          <w:rFonts w:ascii="Arial" w:hAnsi="Arial" w:cs="Arial"/>
          <w:bCs/>
          <w:lang w:val="en-GB"/>
        </w:rPr>
        <w:t>and homologous recombination repair gene alterations: second interim analysis of the randomized phase III MAGNITUDE trial. Ann Oncol. 2023 Sep;34(9):772-782. doi: 10.1016/j.annonc.2023.06.009. Epub 2023 Jul 1. PMID: 37399894</w:t>
      </w:r>
      <w:r w:rsidRPr="00966C6E">
        <w:rPr>
          <w:rFonts w:ascii="Segoe UI" w:hAnsi="Segoe UI" w:cs="Segoe UI"/>
          <w:color w:val="212121"/>
          <w:shd w:val="clear" w:color="auto" w:fill="FFFFFF"/>
          <w:lang w:val="en-GB"/>
        </w:rPr>
        <w:t>.</w:t>
      </w:r>
    </w:p>
    <w:p w14:paraId="6C2C3C66" w14:textId="77777777" w:rsidR="00260A3F" w:rsidRPr="00966C6E" w:rsidRDefault="00260A3F" w:rsidP="00966C6E">
      <w:pPr>
        <w:pStyle w:val="Textonotaalfinal"/>
        <w:jc w:val="both"/>
        <w:rPr>
          <w:rFonts w:ascii="Arial" w:hAnsi="Arial" w:cs="Arial"/>
          <w:bCs/>
          <w:lang w:val="en-GB"/>
        </w:rPr>
      </w:pPr>
    </w:p>
    <w:p w14:paraId="78160C56" w14:textId="77777777" w:rsidR="003C4FAD" w:rsidRPr="002013E1" w:rsidRDefault="001A0EA8" w:rsidP="00966C6E">
      <w:pPr>
        <w:pStyle w:val="Textonotaalfinal"/>
        <w:numPr>
          <w:ilvl w:val="0"/>
          <w:numId w:val="29"/>
        </w:numPr>
        <w:jc w:val="both"/>
        <w:rPr>
          <w:rFonts w:ascii="Arial" w:hAnsi="Arial"/>
          <w:lang w:val="en-GB"/>
        </w:rPr>
      </w:pPr>
      <w:r w:rsidRPr="002013E1">
        <w:rPr>
          <w:rFonts w:ascii="Arial" w:hAnsi="Arial"/>
          <w:lang w:val="en-GB"/>
        </w:rPr>
        <w:t xml:space="preserve">MCBS-ESMO score card guidelines niraparib/abiraterona. Disponible en: </w:t>
      </w:r>
      <w:hyperlink w:history="1">
        <w:r w:rsidRPr="0021555D">
          <w:rPr>
            <w:rStyle w:val="Hipervnculo"/>
            <w:rFonts w:ascii="Arial" w:hAnsi="Arial"/>
            <w:lang w:val="en-GB"/>
          </w:rPr>
          <w:t>https://www.esmo</w:t>
        </w:r>
        <w:r w:rsidR="001F7874" w:rsidRPr="00CD2460">
          <w:rPr>
            <w:rStyle w:val="Hipervnculo"/>
            <w:rFonts w:ascii="Arial" w:hAnsi="Arial" w:cs="Arial"/>
            <w:bCs/>
            <w:lang w:val="en-GB"/>
          </w:rPr>
          <w:t xml:space="preserve">    </w:t>
        </w:r>
        <w:r w:rsidRPr="0021555D">
          <w:rPr>
            <w:rStyle w:val="Hipervnculo"/>
            <w:rFonts w:ascii="Arial" w:hAnsi="Arial"/>
            <w:lang w:val="en-GB"/>
          </w:rPr>
          <w:t>.org/guidelines/esmo-mcbs/esmo-mcbs-for-solid-tumours/esmo-mcbs-scorecards/scorecard-395-1</w:t>
        </w:r>
      </w:hyperlink>
    </w:p>
    <w:p w14:paraId="00E4460B" w14:textId="77777777" w:rsidR="00260A3F" w:rsidRPr="002013E1" w:rsidRDefault="00260A3F" w:rsidP="00966C6E">
      <w:pPr>
        <w:pStyle w:val="Textonotaalfinal"/>
        <w:jc w:val="both"/>
        <w:rPr>
          <w:rFonts w:ascii="Arial" w:hAnsi="Arial"/>
          <w:lang w:val="en-GB"/>
        </w:rPr>
      </w:pPr>
    </w:p>
    <w:p w14:paraId="0426CDA3" w14:textId="7C513C2D" w:rsidR="00260A3F" w:rsidRPr="000970B0" w:rsidRDefault="003C4FAD" w:rsidP="006E4A51">
      <w:pPr>
        <w:pStyle w:val="Textonotaalfinal"/>
        <w:numPr>
          <w:ilvl w:val="0"/>
          <w:numId w:val="29"/>
        </w:numPr>
        <w:jc w:val="both"/>
        <w:rPr>
          <w:rStyle w:val="comma"/>
          <w:rFonts w:ascii="Arial" w:hAnsi="Arial" w:cs="Arial"/>
          <w:bCs/>
          <w:lang w:val="en-GB"/>
        </w:rPr>
      </w:pPr>
      <w:r w:rsidRPr="000970B0">
        <w:rPr>
          <w:rFonts w:ascii="Arial" w:hAnsi="Arial" w:cs="Arial"/>
          <w:bCs/>
          <w:lang w:val="en-GB"/>
        </w:rPr>
        <w:t xml:space="preserve">Sayyid RK, Klaassen Z, Berlin A, </w:t>
      </w:r>
      <w:r w:rsidR="000970B0" w:rsidRPr="000970B0">
        <w:rPr>
          <w:rFonts w:ascii="Arial" w:hAnsi="Arial" w:cs="Arial"/>
          <w:bCs/>
          <w:lang w:val="en-GB"/>
        </w:rPr>
        <w:t xml:space="preserve">Roy S, Brandao LR, Bernardino R </w:t>
      </w:r>
      <w:r w:rsidRPr="000970B0">
        <w:rPr>
          <w:rFonts w:ascii="Arial" w:hAnsi="Arial" w:cs="Arial"/>
          <w:bCs/>
          <w:lang w:val="en-GB"/>
        </w:rPr>
        <w:t>et al. Poly(adenosine diphosphate-ribose) polymerase inhibitor combinations in first-line metastatic castrate-resistant prostate cancer setting: a systematic review and meta-analysis. BJU Int. 2023 Jul 17. doi: 10.1111/bju.16130. Epub ahead of print. PMID: 37461140.</w:t>
      </w:r>
      <w:r w:rsidR="000970B0" w:rsidRPr="00811E88">
        <w:rPr>
          <w:rStyle w:val="Ttulo2Car"/>
          <w:lang w:val="en-GB"/>
        </w:rPr>
        <w:t xml:space="preserve"> </w:t>
      </w:r>
      <w:r w:rsidR="000970B0" w:rsidRPr="00811E88">
        <w:rPr>
          <w:rStyle w:val="comma"/>
          <w:lang w:val="en-GB"/>
        </w:rPr>
        <w:t> </w:t>
      </w:r>
    </w:p>
    <w:p w14:paraId="47F9DBB4" w14:textId="77777777" w:rsidR="000970B0" w:rsidRPr="000970B0" w:rsidRDefault="000970B0" w:rsidP="000970B0">
      <w:pPr>
        <w:pStyle w:val="Textonotaalfinal"/>
        <w:jc w:val="both"/>
        <w:rPr>
          <w:rFonts w:ascii="Arial" w:hAnsi="Arial" w:cs="Arial"/>
          <w:bCs/>
          <w:lang w:val="en-GB"/>
        </w:rPr>
      </w:pPr>
    </w:p>
    <w:p w14:paraId="5FAB9006" w14:textId="462BCACC" w:rsidR="00260A3F" w:rsidRDefault="001A0EA8" w:rsidP="00966C6E">
      <w:pPr>
        <w:pStyle w:val="Textonotaalfinal"/>
        <w:numPr>
          <w:ilvl w:val="0"/>
          <w:numId w:val="29"/>
        </w:numPr>
        <w:jc w:val="both"/>
        <w:rPr>
          <w:rFonts w:ascii="Arial" w:hAnsi="Arial" w:cs="Arial"/>
          <w:bCs/>
        </w:rPr>
      </w:pPr>
      <w:r w:rsidRPr="002013E1">
        <w:rPr>
          <w:rFonts w:ascii="Arial" w:hAnsi="Arial"/>
          <w:lang w:val="it-IT"/>
        </w:rPr>
        <w:t xml:space="preserve">Messina C, Giunta EF, Signori A </w:t>
      </w:r>
      <w:r w:rsidR="000970B0">
        <w:rPr>
          <w:rFonts w:ascii="Arial" w:hAnsi="Arial"/>
          <w:lang w:val="it-IT"/>
        </w:rPr>
        <w:t xml:space="preserve">Rebuzzi SE, Banna GL, Maniam A </w:t>
      </w:r>
      <w:r w:rsidRPr="002013E1">
        <w:rPr>
          <w:rFonts w:ascii="Arial" w:hAnsi="Arial"/>
          <w:lang w:val="it-IT"/>
        </w:rPr>
        <w:t xml:space="preserve">et al. </w:t>
      </w:r>
      <w:r w:rsidR="003C4FAD" w:rsidRPr="00966C6E">
        <w:rPr>
          <w:rFonts w:ascii="Arial" w:hAnsi="Arial" w:cs="Arial"/>
          <w:bCs/>
          <w:lang w:val="en-GB"/>
        </w:rPr>
        <w:t xml:space="preserve">Combining PARP Inhibitors and Androgen Receptor Signalling Inhibitors in Metastatic Prostate Cancer: A Quantitative Synthesis and Meta-analysis. </w:t>
      </w:r>
      <w:r w:rsidR="003C4FAD" w:rsidRPr="00A234B1">
        <w:rPr>
          <w:rFonts w:ascii="Arial" w:hAnsi="Arial" w:cs="Arial"/>
          <w:bCs/>
          <w:lang w:val="en-GB"/>
        </w:rPr>
        <w:t xml:space="preserve">Eur Urol Oncol. 2023 Aug 11:S2588-9311(23)00155-4. doi: 10.1016/j.euo.2023.07.013. Epub ahead of print. </w:t>
      </w:r>
      <w:r w:rsidR="003C4FAD" w:rsidRPr="00260A3F">
        <w:rPr>
          <w:rFonts w:ascii="Arial" w:hAnsi="Arial" w:cs="Arial"/>
          <w:bCs/>
        </w:rPr>
        <w:t>PMID: 37574390.</w:t>
      </w:r>
    </w:p>
    <w:p w14:paraId="53C11DA8" w14:textId="190FDA8A" w:rsidR="00260A3F" w:rsidRPr="00260A3F" w:rsidRDefault="000970B0" w:rsidP="00966C6E">
      <w:pPr>
        <w:pStyle w:val="Textonotaalfinal"/>
        <w:jc w:val="both"/>
        <w:rPr>
          <w:rFonts w:ascii="Arial" w:hAnsi="Arial" w:cs="Arial"/>
          <w:bCs/>
        </w:rPr>
      </w:pPr>
      <w:r>
        <w:rPr>
          <w:rStyle w:val="author-sup-separator"/>
          <w:vertAlign w:val="superscript"/>
        </w:rPr>
        <w:t> </w:t>
      </w:r>
      <w:hyperlink r:id="rId60" w:anchor="full-view-affiliation-6" w:tooltip="Department of Oncology, Portsmouth Hospitals University NHS Trust, Portsmouth, UK." w:history="1">
        <w:r>
          <w:rPr>
            <w:rStyle w:val="Hipervnculo"/>
            <w:vertAlign w:val="superscript"/>
          </w:rPr>
          <w:t xml:space="preserve"> </w:t>
        </w:r>
      </w:hyperlink>
    </w:p>
    <w:p w14:paraId="2B8F5553" w14:textId="2EA1FB1B" w:rsidR="00F07C3B" w:rsidRDefault="00F07C3B" w:rsidP="00966C6E">
      <w:pPr>
        <w:numPr>
          <w:ilvl w:val="0"/>
          <w:numId w:val="29"/>
        </w:numPr>
        <w:jc w:val="both"/>
        <w:rPr>
          <w:rFonts w:ascii="Arial" w:hAnsi="Arial"/>
          <w:sz w:val="20"/>
        </w:rPr>
      </w:pPr>
      <w:r w:rsidRPr="00811E88">
        <w:rPr>
          <w:rFonts w:ascii="Arial" w:hAnsi="Arial"/>
          <w:sz w:val="20"/>
          <w:lang w:val="en-GB"/>
        </w:rPr>
        <w:t xml:space="preserve">Saad F, Clarke NW, Oya M, Shore N, Procopio G, Guedes JD et al. Olaparib plus abiraterone versus placebo plus abiraterone in metastatic castration-resistant prostate cancer (PROpel): final prespecified overall survival results of a randomised double-blind, pase 3 trial. </w:t>
      </w:r>
      <w:r>
        <w:rPr>
          <w:rFonts w:ascii="Arial" w:hAnsi="Arial"/>
          <w:sz w:val="20"/>
        </w:rPr>
        <w:t>Lancet Oncol 2023; 24:1094-108.</w:t>
      </w:r>
    </w:p>
    <w:p w14:paraId="34C92599" w14:textId="77777777" w:rsidR="00F07C3B" w:rsidRDefault="00F07C3B" w:rsidP="00F07C3B">
      <w:pPr>
        <w:pStyle w:val="Prrafodelista"/>
        <w:rPr>
          <w:rFonts w:ascii="Arial" w:hAnsi="Arial"/>
          <w:sz w:val="20"/>
        </w:rPr>
      </w:pPr>
    </w:p>
    <w:p w14:paraId="15D6789B" w14:textId="2B78AAC6" w:rsidR="00B51204" w:rsidRPr="00811E88" w:rsidRDefault="001A0EA8" w:rsidP="00966C6E">
      <w:pPr>
        <w:numPr>
          <w:ilvl w:val="0"/>
          <w:numId w:val="29"/>
        </w:numPr>
        <w:jc w:val="both"/>
        <w:rPr>
          <w:rFonts w:ascii="Arial" w:hAnsi="Arial"/>
          <w:sz w:val="20"/>
          <w:lang w:val="en-GB"/>
        </w:rPr>
      </w:pPr>
      <w:r w:rsidRPr="00811E88">
        <w:rPr>
          <w:rFonts w:ascii="Arial" w:hAnsi="Arial"/>
          <w:sz w:val="20"/>
          <w:lang w:val="en-GB"/>
        </w:rPr>
        <w:t>Clarke NW, Armstrong AJ, Thiery-Vuillemin A et al. Final overall</w:t>
      </w:r>
      <w:r w:rsidR="00F07C3B" w:rsidRPr="00811E88">
        <w:rPr>
          <w:rFonts w:ascii="Arial" w:hAnsi="Arial"/>
          <w:sz w:val="20"/>
          <w:lang w:val="en-GB"/>
        </w:rPr>
        <w:t xml:space="preserve"> </w:t>
      </w:r>
      <w:r w:rsidRPr="00811E88">
        <w:rPr>
          <w:rFonts w:ascii="Arial" w:hAnsi="Arial"/>
          <w:sz w:val="20"/>
          <w:lang w:val="en-GB"/>
        </w:rPr>
        <w:t>survival (OS) in PROpel: abiraterone (abi) and olaparib (Ola) versus abiraterone and placebo (pbo) as</w:t>
      </w:r>
      <w:r w:rsidR="00925DD9" w:rsidRPr="00811E88">
        <w:rPr>
          <w:rFonts w:ascii="Arial" w:hAnsi="Arial"/>
          <w:sz w:val="20"/>
          <w:lang w:val="en-GB"/>
        </w:rPr>
        <w:t xml:space="preserve"> </w:t>
      </w:r>
      <w:r w:rsidRPr="00811E88">
        <w:rPr>
          <w:rFonts w:ascii="Arial" w:hAnsi="Arial"/>
          <w:sz w:val="20"/>
          <w:lang w:val="en-GB"/>
        </w:rPr>
        <w:t>first-line (1L) therapy for metastaticcastration-resistant prostate cancer (mCRPC).J Clin Oncol2023; 41(Suppl6): abstr LBA16</w:t>
      </w:r>
    </w:p>
    <w:p w14:paraId="5FDD82EF" w14:textId="77777777" w:rsidR="00260A3F" w:rsidRPr="00811E88" w:rsidRDefault="00260A3F" w:rsidP="00966C6E">
      <w:pPr>
        <w:jc w:val="both"/>
        <w:rPr>
          <w:rFonts w:ascii="Arial" w:hAnsi="Arial"/>
          <w:sz w:val="20"/>
          <w:lang w:val="en-GB"/>
        </w:rPr>
      </w:pPr>
    </w:p>
    <w:p w14:paraId="4FF5069B" w14:textId="44C7088E" w:rsidR="00B51204" w:rsidRPr="00A234B1" w:rsidRDefault="00B51204" w:rsidP="00966C6E">
      <w:pPr>
        <w:numPr>
          <w:ilvl w:val="0"/>
          <w:numId w:val="29"/>
        </w:numPr>
        <w:jc w:val="both"/>
        <w:rPr>
          <w:rFonts w:ascii="Arial" w:hAnsi="Arial" w:cs="Arial"/>
          <w:bCs/>
          <w:sz w:val="20"/>
          <w:szCs w:val="20"/>
          <w:lang w:val="en-GB"/>
        </w:rPr>
      </w:pPr>
      <w:r w:rsidRPr="00A234B1">
        <w:rPr>
          <w:rFonts w:ascii="Arial" w:hAnsi="Arial" w:cs="Arial"/>
          <w:bCs/>
          <w:sz w:val="20"/>
          <w:szCs w:val="20"/>
          <w:lang w:val="en-GB"/>
        </w:rPr>
        <w:t>Agarwal N,</w:t>
      </w:r>
      <w:r w:rsidR="00F07C3B">
        <w:rPr>
          <w:rFonts w:ascii="Arial" w:hAnsi="Arial" w:cs="Arial"/>
          <w:bCs/>
          <w:sz w:val="20"/>
          <w:szCs w:val="20"/>
          <w:lang w:val="en-GB"/>
        </w:rPr>
        <w:t xml:space="preserve"> </w:t>
      </w:r>
      <w:r w:rsidRPr="00A234B1">
        <w:rPr>
          <w:rFonts w:ascii="Arial" w:hAnsi="Arial" w:cs="Arial"/>
          <w:bCs/>
          <w:sz w:val="20"/>
          <w:szCs w:val="20"/>
          <w:lang w:val="en-GB"/>
        </w:rPr>
        <w:t>Azad A,</w:t>
      </w:r>
      <w:r w:rsidR="00F07C3B">
        <w:rPr>
          <w:rFonts w:ascii="Arial" w:hAnsi="Arial" w:cs="Arial"/>
          <w:bCs/>
          <w:sz w:val="20"/>
          <w:szCs w:val="20"/>
          <w:lang w:val="en-GB"/>
        </w:rPr>
        <w:t xml:space="preserve"> </w:t>
      </w:r>
      <w:r w:rsidRPr="00A234B1">
        <w:rPr>
          <w:rFonts w:ascii="Arial" w:hAnsi="Arial" w:cs="Arial"/>
          <w:bCs/>
          <w:sz w:val="20"/>
          <w:szCs w:val="20"/>
          <w:lang w:val="en-GB"/>
        </w:rPr>
        <w:t>Carles</w:t>
      </w:r>
      <w:r w:rsidR="00F07C3B">
        <w:rPr>
          <w:rFonts w:ascii="Arial" w:hAnsi="Arial" w:cs="Arial"/>
          <w:bCs/>
          <w:sz w:val="20"/>
          <w:szCs w:val="20"/>
          <w:lang w:val="en-GB"/>
        </w:rPr>
        <w:t>, Fay AP, Matsubara N, Heinrich D</w:t>
      </w:r>
      <w:r w:rsidRPr="00A234B1">
        <w:rPr>
          <w:rFonts w:ascii="Arial" w:hAnsi="Arial" w:cs="Arial"/>
          <w:bCs/>
          <w:sz w:val="20"/>
          <w:szCs w:val="20"/>
          <w:lang w:val="en-GB"/>
        </w:rPr>
        <w:t xml:space="preserve"> J et al.Talazoparib plus enzalutamide in menwithfirst-line metastatic castration-resistant prostate cancer (TALAPRO-2): a randomised, placebo-controlled, phase 3 trial.Lancet2023; 402: 291–303.</w:t>
      </w:r>
      <w:r w:rsidR="00F07C3B" w:rsidRPr="00811E88">
        <w:rPr>
          <w:rStyle w:val="author-sup-separator"/>
          <w:vertAlign w:val="superscript"/>
          <w:lang w:val="en-GB"/>
        </w:rPr>
        <w:t> </w:t>
      </w:r>
      <w:hyperlink r:id="rId61" w:anchor="full-view-affiliation-6" w:tooltip="Innlandet Hospital Trust, Gjøvik, Norway." w:history="1">
        <w:r w:rsidR="00F07C3B" w:rsidRPr="00811E88">
          <w:rPr>
            <w:rStyle w:val="Hipervnculo"/>
            <w:vertAlign w:val="superscript"/>
            <w:lang w:val="en-GB"/>
          </w:rPr>
          <w:t xml:space="preserve"> </w:t>
        </w:r>
      </w:hyperlink>
    </w:p>
    <w:p w14:paraId="060B44D9" w14:textId="77777777" w:rsidR="00260A3F" w:rsidRPr="00A234B1" w:rsidRDefault="00260A3F" w:rsidP="00966C6E">
      <w:pPr>
        <w:jc w:val="both"/>
        <w:rPr>
          <w:rFonts w:ascii="Arial" w:hAnsi="Arial" w:cs="Arial"/>
          <w:bCs/>
          <w:sz w:val="20"/>
          <w:szCs w:val="20"/>
          <w:lang w:val="en-GB"/>
        </w:rPr>
      </w:pPr>
    </w:p>
    <w:p w14:paraId="04207DB9" w14:textId="50CF18D7" w:rsidR="00B51204" w:rsidRPr="00A234B1" w:rsidRDefault="00B51204" w:rsidP="00966C6E">
      <w:pPr>
        <w:pStyle w:val="Textonotaalfinal"/>
        <w:numPr>
          <w:ilvl w:val="0"/>
          <w:numId w:val="29"/>
        </w:numPr>
        <w:jc w:val="both"/>
        <w:rPr>
          <w:rFonts w:ascii="Arial" w:hAnsi="Arial" w:cs="Arial"/>
          <w:bCs/>
          <w:lang w:val="en-GB"/>
        </w:rPr>
      </w:pPr>
      <w:r w:rsidRPr="00260A3F">
        <w:rPr>
          <w:rFonts w:ascii="Arial" w:hAnsi="Arial" w:cs="Arial"/>
          <w:bCs/>
        </w:rPr>
        <w:t xml:space="preserve">González Del Alba A, Méndez-Vidal MJ, Vazquez S, Castro E, Climent MA, Gallardo E, </w:t>
      </w:r>
      <w:r w:rsidR="00F07C3B">
        <w:rPr>
          <w:rFonts w:ascii="Arial" w:hAnsi="Arial" w:cs="Arial"/>
          <w:bCs/>
        </w:rPr>
        <w:t>et al</w:t>
      </w:r>
      <w:r w:rsidRPr="00260A3F">
        <w:rPr>
          <w:rFonts w:ascii="Arial" w:hAnsi="Arial" w:cs="Arial"/>
          <w:bCs/>
        </w:rPr>
        <w:t xml:space="preserve"> JA. </w:t>
      </w:r>
      <w:r w:rsidRPr="00A234B1">
        <w:rPr>
          <w:rFonts w:ascii="Arial" w:hAnsi="Arial" w:cs="Arial"/>
          <w:bCs/>
          <w:lang w:val="en-GB"/>
        </w:rPr>
        <w:t>SEOM clinical guidelines for the treatment of advanced prostate cancer (2020). Clin Transl Oncol. 2021 May;23(5):969-979. doi: 10.1007/s12094-021-02561-5. Epub 2021 Feb 24. PMID: 33625671; PMCID: PMC8057980.</w:t>
      </w:r>
    </w:p>
    <w:p w14:paraId="6D83C2F3" w14:textId="77777777" w:rsidR="00260A3F" w:rsidRPr="00A234B1" w:rsidRDefault="00260A3F" w:rsidP="00966C6E">
      <w:pPr>
        <w:pStyle w:val="Textonotaalfinal"/>
        <w:jc w:val="both"/>
        <w:rPr>
          <w:rFonts w:ascii="Arial" w:hAnsi="Arial" w:cs="Arial"/>
          <w:bCs/>
          <w:lang w:val="en-GB"/>
        </w:rPr>
      </w:pPr>
    </w:p>
    <w:p w14:paraId="24A0867C" w14:textId="77777777" w:rsidR="0021555D" w:rsidRDefault="001A0EA8" w:rsidP="0021555D">
      <w:pPr>
        <w:pStyle w:val="Textonotaalfinal"/>
        <w:numPr>
          <w:ilvl w:val="0"/>
          <w:numId w:val="29"/>
        </w:numPr>
        <w:jc w:val="both"/>
        <w:rPr>
          <w:rFonts w:ascii="Arial" w:hAnsi="Arial" w:cs="Arial"/>
          <w:bCs/>
        </w:rPr>
      </w:pPr>
      <w:r w:rsidRPr="002013E1">
        <w:rPr>
          <w:rFonts w:ascii="Arial" w:hAnsi="Arial"/>
          <w:lang w:val="fr-FR"/>
        </w:rPr>
        <w:t xml:space="preserve">Haute Autorité de Santé. AKEEGA (NIRAPARIB/ACÉTATE D’ABIRATÉRONE Janssen Cilag) - Cancer de la prostate. </w:t>
      </w:r>
      <w:r w:rsidR="00B51204" w:rsidRPr="00260A3F">
        <w:rPr>
          <w:rFonts w:ascii="Arial" w:hAnsi="Arial" w:cs="Arial"/>
          <w:bCs/>
        </w:rPr>
        <w:t>Saint-Denis La Plaine: HAS; 2023.</w:t>
      </w:r>
    </w:p>
    <w:p w14:paraId="3D540BBA" w14:textId="77777777" w:rsidR="0021555D" w:rsidRDefault="0021555D" w:rsidP="0021555D">
      <w:pPr>
        <w:pStyle w:val="Prrafodelista"/>
        <w:rPr>
          <w:rFonts w:ascii="Arial" w:hAnsi="Arial" w:cs="Arial"/>
          <w:bCs/>
        </w:rPr>
      </w:pPr>
    </w:p>
    <w:p w14:paraId="4EE71D9C" w14:textId="2A14358F" w:rsidR="00260A3F" w:rsidRDefault="0021555D" w:rsidP="00F07C3B">
      <w:pPr>
        <w:pStyle w:val="Textonotaalfinal"/>
        <w:numPr>
          <w:ilvl w:val="0"/>
          <w:numId w:val="29"/>
        </w:numPr>
        <w:rPr>
          <w:rFonts w:ascii="Arial" w:hAnsi="Arial" w:cs="Arial"/>
          <w:bCs/>
        </w:rPr>
      </w:pPr>
      <w:r w:rsidRPr="00811E88">
        <w:rPr>
          <w:rFonts w:ascii="Arial" w:hAnsi="Arial" w:cs="Arial"/>
          <w:bCs/>
          <w:lang w:val="en-GB"/>
        </w:rPr>
        <w:t xml:space="preserve">CADTH Reimbursement Recommendation: Niraparib and Abiraterone Acetate (Akeega), enero 2024. </w:t>
      </w:r>
      <w:r w:rsidR="00F07C3B">
        <w:rPr>
          <w:rFonts w:ascii="Arial" w:hAnsi="Arial" w:cs="Arial"/>
          <w:bCs/>
        </w:rPr>
        <w:t xml:space="preserve">Disponible en: </w:t>
      </w:r>
      <w:r w:rsidRPr="0021555D">
        <w:rPr>
          <w:rFonts w:ascii="Arial" w:hAnsi="Arial" w:cs="Arial"/>
          <w:bCs/>
        </w:rPr>
        <w:t>https://www.cadth.ca/sites/default/files/DRR/2024/PC0326%20Akeega%20-%20Draft%20CADTH%20Recommendation%20(with%20redactions)%20January%204%2C%202024%20for%20posting.pdf</w:t>
      </w:r>
    </w:p>
    <w:p w14:paraId="10E937BE" w14:textId="77777777" w:rsidR="0021555D" w:rsidRPr="0021555D" w:rsidRDefault="0021555D" w:rsidP="0021555D">
      <w:pPr>
        <w:pStyle w:val="Textonotaalfinal"/>
        <w:ind w:left="720"/>
        <w:jc w:val="both"/>
        <w:rPr>
          <w:rFonts w:ascii="Arial" w:hAnsi="Arial" w:cs="Arial"/>
          <w:bCs/>
        </w:rPr>
      </w:pPr>
    </w:p>
    <w:p w14:paraId="1367CD68" w14:textId="77777777" w:rsidR="00B51204" w:rsidRPr="002013E1" w:rsidRDefault="00B51204" w:rsidP="00966C6E">
      <w:pPr>
        <w:pStyle w:val="Textonotaalfinal"/>
        <w:numPr>
          <w:ilvl w:val="0"/>
          <w:numId w:val="29"/>
        </w:numPr>
        <w:jc w:val="both"/>
        <w:rPr>
          <w:rFonts w:ascii="Arial" w:hAnsi="Arial"/>
          <w:lang w:val="en-US"/>
        </w:rPr>
      </w:pPr>
      <w:r w:rsidRPr="00A234B1">
        <w:rPr>
          <w:rStyle w:val="personname"/>
          <w:rFonts w:ascii="Arial" w:hAnsi="Arial" w:cs="Arial"/>
          <w:bCs/>
          <w:lang w:val="en-GB"/>
        </w:rPr>
        <w:t>Rothschedl, E.</w:t>
      </w:r>
      <w:r w:rsidRPr="00A234B1">
        <w:rPr>
          <w:rFonts w:ascii="Arial" w:hAnsi="Arial" w:cs="Arial"/>
          <w:bCs/>
          <w:lang w:val="en-GB"/>
        </w:rPr>
        <w:t xml:space="preserve"> and </w:t>
      </w:r>
      <w:r w:rsidRPr="00A234B1">
        <w:rPr>
          <w:rStyle w:val="personname"/>
          <w:rFonts w:ascii="Arial" w:hAnsi="Arial" w:cs="Arial"/>
          <w:bCs/>
          <w:lang w:val="en-GB"/>
        </w:rPr>
        <w:t>Wolf, S.</w:t>
      </w:r>
      <w:r w:rsidRPr="00A234B1">
        <w:rPr>
          <w:rFonts w:ascii="Arial" w:hAnsi="Arial" w:cs="Arial"/>
          <w:bCs/>
          <w:lang w:val="en-GB"/>
        </w:rPr>
        <w:t xml:space="preserve"> (2023): Niraparib/abiraterone acetate (Akeega®) for the treatment of metastatic castration-resistant prostate cancer (mCRPC). </w:t>
      </w:r>
      <w:r w:rsidR="001A0EA8" w:rsidRPr="002013E1">
        <w:rPr>
          <w:rFonts w:ascii="Arial" w:hAnsi="Arial"/>
          <w:lang w:val="en-US"/>
        </w:rPr>
        <w:t>Update July 2023. Fact Sheet Nr. 125.</w:t>
      </w:r>
      <w:r w:rsidR="00C23C4F">
        <w:rPr>
          <w:rFonts w:ascii="Arial" w:hAnsi="Arial" w:cs="Arial"/>
          <w:bCs/>
          <w:lang w:val="en-US"/>
        </w:rPr>
        <w:t xml:space="preserve"> [acceso: 14/01/2024] Disponible en: </w:t>
      </w:r>
      <w:r w:rsidR="00C23C4F" w:rsidRPr="00C23C4F">
        <w:rPr>
          <w:rFonts w:ascii="Arial" w:hAnsi="Arial" w:cs="Arial"/>
          <w:bCs/>
          <w:lang w:val="en-US"/>
        </w:rPr>
        <w:t>https://eprints.aihta.at/1438/</w:t>
      </w:r>
    </w:p>
    <w:p w14:paraId="103FB932" w14:textId="77777777" w:rsidR="00260A3F" w:rsidRPr="002013E1" w:rsidRDefault="00260A3F" w:rsidP="00966C6E">
      <w:pPr>
        <w:pStyle w:val="Textonotaalfinal"/>
        <w:jc w:val="both"/>
        <w:rPr>
          <w:rFonts w:ascii="Arial" w:hAnsi="Arial"/>
          <w:lang w:val="en-US"/>
        </w:rPr>
      </w:pPr>
    </w:p>
    <w:p w14:paraId="77B05F4B" w14:textId="77777777" w:rsidR="006A7804" w:rsidRPr="000C4156" w:rsidRDefault="00B51204" w:rsidP="00966C6E">
      <w:pPr>
        <w:pStyle w:val="Textonotapie"/>
        <w:numPr>
          <w:ilvl w:val="0"/>
          <w:numId w:val="29"/>
        </w:numPr>
        <w:jc w:val="both"/>
        <w:rPr>
          <w:rFonts w:cs="Arial"/>
          <w:bCs/>
          <w:lang w:val="es-ES"/>
        </w:rPr>
      </w:pPr>
      <w:r w:rsidRPr="00260A3F">
        <w:rPr>
          <w:rFonts w:cs="Arial"/>
          <w:bCs/>
        </w:rPr>
        <w:t xml:space="preserve">Ortega Eslava A, Marín Gil R, Fraga Fuentes MD, López-Briz E, Puigventós Latorre F (GENESIS-SEFH). Guía de evaluación económica e impacto presupuestario en los informes de evaluación de medicamentos. Guía práctica asociada al programa MADRE v 4.0. Madrid: SEFH (ed.), 2016. ISBN 978-84-617-6757-1.  Disponible en: </w:t>
      </w:r>
      <w:hyperlink r:id="rId62" w:history="1">
        <w:r w:rsidRPr="00260A3F">
          <w:rPr>
            <w:rStyle w:val="Hipervnculo"/>
            <w:rFonts w:cs="Arial"/>
            <w:bCs/>
            <w:color w:val="auto"/>
          </w:rPr>
          <w:t>http://gruposdetrabajo.sefh.es/genesis</w:t>
        </w:r>
      </w:hyperlink>
      <w:r w:rsidRPr="00260A3F">
        <w:rPr>
          <w:rFonts w:cs="Arial"/>
          <w:bCs/>
        </w:rPr>
        <w:t xml:space="preserve"> .</w:t>
      </w:r>
    </w:p>
    <w:p w14:paraId="4444BFED" w14:textId="77777777" w:rsidR="000C4156" w:rsidRPr="000D1DF5" w:rsidRDefault="000C4156" w:rsidP="00966C6E">
      <w:pPr>
        <w:pStyle w:val="Prrafodelista"/>
        <w:jc w:val="both"/>
        <w:rPr>
          <w:rFonts w:ascii="Arial" w:hAnsi="Arial" w:cs="Arial"/>
          <w:bCs/>
          <w:snapToGrid w:val="0"/>
          <w:sz w:val="20"/>
          <w:szCs w:val="20"/>
          <w:lang w:val="es-ES_tradnl"/>
        </w:rPr>
      </w:pPr>
    </w:p>
    <w:p w14:paraId="1C83AE5B" w14:textId="77777777" w:rsidR="000C4156" w:rsidRDefault="000C4156" w:rsidP="00F07C3B">
      <w:pPr>
        <w:numPr>
          <w:ilvl w:val="0"/>
          <w:numId w:val="29"/>
        </w:numPr>
        <w:rPr>
          <w:rFonts w:ascii="Arial" w:hAnsi="Arial" w:cs="Arial"/>
          <w:bCs/>
          <w:snapToGrid w:val="0"/>
          <w:sz w:val="20"/>
          <w:szCs w:val="20"/>
          <w:lang w:val="es-ES_tradnl"/>
        </w:rPr>
      </w:pPr>
      <w:r w:rsidRPr="000D1DF5">
        <w:rPr>
          <w:rFonts w:ascii="Arial" w:hAnsi="Arial" w:cs="Arial"/>
          <w:bCs/>
          <w:snapToGrid w:val="0"/>
          <w:sz w:val="20"/>
          <w:szCs w:val="20"/>
          <w:lang w:val="es-ES_tradnl"/>
        </w:rPr>
        <w:t xml:space="preserve">Las cifras de cáncer en España 2023. A: </w:t>
      </w:r>
      <w:hyperlink r:id="rId63" w:history="1">
        <w:r w:rsidRPr="000D1DF5">
          <w:rPr>
            <w:rFonts w:ascii="Arial" w:hAnsi="Arial" w:cs="Arial"/>
            <w:bCs/>
            <w:snapToGrid w:val="0"/>
            <w:sz w:val="20"/>
            <w:szCs w:val="20"/>
            <w:lang w:val="es-ES_tradnl"/>
          </w:rPr>
          <w:t>https://seom.org/images/Las_cifras_del_Cancer_en_Espana_2023.pdf</w:t>
        </w:r>
      </w:hyperlink>
    </w:p>
    <w:p w14:paraId="6FC77594" w14:textId="77777777" w:rsidR="00F07C3B" w:rsidRPr="000D1DF5" w:rsidRDefault="00F07C3B" w:rsidP="00F07C3B">
      <w:pPr>
        <w:rPr>
          <w:rFonts w:ascii="Arial" w:hAnsi="Arial" w:cs="Arial"/>
          <w:bCs/>
          <w:snapToGrid w:val="0"/>
          <w:sz w:val="20"/>
          <w:szCs w:val="20"/>
          <w:lang w:val="es-ES_tradnl"/>
        </w:rPr>
      </w:pPr>
    </w:p>
    <w:p w14:paraId="02C4A8F0" w14:textId="77777777" w:rsidR="000C4156" w:rsidRDefault="003C19DC" w:rsidP="00966C6E">
      <w:pPr>
        <w:numPr>
          <w:ilvl w:val="0"/>
          <w:numId w:val="29"/>
        </w:numPr>
        <w:jc w:val="both"/>
        <w:rPr>
          <w:rFonts w:ascii="Arial" w:hAnsi="Arial" w:cs="Arial"/>
          <w:bCs/>
          <w:snapToGrid w:val="0"/>
          <w:sz w:val="20"/>
          <w:szCs w:val="20"/>
          <w:lang w:val="es-ES_tradnl"/>
        </w:rPr>
      </w:pPr>
      <w:hyperlink r:id="rId64" w:history="1">
        <w:r w:rsidR="000C4156" w:rsidRPr="000D1DF5">
          <w:rPr>
            <w:rFonts w:ascii="Arial" w:hAnsi="Arial" w:cs="Arial"/>
            <w:bCs/>
            <w:snapToGrid w:val="0"/>
            <w:sz w:val="20"/>
            <w:szCs w:val="20"/>
            <w:lang w:val="es-ES_tradnl"/>
          </w:rPr>
          <w:t>https://seom.org/seomcms/images/stories/Informes_SEOM/IEV_olaparib_ca_prostata_resistente.pdf</w:t>
        </w:r>
      </w:hyperlink>
    </w:p>
    <w:p w14:paraId="1B51ADDC" w14:textId="77777777" w:rsidR="00F07C3B" w:rsidRPr="000D1DF5" w:rsidRDefault="00F07C3B" w:rsidP="00F07C3B">
      <w:pPr>
        <w:jc w:val="both"/>
        <w:rPr>
          <w:rFonts w:ascii="Arial" w:hAnsi="Arial" w:cs="Arial"/>
          <w:bCs/>
          <w:snapToGrid w:val="0"/>
          <w:sz w:val="20"/>
          <w:szCs w:val="20"/>
          <w:lang w:val="es-ES_tradnl"/>
        </w:rPr>
      </w:pPr>
    </w:p>
    <w:p w14:paraId="4D91A46D" w14:textId="77777777" w:rsidR="000C4156" w:rsidRDefault="000C4156" w:rsidP="00966C6E">
      <w:pPr>
        <w:numPr>
          <w:ilvl w:val="0"/>
          <w:numId w:val="29"/>
        </w:numPr>
        <w:jc w:val="both"/>
        <w:rPr>
          <w:rFonts w:ascii="Arial" w:hAnsi="Arial" w:cs="Arial"/>
          <w:bCs/>
          <w:snapToGrid w:val="0"/>
          <w:sz w:val="20"/>
          <w:szCs w:val="20"/>
          <w:lang w:val="en-GB"/>
        </w:rPr>
      </w:pPr>
      <w:r w:rsidRPr="000D1DF5">
        <w:rPr>
          <w:rFonts w:ascii="Arial" w:hAnsi="Arial" w:cs="Arial"/>
          <w:bCs/>
          <w:snapToGrid w:val="0"/>
          <w:sz w:val="20"/>
          <w:szCs w:val="20"/>
          <w:lang w:val="es-ES_tradnl"/>
        </w:rPr>
        <w:t xml:space="preserve">Mateo J, </w:t>
      </w:r>
      <w:r w:rsidR="000D1DF5" w:rsidRPr="000D1DF5">
        <w:rPr>
          <w:rFonts w:ascii="Arial" w:hAnsi="Arial" w:cs="Arial"/>
          <w:bCs/>
          <w:snapToGrid w:val="0"/>
          <w:sz w:val="20"/>
          <w:szCs w:val="20"/>
          <w:lang w:val="es-ES_tradnl"/>
        </w:rPr>
        <w:t>S. Carreira, S. Sandhu, S. Miranda, H. Mossop, R. Perez-Lopez</w:t>
      </w:r>
      <w:r w:rsidRPr="000D1DF5">
        <w:rPr>
          <w:rFonts w:ascii="Arial" w:hAnsi="Arial" w:cs="Arial"/>
          <w:bCs/>
          <w:snapToGrid w:val="0"/>
          <w:sz w:val="20"/>
          <w:szCs w:val="20"/>
          <w:lang w:val="es-ES_tradnl"/>
        </w:rPr>
        <w:t xml:space="preserve">et al. </w:t>
      </w:r>
      <w:r w:rsidR="001A0EA8" w:rsidRPr="00811E88">
        <w:rPr>
          <w:rFonts w:ascii="Arial" w:hAnsi="Arial"/>
          <w:sz w:val="20"/>
          <w:lang w:val="en-GB"/>
        </w:rPr>
        <w:t xml:space="preserve">DNA-Repair Defects and Olaparib in Metastatic Prostate Cancer. </w:t>
      </w:r>
      <w:r w:rsidRPr="00A234B1">
        <w:rPr>
          <w:rFonts w:ascii="Arial" w:hAnsi="Arial" w:cs="Arial"/>
          <w:bCs/>
          <w:snapToGrid w:val="0"/>
          <w:sz w:val="20"/>
          <w:szCs w:val="20"/>
          <w:lang w:val="en-GB"/>
        </w:rPr>
        <w:t xml:space="preserve">N Engl J Med. 2015; 373(18):1697-708; </w:t>
      </w:r>
    </w:p>
    <w:p w14:paraId="3D20D006" w14:textId="77777777" w:rsidR="00F07C3B" w:rsidRPr="00A234B1" w:rsidRDefault="00F07C3B" w:rsidP="00F07C3B">
      <w:pPr>
        <w:jc w:val="both"/>
        <w:rPr>
          <w:rFonts w:ascii="Arial" w:hAnsi="Arial" w:cs="Arial"/>
          <w:bCs/>
          <w:snapToGrid w:val="0"/>
          <w:sz w:val="20"/>
          <w:szCs w:val="20"/>
          <w:lang w:val="en-GB"/>
        </w:rPr>
      </w:pPr>
    </w:p>
    <w:p w14:paraId="675DCE00" w14:textId="77777777" w:rsidR="000C4156" w:rsidRPr="000D1DF5" w:rsidRDefault="000C4156" w:rsidP="00966C6E">
      <w:pPr>
        <w:numPr>
          <w:ilvl w:val="0"/>
          <w:numId w:val="29"/>
        </w:numPr>
        <w:jc w:val="both"/>
        <w:rPr>
          <w:rFonts w:ascii="Arial" w:hAnsi="Arial" w:cs="Arial"/>
          <w:bCs/>
          <w:snapToGrid w:val="0"/>
          <w:sz w:val="20"/>
          <w:szCs w:val="20"/>
          <w:lang w:val="es-ES_tradnl"/>
        </w:rPr>
      </w:pPr>
      <w:r w:rsidRPr="00A234B1">
        <w:rPr>
          <w:rFonts w:ascii="Arial" w:hAnsi="Arial" w:cs="Arial"/>
          <w:bCs/>
          <w:snapToGrid w:val="0"/>
          <w:sz w:val="20"/>
          <w:szCs w:val="20"/>
          <w:lang w:val="en-GB"/>
        </w:rPr>
        <w:t xml:space="preserve">Pritchard CC, </w:t>
      </w:r>
      <w:r w:rsidR="000D1DF5" w:rsidRPr="00A234B1">
        <w:rPr>
          <w:rFonts w:ascii="Arial" w:hAnsi="Arial" w:cs="Arial"/>
          <w:bCs/>
          <w:snapToGrid w:val="0"/>
          <w:sz w:val="20"/>
          <w:szCs w:val="20"/>
          <w:lang w:val="en-GB"/>
        </w:rPr>
        <w:t xml:space="preserve">C.C. Pritchard, J. Mateo, M.F. Walsh, N. De Sarkar, W. Abida, H. Beltran </w:t>
      </w:r>
      <w:r w:rsidRPr="00A234B1">
        <w:rPr>
          <w:rFonts w:ascii="Arial" w:hAnsi="Arial" w:cs="Arial"/>
          <w:bCs/>
          <w:snapToGrid w:val="0"/>
          <w:sz w:val="20"/>
          <w:szCs w:val="20"/>
          <w:lang w:val="en-GB"/>
        </w:rPr>
        <w:t xml:space="preserve">et al. </w:t>
      </w:r>
      <w:r w:rsidRPr="00966C6E">
        <w:rPr>
          <w:rFonts w:ascii="Arial" w:hAnsi="Arial" w:cs="Arial"/>
          <w:bCs/>
          <w:snapToGrid w:val="0"/>
          <w:sz w:val="20"/>
          <w:szCs w:val="20"/>
          <w:lang w:val="en-GB"/>
        </w:rPr>
        <w:t xml:space="preserve">Inherited DNA-Repair Gene Mutations in Men with Metastatic Prostate Cancer. </w:t>
      </w:r>
      <w:r w:rsidRPr="000D1DF5">
        <w:rPr>
          <w:rFonts w:ascii="Arial" w:hAnsi="Arial" w:cs="Arial"/>
          <w:bCs/>
          <w:snapToGrid w:val="0"/>
          <w:sz w:val="20"/>
          <w:szCs w:val="20"/>
          <w:lang w:val="es-ES_tradnl"/>
        </w:rPr>
        <w:t>N Engl J Med. 2016; 375(5):443-53; Recomendaciones de AIOM para la implementación del análisis mutacional BRCA en pacientes con cáncer de próstata metastásico Edición de Febrero 2021.</w:t>
      </w:r>
    </w:p>
    <w:p w14:paraId="14B4D621" w14:textId="77777777" w:rsidR="000C4156" w:rsidRPr="000D1DF5" w:rsidRDefault="000C4156" w:rsidP="000C4156">
      <w:pPr>
        <w:pStyle w:val="Textonotapie"/>
        <w:ind w:left="720"/>
        <w:jc w:val="both"/>
        <w:rPr>
          <w:rFonts w:cs="Arial"/>
          <w:bCs/>
        </w:rPr>
      </w:pPr>
    </w:p>
    <w:p w14:paraId="78877AB0" w14:textId="77777777" w:rsidR="00E806AA" w:rsidRPr="00B517B6" w:rsidRDefault="00E806AA" w:rsidP="00BC3E8E">
      <w:pPr>
        <w:rPr>
          <w:rFonts w:ascii="Arial" w:hAnsi="Arial" w:cs="Arial"/>
          <w:sz w:val="20"/>
          <w:szCs w:val="20"/>
        </w:rPr>
      </w:pPr>
      <w:r>
        <w:rPr>
          <w:rFonts w:ascii="Arial" w:hAnsi="Arial" w:cs="Arial"/>
          <w:sz w:val="20"/>
          <w:szCs w:val="20"/>
        </w:rPr>
        <w:br w:type="page"/>
      </w:r>
    </w:p>
    <w:p w14:paraId="007AB5D1" w14:textId="77777777" w:rsidR="00BC3E8E" w:rsidRPr="006F4C4F" w:rsidRDefault="00BC3E8E" w:rsidP="00BC3E8E">
      <w:pPr>
        <w:shd w:val="clear" w:color="auto" w:fill="DBE5F1"/>
        <w:autoSpaceDE w:val="0"/>
        <w:autoSpaceDN w:val="0"/>
        <w:adjustRightInd w:val="0"/>
        <w:spacing w:line="240" w:lineRule="atLeast"/>
        <w:jc w:val="center"/>
        <w:rPr>
          <w:rFonts w:ascii="Arial" w:hAnsi="Arial" w:cs="Arial"/>
          <w:color w:val="000000"/>
          <w:sz w:val="20"/>
          <w:szCs w:val="20"/>
        </w:rPr>
      </w:pPr>
      <w:r w:rsidRPr="00707E7D">
        <w:rPr>
          <w:rFonts w:ascii="Arial" w:hAnsi="Arial" w:cs="Arial"/>
          <w:b/>
          <w:bCs/>
          <w:color w:val="000000"/>
          <w:sz w:val="20"/>
          <w:szCs w:val="20"/>
        </w:rPr>
        <w:t>Formulario de declaración de conflictos de intereses</w:t>
      </w:r>
    </w:p>
    <w:p w14:paraId="7E9DBA69" w14:textId="77777777" w:rsidR="00BC3E8E" w:rsidRDefault="00BC3E8E" w:rsidP="00BC3E8E">
      <w:pPr>
        <w:autoSpaceDE w:val="0"/>
        <w:autoSpaceDN w:val="0"/>
        <w:adjustRightInd w:val="0"/>
        <w:spacing w:line="240" w:lineRule="atLeast"/>
        <w:ind w:left="220" w:hanging="220"/>
        <w:rPr>
          <w:rFonts w:ascii="Arial" w:hAnsi="Arial" w:cs="Arial"/>
          <w:color w:val="000000"/>
          <w:sz w:val="20"/>
          <w:szCs w:val="20"/>
        </w:rPr>
      </w:pPr>
    </w:p>
    <w:p w14:paraId="040543C9" w14:textId="77777777" w:rsidR="00BC3E8E" w:rsidRPr="00456E6C" w:rsidRDefault="00BC3E8E" w:rsidP="00BC3E8E">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59063BC7" w14:textId="77777777" w:rsidR="00BC3E8E" w:rsidRPr="006F6ABB" w:rsidRDefault="00BC3E8E" w:rsidP="00BC3E8E">
      <w:pPr>
        <w:pStyle w:val="Default"/>
        <w:rPr>
          <w:rFonts w:ascii="Arial" w:hAnsi="Arial" w:cs="Arial"/>
          <w:color w:val="000080"/>
          <w:sz w:val="20"/>
          <w:szCs w:val="20"/>
          <w:lang w:eastAsia="es-ES"/>
        </w:rPr>
      </w:pPr>
    </w:p>
    <w:p w14:paraId="5F301F40" w14:textId="77777777" w:rsidR="00BC3E8E" w:rsidRPr="006F4C4F" w:rsidRDefault="00BC3E8E" w:rsidP="00BC3E8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Nombre y apellidos:</w:t>
      </w:r>
    </w:p>
    <w:p w14:paraId="542BD1E9" w14:textId="77777777"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3020B48F" w14:textId="77777777" w:rsidR="00BC3E8E" w:rsidRPr="006F4C4F" w:rsidRDefault="00BC3E8E" w:rsidP="00BC3E8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p>
    <w:p w14:paraId="71BB8E6A" w14:textId="77777777"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435368C0" w14:textId="77777777" w:rsidR="00BC3E8E" w:rsidRPr="006F4C4F" w:rsidRDefault="00BC3E8E" w:rsidP="00BC3E8E">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r w:rsidRPr="00707E7D">
        <w:rPr>
          <w:rFonts w:ascii="Arial" w:hAnsi="Arial" w:cs="Arial"/>
          <w:color w:val="000000"/>
          <w:sz w:val="20"/>
          <w:szCs w:val="20"/>
        </w:rPr>
        <w:t>Ej: sociedades científicas, grupo de trabajo, etc. (contestar sólo si es dife</w:t>
      </w:r>
      <w:r w:rsidRPr="00707E7D">
        <w:rPr>
          <w:rFonts w:ascii="Arial" w:hAnsi="Arial" w:cs="Arial"/>
          <w:color w:val="000000"/>
          <w:sz w:val="20"/>
          <w:szCs w:val="20"/>
        </w:rPr>
        <w:softHyphen/>
        <w:t>rente a la anterior):</w:t>
      </w:r>
    </w:p>
    <w:p w14:paraId="71E66B7C" w14:textId="77777777" w:rsidR="00BC3E8E" w:rsidRPr="00707E7D" w:rsidRDefault="00BC3E8E" w:rsidP="00BC3E8E">
      <w:pPr>
        <w:autoSpaceDE w:val="0"/>
        <w:autoSpaceDN w:val="0"/>
        <w:adjustRightInd w:val="0"/>
        <w:spacing w:after="40" w:line="240" w:lineRule="atLeast"/>
        <w:rPr>
          <w:rFonts w:ascii="Arial" w:hAnsi="Arial" w:cs="Arial"/>
          <w:color w:val="000000"/>
          <w:sz w:val="20"/>
          <w:szCs w:val="20"/>
        </w:rPr>
      </w:pPr>
    </w:p>
    <w:p w14:paraId="2FB656CE" w14:textId="77777777" w:rsidR="00BC3E8E" w:rsidRPr="006F4C4F" w:rsidRDefault="00BC3E8E" w:rsidP="00BC3E8E">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p>
    <w:p w14:paraId="012CDFE7"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1-Autor/a</w:t>
      </w:r>
    </w:p>
    <w:p w14:paraId="319643D6"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14:paraId="6CB534F1"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14:paraId="7EBD02D6" w14:textId="77777777" w:rsidR="00BC3E8E" w:rsidRPr="006A0347" w:rsidRDefault="00BC3E8E" w:rsidP="00BC3E8E">
      <w:pPr>
        <w:autoSpaceDE w:val="0"/>
        <w:autoSpaceDN w:val="0"/>
        <w:adjustRightInd w:val="0"/>
        <w:spacing w:line="240" w:lineRule="atLeast"/>
        <w:jc w:val="both"/>
        <w:rPr>
          <w:rFonts w:ascii="Arial" w:hAnsi="Arial" w:cs="Arial"/>
          <w:color w:val="000000"/>
          <w:sz w:val="20"/>
          <w:szCs w:val="20"/>
          <w:lang w:val="pt-BR"/>
        </w:rPr>
      </w:pPr>
    </w:p>
    <w:p w14:paraId="3422C8F3" w14:textId="77777777" w:rsidR="00BC3E8E" w:rsidRPr="006F4C4F" w:rsidRDefault="00BC3E8E" w:rsidP="00BC3E8E">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14:paraId="3583D9D6" w14:textId="77777777" w:rsidR="00BC3E8E" w:rsidRPr="00707E7D" w:rsidRDefault="00BC3E8E" w:rsidP="00BC3E8E">
      <w:pPr>
        <w:autoSpaceDE w:val="0"/>
        <w:autoSpaceDN w:val="0"/>
        <w:adjustRightInd w:val="0"/>
        <w:spacing w:after="40" w:line="240" w:lineRule="atLeast"/>
        <w:rPr>
          <w:rFonts w:ascii="Arial" w:hAnsi="Arial" w:cs="Arial"/>
          <w:color w:val="000000"/>
          <w:sz w:val="20"/>
          <w:szCs w:val="20"/>
        </w:rPr>
      </w:pPr>
    </w:p>
    <w:p w14:paraId="1E48AC21" w14:textId="77777777" w:rsidR="00BC3E8E" w:rsidRPr="00707E7D" w:rsidRDefault="00BC3E8E" w:rsidP="00BC3E8E">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Pr>
          <w:rFonts w:ascii="Arial" w:hAnsi="Arial" w:cs="Arial"/>
          <w:b/>
          <w:color w:val="000000"/>
          <w:sz w:val="20"/>
          <w:szCs w:val="20"/>
        </w:rPr>
        <w:t xml:space="preserve"> </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sidRPr="00707E7D">
        <w:rPr>
          <w:rStyle w:val="A6"/>
          <w:rFonts w:ascii="Arial" w:hAnsi="Arial" w:cs="Arial"/>
          <w:b/>
          <w:sz w:val="20"/>
          <w:szCs w:val="20"/>
        </w:rPr>
        <w:t xml:space="preserve">NO </w:t>
      </w:r>
    </w:p>
    <w:p w14:paraId="6500291B" w14:textId="77777777" w:rsidR="00BC3E8E" w:rsidRPr="00707E7D" w:rsidRDefault="00BC3E8E" w:rsidP="00BC3E8E">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8"/>
        <w:gridCol w:w="1265"/>
        <w:gridCol w:w="1267"/>
        <w:gridCol w:w="457"/>
        <w:gridCol w:w="372"/>
      </w:tblGrid>
      <w:tr w:rsidR="00BC3E8E" w:rsidRPr="003D6FCD" w14:paraId="45B4BC5F" w14:textId="77777777" w:rsidTr="00BC3E8E">
        <w:tc>
          <w:tcPr>
            <w:tcW w:w="5495" w:type="dxa"/>
          </w:tcPr>
          <w:p w14:paraId="5235D6B6"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6" w:type="dxa"/>
          </w:tcPr>
          <w:p w14:paraId="767ADF2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62CFCF9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14:paraId="595C51A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BC3E8E" w:rsidRPr="003D6FCD" w14:paraId="6DBBF094" w14:textId="77777777" w:rsidTr="00BC3E8E">
        <w:tc>
          <w:tcPr>
            <w:tcW w:w="5495" w:type="dxa"/>
          </w:tcPr>
          <w:p w14:paraId="41AB606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14:paraId="669E2BB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5D007661"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75CA521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6E2B2DD4" w14:textId="77777777" w:rsidTr="00BC3E8E">
        <w:tc>
          <w:tcPr>
            <w:tcW w:w="5495" w:type="dxa"/>
          </w:tcPr>
          <w:p w14:paraId="5E094ED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14:paraId="26221EF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060ABE8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653CF26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345E54BD" w14:textId="77777777" w:rsidTr="00BC3E8E">
        <w:tc>
          <w:tcPr>
            <w:tcW w:w="5495" w:type="dxa"/>
          </w:tcPr>
          <w:p w14:paraId="098A1FDF"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14:paraId="12F5594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696D984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2C78E10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7428E547" w14:textId="77777777" w:rsidTr="00BC3E8E">
        <w:tc>
          <w:tcPr>
            <w:tcW w:w="5495" w:type="dxa"/>
          </w:tcPr>
          <w:p w14:paraId="21E5A629"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14:paraId="02244206"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4058C76"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23EA721F"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1303D60D" w14:textId="77777777" w:rsidTr="00BC3E8E">
        <w:tc>
          <w:tcPr>
            <w:tcW w:w="5495" w:type="dxa"/>
          </w:tcPr>
          <w:p w14:paraId="5FF0C2B6"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14:paraId="326AABF1"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152FEA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27FF950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1D40BEFD" w14:textId="77777777" w:rsidTr="00BC3E8E">
        <w:tc>
          <w:tcPr>
            <w:tcW w:w="5495" w:type="dxa"/>
          </w:tcPr>
          <w:p w14:paraId="15377B4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14:paraId="0C81225F"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5110463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7863870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682C635F" w14:textId="77777777" w:rsidTr="00BC3E8E">
        <w:tc>
          <w:tcPr>
            <w:tcW w:w="5495" w:type="dxa"/>
          </w:tcPr>
          <w:p w14:paraId="57EBAB7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071E50A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310998C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58379A6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406B276F" w14:textId="77777777" w:rsidTr="00BC3E8E">
        <w:tc>
          <w:tcPr>
            <w:tcW w:w="5495" w:type="dxa"/>
          </w:tcPr>
          <w:p w14:paraId="09ED258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14:paraId="69C67D98"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7ECD1538"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1CB3FFD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6F4C4F" w14:paraId="200951D1" w14:textId="77777777" w:rsidTr="00BC3E8E">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6" w:type="dxa"/>
          <w:trHeight w:val="226"/>
        </w:trPr>
        <w:tc>
          <w:tcPr>
            <w:tcW w:w="8503" w:type="dxa"/>
            <w:gridSpan w:val="4"/>
          </w:tcPr>
          <w:p w14:paraId="69D4B3F9" w14:textId="77777777" w:rsidR="00BC3E8E" w:rsidRPr="006F4C4F" w:rsidRDefault="00BC3E8E" w:rsidP="00BC3E8E">
            <w:pPr>
              <w:autoSpaceDE w:val="0"/>
              <w:autoSpaceDN w:val="0"/>
              <w:adjustRightInd w:val="0"/>
              <w:spacing w:line="240" w:lineRule="atLeast"/>
              <w:jc w:val="both"/>
              <w:rPr>
                <w:rFonts w:ascii="Arial" w:hAnsi="Arial" w:cs="Arial"/>
                <w:color w:val="FF0000"/>
                <w:sz w:val="18"/>
                <w:szCs w:val="18"/>
              </w:rPr>
            </w:pPr>
          </w:p>
        </w:tc>
      </w:tr>
    </w:tbl>
    <w:p w14:paraId="20948A28" w14:textId="77777777" w:rsidR="0082659E" w:rsidRDefault="00BC3E8E" w:rsidP="00BC3E8E">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sidRPr="00707E7D">
        <w:rPr>
          <w:rStyle w:val="A6"/>
          <w:rFonts w:ascii="Arial" w:hAnsi="Arial" w:cs="Arial"/>
          <w:b/>
          <w:sz w:val="20"/>
          <w:szCs w:val="20"/>
        </w:rPr>
        <w:t>NO</w:t>
      </w:r>
    </w:p>
    <w:p w14:paraId="7D84E217" w14:textId="77777777" w:rsidR="00BC3E8E" w:rsidRPr="00707E7D" w:rsidRDefault="00BC3E8E" w:rsidP="00BC3E8E">
      <w:pPr>
        <w:autoSpaceDE w:val="0"/>
        <w:autoSpaceDN w:val="0"/>
        <w:adjustRightInd w:val="0"/>
        <w:spacing w:line="240" w:lineRule="atLeast"/>
        <w:rPr>
          <w:rFonts w:ascii="Arial" w:hAnsi="Arial" w:cs="Arial"/>
          <w:b/>
          <w:color w:val="000000"/>
          <w:sz w:val="20"/>
          <w:szCs w:val="20"/>
        </w:rPr>
      </w:pPr>
      <w:r w:rsidRPr="00707E7D">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C3E8E" w:rsidRPr="00707E7D" w14:paraId="7D84EE82" w14:textId="77777777" w:rsidTr="00BC3E8E">
        <w:trPr>
          <w:trHeight w:val="226"/>
        </w:trPr>
        <w:tc>
          <w:tcPr>
            <w:tcW w:w="9039" w:type="dxa"/>
          </w:tcPr>
          <w:p w14:paraId="6DE28A15" w14:textId="77777777" w:rsidR="00BC3E8E" w:rsidRPr="00707E7D" w:rsidRDefault="00BC3E8E" w:rsidP="00BC3E8E">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C3E8E" w:rsidRPr="003D6FCD" w14:paraId="0AE27880" w14:textId="77777777" w:rsidTr="00BC3E8E">
              <w:tc>
                <w:tcPr>
                  <w:tcW w:w="5495" w:type="dxa"/>
                </w:tcPr>
                <w:p w14:paraId="26D8400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6" w:type="dxa"/>
                </w:tcPr>
                <w:p w14:paraId="511D959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77000F5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14:paraId="5859DF9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BC3E8E" w:rsidRPr="003D6FCD" w14:paraId="42C4B6AF" w14:textId="77777777" w:rsidTr="00BC3E8E">
              <w:tc>
                <w:tcPr>
                  <w:tcW w:w="5495" w:type="dxa"/>
                </w:tcPr>
                <w:p w14:paraId="2D356A2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14:paraId="7536B8C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F5B9D3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14:paraId="08ABD2D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4CE54BBE" w14:textId="77777777" w:rsidTr="00BC3E8E">
              <w:tc>
                <w:tcPr>
                  <w:tcW w:w="5495" w:type="dxa"/>
                </w:tcPr>
                <w:p w14:paraId="0FA127F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14:paraId="3487517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64D7CE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14:paraId="25BC892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2809C189" w14:textId="77777777" w:rsidTr="00BC3E8E">
              <w:tc>
                <w:tcPr>
                  <w:tcW w:w="5495" w:type="dxa"/>
                </w:tcPr>
                <w:p w14:paraId="13979DE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14:paraId="3A92682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1DB1D4C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14:paraId="4A3D2D9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2A365E21" w14:textId="77777777" w:rsidTr="00BC3E8E">
              <w:tc>
                <w:tcPr>
                  <w:tcW w:w="5495" w:type="dxa"/>
                </w:tcPr>
                <w:p w14:paraId="19525E8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14:paraId="0801AFB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3BE1828"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14:paraId="6EB17DD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3EE03B0A" w14:textId="77777777" w:rsidTr="00BC3E8E">
              <w:tc>
                <w:tcPr>
                  <w:tcW w:w="5495" w:type="dxa"/>
                </w:tcPr>
                <w:p w14:paraId="02C5DF8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14:paraId="7C1DC33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1CD8030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14:paraId="25F83A4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bl>
          <w:p w14:paraId="3B45BD88" w14:textId="77777777" w:rsidR="00BC3E8E" w:rsidRPr="00707E7D" w:rsidRDefault="00BC3E8E" w:rsidP="00BC3E8E">
            <w:pPr>
              <w:pStyle w:val="Pa1"/>
              <w:rPr>
                <w:rFonts w:ascii="Arial" w:hAnsi="Arial" w:cs="Arial"/>
                <w:color w:val="000000"/>
                <w:sz w:val="20"/>
                <w:szCs w:val="20"/>
              </w:rPr>
            </w:pPr>
          </w:p>
        </w:tc>
      </w:tr>
    </w:tbl>
    <w:p w14:paraId="6FBEE4D7" w14:textId="77777777" w:rsidR="00BC3E8E" w:rsidRDefault="00BC3E8E" w:rsidP="00BC3E8E">
      <w:pPr>
        <w:rPr>
          <w:rFonts w:ascii="Arial" w:hAnsi="Arial" w:cs="Arial"/>
          <w:b/>
          <w:color w:val="000000"/>
          <w:sz w:val="20"/>
          <w:szCs w:val="20"/>
        </w:rPr>
      </w:pPr>
    </w:p>
    <w:p w14:paraId="095DF070" w14:textId="77777777" w:rsidR="00BC3E8E" w:rsidRDefault="00BC3E8E" w:rsidP="00BC3E8E">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r w:rsidRPr="00707E7D">
        <w:rPr>
          <w:rFonts w:ascii="Arial" w:hAnsi="Arial" w:cs="Arial"/>
          <w:b/>
          <w:sz w:val="20"/>
          <w:szCs w:val="20"/>
        </w:rPr>
        <w:t xml:space="preserve"> </w:t>
      </w:r>
    </w:p>
    <w:p w14:paraId="73DDB48D" w14:textId="77777777" w:rsidR="00BC3E8E" w:rsidRDefault="00BC3E8E" w:rsidP="00BC3E8E">
      <w:pPr>
        <w:rPr>
          <w:rFonts w:ascii="Arial" w:hAnsi="Arial" w:cs="Arial"/>
          <w:b/>
          <w:sz w:val="20"/>
          <w:szCs w:val="20"/>
        </w:rPr>
      </w:pPr>
    </w:p>
    <w:p w14:paraId="1B648A73" w14:textId="77777777" w:rsidR="00BC3E8E" w:rsidRDefault="00BC3E8E" w:rsidP="00BC3E8E">
      <w:pPr>
        <w:rPr>
          <w:rFonts w:ascii="Arial" w:hAnsi="Arial" w:cs="Arial"/>
          <w:b/>
          <w:sz w:val="20"/>
          <w:szCs w:val="20"/>
        </w:rPr>
      </w:pPr>
    </w:p>
    <w:p w14:paraId="7B200FC0" w14:textId="77777777" w:rsidR="00BC3E8E" w:rsidRDefault="00BC3E8E" w:rsidP="00BC3E8E">
      <w:pPr>
        <w:rPr>
          <w:rFonts w:ascii="Arial" w:hAnsi="Arial" w:cs="Arial"/>
          <w:b/>
          <w:sz w:val="20"/>
          <w:szCs w:val="20"/>
        </w:rPr>
      </w:pPr>
    </w:p>
    <w:p w14:paraId="18093EE0" w14:textId="77777777" w:rsidR="00BC3E8E" w:rsidRDefault="00BC3E8E" w:rsidP="00BC3E8E">
      <w:pPr>
        <w:rPr>
          <w:rFonts w:ascii="Arial" w:hAnsi="Arial" w:cs="Arial"/>
          <w:b/>
          <w:sz w:val="20"/>
          <w:szCs w:val="20"/>
        </w:rPr>
      </w:pPr>
    </w:p>
    <w:p w14:paraId="35BDD03F" w14:textId="77777777" w:rsidR="001A58D1" w:rsidRPr="0082659E" w:rsidRDefault="00BC3E8E" w:rsidP="0082659E">
      <w:pPr>
        <w:snapToGrid w:val="0"/>
        <w:rPr>
          <w:rFonts w:ascii="Arial" w:hAnsi="Arial" w:cs="Arial"/>
          <w:bCs/>
          <w:color w:val="000080"/>
          <w:sz w:val="20"/>
          <w:szCs w:val="20"/>
          <w:lang w:eastAsia="en-US"/>
        </w:rPr>
      </w:pPr>
      <w:r>
        <w:rPr>
          <w:rFonts w:ascii="Arial" w:hAnsi="Arial" w:cs="Arial"/>
          <w:b/>
          <w:sz w:val="20"/>
          <w:szCs w:val="20"/>
        </w:rPr>
        <w:t>FECHA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FIRMA</w:t>
      </w:r>
    </w:p>
    <w:sectPr w:rsidR="001A58D1" w:rsidRPr="0082659E" w:rsidSect="00CB77E7">
      <w:type w:val="continuous"/>
      <w:pgSz w:w="11906" w:h="16838"/>
      <w:pgMar w:top="1417" w:right="1466"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26D31" w14:textId="77777777" w:rsidR="003C19DC" w:rsidRDefault="003C19DC">
      <w:r>
        <w:separator/>
      </w:r>
    </w:p>
  </w:endnote>
  <w:endnote w:type="continuationSeparator" w:id="0">
    <w:p w14:paraId="0ECA66DE" w14:textId="77777777" w:rsidR="003C19DC" w:rsidRDefault="003C19DC">
      <w:r>
        <w:continuationSeparator/>
      </w:r>
    </w:p>
  </w:endnote>
  <w:endnote w:id="1">
    <w:p w14:paraId="24F1131B" w14:textId="77777777" w:rsidR="006E4A51" w:rsidRDefault="006E4A51">
      <w:pPr>
        <w:pStyle w:val="Textonotaalfinal"/>
      </w:pPr>
    </w:p>
  </w:endnote>
  <w:endnote w:id="2">
    <w:p w14:paraId="4F76A66F" w14:textId="77777777" w:rsidR="006E4A51" w:rsidRDefault="006E4A51">
      <w:pPr>
        <w:pStyle w:val="Textonotaalfinal"/>
      </w:pPr>
    </w:p>
  </w:endnote>
  <w:endnote w:id="3">
    <w:p w14:paraId="2CC4D4F9" w14:textId="77777777" w:rsidR="006E4A51" w:rsidRDefault="006E4A51">
      <w:pPr>
        <w:pStyle w:val="Textonotaalfinal"/>
      </w:pPr>
    </w:p>
  </w:endnote>
  <w:endnote w:id="4">
    <w:p w14:paraId="162B236F" w14:textId="77777777" w:rsidR="006E4A51" w:rsidRDefault="006E4A51">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font>
  <w:font w:name="ZYYKLI+TimesTen-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BIQZG+HelveticaNeue-Light">
    <w:altName w:val="Calibri"/>
    <w:panose1 w:val="00000000000000000000"/>
    <w:charset w:val="00"/>
    <w:family w:val="swiss"/>
    <w:notTrueType/>
    <w:pitch w:val="default"/>
    <w:sig w:usb0="00000003" w:usb1="00000000" w:usb2="00000000" w:usb3="00000000" w:csb0="00000001" w:csb1="00000000"/>
  </w:font>
  <w:font w:name="GNQAFU+HelveticaNeue-Black">
    <w:altName w:val="Calibri"/>
    <w:panose1 w:val="00000000000000000000"/>
    <w:charset w:val="00"/>
    <w:family w:val="swiss"/>
    <w:notTrueType/>
    <w:pitch w:val="default"/>
    <w:sig w:usb0="00000003" w:usb1="00000000" w:usb2="00000000" w:usb3="00000000" w:csb0="00000001" w:csb1="00000000"/>
  </w:font>
  <w:font w:name="DZMIPA+HelveticaNeue-Medium">
    <w:altName w:val="Helvetica Neue"/>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72D46" w14:textId="347E92D7" w:rsidR="006E4A51" w:rsidRPr="00EE44B8" w:rsidRDefault="006E4A51">
    <w:pPr>
      <w:pStyle w:val="Piedepgina"/>
      <w:framePr w:w="700" w:h="548" w:hRule="exact" w:wrap="auto" w:vAnchor="text" w:hAnchor="page" w:x="5662" w:y="-89"/>
      <w:rPr>
        <w:rStyle w:val="Nmerodepgina"/>
      </w:rPr>
    </w:pPr>
    <w:r w:rsidRPr="00EE44B8">
      <w:rPr>
        <w:rStyle w:val="Nmerodepgina"/>
      </w:rPr>
      <w:fldChar w:fldCharType="begin"/>
    </w:r>
    <w:r w:rsidRPr="00EE44B8">
      <w:rPr>
        <w:rStyle w:val="Nmerodepgina"/>
      </w:rPr>
      <w:instrText xml:space="preserve">PAGE  </w:instrText>
    </w:r>
    <w:r w:rsidRPr="00EE44B8">
      <w:rPr>
        <w:rStyle w:val="Nmerodepgina"/>
      </w:rPr>
      <w:fldChar w:fldCharType="separate"/>
    </w:r>
    <w:r w:rsidR="001351E1">
      <w:rPr>
        <w:rStyle w:val="Nmerodepgina"/>
        <w:noProof/>
      </w:rPr>
      <w:t>1</w:t>
    </w:r>
    <w:r w:rsidRPr="00EE44B8">
      <w:rPr>
        <w:rStyle w:val="Nmerodepgina"/>
      </w:rPr>
      <w:fldChar w:fldCharType="end"/>
    </w:r>
  </w:p>
  <w:p w14:paraId="42C0B5F7" w14:textId="77777777" w:rsidR="006E4A51" w:rsidRDefault="006E4A5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2EBEE" w14:textId="77777777" w:rsidR="003C19DC" w:rsidRDefault="003C19DC">
      <w:r>
        <w:separator/>
      </w:r>
    </w:p>
  </w:footnote>
  <w:footnote w:type="continuationSeparator" w:id="0">
    <w:p w14:paraId="63C50142" w14:textId="77777777" w:rsidR="003C19DC" w:rsidRDefault="003C19DC">
      <w:r>
        <w:continuationSeparator/>
      </w:r>
    </w:p>
  </w:footnote>
  <w:footnote w:id="1">
    <w:p w14:paraId="2D2D646F" w14:textId="77777777" w:rsidR="006E4A51" w:rsidRDefault="006E4A51" w:rsidP="00A93E29">
      <w:pPr>
        <w:widowControl w:val="0"/>
        <w:suppressAutoHyphen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i/>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14:paraId="4172C9F2" w14:textId="77777777" w:rsidR="006E4A51" w:rsidRDefault="006E4A51" w:rsidP="00A93E29">
      <w:pPr>
        <w:pStyle w:val="Textonotapie"/>
        <w:rPr>
          <w:lang w:val="es-ES"/>
        </w:rPr>
      </w:pPr>
    </w:p>
  </w:footnote>
  <w:footnote w:id="2">
    <w:p w14:paraId="6BBA17A9" w14:textId="77777777" w:rsidR="006E4A51" w:rsidRDefault="006E4A51" w:rsidP="005B245C">
      <w:pPr>
        <w:jc w:val="both"/>
        <w:rPr>
          <w:b/>
          <w:bCs/>
          <w:sz w:val="22"/>
          <w:szCs w:val="22"/>
        </w:rPr>
      </w:pPr>
      <w:r>
        <w:rPr>
          <w:rStyle w:val="Refdenotaalpie"/>
        </w:rPr>
        <w:footnoteRef/>
      </w:r>
      <w:r>
        <w:t xml:space="preserve"> </w:t>
      </w:r>
      <w:r w:rsidRPr="005B245C">
        <w:rPr>
          <w:rFonts w:ascii="Arial" w:hAnsi="Arial" w:cs="Arial"/>
          <w:b/>
          <w:i/>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rPr>
        <w:t xml:space="preserve"> </w:t>
      </w:r>
    </w:p>
    <w:p w14:paraId="5D2AAAED" w14:textId="77777777" w:rsidR="006E4A51" w:rsidRPr="00092001" w:rsidRDefault="006E4A51">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6E4A51" w:rsidRPr="00CA38BF" w14:paraId="3373F20C" w14:textId="7777777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24C41CA5" w14:textId="77777777" w:rsidR="006E4A51" w:rsidRPr="00A379A0" w:rsidRDefault="006E4A51">
          <w:pPr>
            <w:pStyle w:val="Encabezado"/>
            <w:rPr>
              <w:rFonts w:ascii="Arial" w:hAnsi="Arial" w:cs="Arial"/>
              <w:color w:val="FFFFFF"/>
              <w:sz w:val="20"/>
              <w:szCs w:val="20"/>
            </w:rPr>
          </w:pPr>
          <w:r w:rsidRPr="00A379A0">
            <w:rPr>
              <w:rFonts w:ascii="Arial" w:hAnsi="Arial" w:cs="Arial"/>
              <w:color w:val="FFFFFF"/>
              <w:sz w:val="20"/>
              <w:szCs w:val="20"/>
            </w:rPr>
            <w:t>GENESIS-SEFH</w:t>
          </w:r>
        </w:p>
        <w:p w14:paraId="128BA602" w14:textId="77777777" w:rsidR="006E4A51" w:rsidRPr="00A379A0" w:rsidRDefault="006E4A51">
          <w:pPr>
            <w:pStyle w:val="Encabezado"/>
            <w:jc w:val="right"/>
            <w:rPr>
              <w:rFonts w:ascii="Arial" w:hAnsi="Arial" w:cs="Arial"/>
              <w:color w:val="FFFFFF"/>
              <w:sz w:val="20"/>
              <w:szCs w:val="20"/>
            </w:rPr>
          </w:pPr>
          <w:r w:rsidRPr="00A379A0">
            <w:rPr>
              <w:rFonts w:ascii="Arial" w:hAnsi="Arial" w:cs="Arial"/>
              <w:color w:val="FFFFFF"/>
              <w:sz w:val="20"/>
              <w:szCs w:val="20"/>
            </w:rPr>
            <w:t xml:space="preserve">Programa MADRE versión 4.1  </w:t>
          </w:r>
        </w:p>
        <w:p w14:paraId="126C59D2" w14:textId="77777777" w:rsidR="006E4A51" w:rsidRPr="00A379A0" w:rsidRDefault="006E4A51">
          <w:pPr>
            <w:pStyle w:val="Encabezado"/>
            <w:jc w:val="right"/>
            <w:rPr>
              <w:rFonts w:ascii="Arial" w:hAnsi="Arial" w:cs="Arial"/>
              <w:b/>
              <w:color w:val="FFFFFF"/>
              <w:sz w:val="22"/>
              <w:szCs w:val="20"/>
            </w:rPr>
          </w:pPr>
          <w:r w:rsidRPr="00A379A0">
            <w:rPr>
              <w:rFonts w:ascii="Arial" w:hAnsi="Arial" w:cs="Arial"/>
              <w:color w:val="FFFFFF"/>
              <w:sz w:val="20"/>
              <w:szCs w:val="20"/>
            </w:rPr>
            <w:t>Informe base actualizado 20</w:t>
          </w:r>
          <w:r>
            <w:rPr>
              <w:rFonts w:ascii="Arial" w:hAnsi="Arial" w:cs="Arial"/>
              <w:color w:val="FFFFFF"/>
              <w:sz w:val="20"/>
              <w:szCs w:val="20"/>
            </w:rPr>
            <w:t>20</w:t>
          </w:r>
          <w:r w:rsidRPr="00A379A0">
            <w:rPr>
              <w:rFonts w:ascii="Arial" w:hAnsi="Arial" w:cs="Arial"/>
              <w:color w:val="FFFFFF"/>
              <w:sz w:val="20"/>
              <w:szCs w:val="20"/>
            </w:rPr>
            <w:t xml:space="preserve"> </w:t>
          </w:r>
          <w:r w:rsidRPr="00A379A0">
            <w:rPr>
              <w:rFonts w:ascii="Arial" w:hAnsi="Arial" w:cs="Arial"/>
              <w:b/>
              <w:color w:val="FFFFFF"/>
              <w:sz w:val="22"/>
              <w:szCs w:val="20"/>
            </w:rPr>
            <w:t xml:space="preserve">  </w:t>
          </w:r>
        </w:p>
      </w:tc>
      <w:tc>
        <w:tcPr>
          <w:tcW w:w="1080" w:type="dxa"/>
          <w:tcBorders>
            <w:top w:val="single" w:sz="4" w:space="0" w:color="auto"/>
            <w:left w:val="nil"/>
          </w:tcBorders>
          <w:shd w:val="clear" w:color="auto" w:fill="000080"/>
        </w:tcPr>
        <w:p w14:paraId="61BE7E84" w14:textId="77777777" w:rsidR="006E4A51" w:rsidRPr="00A379A0" w:rsidRDefault="006E4A51">
          <w:pPr>
            <w:pStyle w:val="Encabezado"/>
            <w:rPr>
              <w:rFonts w:ascii="Arial" w:hAnsi="Arial" w:cs="Arial"/>
              <w:bCs/>
              <w:color w:val="FFFFFF"/>
              <w:sz w:val="18"/>
              <w:szCs w:val="18"/>
            </w:rPr>
          </w:pPr>
          <w:r w:rsidRPr="00A379A0">
            <w:rPr>
              <w:rFonts w:ascii="Arial" w:hAnsi="Arial" w:cs="Arial"/>
              <w:bCs/>
              <w:color w:val="FFFFFF"/>
              <w:sz w:val="18"/>
              <w:szCs w:val="18"/>
            </w:rPr>
            <w:t>Versión:</w:t>
          </w:r>
        </w:p>
      </w:tc>
      <w:tc>
        <w:tcPr>
          <w:tcW w:w="1440" w:type="dxa"/>
          <w:tcBorders>
            <w:top w:val="single" w:sz="4" w:space="0" w:color="auto"/>
            <w:right w:val="single" w:sz="4" w:space="0" w:color="auto"/>
          </w:tcBorders>
          <w:shd w:val="clear" w:color="auto" w:fill="000080"/>
          <w:vAlign w:val="bottom"/>
        </w:tcPr>
        <w:p w14:paraId="640874C1" w14:textId="77777777" w:rsidR="006E4A51" w:rsidRPr="00A379A0" w:rsidRDefault="006E4A51">
          <w:pPr>
            <w:pStyle w:val="Encabezado"/>
            <w:tabs>
              <w:tab w:val="left" w:pos="1206"/>
            </w:tabs>
            <w:ind w:right="71"/>
            <w:jc w:val="right"/>
            <w:rPr>
              <w:rFonts w:ascii="Arial" w:hAnsi="Arial" w:cs="Arial"/>
              <w:bCs/>
              <w:color w:val="FFFFFF"/>
              <w:sz w:val="18"/>
              <w:szCs w:val="18"/>
            </w:rPr>
          </w:pPr>
          <w:r w:rsidRPr="00A379A0">
            <w:rPr>
              <w:rFonts w:ascii="Arial" w:hAnsi="Arial" w:cs="Arial"/>
              <w:bCs/>
              <w:color w:val="FFFFFF"/>
              <w:sz w:val="18"/>
              <w:szCs w:val="18"/>
            </w:rPr>
            <w:t>4.1</w:t>
          </w:r>
        </w:p>
      </w:tc>
    </w:tr>
    <w:tr w:rsidR="006E4A51" w:rsidRPr="00CA38BF" w14:paraId="29726DC2" w14:textId="77777777">
      <w:trPr>
        <w:cantSplit/>
        <w:trHeight w:val="240"/>
      </w:trPr>
      <w:tc>
        <w:tcPr>
          <w:tcW w:w="6300" w:type="dxa"/>
          <w:vMerge/>
          <w:tcBorders>
            <w:left w:val="single" w:sz="4" w:space="0" w:color="auto"/>
            <w:right w:val="single" w:sz="4" w:space="0" w:color="auto"/>
          </w:tcBorders>
          <w:shd w:val="clear" w:color="auto" w:fill="000080"/>
          <w:vAlign w:val="center"/>
        </w:tcPr>
        <w:p w14:paraId="02197959" w14:textId="77777777" w:rsidR="006E4A51" w:rsidRPr="00A379A0" w:rsidRDefault="006E4A51">
          <w:pPr>
            <w:pStyle w:val="Encabezado"/>
            <w:spacing w:line="360" w:lineRule="auto"/>
            <w:jc w:val="center"/>
            <w:rPr>
              <w:rFonts w:ascii="Arial" w:hAnsi="Arial" w:cs="Arial"/>
              <w:b/>
              <w:color w:val="FFFFFF"/>
              <w:szCs w:val="20"/>
            </w:rPr>
          </w:pPr>
        </w:p>
      </w:tc>
      <w:tc>
        <w:tcPr>
          <w:tcW w:w="1080" w:type="dxa"/>
          <w:tcBorders>
            <w:left w:val="nil"/>
          </w:tcBorders>
          <w:shd w:val="clear" w:color="auto" w:fill="000080"/>
        </w:tcPr>
        <w:p w14:paraId="26510DA5" w14:textId="77777777" w:rsidR="006E4A51" w:rsidRPr="00A379A0" w:rsidRDefault="006E4A51">
          <w:pPr>
            <w:pStyle w:val="Encabezado"/>
            <w:rPr>
              <w:rFonts w:ascii="Arial" w:hAnsi="Arial" w:cs="Arial"/>
              <w:bCs/>
              <w:color w:val="FFFFFF"/>
              <w:sz w:val="18"/>
              <w:szCs w:val="18"/>
            </w:rPr>
          </w:pPr>
          <w:r w:rsidRPr="00A379A0">
            <w:rPr>
              <w:rFonts w:ascii="Arial" w:hAnsi="Arial" w:cs="Arial"/>
              <w:bCs/>
              <w:color w:val="FFFFFF"/>
              <w:sz w:val="18"/>
              <w:szCs w:val="18"/>
            </w:rPr>
            <w:t>Fecha:</w:t>
          </w:r>
        </w:p>
      </w:tc>
      <w:tc>
        <w:tcPr>
          <w:tcW w:w="1440" w:type="dxa"/>
          <w:tcBorders>
            <w:right w:val="single" w:sz="4" w:space="0" w:color="auto"/>
          </w:tcBorders>
          <w:shd w:val="clear" w:color="auto" w:fill="000080"/>
          <w:vAlign w:val="bottom"/>
        </w:tcPr>
        <w:p w14:paraId="0E854345" w14:textId="77777777" w:rsidR="006E4A51" w:rsidRPr="00A379A0" w:rsidRDefault="006E4A51">
          <w:pPr>
            <w:pStyle w:val="Encabezado"/>
            <w:tabs>
              <w:tab w:val="left" w:pos="1206"/>
            </w:tabs>
            <w:ind w:right="71"/>
            <w:jc w:val="right"/>
            <w:rPr>
              <w:rFonts w:ascii="Arial" w:hAnsi="Arial" w:cs="Arial"/>
              <w:bCs/>
              <w:color w:val="FFFFFF"/>
              <w:sz w:val="18"/>
              <w:szCs w:val="18"/>
            </w:rPr>
          </w:pPr>
          <w:r>
            <w:rPr>
              <w:rFonts w:ascii="Arial" w:hAnsi="Arial" w:cs="Arial"/>
              <w:bCs/>
              <w:color w:val="FFFFFF"/>
              <w:sz w:val="18"/>
              <w:szCs w:val="18"/>
            </w:rPr>
            <w:t>19-12-2020</w:t>
          </w:r>
        </w:p>
      </w:tc>
    </w:tr>
    <w:tr w:rsidR="006E4A51" w:rsidRPr="00CA38BF" w14:paraId="333DFF53" w14:textId="7777777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25E96E17" w14:textId="77777777" w:rsidR="006E4A51" w:rsidRPr="00A379A0" w:rsidRDefault="006E4A51">
          <w:pPr>
            <w:pStyle w:val="Encabezado"/>
            <w:spacing w:line="360" w:lineRule="auto"/>
            <w:jc w:val="center"/>
            <w:rPr>
              <w:rFonts w:ascii="Arial" w:hAnsi="Arial" w:cs="Arial"/>
              <w:b/>
              <w:color w:val="FFFFFF"/>
              <w:szCs w:val="20"/>
            </w:rPr>
          </w:pPr>
        </w:p>
      </w:tc>
      <w:tc>
        <w:tcPr>
          <w:tcW w:w="1080" w:type="dxa"/>
          <w:tcBorders>
            <w:left w:val="nil"/>
            <w:bottom w:val="single" w:sz="4" w:space="0" w:color="auto"/>
          </w:tcBorders>
          <w:shd w:val="clear" w:color="auto" w:fill="000080"/>
        </w:tcPr>
        <w:p w14:paraId="07312E31" w14:textId="77777777" w:rsidR="006E4A51" w:rsidRPr="00A379A0" w:rsidRDefault="006E4A51">
          <w:pPr>
            <w:pStyle w:val="Encabezado"/>
            <w:rPr>
              <w:rFonts w:ascii="Arial" w:hAnsi="Arial" w:cs="Arial"/>
              <w:bCs/>
              <w:color w:val="FFFFFF"/>
              <w:sz w:val="18"/>
              <w:szCs w:val="18"/>
            </w:rPr>
          </w:pPr>
          <w:r w:rsidRPr="00A379A0">
            <w:rPr>
              <w:rFonts w:ascii="Arial" w:hAnsi="Arial" w:cs="Arial"/>
              <w:bCs/>
              <w:color w:val="FFFFFF"/>
              <w:sz w:val="18"/>
              <w:szCs w:val="18"/>
            </w:rPr>
            <w:t>Página:</w:t>
          </w:r>
        </w:p>
      </w:tc>
      <w:tc>
        <w:tcPr>
          <w:tcW w:w="1440" w:type="dxa"/>
          <w:tcBorders>
            <w:bottom w:val="single" w:sz="4" w:space="0" w:color="auto"/>
            <w:right w:val="single" w:sz="4" w:space="0" w:color="auto"/>
          </w:tcBorders>
          <w:shd w:val="clear" w:color="auto" w:fill="000080"/>
          <w:vAlign w:val="bottom"/>
        </w:tcPr>
        <w:p w14:paraId="04C5CC5F" w14:textId="1D5657A4" w:rsidR="006E4A51" w:rsidRPr="00A379A0" w:rsidRDefault="006E4A51" w:rsidP="00C8252E">
          <w:pPr>
            <w:pStyle w:val="Encabezado"/>
            <w:tabs>
              <w:tab w:val="left" w:pos="1206"/>
            </w:tabs>
            <w:ind w:right="71"/>
            <w:jc w:val="right"/>
            <w:rPr>
              <w:rFonts w:ascii="Arial" w:hAnsi="Arial" w:cs="Arial"/>
              <w:bCs/>
              <w:color w:val="FFFFFF"/>
              <w:sz w:val="18"/>
              <w:szCs w:val="18"/>
            </w:rPr>
          </w:pPr>
          <w:r w:rsidRPr="00A379A0">
            <w:rPr>
              <w:rStyle w:val="Nmerodepgina"/>
              <w:rFonts w:ascii="Arial" w:hAnsi="Arial" w:cs="Arial"/>
              <w:bCs/>
              <w:color w:val="FFFFFF"/>
              <w:sz w:val="18"/>
              <w:szCs w:val="18"/>
            </w:rPr>
            <w:fldChar w:fldCharType="begin"/>
          </w:r>
          <w:r w:rsidRPr="00A379A0">
            <w:rPr>
              <w:rStyle w:val="Nmerodepgina"/>
              <w:rFonts w:ascii="Arial" w:hAnsi="Arial" w:cs="Arial"/>
              <w:bCs/>
              <w:color w:val="FFFFFF"/>
              <w:sz w:val="18"/>
              <w:szCs w:val="18"/>
            </w:rPr>
            <w:instrText xml:space="preserve"> PAGE </w:instrText>
          </w:r>
          <w:r w:rsidRPr="00A379A0">
            <w:rPr>
              <w:rStyle w:val="Nmerodepgina"/>
              <w:rFonts w:ascii="Arial" w:hAnsi="Arial" w:cs="Arial"/>
              <w:bCs/>
              <w:color w:val="FFFFFF"/>
              <w:sz w:val="18"/>
              <w:szCs w:val="18"/>
            </w:rPr>
            <w:fldChar w:fldCharType="separate"/>
          </w:r>
          <w:r w:rsidR="001351E1">
            <w:rPr>
              <w:rStyle w:val="Nmerodepgina"/>
              <w:rFonts w:ascii="Arial" w:hAnsi="Arial" w:cs="Arial"/>
              <w:bCs/>
              <w:noProof/>
              <w:color w:val="FFFFFF"/>
              <w:sz w:val="18"/>
              <w:szCs w:val="18"/>
            </w:rPr>
            <w:t>1</w:t>
          </w:r>
          <w:r w:rsidRPr="00A379A0">
            <w:rPr>
              <w:rStyle w:val="Nmerodepgina"/>
              <w:rFonts w:ascii="Arial" w:hAnsi="Arial" w:cs="Arial"/>
              <w:bCs/>
              <w:color w:val="FFFFFF"/>
              <w:sz w:val="18"/>
              <w:szCs w:val="18"/>
            </w:rPr>
            <w:fldChar w:fldCharType="end"/>
          </w:r>
        </w:p>
      </w:tc>
    </w:tr>
  </w:tbl>
  <w:p w14:paraId="6C78F070" w14:textId="77777777" w:rsidR="006E4A51" w:rsidRPr="00CA38BF" w:rsidRDefault="006E4A51">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E66B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289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269D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2A36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B657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7426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F821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8EDE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CB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F883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491"/>
        </w:tabs>
        <w:ind w:left="1211" w:hanging="360"/>
      </w:pPr>
      <w:rPr>
        <w:rFonts w:ascii="Times New Roman" w:hAnsi="Times New Roman" w:cs="Times New Roman"/>
      </w:rPr>
    </w:lvl>
  </w:abstractNum>
  <w:abstractNum w:abstractNumId="11" w15:restartNumberingAfterBreak="0">
    <w:nsid w:val="00F73044"/>
    <w:multiLevelType w:val="hybridMultilevel"/>
    <w:tmpl w:val="5DBC7C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BD506A"/>
    <w:multiLevelType w:val="hybridMultilevel"/>
    <w:tmpl w:val="5DDADC38"/>
    <w:lvl w:ilvl="0" w:tplc="0C0A0001">
      <w:start w:val="1"/>
      <w:numFmt w:val="bullet"/>
      <w:lvlText w:val=""/>
      <w:lvlJc w:val="left"/>
      <w:pPr>
        <w:ind w:left="2235" w:hanging="360"/>
      </w:pPr>
      <w:rPr>
        <w:rFonts w:ascii="Symbol" w:hAnsi="Symbol" w:hint="default"/>
      </w:rPr>
    </w:lvl>
    <w:lvl w:ilvl="1" w:tplc="0C0A0003" w:tentative="1">
      <w:start w:val="1"/>
      <w:numFmt w:val="bullet"/>
      <w:lvlText w:val="o"/>
      <w:lvlJc w:val="left"/>
      <w:pPr>
        <w:ind w:left="2955" w:hanging="360"/>
      </w:pPr>
      <w:rPr>
        <w:rFonts w:ascii="Courier New" w:hAnsi="Courier New" w:cs="Courier New" w:hint="default"/>
      </w:rPr>
    </w:lvl>
    <w:lvl w:ilvl="2" w:tplc="0C0A0005" w:tentative="1">
      <w:start w:val="1"/>
      <w:numFmt w:val="bullet"/>
      <w:lvlText w:val=""/>
      <w:lvlJc w:val="left"/>
      <w:pPr>
        <w:ind w:left="3675" w:hanging="360"/>
      </w:pPr>
      <w:rPr>
        <w:rFonts w:ascii="Wingdings" w:hAnsi="Wingdings" w:hint="default"/>
      </w:rPr>
    </w:lvl>
    <w:lvl w:ilvl="3" w:tplc="0C0A0001" w:tentative="1">
      <w:start w:val="1"/>
      <w:numFmt w:val="bullet"/>
      <w:lvlText w:val=""/>
      <w:lvlJc w:val="left"/>
      <w:pPr>
        <w:ind w:left="4395" w:hanging="360"/>
      </w:pPr>
      <w:rPr>
        <w:rFonts w:ascii="Symbol" w:hAnsi="Symbol" w:hint="default"/>
      </w:rPr>
    </w:lvl>
    <w:lvl w:ilvl="4" w:tplc="0C0A0003" w:tentative="1">
      <w:start w:val="1"/>
      <w:numFmt w:val="bullet"/>
      <w:lvlText w:val="o"/>
      <w:lvlJc w:val="left"/>
      <w:pPr>
        <w:ind w:left="5115" w:hanging="360"/>
      </w:pPr>
      <w:rPr>
        <w:rFonts w:ascii="Courier New" w:hAnsi="Courier New" w:cs="Courier New" w:hint="default"/>
      </w:rPr>
    </w:lvl>
    <w:lvl w:ilvl="5" w:tplc="0C0A0005" w:tentative="1">
      <w:start w:val="1"/>
      <w:numFmt w:val="bullet"/>
      <w:lvlText w:val=""/>
      <w:lvlJc w:val="left"/>
      <w:pPr>
        <w:ind w:left="5835" w:hanging="360"/>
      </w:pPr>
      <w:rPr>
        <w:rFonts w:ascii="Wingdings" w:hAnsi="Wingdings" w:hint="default"/>
      </w:rPr>
    </w:lvl>
    <w:lvl w:ilvl="6" w:tplc="0C0A0001" w:tentative="1">
      <w:start w:val="1"/>
      <w:numFmt w:val="bullet"/>
      <w:lvlText w:val=""/>
      <w:lvlJc w:val="left"/>
      <w:pPr>
        <w:ind w:left="6555" w:hanging="360"/>
      </w:pPr>
      <w:rPr>
        <w:rFonts w:ascii="Symbol" w:hAnsi="Symbol" w:hint="default"/>
      </w:rPr>
    </w:lvl>
    <w:lvl w:ilvl="7" w:tplc="0C0A0003" w:tentative="1">
      <w:start w:val="1"/>
      <w:numFmt w:val="bullet"/>
      <w:lvlText w:val="o"/>
      <w:lvlJc w:val="left"/>
      <w:pPr>
        <w:ind w:left="7275" w:hanging="360"/>
      </w:pPr>
      <w:rPr>
        <w:rFonts w:ascii="Courier New" w:hAnsi="Courier New" w:cs="Courier New" w:hint="default"/>
      </w:rPr>
    </w:lvl>
    <w:lvl w:ilvl="8" w:tplc="0C0A0005" w:tentative="1">
      <w:start w:val="1"/>
      <w:numFmt w:val="bullet"/>
      <w:lvlText w:val=""/>
      <w:lvlJc w:val="left"/>
      <w:pPr>
        <w:ind w:left="7995" w:hanging="360"/>
      </w:pPr>
      <w:rPr>
        <w:rFonts w:ascii="Wingdings" w:hAnsi="Wingdings" w:hint="default"/>
      </w:rPr>
    </w:lvl>
  </w:abstractNum>
  <w:abstractNum w:abstractNumId="13"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501407"/>
    <w:multiLevelType w:val="hybridMultilevel"/>
    <w:tmpl w:val="3B443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1D3FAE"/>
    <w:multiLevelType w:val="hybridMultilevel"/>
    <w:tmpl w:val="9ADEA8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4D2638C"/>
    <w:multiLevelType w:val="hybridMultilevel"/>
    <w:tmpl w:val="A80AF510"/>
    <w:lvl w:ilvl="0" w:tplc="24A4301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19726090"/>
    <w:multiLevelType w:val="hybridMultilevel"/>
    <w:tmpl w:val="F90C0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FC0485A"/>
    <w:multiLevelType w:val="hybridMultilevel"/>
    <w:tmpl w:val="9ADEA8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93108FC"/>
    <w:multiLevelType w:val="multilevel"/>
    <w:tmpl w:val="C386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04502D"/>
    <w:multiLevelType w:val="hybridMultilevel"/>
    <w:tmpl w:val="2FF07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703E0B"/>
    <w:multiLevelType w:val="hybridMultilevel"/>
    <w:tmpl w:val="CADAA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CBE07DD"/>
    <w:multiLevelType w:val="hybridMultilevel"/>
    <w:tmpl w:val="3B443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DAA761D"/>
    <w:multiLevelType w:val="multilevel"/>
    <w:tmpl w:val="0704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1362AF"/>
    <w:multiLevelType w:val="multilevel"/>
    <w:tmpl w:val="B1E63FFE"/>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CC07C9"/>
    <w:multiLevelType w:val="hybridMultilevel"/>
    <w:tmpl w:val="2A74EF5E"/>
    <w:lvl w:ilvl="0" w:tplc="72689DC6">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4325CD"/>
    <w:multiLevelType w:val="hybridMultilevel"/>
    <w:tmpl w:val="9ADEA8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F00AE4"/>
    <w:multiLevelType w:val="hybridMultilevel"/>
    <w:tmpl w:val="1942751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9" w15:restartNumberingAfterBreak="0">
    <w:nsid w:val="54492A51"/>
    <w:multiLevelType w:val="hybridMultilevel"/>
    <w:tmpl w:val="8E28FC10"/>
    <w:lvl w:ilvl="0" w:tplc="2F54322E">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5822590"/>
    <w:multiLevelType w:val="hybridMultilevel"/>
    <w:tmpl w:val="50DC7A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64265CA"/>
    <w:multiLevelType w:val="hybridMultilevel"/>
    <w:tmpl w:val="3B443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431501"/>
    <w:multiLevelType w:val="hybridMultilevel"/>
    <w:tmpl w:val="E3D64840"/>
    <w:lvl w:ilvl="0" w:tplc="FFFFFFFF">
      <w:start w:val="2"/>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36204C5"/>
    <w:multiLevelType w:val="hybridMultilevel"/>
    <w:tmpl w:val="AE14B4F6"/>
    <w:lvl w:ilvl="0" w:tplc="8656F6E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7BE26A1"/>
    <w:multiLevelType w:val="hybridMultilevel"/>
    <w:tmpl w:val="F2D2106E"/>
    <w:lvl w:ilvl="0" w:tplc="0C0A000F">
      <w:start w:val="1"/>
      <w:numFmt w:val="decimal"/>
      <w:lvlText w:val="%1."/>
      <w:lvlJc w:val="left"/>
      <w:pPr>
        <w:ind w:left="720" w:hanging="360"/>
      </w:pPr>
      <w:rPr>
        <w:rFonts w:hint="default"/>
      </w:rPr>
    </w:lvl>
    <w:lvl w:ilvl="1" w:tplc="D12867E4">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8CA5CF2"/>
    <w:multiLevelType w:val="multilevel"/>
    <w:tmpl w:val="F672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922F31"/>
    <w:multiLevelType w:val="hybridMultilevel"/>
    <w:tmpl w:val="3B443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541A83"/>
    <w:multiLevelType w:val="hybridMultilevel"/>
    <w:tmpl w:val="5DBC7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BBF2491"/>
    <w:multiLevelType w:val="hybridMultilevel"/>
    <w:tmpl w:val="7EEC8AE2"/>
    <w:lvl w:ilvl="0" w:tplc="20AA94AE">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num w:numId="1">
    <w:abstractNumId w:val="19"/>
  </w:num>
  <w:num w:numId="2">
    <w:abstractNumId w:val="13"/>
  </w:num>
  <w:num w:numId="3">
    <w:abstractNumId w:val="16"/>
  </w:num>
  <w:num w:numId="4">
    <w:abstractNumId w:val="29"/>
  </w:num>
  <w:num w:numId="5">
    <w:abstractNumId w:val="32"/>
  </w:num>
  <w:num w:numId="6">
    <w:abstractNumId w:val="22"/>
  </w:num>
  <w:num w:numId="7">
    <w:abstractNumId w:val="10"/>
  </w:num>
  <w:num w:numId="8">
    <w:abstractNumId w:val="24"/>
  </w:num>
  <w:num w:numId="9">
    <w:abstractNumId w:val="35"/>
  </w:num>
  <w:num w:numId="10">
    <w:abstractNumId w:val="36"/>
  </w:num>
  <w:num w:numId="11">
    <w:abstractNumId w:val="23"/>
  </w:num>
  <w:num w:numId="12">
    <w:abstractNumId w:val="14"/>
  </w:num>
  <w:num w:numId="13">
    <w:abstractNumId w:val="34"/>
  </w:num>
  <w:num w:numId="14">
    <w:abstractNumId w:val="17"/>
  </w:num>
  <w:num w:numId="15">
    <w:abstractNumId w:val="31"/>
  </w:num>
  <w:num w:numId="16">
    <w:abstractNumId w:val="12"/>
  </w:num>
  <w:num w:numId="17">
    <w:abstractNumId w:val="28"/>
  </w:num>
  <w:num w:numId="18">
    <w:abstractNumId w:val="21"/>
  </w:num>
  <w:num w:numId="19">
    <w:abstractNumId w:val="30"/>
  </w:num>
  <w:num w:numId="20">
    <w:abstractNumId w:val="15"/>
  </w:num>
  <w:num w:numId="21">
    <w:abstractNumId w:val="37"/>
  </w:num>
  <w:num w:numId="22">
    <w:abstractNumId w:val="18"/>
  </w:num>
  <w:num w:numId="23">
    <w:abstractNumId w:val="27"/>
  </w:num>
  <w:num w:numId="24">
    <w:abstractNumId w:val="38"/>
  </w:num>
  <w:num w:numId="25">
    <w:abstractNumId w:val="26"/>
  </w:num>
  <w:num w:numId="26">
    <w:abstractNumId w:val="25"/>
  </w:num>
  <w:num w:numId="27">
    <w:abstractNumId w:val="20"/>
  </w:num>
  <w:num w:numId="28">
    <w:abstractNumId w:val="33"/>
  </w:num>
  <w:num w:numId="29">
    <w:abstractNumId w:val="11"/>
  </w:num>
  <w:num w:numId="30">
    <w:abstractNumId w:val="8"/>
  </w:num>
  <w:num w:numId="31">
    <w:abstractNumId w:val="3"/>
  </w:num>
  <w:num w:numId="32">
    <w:abstractNumId w:val="2"/>
  </w:num>
  <w:num w:numId="33">
    <w:abstractNumId w:val="1"/>
  </w:num>
  <w:num w:numId="34">
    <w:abstractNumId w:val="0"/>
  </w:num>
  <w:num w:numId="35">
    <w:abstractNumId w:val="9"/>
  </w:num>
  <w:num w:numId="36">
    <w:abstractNumId w:val="7"/>
  </w:num>
  <w:num w:numId="37">
    <w:abstractNumId w:val="6"/>
  </w:num>
  <w:num w:numId="38">
    <w:abstractNumId w:val="5"/>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es-ES" w:vendorID="64" w:dllVersion="6" w:nlCheck="1" w:checkStyle="0"/>
  <w:activeWritingStyle w:appName="MSWord" w:lang="pt-BR"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131078" w:nlCheck="1" w:checkStyle="0"/>
  <w:activeWritingStyle w:appName="MSWord" w:lang="en-GB" w:vendorID="64" w:dllVersion="131078" w:nlCheck="1" w:checkStyle="0"/>
  <w:activeWritingStyle w:appName="MSWord" w:lang="es-ES_tradnl" w:vendorID="64" w:dllVersion="131078" w:nlCheck="1" w:checkStyle="0"/>
  <w:activeWritingStyle w:appName="MSWord" w:lang="pt-BR"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C88"/>
    <w:rsid w:val="00003755"/>
    <w:rsid w:val="000105AD"/>
    <w:rsid w:val="00010979"/>
    <w:rsid w:val="000110A4"/>
    <w:rsid w:val="00011677"/>
    <w:rsid w:val="000162DC"/>
    <w:rsid w:val="0001630B"/>
    <w:rsid w:val="000164CD"/>
    <w:rsid w:val="000173D0"/>
    <w:rsid w:val="000243FD"/>
    <w:rsid w:val="00024B8F"/>
    <w:rsid w:val="000264C4"/>
    <w:rsid w:val="00032913"/>
    <w:rsid w:val="0003400F"/>
    <w:rsid w:val="00034918"/>
    <w:rsid w:val="00034D6E"/>
    <w:rsid w:val="00035DD2"/>
    <w:rsid w:val="00036479"/>
    <w:rsid w:val="00041CE4"/>
    <w:rsid w:val="000429DB"/>
    <w:rsid w:val="00043081"/>
    <w:rsid w:val="00043852"/>
    <w:rsid w:val="000447FB"/>
    <w:rsid w:val="00044F4C"/>
    <w:rsid w:val="00045000"/>
    <w:rsid w:val="00046C70"/>
    <w:rsid w:val="000504B0"/>
    <w:rsid w:val="00050F94"/>
    <w:rsid w:val="00052421"/>
    <w:rsid w:val="000538C6"/>
    <w:rsid w:val="00053FAA"/>
    <w:rsid w:val="000543CF"/>
    <w:rsid w:val="00055DAD"/>
    <w:rsid w:val="000603A2"/>
    <w:rsid w:val="00061E47"/>
    <w:rsid w:val="0006216D"/>
    <w:rsid w:val="00064990"/>
    <w:rsid w:val="000675D5"/>
    <w:rsid w:val="0006761F"/>
    <w:rsid w:val="00067BBA"/>
    <w:rsid w:val="00071E46"/>
    <w:rsid w:val="00071F94"/>
    <w:rsid w:val="000731C6"/>
    <w:rsid w:val="00073E29"/>
    <w:rsid w:val="0007600D"/>
    <w:rsid w:val="00080994"/>
    <w:rsid w:val="00081E1F"/>
    <w:rsid w:val="00083EA9"/>
    <w:rsid w:val="00085205"/>
    <w:rsid w:val="00085DBB"/>
    <w:rsid w:val="00092001"/>
    <w:rsid w:val="00092424"/>
    <w:rsid w:val="000929E9"/>
    <w:rsid w:val="000966BB"/>
    <w:rsid w:val="000970B0"/>
    <w:rsid w:val="000A0EED"/>
    <w:rsid w:val="000A3792"/>
    <w:rsid w:val="000A45BD"/>
    <w:rsid w:val="000A45FE"/>
    <w:rsid w:val="000A513E"/>
    <w:rsid w:val="000A657A"/>
    <w:rsid w:val="000B0581"/>
    <w:rsid w:val="000B4CEB"/>
    <w:rsid w:val="000B5642"/>
    <w:rsid w:val="000C1BEF"/>
    <w:rsid w:val="000C21B1"/>
    <w:rsid w:val="000C4156"/>
    <w:rsid w:val="000C59F7"/>
    <w:rsid w:val="000D1DF5"/>
    <w:rsid w:val="000D658A"/>
    <w:rsid w:val="000E0D5D"/>
    <w:rsid w:val="000E1646"/>
    <w:rsid w:val="000E5CC9"/>
    <w:rsid w:val="000F0CEA"/>
    <w:rsid w:val="000F1EEB"/>
    <w:rsid w:val="000F25CE"/>
    <w:rsid w:val="000F3529"/>
    <w:rsid w:val="000F4655"/>
    <w:rsid w:val="000F4DA7"/>
    <w:rsid w:val="000F5691"/>
    <w:rsid w:val="000F72E1"/>
    <w:rsid w:val="00100874"/>
    <w:rsid w:val="00100DE8"/>
    <w:rsid w:val="00103D28"/>
    <w:rsid w:val="00107F30"/>
    <w:rsid w:val="00114C50"/>
    <w:rsid w:val="00115E3B"/>
    <w:rsid w:val="00117945"/>
    <w:rsid w:val="0012064F"/>
    <w:rsid w:val="00120A46"/>
    <w:rsid w:val="001225DB"/>
    <w:rsid w:val="0012607D"/>
    <w:rsid w:val="00127501"/>
    <w:rsid w:val="001308CF"/>
    <w:rsid w:val="00131E9B"/>
    <w:rsid w:val="001351E1"/>
    <w:rsid w:val="00137696"/>
    <w:rsid w:val="001376BA"/>
    <w:rsid w:val="001378C6"/>
    <w:rsid w:val="001408DE"/>
    <w:rsid w:val="00145366"/>
    <w:rsid w:val="00150640"/>
    <w:rsid w:val="00154457"/>
    <w:rsid w:val="0016148E"/>
    <w:rsid w:val="00162EA5"/>
    <w:rsid w:val="001664F7"/>
    <w:rsid w:val="001707A2"/>
    <w:rsid w:val="001714EF"/>
    <w:rsid w:val="00171D1D"/>
    <w:rsid w:val="001743EE"/>
    <w:rsid w:val="001761B2"/>
    <w:rsid w:val="0018106C"/>
    <w:rsid w:val="00183DC7"/>
    <w:rsid w:val="00191401"/>
    <w:rsid w:val="0019708E"/>
    <w:rsid w:val="001A0057"/>
    <w:rsid w:val="001A087F"/>
    <w:rsid w:val="001A0C07"/>
    <w:rsid w:val="001A0EA8"/>
    <w:rsid w:val="001A32FA"/>
    <w:rsid w:val="001A4D92"/>
    <w:rsid w:val="001A58D1"/>
    <w:rsid w:val="001A64E5"/>
    <w:rsid w:val="001A6D8F"/>
    <w:rsid w:val="001B0EA9"/>
    <w:rsid w:val="001B130F"/>
    <w:rsid w:val="001B1E49"/>
    <w:rsid w:val="001B3092"/>
    <w:rsid w:val="001B40FE"/>
    <w:rsid w:val="001B54A8"/>
    <w:rsid w:val="001B555D"/>
    <w:rsid w:val="001B5AA8"/>
    <w:rsid w:val="001B6100"/>
    <w:rsid w:val="001B6160"/>
    <w:rsid w:val="001C546D"/>
    <w:rsid w:val="001C71C5"/>
    <w:rsid w:val="001D256D"/>
    <w:rsid w:val="001D5724"/>
    <w:rsid w:val="001D6093"/>
    <w:rsid w:val="001E126C"/>
    <w:rsid w:val="001E1F13"/>
    <w:rsid w:val="001E2C32"/>
    <w:rsid w:val="001E3B19"/>
    <w:rsid w:val="001E4C93"/>
    <w:rsid w:val="001E675B"/>
    <w:rsid w:val="001F11F3"/>
    <w:rsid w:val="001F5336"/>
    <w:rsid w:val="001F6130"/>
    <w:rsid w:val="001F7874"/>
    <w:rsid w:val="002013E1"/>
    <w:rsid w:val="0020502C"/>
    <w:rsid w:val="002064CB"/>
    <w:rsid w:val="00211867"/>
    <w:rsid w:val="00213250"/>
    <w:rsid w:val="002136E0"/>
    <w:rsid w:val="0021555D"/>
    <w:rsid w:val="00216A11"/>
    <w:rsid w:val="0022128D"/>
    <w:rsid w:val="00224EDD"/>
    <w:rsid w:val="00237DEA"/>
    <w:rsid w:val="002419AB"/>
    <w:rsid w:val="00242C7C"/>
    <w:rsid w:val="00250032"/>
    <w:rsid w:val="00251BF1"/>
    <w:rsid w:val="0025581E"/>
    <w:rsid w:val="0025731C"/>
    <w:rsid w:val="00260A3F"/>
    <w:rsid w:val="00262AF6"/>
    <w:rsid w:val="00265C16"/>
    <w:rsid w:val="00265D5D"/>
    <w:rsid w:val="00266A59"/>
    <w:rsid w:val="00267C9F"/>
    <w:rsid w:val="00271004"/>
    <w:rsid w:val="00272F35"/>
    <w:rsid w:val="0027308B"/>
    <w:rsid w:val="0027467A"/>
    <w:rsid w:val="00274A6A"/>
    <w:rsid w:val="0027520B"/>
    <w:rsid w:val="00276944"/>
    <w:rsid w:val="00281C49"/>
    <w:rsid w:val="00282C19"/>
    <w:rsid w:val="00285285"/>
    <w:rsid w:val="00285340"/>
    <w:rsid w:val="00285A73"/>
    <w:rsid w:val="00286636"/>
    <w:rsid w:val="00287CD7"/>
    <w:rsid w:val="00290575"/>
    <w:rsid w:val="002945C5"/>
    <w:rsid w:val="002951CE"/>
    <w:rsid w:val="0029554E"/>
    <w:rsid w:val="002976C8"/>
    <w:rsid w:val="002A26DC"/>
    <w:rsid w:val="002A29EE"/>
    <w:rsid w:val="002A3632"/>
    <w:rsid w:val="002A3AF9"/>
    <w:rsid w:val="002A40D0"/>
    <w:rsid w:val="002A4DCD"/>
    <w:rsid w:val="002A6572"/>
    <w:rsid w:val="002A6BD0"/>
    <w:rsid w:val="002B2E4F"/>
    <w:rsid w:val="002C185C"/>
    <w:rsid w:val="002C3AC8"/>
    <w:rsid w:val="002C431E"/>
    <w:rsid w:val="002C6917"/>
    <w:rsid w:val="002D28B1"/>
    <w:rsid w:val="002D4A81"/>
    <w:rsid w:val="002D6516"/>
    <w:rsid w:val="002D7371"/>
    <w:rsid w:val="002D7BD0"/>
    <w:rsid w:val="002E3443"/>
    <w:rsid w:val="002E4B29"/>
    <w:rsid w:val="002E56B0"/>
    <w:rsid w:val="002E6691"/>
    <w:rsid w:val="002F0E8F"/>
    <w:rsid w:val="002F3307"/>
    <w:rsid w:val="002F4972"/>
    <w:rsid w:val="002F61A9"/>
    <w:rsid w:val="002F7564"/>
    <w:rsid w:val="003016CD"/>
    <w:rsid w:val="0030210E"/>
    <w:rsid w:val="00303AFE"/>
    <w:rsid w:val="00304474"/>
    <w:rsid w:val="00306A2D"/>
    <w:rsid w:val="00307152"/>
    <w:rsid w:val="00307211"/>
    <w:rsid w:val="00311D8B"/>
    <w:rsid w:val="003132E6"/>
    <w:rsid w:val="003134FE"/>
    <w:rsid w:val="00315A42"/>
    <w:rsid w:val="003170E8"/>
    <w:rsid w:val="00317E66"/>
    <w:rsid w:val="0032019C"/>
    <w:rsid w:val="00322419"/>
    <w:rsid w:val="00323F50"/>
    <w:rsid w:val="00324689"/>
    <w:rsid w:val="0032592E"/>
    <w:rsid w:val="00330A65"/>
    <w:rsid w:val="00330EA1"/>
    <w:rsid w:val="00331798"/>
    <w:rsid w:val="0033284C"/>
    <w:rsid w:val="00334E57"/>
    <w:rsid w:val="003400D3"/>
    <w:rsid w:val="0034050E"/>
    <w:rsid w:val="00340B7B"/>
    <w:rsid w:val="0034271E"/>
    <w:rsid w:val="00343359"/>
    <w:rsid w:val="003441A6"/>
    <w:rsid w:val="003443A6"/>
    <w:rsid w:val="00344D6F"/>
    <w:rsid w:val="00350137"/>
    <w:rsid w:val="00351370"/>
    <w:rsid w:val="00351B02"/>
    <w:rsid w:val="00352121"/>
    <w:rsid w:val="0035261B"/>
    <w:rsid w:val="0036246E"/>
    <w:rsid w:val="003651D4"/>
    <w:rsid w:val="00374E12"/>
    <w:rsid w:val="00375657"/>
    <w:rsid w:val="00376C07"/>
    <w:rsid w:val="00382A01"/>
    <w:rsid w:val="00383A25"/>
    <w:rsid w:val="00383D70"/>
    <w:rsid w:val="00384203"/>
    <w:rsid w:val="0038507E"/>
    <w:rsid w:val="003853FF"/>
    <w:rsid w:val="003857C1"/>
    <w:rsid w:val="00391A86"/>
    <w:rsid w:val="00392891"/>
    <w:rsid w:val="00392D72"/>
    <w:rsid w:val="003937A3"/>
    <w:rsid w:val="00393F47"/>
    <w:rsid w:val="00394B3D"/>
    <w:rsid w:val="00397423"/>
    <w:rsid w:val="003A0D91"/>
    <w:rsid w:val="003A160D"/>
    <w:rsid w:val="003A273A"/>
    <w:rsid w:val="003A4FF7"/>
    <w:rsid w:val="003A67D1"/>
    <w:rsid w:val="003B1D75"/>
    <w:rsid w:val="003B2606"/>
    <w:rsid w:val="003B6A6E"/>
    <w:rsid w:val="003B70FB"/>
    <w:rsid w:val="003C19DC"/>
    <w:rsid w:val="003C2A62"/>
    <w:rsid w:val="003C2CDB"/>
    <w:rsid w:val="003C4DB7"/>
    <w:rsid w:val="003C4FAD"/>
    <w:rsid w:val="003C5915"/>
    <w:rsid w:val="003C65B5"/>
    <w:rsid w:val="003D01B7"/>
    <w:rsid w:val="003D10E1"/>
    <w:rsid w:val="003D347A"/>
    <w:rsid w:val="003D403B"/>
    <w:rsid w:val="003D45D3"/>
    <w:rsid w:val="003D4B61"/>
    <w:rsid w:val="003D4B70"/>
    <w:rsid w:val="003D5A89"/>
    <w:rsid w:val="003D6F6A"/>
    <w:rsid w:val="003D6FCD"/>
    <w:rsid w:val="003E74E4"/>
    <w:rsid w:val="003F06BB"/>
    <w:rsid w:val="003F0ABC"/>
    <w:rsid w:val="003F1D05"/>
    <w:rsid w:val="003F4740"/>
    <w:rsid w:val="003F4DBC"/>
    <w:rsid w:val="003F52F3"/>
    <w:rsid w:val="003F6473"/>
    <w:rsid w:val="003F7D17"/>
    <w:rsid w:val="00404484"/>
    <w:rsid w:val="00405AF9"/>
    <w:rsid w:val="00407514"/>
    <w:rsid w:val="004124A0"/>
    <w:rsid w:val="0041400B"/>
    <w:rsid w:val="00414A05"/>
    <w:rsid w:val="004230A4"/>
    <w:rsid w:val="00423458"/>
    <w:rsid w:val="00426A27"/>
    <w:rsid w:val="00432E2A"/>
    <w:rsid w:val="00434C8F"/>
    <w:rsid w:val="00442773"/>
    <w:rsid w:val="00445372"/>
    <w:rsid w:val="00450A01"/>
    <w:rsid w:val="00450B54"/>
    <w:rsid w:val="00451268"/>
    <w:rsid w:val="00451511"/>
    <w:rsid w:val="00455830"/>
    <w:rsid w:val="004620D7"/>
    <w:rsid w:val="0046371B"/>
    <w:rsid w:val="004677DB"/>
    <w:rsid w:val="00470336"/>
    <w:rsid w:val="00470D55"/>
    <w:rsid w:val="00471438"/>
    <w:rsid w:val="00471A41"/>
    <w:rsid w:val="004722B7"/>
    <w:rsid w:val="00480AE5"/>
    <w:rsid w:val="00483706"/>
    <w:rsid w:val="00484BF6"/>
    <w:rsid w:val="0048500F"/>
    <w:rsid w:val="004859C9"/>
    <w:rsid w:val="00485A47"/>
    <w:rsid w:val="0048622F"/>
    <w:rsid w:val="00486C9F"/>
    <w:rsid w:val="004923FC"/>
    <w:rsid w:val="00494B9B"/>
    <w:rsid w:val="004950DB"/>
    <w:rsid w:val="00495F7C"/>
    <w:rsid w:val="00496463"/>
    <w:rsid w:val="00496740"/>
    <w:rsid w:val="00496C66"/>
    <w:rsid w:val="004A3790"/>
    <w:rsid w:val="004B1BD3"/>
    <w:rsid w:val="004B297D"/>
    <w:rsid w:val="004B52CA"/>
    <w:rsid w:val="004C0E59"/>
    <w:rsid w:val="004C3C4C"/>
    <w:rsid w:val="004C6113"/>
    <w:rsid w:val="004C72D4"/>
    <w:rsid w:val="004D01E0"/>
    <w:rsid w:val="004D0E96"/>
    <w:rsid w:val="004D1990"/>
    <w:rsid w:val="004D21AE"/>
    <w:rsid w:val="004D258D"/>
    <w:rsid w:val="004E1156"/>
    <w:rsid w:val="004E573E"/>
    <w:rsid w:val="004F0AD4"/>
    <w:rsid w:val="004F0F76"/>
    <w:rsid w:val="004F3BDF"/>
    <w:rsid w:val="004F62BB"/>
    <w:rsid w:val="004F6767"/>
    <w:rsid w:val="00505717"/>
    <w:rsid w:val="00506282"/>
    <w:rsid w:val="0050738D"/>
    <w:rsid w:val="00507A95"/>
    <w:rsid w:val="0051263A"/>
    <w:rsid w:val="00512C98"/>
    <w:rsid w:val="00516CE2"/>
    <w:rsid w:val="00520218"/>
    <w:rsid w:val="00520DF7"/>
    <w:rsid w:val="00522E61"/>
    <w:rsid w:val="00524A68"/>
    <w:rsid w:val="00524BD9"/>
    <w:rsid w:val="00524D02"/>
    <w:rsid w:val="00535B6C"/>
    <w:rsid w:val="00535FE3"/>
    <w:rsid w:val="00536484"/>
    <w:rsid w:val="00537140"/>
    <w:rsid w:val="00540E4E"/>
    <w:rsid w:val="00546446"/>
    <w:rsid w:val="00550551"/>
    <w:rsid w:val="00550FAA"/>
    <w:rsid w:val="005532AD"/>
    <w:rsid w:val="005606A2"/>
    <w:rsid w:val="00561ACB"/>
    <w:rsid w:val="00562CE1"/>
    <w:rsid w:val="0056337F"/>
    <w:rsid w:val="00565528"/>
    <w:rsid w:val="00566465"/>
    <w:rsid w:val="00571E19"/>
    <w:rsid w:val="00571E71"/>
    <w:rsid w:val="0057502A"/>
    <w:rsid w:val="00581AE4"/>
    <w:rsid w:val="00581BB7"/>
    <w:rsid w:val="0058236F"/>
    <w:rsid w:val="00583970"/>
    <w:rsid w:val="00590BD5"/>
    <w:rsid w:val="00597409"/>
    <w:rsid w:val="00597C7A"/>
    <w:rsid w:val="005A0763"/>
    <w:rsid w:val="005A0CC3"/>
    <w:rsid w:val="005B099C"/>
    <w:rsid w:val="005B1B6D"/>
    <w:rsid w:val="005B245C"/>
    <w:rsid w:val="005B24BF"/>
    <w:rsid w:val="005B45B8"/>
    <w:rsid w:val="005B54D6"/>
    <w:rsid w:val="005B5564"/>
    <w:rsid w:val="005B64D3"/>
    <w:rsid w:val="005B6F77"/>
    <w:rsid w:val="005C31C8"/>
    <w:rsid w:val="005C3A53"/>
    <w:rsid w:val="005C7A5C"/>
    <w:rsid w:val="005D11C1"/>
    <w:rsid w:val="005D1809"/>
    <w:rsid w:val="005D2B86"/>
    <w:rsid w:val="005D7469"/>
    <w:rsid w:val="005D7F8D"/>
    <w:rsid w:val="005F08D3"/>
    <w:rsid w:val="005F2188"/>
    <w:rsid w:val="006012F2"/>
    <w:rsid w:val="006027F6"/>
    <w:rsid w:val="006070D4"/>
    <w:rsid w:val="00607B92"/>
    <w:rsid w:val="00610962"/>
    <w:rsid w:val="0061101D"/>
    <w:rsid w:val="00611A4C"/>
    <w:rsid w:val="006143C3"/>
    <w:rsid w:val="00614E6B"/>
    <w:rsid w:val="00615A44"/>
    <w:rsid w:val="00616A31"/>
    <w:rsid w:val="0061715C"/>
    <w:rsid w:val="0061794F"/>
    <w:rsid w:val="00620685"/>
    <w:rsid w:val="0062205E"/>
    <w:rsid w:val="00622820"/>
    <w:rsid w:val="00623F68"/>
    <w:rsid w:val="006242E9"/>
    <w:rsid w:val="006252F1"/>
    <w:rsid w:val="006305DF"/>
    <w:rsid w:val="0063112A"/>
    <w:rsid w:val="00633A75"/>
    <w:rsid w:val="00635657"/>
    <w:rsid w:val="00635C65"/>
    <w:rsid w:val="00636029"/>
    <w:rsid w:val="0063665A"/>
    <w:rsid w:val="00636943"/>
    <w:rsid w:val="00637155"/>
    <w:rsid w:val="0063772A"/>
    <w:rsid w:val="00637E3D"/>
    <w:rsid w:val="006438E2"/>
    <w:rsid w:val="00644031"/>
    <w:rsid w:val="006455E6"/>
    <w:rsid w:val="00651BF7"/>
    <w:rsid w:val="00652A73"/>
    <w:rsid w:val="0065445F"/>
    <w:rsid w:val="00656D2F"/>
    <w:rsid w:val="00657B03"/>
    <w:rsid w:val="00660284"/>
    <w:rsid w:val="0066421B"/>
    <w:rsid w:val="00664C79"/>
    <w:rsid w:val="00664D68"/>
    <w:rsid w:val="006656C4"/>
    <w:rsid w:val="00666727"/>
    <w:rsid w:val="00666E83"/>
    <w:rsid w:val="00670208"/>
    <w:rsid w:val="0067159D"/>
    <w:rsid w:val="0067218F"/>
    <w:rsid w:val="00672A6F"/>
    <w:rsid w:val="006731F5"/>
    <w:rsid w:val="006733CE"/>
    <w:rsid w:val="006733DD"/>
    <w:rsid w:val="006747CC"/>
    <w:rsid w:val="0067539B"/>
    <w:rsid w:val="00682A8E"/>
    <w:rsid w:val="00684095"/>
    <w:rsid w:val="0068586C"/>
    <w:rsid w:val="00687B7B"/>
    <w:rsid w:val="00691073"/>
    <w:rsid w:val="00691ED5"/>
    <w:rsid w:val="0069230D"/>
    <w:rsid w:val="00692B5C"/>
    <w:rsid w:val="00693B24"/>
    <w:rsid w:val="006941ED"/>
    <w:rsid w:val="00695FF6"/>
    <w:rsid w:val="00697B57"/>
    <w:rsid w:val="006A00F0"/>
    <w:rsid w:val="006A2DDD"/>
    <w:rsid w:val="006A33B3"/>
    <w:rsid w:val="006A3B60"/>
    <w:rsid w:val="006A5533"/>
    <w:rsid w:val="006A58BC"/>
    <w:rsid w:val="006A5EC0"/>
    <w:rsid w:val="006A7804"/>
    <w:rsid w:val="006B0F07"/>
    <w:rsid w:val="006B1B65"/>
    <w:rsid w:val="006B1E8C"/>
    <w:rsid w:val="006B3FC3"/>
    <w:rsid w:val="006B5D01"/>
    <w:rsid w:val="006B7B3B"/>
    <w:rsid w:val="006C5E7C"/>
    <w:rsid w:val="006C5F4B"/>
    <w:rsid w:val="006D0156"/>
    <w:rsid w:val="006D5434"/>
    <w:rsid w:val="006D7138"/>
    <w:rsid w:val="006D759D"/>
    <w:rsid w:val="006D7C86"/>
    <w:rsid w:val="006E1092"/>
    <w:rsid w:val="006E1262"/>
    <w:rsid w:val="006E4A51"/>
    <w:rsid w:val="006E4DEB"/>
    <w:rsid w:val="006E68B7"/>
    <w:rsid w:val="006E7B71"/>
    <w:rsid w:val="006F2B22"/>
    <w:rsid w:val="006F377A"/>
    <w:rsid w:val="006F579F"/>
    <w:rsid w:val="006F6ABB"/>
    <w:rsid w:val="00700DF1"/>
    <w:rsid w:val="00707350"/>
    <w:rsid w:val="00707ECA"/>
    <w:rsid w:val="007105D0"/>
    <w:rsid w:val="00710ECA"/>
    <w:rsid w:val="00712E2A"/>
    <w:rsid w:val="007132EA"/>
    <w:rsid w:val="007217AF"/>
    <w:rsid w:val="0072327D"/>
    <w:rsid w:val="00724222"/>
    <w:rsid w:val="007264A8"/>
    <w:rsid w:val="00731896"/>
    <w:rsid w:val="007322F6"/>
    <w:rsid w:val="007340E6"/>
    <w:rsid w:val="00734590"/>
    <w:rsid w:val="00735C09"/>
    <w:rsid w:val="00737958"/>
    <w:rsid w:val="00737E18"/>
    <w:rsid w:val="007405AB"/>
    <w:rsid w:val="0074124E"/>
    <w:rsid w:val="00744C1E"/>
    <w:rsid w:val="00751503"/>
    <w:rsid w:val="0075269E"/>
    <w:rsid w:val="007536AE"/>
    <w:rsid w:val="00761F65"/>
    <w:rsid w:val="007637AC"/>
    <w:rsid w:val="007648CA"/>
    <w:rsid w:val="00764C0B"/>
    <w:rsid w:val="007658B8"/>
    <w:rsid w:val="00767FF3"/>
    <w:rsid w:val="00773641"/>
    <w:rsid w:val="00780752"/>
    <w:rsid w:val="007842CA"/>
    <w:rsid w:val="00786EFD"/>
    <w:rsid w:val="00794A3C"/>
    <w:rsid w:val="00795FC0"/>
    <w:rsid w:val="00796BDE"/>
    <w:rsid w:val="0079730D"/>
    <w:rsid w:val="00797B82"/>
    <w:rsid w:val="007A1526"/>
    <w:rsid w:val="007A1F3D"/>
    <w:rsid w:val="007A2E88"/>
    <w:rsid w:val="007A6026"/>
    <w:rsid w:val="007B41AF"/>
    <w:rsid w:val="007B59A0"/>
    <w:rsid w:val="007C009E"/>
    <w:rsid w:val="007C05B5"/>
    <w:rsid w:val="007C0AC5"/>
    <w:rsid w:val="007C309D"/>
    <w:rsid w:val="007C3F13"/>
    <w:rsid w:val="007D02A5"/>
    <w:rsid w:val="007D0665"/>
    <w:rsid w:val="007D0CAE"/>
    <w:rsid w:val="007D1373"/>
    <w:rsid w:val="007D25F5"/>
    <w:rsid w:val="007D38E4"/>
    <w:rsid w:val="007D41A6"/>
    <w:rsid w:val="007D53EE"/>
    <w:rsid w:val="007D6407"/>
    <w:rsid w:val="007D7AFB"/>
    <w:rsid w:val="007E1B6E"/>
    <w:rsid w:val="007E34E7"/>
    <w:rsid w:val="007E4043"/>
    <w:rsid w:val="007E6A86"/>
    <w:rsid w:val="007F0FDE"/>
    <w:rsid w:val="007F2027"/>
    <w:rsid w:val="007F2D28"/>
    <w:rsid w:val="008007BA"/>
    <w:rsid w:val="00801BBF"/>
    <w:rsid w:val="00802B13"/>
    <w:rsid w:val="00806502"/>
    <w:rsid w:val="00807DE7"/>
    <w:rsid w:val="0081024C"/>
    <w:rsid w:val="00811E88"/>
    <w:rsid w:val="00821FCD"/>
    <w:rsid w:val="00822B0C"/>
    <w:rsid w:val="0082659E"/>
    <w:rsid w:val="00827C5C"/>
    <w:rsid w:val="008337ED"/>
    <w:rsid w:val="00834E82"/>
    <w:rsid w:val="00836BC8"/>
    <w:rsid w:val="00840ECC"/>
    <w:rsid w:val="00841CF9"/>
    <w:rsid w:val="00843C26"/>
    <w:rsid w:val="0084449F"/>
    <w:rsid w:val="008447BD"/>
    <w:rsid w:val="0084716C"/>
    <w:rsid w:val="00847425"/>
    <w:rsid w:val="00847E35"/>
    <w:rsid w:val="008500A2"/>
    <w:rsid w:val="00857753"/>
    <w:rsid w:val="00857A6B"/>
    <w:rsid w:val="00861752"/>
    <w:rsid w:val="00863907"/>
    <w:rsid w:val="00864C22"/>
    <w:rsid w:val="008700EB"/>
    <w:rsid w:val="00872E93"/>
    <w:rsid w:val="00872F81"/>
    <w:rsid w:val="00874F41"/>
    <w:rsid w:val="008752E4"/>
    <w:rsid w:val="00877C49"/>
    <w:rsid w:val="00881C87"/>
    <w:rsid w:val="00881D6E"/>
    <w:rsid w:val="0088431D"/>
    <w:rsid w:val="00884A10"/>
    <w:rsid w:val="0088519F"/>
    <w:rsid w:val="008853F7"/>
    <w:rsid w:val="00895015"/>
    <w:rsid w:val="008B288D"/>
    <w:rsid w:val="008B2E57"/>
    <w:rsid w:val="008B39D4"/>
    <w:rsid w:val="008C061E"/>
    <w:rsid w:val="008C7881"/>
    <w:rsid w:val="008D2A3D"/>
    <w:rsid w:val="008E12EB"/>
    <w:rsid w:val="008E1E41"/>
    <w:rsid w:val="008E26F6"/>
    <w:rsid w:val="008F107F"/>
    <w:rsid w:val="008F2000"/>
    <w:rsid w:val="008F274C"/>
    <w:rsid w:val="008F2D44"/>
    <w:rsid w:val="008F364F"/>
    <w:rsid w:val="0090151F"/>
    <w:rsid w:val="009035DD"/>
    <w:rsid w:val="009155D8"/>
    <w:rsid w:val="00916AB5"/>
    <w:rsid w:val="0091752B"/>
    <w:rsid w:val="00920295"/>
    <w:rsid w:val="00921905"/>
    <w:rsid w:val="009237C3"/>
    <w:rsid w:val="00925056"/>
    <w:rsid w:val="00925DD9"/>
    <w:rsid w:val="00936365"/>
    <w:rsid w:val="00946123"/>
    <w:rsid w:val="0094676A"/>
    <w:rsid w:val="009476C2"/>
    <w:rsid w:val="00953891"/>
    <w:rsid w:val="00953910"/>
    <w:rsid w:val="00954740"/>
    <w:rsid w:val="00954F9B"/>
    <w:rsid w:val="00955138"/>
    <w:rsid w:val="00955EDB"/>
    <w:rsid w:val="00960171"/>
    <w:rsid w:val="00961D7F"/>
    <w:rsid w:val="0096264B"/>
    <w:rsid w:val="0096445E"/>
    <w:rsid w:val="00964AA2"/>
    <w:rsid w:val="00966605"/>
    <w:rsid w:val="00966C6E"/>
    <w:rsid w:val="009675EA"/>
    <w:rsid w:val="00970A4C"/>
    <w:rsid w:val="009752AE"/>
    <w:rsid w:val="009772ED"/>
    <w:rsid w:val="00977362"/>
    <w:rsid w:val="00977465"/>
    <w:rsid w:val="00977637"/>
    <w:rsid w:val="0098256A"/>
    <w:rsid w:val="00982C44"/>
    <w:rsid w:val="009838F9"/>
    <w:rsid w:val="009935F1"/>
    <w:rsid w:val="00994CB6"/>
    <w:rsid w:val="00995F59"/>
    <w:rsid w:val="009972AC"/>
    <w:rsid w:val="009A2108"/>
    <w:rsid w:val="009A328E"/>
    <w:rsid w:val="009A48CA"/>
    <w:rsid w:val="009A5A5B"/>
    <w:rsid w:val="009A7758"/>
    <w:rsid w:val="009B15B0"/>
    <w:rsid w:val="009B1EC0"/>
    <w:rsid w:val="009B25C4"/>
    <w:rsid w:val="009B7F71"/>
    <w:rsid w:val="009C0287"/>
    <w:rsid w:val="009C2C48"/>
    <w:rsid w:val="009C5C4A"/>
    <w:rsid w:val="009C6314"/>
    <w:rsid w:val="009C6417"/>
    <w:rsid w:val="009C7E99"/>
    <w:rsid w:val="009D0ECA"/>
    <w:rsid w:val="009D2340"/>
    <w:rsid w:val="009D46BE"/>
    <w:rsid w:val="009D4B5E"/>
    <w:rsid w:val="009D626A"/>
    <w:rsid w:val="009D7668"/>
    <w:rsid w:val="009E33C7"/>
    <w:rsid w:val="009E3516"/>
    <w:rsid w:val="009E582E"/>
    <w:rsid w:val="009E5916"/>
    <w:rsid w:val="009F21CF"/>
    <w:rsid w:val="009F2977"/>
    <w:rsid w:val="009F379D"/>
    <w:rsid w:val="009F71ED"/>
    <w:rsid w:val="009F74CD"/>
    <w:rsid w:val="00A01F27"/>
    <w:rsid w:val="00A10048"/>
    <w:rsid w:val="00A13846"/>
    <w:rsid w:val="00A13856"/>
    <w:rsid w:val="00A13BA1"/>
    <w:rsid w:val="00A157D2"/>
    <w:rsid w:val="00A1678A"/>
    <w:rsid w:val="00A17809"/>
    <w:rsid w:val="00A234B1"/>
    <w:rsid w:val="00A23CAA"/>
    <w:rsid w:val="00A26F15"/>
    <w:rsid w:val="00A26F8F"/>
    <w:rsid w:val="00A2769A"/>
    <w:rsid w:val="00A30422"/>
    <w:rsid w:val="00A31F5D"/>
    <w:rsid w:val="00A33872"/>
    <w:rsid w:val="00A35225"/>
    <w:rsid w:val="00A35B0B"/>
    <w:rsid w:val="00A379A0"/>
    <w:rsid w:val="00A41617"/>
    <w:rsid w:val="00A4500D"/>
    <w:rsid w:val="00A456AA"/>
    <w:rsid w:val="00A46FCF"/>
    <w:rsid w:val="00A47100"/>
    <w:rsid w:val="00A50136"/>
    <w:rsid w:val="00A524FC"/>
    <w:rsid w:val="00A53892"/>
    <w:rsid w:val="00A53BE0"/>
    <w:rsid w:val="00A55858"/>
    <w:rsid w:val="00A5646E"/>
    <w:rsid w:val="00A56B46"/>
    <w:rsid w:val="00A56BFF"/>
    <w:rsid w:val="00A61474"/>
    <w:rsid w:val="00A62371"/>
    <w:rsid w:val="00A641AF"/>
    <w:rsid w:val="00A7119D"/>
    <w:rsid w:val="00A720BF"/>
    <w:rsid w:val="00A740BA"/>
    <w:rsid w:val="00A9090B"/>
    <w:rsid w:val="00A92DBA"/>
    <w:rsid w:val="00A93E29"/>
    <w:rsid w:val="00A95805"/>
    <w:rsid w:val="00AA7522"/>
    <w:rsid w:val="00AB04EE"/>
    <w:rsid w:val="00AB119B"/>
    <w:rsid w:val="00AB6676"/>
    <w:rsid w:val="00AC17B9"/>
    <w:rsid w:val="00AC7E7E"/>
    <w:rsid w:val="00AD0B07"/>
    <w:rsid w:val="00AD1BFA"/>
    <w:rsid w:val="00AD1C1C"/>
    <w:rsid w:val="00AD295C"/>
    <w:rsid w:val="00AD3D31"/>
    <w:rsid w:val="00AD51E1"/>
    <w:rsid w:val="00AD724B"/>
    <w:rsid w:val="00AE1E7F"/>
    <w:rsid w:val="00AE2864"/>
    <w:rsid w:val="00AE32E2"/>
    <w:rsid w:val="00AE5EA8"/>
    <w:rsid w:val="00AE6AF4"/>
    <w:rsid w:val="00AF4BCD"/>
    <w:rsid w:val="00AF4BEA"/>
    <w:rsid w:val="00AF63ED"/>
    <w:rsid w:val="00AF6861"/>
    <w:rsid w:val="00B0076E"/>
    <w:rsid w:val="00B02DB0"/>
    <w:rsid w:val="00B03FEA"/>
    <w:rsid w:val="00B10513"/>
    <w:rsid w:val="00B14CDA"/>
    <w:rsid w:val="00B15E9A"/>
    <w:rsid w:val="00B206A6"/>
    <w:rsid w:val="00B20AF2"/>
    <w:rsid w:val="00B21132"/>
    <w:rsid w:val="00B2135F"/>
    <w:rsid w:val="00B22FBB"/>
    <w:rsid w:val="00B238B5"/>
    <w:rsid w:val="00B25B3B"/>
    <w:rsid w:val="00B26609"/>
    <w:rsid w:val="00B30494"/>
    <w:rsid w:val="00B33A2F"/>
    <w:rsid w:val="00B34B99"/>
    <w:rsid w:val="00B35A86"/>
    <w:rsid w:val="00B3679C"/>
    <w:rsid w:val="00B36A2D"/>
    <w:rsid w:val="00B36BB1"/>
    <w:rsid w:val="00B44424"/>
    <w:rsid w:val="00B5014D"/>
    <w:rsid w:val="00B51204"/>
    <w:rsid w:val="00B51937"/>
    <w:rsid w:val="00B524A0"/>
    <w:rsid w:val="00B53416"/>
    <w:rsid w:val="00B53FD3"/>
    <w:rsid w:val="00B55302"/>
    <w:rsid w:val="00B60C4D"/>
    <w:rsid w:val="00B636F6"/>
    <w:rsid w:val="00B756A2"/>
    <w:rsid w:val="00B76F50"/>
    <w:rsid w:val="00B81EB4"/>
    <w:rsid w:val="00B8529F"/>
    <w:rsid w:val="00B871EE"/>
    <w:rsid w:val="00B934A3"/>
    <w:rsid w:val="00B93DF6"/>
    <w:rsid w:val="00B93EC4"/>
    <w:rsid w:val="00B93F21"/>
    <w:rsid w:val="00BA0D48"/>
    <w:rsid w:val="00BA1BB6"/>
    <w:rsid w:val="00BA3B05"/>
    <w:rsid w:val="00BA5B42"/>
    <w:rsid w:val="00BA718A"/>
    <w:rsid w:val="00BB1233"/>
    <w:rsid w:val="00BB207A"/>
    <w:rsid w:val="00BB4F9A"/>
    <w:rsid w:val="00BB74C1"/>
    <w:rsid w:val="00BC0A25"/>
    <w:rsid w:val="00BC16D4"/>
    <w:rsid w:val="00BC3603"/>
    <w:rsid w:val="00BC3E8E"/>
    <w:rsid w:val="00BC60F2"/>
    <w:rsid w:val="00BD16B7"/>
    <w:rsid w:val="00BD541B"/>
    <w:rsid w:val="00BD696B"/>
    <w:rsid w:val="00BD7B33"/>
    <w:rsid w:val="00BE001B"/>
    <w:rsid w:val="00BE2D2B"/>
    <w:rsid w:val="00BE3C83"/>
    <w:rsid w:val="00BE4C40"/>
    <w:rsid w:val="00BE5FC4"/>
    <w:rsid w:val="00BE6B74"/>
    <w:rsid w:val="00BE764D"/>
    <w:rsid w:val="00BE7FF3"/>
    <w:rsid w:val="00BF0004"/>
    <w:rsid w:val="00C020A7"/>
    <w:rsid w:val="00C036CA"/>
    <w:rsid w:val="00C038CB"/>
    <w:rsid w:val="00C04454"/>
    <w:rsid w:val="00C05F67"/>
    <w:rsid w:val="00C06F8A"/>
    <w:rsid w:val="00C11F33"/>
    <w:rsid w:val="00C12D4E"/>
    <w:rsid w:val="00C157EB"/>
    <w:rsid w:val="00C208C0"/>
    <w:rsid w:val="00C20D6E"/>
    <w:rsid w:val="00C20DBB"/>
    <w:rsid w:val="00C2117F"/>
    <w:rsid w:val="00C21545"/>
    <w:rsid w:val="00C23C4F"/>
    <w:rsid w:val="00C24A37"/>
    <w:rsid w:val="00C24D97"/>
    <w:rsid w:val="00C25C19"/>
    <w:rsid w:val="00C26104"/>
    <w:rsid w:val="00C268FB"/>
    <w:rsid w:val="00C26BD0"/>
    <w:rsid w:val="00C325BC"/>
    <w:rsid w:val="00C33309"/>
    <w:rsid w:val="00C34472"/>
    <w:rsid w:val="00C37AF8"/>
    <w:rsid w:val="00C40CD5"/>
    <w:rsid w:val="00C427B0"/>
    <w:rsid w:val="00C43A26"/>
    <w:rsid w:val="00C44A39"/>
    <w:rsid w:val="00C4523C"/>
    <w:rsid w:val="00C50164"/>
    <w:rsid w:val="00C502FC"/>
    <w:rsid w:val="00C567D1"/>
    <w:rsid w:val="00C6533E"/>
    <w:rsid w:val="00C67DF8"/>
    <w:rsid w:val="00C71777"/>
    <w:rsid w:val="00C718D2"/>
    <w:rsid w:val="00C739E4"/>
    <w:rsid w:val="00C74B89"/>
    <w:rsid w:val="00C8252E"/>
    <w:rsid w:val="00C845C0"/>
    <w:rsid w:val="00C90DEC"/>
    <w:rsid w:val="00C912FA"/>
    <w:rsid w:val="00C91A7C"/>
    <w:rsid w:val="00C9587E"/>
    <w:rsid w:val="00C95FC5"/>
    <w:rsid w:val="00C963C4"/>
    <w:rsid w:val="00CA2593"/>
    <w:rsid w:val="00CA303A"/>
    <w:rsid w:val="00CA38BF"/>
    <w:rsid w:val="00CA4D96"/>
    <w:rsid w:val="00CB1922"/>
    <w:rsid w:val="00CB1B19"/>
    <w:rsid w:val="00CB1F1A"/>
    <w:rsid w:val="00CB4CAD"/>
    <w:rsid w:val="00CB77E7"/>
    <w:rsid w:val="00CC213E"/>
    <w:rsid w:val="00CC2B23"/>
    <w:rsid w:val="00CC345D"/>
    <w:rsid w:val="00CC3F83"/>
    <w:rsid w:val="00CC448C"/>
    <w:rsid w:val="00CC505C"/>
    <w:rsid w:val="00CD0FAA"/>
    <w:rsid w:val="00CD15A8"/>
    <w:rsid w:val="00CD3532"/>
    <w:rsid w:val="00CD3998"/>
    <w:rsid w:val="00CD5186"/>
    <w:rsid w:val="00CE13D7"/>
    <w:rsid w:val="00CF186F"/>
    <w:rsid w:val="00CF1E09"/>
    <w:rsid w:val="00CF2C44"/>
    <w:rsid w:val="00CF38DA"/>
    <w:rsid w:val="00CF50E2"/>
    <w:rsid w:val="00D00DA4"/>
    <w:rsid w:val="00D01E5B"/>
    <w:rsid w:val="00D041F6"/>
    <w:rsid w:val="00D1499E"/>
    <w:rsid w:val="00D16B5A"/>
    <w:rsid w:val="00D20D7A"/>
    <w:rsid w:val="00D2116C"/>
    <w:rsid w:val="00D25C33"/>
    <w:rsid w:val="00D2789D"/>
    <w:rsid w:val="00D31278"/>
    <w:rsid w:val="00D31F50"/>
    <w:rsid w:val="00D3204F"/>
    <w:rsid w:val="00D320B1"/>
    <w:rsid w:val="00D35FAC"/>
    <w:rsid w:val="00D3709E"/>
    <w:rsid w:val="00D37C8E"/>
    <w:rsid w:val="00D422EA"/>
    <w:rsid w:val="00D42BDD"/>
    <w:rsid w:val="00D43BE4"/>
    <w:rsid w:val="00D43C41"/>
    <w:rsid w:val="00D47EE1"/>
    <w:rsid w:val="00D50DA7"/>
    <w:rsid w:val="00D52EA4"/>
    <w:rsid w:val="00D53D8C"/>
    <w:rsid w:val="00D543B5"/>
    <w:rsid w:val="00D56DE7"/>
    <w:rsid w:val="00D6480C"/>
    <w:rsid w:val="00D64C45"/>
    <w:rsid w:val="00D678E5"/>
    <w:rsid w:val="00D736C7"/>
    <w:rsid w:val="00D73EF2"/>
    <w:rsid w:val="00D74E9B"/>
    <w:rsid w:val="00D7563B"/>
    <w:rsid w:val="00D76BC2"/>
    <w:rsid w:val="00D77F91"/>
    <w:rsid w:val="00D828F1"/>
    <w:rsid w:val="00D82E11"/>
    <w:rsid w:val="00D90455"/>
    <w:rsid w:val="00D90FE6"/>
    <w:rsid w:val="00D93FB7"/>
    <w:rsid w:val="00D95494"/>
    <w:rsid w:val="00DA204E"/>
    <w:rsid w:val="00DA38F3"/>
    <w:rsid w:val="00DA4C64"/>
    <w:rsid w:val="00DA5866"/>
    <w:rsid w:val="00DA5916"/>
    <w:rsid w:val="00DA730B"/>
    <w:rsid w:val="00DB18D6"/>
    <w:rsid w:val="00DB3FB7"/>
    <w:rsid w:val="00DB4644"/>
    <w:rsid w:val="00DB4689"/>
    <w:rsid w:val="00DB7864"/>
    <w:rsid w:val="00DC1837"/>
    <w:rsid w:val="00DC354A"/>
    <w:rsid w:val="00DC3B17"/>
    <w:rsid w:val="00DC3EBB"/>
    <w:rsid w:val="00DC5D7D"/>
    <w:rsid w:val="00DC794F"/>
    <w:rsid w:val="00DD11A7"/>
    <w:rsid w:val="00DE47D6"/>
    <w:rsid w:val="00DF1A97"/>
    <w:rsid w:val="00DF238B"/>
    <w:rsid w:val="00DF2E2D"/>
    <w:rsid w:val="00DF5776"/>
    <w:rsid w:val="00DF7007"/>
    <w:rsid w:val="00DF7B6D"/>
    <w:rsid w:val="00E00E2B"/>
    <w:rsid w:val="00E00FE6"/>
    <w:rsid w:val="00E032D0"/>
    <w:rsid w:val="00E03E3A"/>
    <w:rsid w:val="00E045E0"/>
    <w:rsid w:val="00E055D2"/>
    <w:rsid w:val="00E079A6"/>
    <w:rsid w:val="00E10D17"/>
    <w:rsid w:val="00E13DBB"/>
    <w:rsid w:val="00E140F4"/>
    <w:rsid w:val="00E1460C"/>
    <w:rsid w:val="00E1476B"/>
    <w:rsid w:val="00E1505F"/>
    <w:rsid w:val="00E17705"/>
    <w:rsid w:val="00E20295"/>
    <w:rsid w:val="00E20FCD"/>
    <w:rsid w:val="00E21C0F"/>
    <w:rsid w:val="00E22B91"/>
    <w:rsid w:val="00E24794"/>
    <w:rsid w:val="00E24D6F"/>
    <w:rsid w:val="00E27179"/>
    <w:rsid w:val="00E277B6"/>
    <w:rsid w:val="00E31199"/>
    <w:rsid w:val="00E3164E"/>
    <w:rsid w:val="00E3472F"/>
    <w:rsid w:val="00E3550A"/>
    <w:rsid w:val="00E358F6"/>
    <w:rsid w:val="00E37EF7"/>
    <w:rsid w:val="00E409E4"/>
    <w:rsid w:val="00E4143F"/>
    <w:rsid w:val="00E417FD"/>
    <w:rsid w:val="00E458AF"/>
    <w:rsid w:val="00E45AE3"/>
    <w:rsid w:val="00E50786"/>
    <w:rsid w:val="00E565CF"/>
    <w:rsid w:val="00E60C92"/>
    <w:rsid w:val="00E6587E"/>
    <w:rsid w:val="00E711A4"/>
    <w:rsid w:val="00E75126"/>
    <w:rsid w:val="00E7680D"/>
    <w:rsid w:val="00E770E5"/>
    <w:rsid w:val="00E806AA"/>
    <w:rsid w:val="00E816E0"/>
    <w:rsid w:val="00E8196A"/>
    <w:rsid w:val="00E85039"/>
    <w:rsid w:val="00E86E94"/>
    <w:rsid w:val="00E9253D"/>
    <w:rsid w:val="00E925B4"/>
    <w:rsid w:val="00E9537B"/>
    <w:rsid w:val="00E97751"/>
    <w:rsid w:val="00E97E8E"/>
    <w:rsid w:val="00EA1802"/>
    <w:rsid w:val="00EA5133"/>
    <w:rsid w:val="00EA57F5"/>
    <w:rsid w:val="00EB151D"/>
    <w:rsid w:val="00EB45D1"/>
    <w:rsid w:val="00EB5196"/>
    <w:rsid w:val="00EB55B5"/>
    <w:rsid w:val="00EB5CF9"/>
    <w:rsid w:val="00EB6138"/>
    <w:rsid w:val="00EB6317"/>
    <w:rsid w:val="00EC1135"/>
    <w:rsid w:val="00EC4B0E"/>
    <w:rsid w:val="00EC4FFB"/>
    <w:rsid w:val="00EC69B7"/>
    <w:rsid w:val="00ED5956"/>
    <w:rsid w:val="00ED6F80"/>
    <w:rsid w:val="00ED79F6"/>
    <w:rsid w:val="00EE0064"/>
    <w:rsid w:val="00EE0569"/>
    <w:rsid w:val="00EE0689"/>
    <w:rsid w:val="00EE0BEB"/>
    <w:rsid w:val="00EE2676"/>
    <w:rsid w:val="00EE2E78"/>
    <w:rsid w:val="00EE3BE5"/>
    <w:rsid w:val="00EE3EB9"/>
    <w:rsid w:val="00EE4022"/>
    <w:rsid w:val="00EE44B8"/>
    <w:rsid w:val="00EE5A2A"/>
    <w:rsid w:val="00EE7350"/>
    <w:rsid w:val="00EF3080"/>
    <w:rsid w:val="00F00622"/>
    <w:rsid w:val="00F012D6"/>
    <w:rsid w:val="00F03AFA"/>
    <w:rsid w:val="00F04BA1"/>
    <w:rsid w:val="00F05D48"/>
    <w:rsid w:val="00F05EB1"/>
    <w:rsid w:val="00F060A9"/>
    <w:rsid w:val="00F07C3B"/>
    <w:rsid w:val="00F112F1"/>
    <w:rsid w:val="00F11A65"/>
    <w:rsid w:val="00F1201F"/>
    <w:rsid w:val="00F160F0"/>
    <w:rsid w:val="00F161A4"/>
    <w:rsid w:val="00F171FE"/>
    <w:rsid w:val="00F215A3"/>
    <w:rsid w:val="00F22023"/>
    <w:rsid w:val="00F22355"/>
    <w:rsid w:val="00F2359A"/>
    <w:rsid w:val="00F249CD"/>
    <w:rsid w:val="00F24D54"/>
    <w:rsid w:val="00F26D88"/>
    <w:rsid w:val="00F27F0A"/>
    <w:rsid w:val="00F304AE"/>
    <w:rsid w:val="00F3150A"/>
    <w:rsid w:val="00F315F7"/>
    <w:rsid w:val="00F34BED"/>
    <w:rsid w:val="00F35821"/>
    <w:rsid w:val="00F36448"/>
    <w:rsid w:val="00F44582"/>
    <w:rsid w:val="00F4787A"/>
    <w:rsid w:val="00F515E7"/>
    <w:rsid w:val="00F52A25"/>
    <w:rsid w:val="00F52A37"/>
    <w:rsid w:val="00F52A3A"/>
    <w:rsid w:val="00F56413"/>
    <w:rsid w:val="00F574A3"/>
    <w:rsid w:val="00F62568"/>
    <w:rsid w:val="00F65B4F"/>
    <w:rsid w:val="00F70239"/>
    <w:rsid w:val="00F70FF1"/>
    <w:rsid w:val="00F731F4"/>
    <w:rsid w:val="00F77C77"/>
    <w:rsid w:val="00F80D13"/>
    <w:rsid w:val="00F826D7"/>
    <w:rsid w:val="00F833E1"/>
    <w:rsid w:val="00F83E21"/>
    <w:rsid w:val="00F86561"/>
    <w:rsid w:val="00F92E23"/>
    <w:rsid w:val="00F95596"/>
    <w:rsid w:val="00F96E98"/>
    <w:rsid w:val="00F96F1F"/>
    <w:rsid w:val="00F97234"/>
    <w:rsid w:val="00FA1240"/>
    <w:rsid w:val="00FA140C"/>
    <w:rsid w:val="00FA61B8"/>
    <w:rsid w:val="00FA7807"/>
    <w:rsid w:val="00FB1DEA"/>
    <w:rsid w:val="00FB23A2"/>
    <w:rsid w:val="00FB245D"/>
    <w:rsid w:val="00FB266B"/>
    <w:rsid w:val="00FB3B9C"/>
    <w:rsid w:val="00FB69D6"/>
    <w:rsid w:val="00FB6A1E"/>
    <w:rsid w:val="00FC0EF1"/>
    <w:rsid w:val="00FC2ECF"/>
    <w:rsid w:val="00FC4611"/>
    <w:rsid w:val="00FD3B18"/>
    <w:rsid w:val="00FD4896"/>
    <w:rsid w:val="00FE0F77"/>
    <w:rsid w:val="00FE4479"/>
    <w:rsid w:val="00FE46AE"/>
    <w:rsid w:val="00FE54BB"/>
    <w:rsid w:val="00FF1301"/>
    <w:rsid w:val="00FF1361"/>
    <w:rsid w:val="00FF3CAE"/>
    <w:rsid w:val="00FF7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E494410"/>
  <w15:docId w15:val="{A1512CDE-9F0C-4DFE-BB91-31651D0A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5D0"/>
    <w:rPr>
      <w:sz w:val="24"/>
      <w:szCs w:val="24"/>
    </w:rPr>
  </w:style>
  <w:style w:type="paragraph" w:styleId="Ttulo1">
    <w:name w:val="heading 1"/>
    <w:basedOn w:val="Normal"/>
    <w:next w:val="Normal"/>
    <w:link w:val="Ttulo1Car"/>
    <w:qFormat/>
    <w:rsid w:val="00A10048"/>
    <w:pPr>
      <w:keepNext/>
      <w:autoSpaceDE w:val="0"/>
      <w:autoSpaceDN w:val="0"/>
      <w:adjustRightInd w:val="0"/>
      <w:outlineLvl w:val="0"/>
    </w:pPr>
    <w:rPr>
      <w:rFonts w:ascii="Cambria" w:hAnsi="Cambria"/>
      <w:b/>
      <w:bCs/>
      <w:kern w:val="32"/>
      <w:sz w:val="32"/>
      <w:szCs w:val="32"/>
    </w:rPr>
  </w:style>
  <w:style w:type="paragraph" w:styleId="Ttulo2">
    <w:name w:val="heading 2"/>
    <w:basedOn w:val="Normal"/>
    <w:next w:val="Normal"/>
    <w:link w:val="Ttulo2Car"/>
    <w:qFormat/>
    <w:rsid w:val="00A10048"/>
    <w:pPr>
      <w:keepNext/>
      <w:shd w:val="clear" w:color="auto" w:fill="FFFFFF"/>
      <w:jc w:val="both"/>
      <w:outlineLvl w:val="1"/>
    </w:pPr>
    <w:rPr>
      <w:rFonts w:ascii="Cambria" w:hAnsi="Cambria"/>
      <w:b/>
      <w:bCs/>
      <w:i/>
      <w:iCs/>
      <w:sz w:val="28"/>
      <w:szCs w:val="28"/>
    </w:rPr>
  </w:style>
  <w:style w:type="paragraph" w:styleId="Ttulo3">
    <w:name w:val="heading 3"/>
    <w:basedOn w:val="Normal"/>
    <w:next w:val="Normal"/>
    <w:link w:val="Ttulo3Car"/>
    <w:qFormat/>
    <w:rsid w:val="00A10048"/>
    <w:pPr>
      <w:keepNext/>
      <w:jc w:val="center"/>
      <w:outlineLvl w:val="2"/>
    </w:pPr>
    <w:rPr>
      <w:rFonts w:ascii="Cambria" w:hAnsi="Cambria"/>
      <w:b/>
      <w:bCs/>
      <w:sz w:val="26"/>
      <w:szCs w:val="26"/>
    </w:rPr>
  </w:style>
  <w:style w:type="paragraph" w:styleId="Ttulo4">
    <w:name w:val="heading 4"/>
    <w:basedOn w:val="Normal"/>
    <w:next w:val="Normal"/>
    <w:link w:val="Ttulo4Car"/>
    <w:qFormat/>
    <w:rsid w:val="00A10048"/>
    <w:pPr>
      <w:keepNext/>
      <w:jc w:val="both"/>
      <w:outlineLvl w:val="3"/>
    </w:pPr>
    <w:rPr>
      <w:rFonts w:ascii="Calibri" w:hAnsi="Calibri"/>
      <w:b/>
      <w:bCs/>
      <w:sz w:val="28"/>
      <w:szCs w:val="28"/>
    </w:rPr>
  </w:style>
  <w:style w:type="paragraph" w:styleId="Ttulo5">
    <w:name w:val="heading 5"/>
    <w:basedOn w:val="Normal"/>
    <w:next w:val="Normal"/>
    <w:link w:val="Ttulo5Car"/>
    <w:qFormat/>
    <w:rsid w:val="00A10048"/>
    <w:pPr>
      <w:keepNext/>
      <w:shd w:val="clear" w:color="auto" w:fill="FFCC99"/>
      <w:outlineLvl w:val="4"/>
    </w:pPr>
    <w:rPr>
      <w:rFonts w:ascii="Calibri" w:hAnsi="Calibri"/>
      <w:b/>
      <w:bCs/>
      <w:i/>
      <w:iCs/>
      <w:sz w:val="26"/>
      <w:szCs w:val="26"/>
    </w:rPr>
  </w:style>
  <w:style w:type="paragraph" w:styleId="Ttulo6">
    <w:name w:val="heading 6"/>
    <w:basedOn w:val="Normal"/>
    <w:next w:val="Normal"/>
    <w:link w:val="Ttulo6Car"/>
    <w:qFormat/>
    <w:rsid w:val="00A10048"/>
    <w:pPr>
      <w:keepNext/>
      <w:autoSpaceDE w:val="0"/>
      <w:autoSpaceDN w:val="0"/>
      <w:adjustRightInd w:val="0"/>
      <w:outlineLvl w:val="5"/>
    </w:pPr>
    <w:rPr>
      <w:rFonts w:ascii="Calibri" w:hAnsi="Calibri"/>
      <w:b/>
      <w:bCs/>
      <w:sz w:val="22"/>
      <w:szCs w:val="22"/>
    </w:rPr>
  </w:style>
  <w:style w:type="paragraph" w:styleId="Ttulo7">
    <w:name w:val="heading 7"/>
    <w:basedOn w:val="Normal"/>
    <w:next w:val="Normal"/>
    <w:link w:val="Ttulo7Car"/>
    <w:qFormat/>
    <w:rsid w:val="00A10048"/>
    <w:pPr>
      <w:keepNext/>
      <w:tabs>
        <w:tab w:val="left" w:pos="1673"/>
      </w:tabs>
      <w:jc w:val="center"/>
      <w:outlineLvl w:val="6"/>
    </w:pPr>
    <w:rPr>
      <w:rFonts w:ascii="Calibri" w:hAnsi="Calibri"/>
    </w:rPr>
  </w:style>
  <w:style w:type="paragraph" w:styleId="Ttulo8">
    <w:name w:val="heading 8"/>
    <w:basedOn w:val="Normal"/>
    <w:next w:val="Normal"/>
    <w:link w:val="Ttulo8Car"/>
    <w:qFormat/>
    <w:rsid w:val="00A10048"/>
    <w:pPr>
      <w:keepNext/>
      <w:jc w:val="both"/>
      <w:outlineLvl w:val="7"/>
    </w:pPr>
    <w:rPr>
      <w:rFonts w:ascii="Calibri" w:hAnsi="Calibri"/>
      <w:i/>
      <w:iCs/>
    </w:rPr>
  </w:style>
  <w:style w:type="paragraph" w:styleId="Ttulo9">
    <w:name w:val="heading 9"/>
    <w:basedOn w:val="Normal"/>
    <w:next w:val="Normal"/>
    <w:link w:val="Ttulo9Car"/>
    <w:qFormat/>
    <w:rsid w:val="00A10048"/>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51CE"/>
    <w:rPr>
      <w:rFonts w:ascii="Cambria" w:hAnsi="Cambria" w:cs="Times New Roman"/>
      <w:b/>
      <w:bCs/>
      <w:kern w:val="32"/>
      <w:sz w:val="32"/>
      <w:szCs w:val="32"/>
    </w:rPr>
  </w:style>
  <w:style w:type="character" w:customStyle="1" w:styleId="Ttulo2Car">
    <w:name w:val="Título 2 Car"/>
    <w:link w:val="Ttulo2"/>
    <w:semiHidden/>
    <w:locked/>
    <w:rsid w:val="002951CE"/>
    <w:rPr>
      <w:rFonts w:ascii="Cambria" w:hAnsi="Cambria" w:cs="Times New Roman"/>
      <w:b/>
      <w:bCs/>
      <w:i/>
      <w:iCs/>
      <w:sz w:val="28"/>
      <w:szCs w:val="28"/>
    </w:rPr>
  </w:style>
  <w:style w:type="character" w:customStyle="1" w:styleId="Ttulo3Car">
    <w:name w:val="Título 3 Car"/>
    <w:link w:val="Ttulo3"/>
    <w:semiHidden/>
    <w:locked/>
    <w:rsid w:val="002951CE"/>
    <w:rPr>
      <w:rFonts w:ascii="Cambria" w:hAnsi="Cambria" w:cs="Times New Roman"/>
      <w:b/>
      <w:bCs/>
      <w:sz w:val="26"/>
      <w:szCs w:val="26"/>
    </w:rPr>
  </w:style>
  <w:style w:type="character" w:customStyle="1" w:styleId="Ttulo4Car">
    <w:name w:val="Título 4 Car"/>
    <w:link w:val="Ttulo4"/>
    <w:semiHidden/>
    <w:locked/>
    <w:rsid w:val="002951CE"/>
    <w:rPr>
      <w:rFonts w:ascii="Calibri" w:hAnsi="Calibri" w:cs="Times New Roman"/>
      <w:b/>
      <w:bCs/>
      <w:sz w:val="28"/>
      <w:szCs w:val="28"/>
    </w:rPr>
  </w:style>
  <w:style w:type="character" w:customStyle="1" w:styleId="Ttulo5Car">
    <w:name w:val="Título 5 Car"/>
    <w:link w:val="Ttulo5"/>
    <w:semiHidden/>
    <w:locked/>
    <w:rsid w:val="002951CE"/>
    <w:rPr>
      <w:rFonts w:ascii="Calibri" w:hAnsi="Calibri" w:cs="Times New Roman"/>
      <w:b/>
      <w:bCs/>
      <w:i/>
      <w:iCs/>
      <w:sz w:val="26"/>
      <w:szCs w:val="26"/>
    </w:rPr>
  </w:style>
  <w:style w:type="character" w:customStyle="1" w:styleId="Ttulo6Car">
    <w:name w:val="Título 6 Car"/>
    <w:link w:val="Ttulo6"/>
    <w:semiHidden/>
    <w:locked/>
    <w:rsid w:val="002951CE"/>
    <w:rPr>
      <w:rFonts w:ascii="Calibri" w:hAnsi="Calibri" w:cs="Times New Roman"/>
      <w:b/>
      <w:bCs/>
      <w:sz w:val="22"/>
      <w:szCs w:val="22"/>
    </w:rPr>
  </w:style>
  <w:style w:type="character" w:customStyle="1" w:styleId="Ttulo7Car">
    <w:name w:val="Título 7 Car"/>
    <w:link w:val="Ttulo7"/>
    <w:semiHidden/>
    <w:locked/>
    <w:rsid w:val="002951CE"/>
    <w:rPr>
      <w:rFonts w:ascii="Calibri" w:hAnsi="Calibri" w:cs="Times New Roman"/>
      <w:sz w:val="24"/>
      <w:szCs w:val="24"/>
    </w:rPr>
  </w:style>
  <w:style w:type="character" w:customStyle="1" w:styleId="Ttulo8Car">
    <w:name w:val="Título 8 Car"/>
    <w:link w:val="Ttulo8"/>
    <w:semiHidden/>
    <w:locked/>
    <w:rsid w:val="002951CE"/>
    <w:rPr>
      <w:rFonts w:ascii="Calibri" w:hAnsi="Calibri" w:cs="Times New Roman"/>
      <w:i/>
      <w:iCs/>
      <w:sz w:val="24"/>
      <w:szCs w:val="24"/>
    </w:rPr>
  </w:style>
  <w:style w:type="character" w:customStyle="1" w:styleId="Ttulo9Car">
    <w:name w:val="Título 9 Car"/>
    <w:link w:val="Ttulo9"/>
    <w:semiHidden/>
    <w:locked/>
    <w:rsid w:val="002951CE"/>
    <w:rPr>
      <w:rFonts w:ascii="Cambria" w:hAnsi="Cambria" w:cs="Times New Roman"/>
      <w:sz w:val="22"/>
      <w:szCs w:val="22"/>
    </w:rPr>
  </w:style>
  <w:style w:type="paragraph" w:styleId="Textodeglobo">
    <w:name w:val="Balloon Text"/>
    <w:basedOn w:val="Normal"/>
    <w:link w:val="TextodegloboCar"/>
    <w:semiHidden/>
    <w:rsid w:val="007105D0"/>
    <w:rPr>
      <w:rFonts w:ascii="Arial" w:hAnsi="Arial"/>
      <w:sz w:val="16"/>
      <w:szCs w:val="20"/>
    </w:rPr>
  </w:style>
  <w:style w:type="character" w:customStyle="1" w:styleId="TextodegloboCar">
    <w:name w:val="Texto de globo Car"/>
    <w:link w:val="Textodeglobo"/>
    <w:semiHidden/>
    <w:locked/>
    <w:rsid w:val="007105D0"/>
    <w:rPr>
      <w:rFonts w:ascii="Arial" w:hAnsi="Arial"/>
      <w:sz w:val="16"/>
    </w:rPr>
  </w:style>
  <w:style w:type="character" w:styleId="Hipervnculo">
    <w:name w:val="Hyperlink"/>
    <w:uiPriority w:val="99"/>
    <w:rsid w:val="00A10048"/>
    <w:rPr>
      <w:rFonts w:cs="Times New Roman"/>
      <w:color w:val="0000FF"/>
      <w:u w:val="single"/>
    </w:rPr>
  </w:style>
  <w:style w:type="paragraph" w:styleId="Ttulo">
    <w:name w:val="Title"/>
    <w:basedOn w:val="Normal"/>
    <w:link w:val="TtuloCar"/>
    <w:qFormat/>
    <w:rsid w:val="00A10048"/>
    <w:pPr>
      <w:autoSpaceDE w:val="0"/>
      <w:autoSpaceDN w:val="0"/>
      <w:adjustRightInd w:val="0"/>
      <w:jc w:val="center"/>
    </w:pPr>
    <w:rPr>
      <w:rFonts w:ascii="Cambria" w:hAnsi="Cambria"/>
      <w:b/>
      <w:bCs/>
      <w:kern w:val="28"/>
      <w:sz w:val="32"/>
      <w:szCs w:val="32"/>
    </w:rPr>
  </w:style>
  <w:style w:type="character" w:customStyle="1" w:styleId="TtuloCar">
    <w:name w:val="Título Car"/>
    <w:link w:val="Ttulo"/>
    <w:locked/>
    <w:rsid w:val="002951CE"/>
    <w:rPr>
      <w:rFonts w:ascii="Cambria" w:hAnsi="Cambria" w:cs="Times New Roman"/>
      <w:b/>
      <w:bCs/>
      <w:kern w:val="28"/>
      <w:sz w:val="32"/>
      <w:szCs w:val="32"/>
    </w:rPr>
  </w:style>
  <w:style w:type="paragraph" w:styleId="Sangradetextonormal">
    <w:name w:val="Body Text Indent"/>
    <w:basedOn w:val="Normal"/>
    <w:link w:val="SangradetextonormalCar"/>
    <w:semiHidden/>
    <w:rsid w:val="00A10048"/>
    <w:pPr>
      <w:shd w:val="clear" w:color="auto" w:fill="FFFFFF"/>
      <w:ind w:left="708"/>
      <w:jc w:val="both"/>
    </w:pPr>
  </w:style>
  <w:style w:type="character" w:customStyle="1" w:styleId="SangradetextonormalCar">
    <w:name w:val="Sangría de texto normal Car"/>
    <w:link w:val="Sangradetextonormal"/>
    <w:semiHidden/>
    <w:locked/>
    <w:rsid w:val="002951CE"/>
    <w:rPr>
      <w:rFonts w:cs="Times New Roman"/>
      <w:sz w:val="24"/>
      <w:szCs w:val="24"/>
    </w:rPr>
  </w:style>
  <w:style w:type="paragraph" w:styleId="Textoindependiente">
    <w:name w:val="Body Text"/>
    <w:basedOn w:val="Normal"/>
    <w:link w:val="TextoindependienteCar"/>
    <w:semiHidden/>
    <w:rsid w:val="00A10048"/>
  </w:style>
  <w:style w:type="character" w:customStyle="1" w:styleId="TextoindependienteCar">
    <w:name w:val="Texto independiente Car"/>
    <w:link w:val="Textoindependiente"/>
    <w:semiHidden/>
    <w:locked/>
    <w:rsid w:val="002951CE"/>
    <w:rPr>
      <w:rFonts w:cs="Times New Roman"/>
      <w:sz w:val="24"/>
      <w:szCs w:val="24"/>
    </w:rPr>
  </w:style>
  <w:style w:type="paragraph" w:styleId="Encabezado">
    <w:name w:val="header"/>
    <w:basedOn w:val="Normal"/>
    <w:link w:val="EncabezadoCar"/>
    <w:uiPriority w:val="99"/>
    <w:rsid w:val="00A10048"/>
    <w:pPr>
      <w:tabs>
        <w:tab w:val="center" w:pos="4252"/>
        <w:tab w:val="right" w:pos="8504"/>
      </w:tabs>
    </w:pPr>
  </w:style>
  <w:style w:type="character" w:customStyle="1" w:styleId="EncabezadoCar">
    <w:name w:val="Encabezado Car"/>
    <w:link w:val="Encabezado"/>
    <w:uiPriority w:val="99"/>
    <w:locked/>
    <w:rsid w:val="002951CE"/>
    <w:rPr>
      <w:rFonts w:cs="Times New Roman"/>
      <w:sz w:val="24"/>
      <w:szCs w:val="24"/>
    </w:rPr>
  </w:style>
  <w:style w:type="paragraph" w:styleId="Piedepgina">
    <w:name w:val="footer"/>
    <w:basedOn w:val="Normal"/>
    <w:link w:val="PiedepginaCar"/>
    <w:semiHidden/>
    <w:rsid w:val="00A10048"/>
    <w:pPr>
      <w:tabs>
        <w:tab w:val="center" w:pos="4252"/>
        <w:tab w:val="right" w:pos="8504"/>
      </w:tabs>
    </w:pPr>
  </w:style>
  <w:style w:type="character" w:customStyle="1" w:styleId="PiedepginaCar">
    <w:name w:val="Pie de página Car"/>
    <w:link w:val="Piedepgina"/>
    <w:semiHidden/>
    <w:locked/>
    <w:rsid w:val="002951CE"/>
    <w:rPr>
      <w:rFonts w:cs="Times New Roman"/>
      <w:sz w:val="24"/>
      <w:szCs w:val="24"/>
    </w:rPr>
  </w:style>
  <w:style w:type="character" w:styleId="Nmerodepgina">
    <w:name w:val="page number"/>
    <w:semiHidden/>
    <w:rsid w:val="00A10048"/>
    <w:rPr>
      <w:rFonts w:cs="Times New Roman"/>
    </w:rPr>
  </w:style>
  <w:style w:type="paragraph" w:styleId="Textoindependiente2">
    <w:name w:val="Body Text 2"/>
    <w:basedOn w:val="Normal"/>
    <w:link w:val="Textoindependiente2Car"/>
    <w:semiHidden/>
    <w:rsid w:val="00A10048"/>
    <w:pPr>
      <w:autoSpaceDE w:val="0"/>
      <w:autoSpaceDN w:val="0"/>
      <w:adjustRightInd w:val="0"/>
      <w:jc w:val="center"/>
    </w:pPr>
  </w:style>
  <w:style w:type="character" w:customStyle="1" w:styleId="Textoindependiente2Car">
    <w:name w:val="Texto independiente 2 Car"/>
    <w:link w:val="Textoindependiente2"/>
    <w:semiHidden/>
    <w:locked/>
    <w:rsid w:val="002951CE"/>
    <w:rPr>
      <w:rFonts w:cs="Times New Roman"/>
      <w:sz w:val="24"/>
      <w:szCs w:val="24"/>
    </w:rPr>
  </w:style>
  <w:style w:type="paragraph" w:customStyle="1" w:styleId="Authors">
    <w:name w:val="Authors"/>
    <w:basedOn w:val="Normal"/>
    <w:rsid w:val="00A10048"/>
    <w:pPr>
      <w:keepNext/>
      <w:spacing w:before="240"/>
    </w:pPr>
    <w:rPr>
      <w:rFonts w:ascii="Arial" w:hAnsi="Arial"/>
      <w:color w:val="000000"/>
      <w:sz w:val="22"/>
      <w:szCs w:val="20"/>
      <w:lang w:val="en-US" w:eastAsia="en-US"/>
    </w:rPr>
  </w:style>
  <w:style w:type="paragraph" w:customStyle="1" w:styleId="Encabezadobase">
    <w:name w:val="Encabezado base"/>
    <w:basedOn w:val="Normal"/>
    <w:rsid w:val="00A10048"/>
    <w:pPr>
      <w:keepLines/>
      <w:tabs>
        <w:tab w:val="center" w:pos="4320"/>
        <w:tab w:val="right" w:pos="8640"/>
      </w:tabs>
      <w:spacing w:after="240"/>
      <w:ind w:firstLine="709"/>
      <w:jc w:val="both"/>
    </w:pPr>
    <w:rPr>
      <w:rFonts w:ascii="Arial" w:hAnsi="Arial"/>
      <w:spacing w:val="-4"/>
      <w:szCs w:val="20"/>
      <w:lang w:val="es-ES_tradnl"/>
    </w:rPr>
  </w:style>
  <w:style w:type="character" w:styleId="Hipervnculovisitado">
    <w:name w:val="FollowedHyperlink"/>
    <w:semiHidden/>
    <w:rsid w:val="00A10048"/>
    <w:rPr>
      <w:rFonts w:cs="Times New Roman"/>
      <w:color w:val="800080"/>
      <w:u w:val="single"/>
    </w:rPr>
  </w:style>
  <w:style w:type="paragraph" w:styleId="NormalWeb">
    <w:name w:val="Normal (Web)"/>
    <w:basedOn w:val="Normal"/>
    <w:uiPriority w:val="99"/>
    <w:semiHidden/>
    <w:rsid w:val="00A10048"/>
    <w:pPr>
      <w:spacing w:before="100" w:beforeAutospacing="1" w:after="100" w:afterAutospacing="1"/>
    </w:pPr>
  </w:style>
  <w:style w:type="paragraph" w:styleId="Textoindependiente3">
    <w:name w:val="Body Text 3"/>
    <w:basedOn w:val="Normal"/>
    <w:link w:val="Textoindependiente3Car"/>
    <w:semiHidden/>
    <w:rsid w:val="00A10048"/>
    <w:rPr>
      <w:sz w:val="16"/>
      <w:szCs w:val="16"/>
    </w:rPr>
  </w:style>
  <w:style w:type="character" w:customStyle="1" w:styleId="Textoindependiente3Car">
    <w:name w:val="Texto independiente 3 Car"/>
    <w:link w:val="Textoindependiente3"/>
    <w:semiHidden/>
    <w:locked/>
    <w:rsid w:val="002951CE"/>
    <w:rPr>
      <w:rFonts w:cs="Times New Roman"/>
      <w:sz w:val="16"/>
      <w:szCs w:val="16"/>
    </w:rPr>
  </w:style>
  <w:style w:type="character" w:customStyle="1" w:styleId="t101">
    <w:name w:val="t101"/>
    <w:rsid w:val="00A10048"/>
    <w:rPr>
      <w:rFonts w:ascii="Arial" w:hAnsi="Arial" w:cs="Arial"/>
      <w:sz w:val="24"/>
      <w:szCs w:val="24"/>
    </w:rPr>
  </w:style>
  <w:style w:type="character" w:styleId="Textoennegrita">
    <w:name w:val="Strong"/>
    <w:uiPriority w:val="22"/>
    <w:qFormat/>
    <w:rsid w:val="00A10048"/>
    <w:rPr>
      <w:rFonts w:cs="Times New Roman"/>
      <w:b/>
      <w:bCs/>
    </w:rPr>
  </w:style>
  <w:style w:type="character" w:customStyle="1" w:styleId="para1">
    <w:name w:val="para1"/>
    <w:rsid w:val="00A10048"/>
    <w:rPr>
      <w:rFonts w:ascii="Arial" w:hAnsi="Arial" w:cs="Arial"/>
      <w:sz w:val="19"/>
      <w:szCs w:val="19"/>
    </w:rPr>
  </w:style>
  <w:style w:type="paragraph" w:styleId="z-Principiodelformulario">
    <w:name w:val="HTML Top of Form"/>
    <w:basedOn w:val="Normal"/>
    <w:next w:val="Normal"/>
    <w:link w:val="z-PrincipiodelformularioCar"/>
    <w:hidden/>
    <w:rsid w:val="00A10048"/>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semiHidden/>
    <w:locked/>
    <w:rsid w:val="002951CE"/>
    <w:rPr>
      <w:rFonts w:ascii="Arial" w:hAnsi="Arial" w:cs="Arial"/>
      <w:vanish/>
      <w:sz w:val="16"/>
      <w:szCs w:val="16"/>
    </w:rPr>
  </w:style>
  <w:style w:type="paragraph" w:styleId="Sangra3detindependiente">
    <w:name w:val="Body Text Indent 3"/>
    <w:basedOn w:val="Normal"/>
    <w:link w:val="Sangra3detindependienteCar"/>
    <w:semiHidden/>
    <w:rsid w:val="00A10048"/>
    <w:pPr>
      <w:ind w:left="708"/>
      <w:jc w:val="both"/>
    </w:pPr>
    <w:rPr>
      <w:sz w:val="16"/>
      <w:szCs w:val="16"/>
    </w:rPr>
  </w:style>
  <w:style w:type="character" w:customStyle="1" w:styleId="Sangra3detindependienteCar">
    <w:name w:val="Sangría 3 de t. independiente Car"/>
    <w:link w:val="Sangra3detindependiente"/>
    <w:semiHidden/>
    <w:locked/>
    <w:rsid w:val="002951CE"/>
    <w:rPr>
      <w:rFonts w:cs="Times New Roman"/>
      <w:sz w:val="16"/>
      <w:szCs w:val="16"/>
    </w:rPr>
  </w:style>
  <w:style w:type="paragraph" w:styleId="Textosinformato">
    <w:name w:val="Plain Text"/>
    <w:basedOn w:val="Normal"/>
    <w:link w:val="TextosinformatoCar"/>
    <w:semiHidden/>
    <w:rsid w:val="00A10048"/>
    <w:rPr>
      <w:rFonts w:ascii="Courier New" w:hAnsi="Courier New"/>
      <w:sz w:val="20"/>
      <w:szCs w:val="20"/>
    </w:rPr>
  </w:style>
  <w:style w:type="character" w:customStyle="1" w:styleId="TextosinformatoCar">
    <w:name w:val="Texto sin formato Car"/>
    <w:link w:val="Textosinformato"/>
    <w:semiHidden/>
    <w:locked/>
    <w:rsid w:val="002951CE"/>
    <w:rPr>
      <w:rFonts w:ascii="Courier New" w:hAnsi="Courier New" w:cs="Courier New"/>
    </w:rPr>
  </w:style>
  <w:style w:type="paragraph" w:customStyle="1" w:styleId="Textoindependiente31">
    <w:name w:val="Texto independiente 31"/>
    <w:basedOn w:val="Normal"/>
    <w:rsid w:val="00D828F1"/>
    <w:pPr>
      <w:widowControl w:val="0"/>
      <w:suppressAutoHyphens/>
    </w:pPr>
    <w:rPr>
      <w:rFonts w:eastAsia="Andale Sans UI"/>
      <w:color w:val="0000FF"/>
      <w:kern w:val="1"/>
      <w:sz w:val="48"/>
    </w:rPr>
  </w:style>
  <w:style w:type="table" w:styleId="Tablaconcuadrcula">
    <w:name w:val="Table Grid"/>
    <w:basedOn w:val="Tablanormal"/>
    <w:rsid w:val="00F5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3F6473"/>
    <w:rPr>
      <w:rFonts w:ascii="Arial" w:hAnsi="Arial"/>
      <w:snapToGrid w:val="0"/>
      <w:sz w:val="20"/>
      <w:szCs w:val="20"/>
      <w:lang w:val="es-ES_tradnl"/>
    </w:rPr>
  </w:style>
  <w:style w:type="paragraph" w:styleId="Textocomentario">
    <w:name w:val="annotation text"/>
    <w:basedOn w:val="Normal"/>
    <w:semiHidden/>
    <w:rsid w:val="003F6473"/>
    <w:rPr>
      <w:sz w:val="20"/>
      <w:szCs w:val="20"/>
    </w:rPr>
  </w:style>
  <w:style w:type="paragraph" w:customStyle="1" w:styleId="Default">
    <w:name w:val="Default"/>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rsid w:val="003F6473"/>
    <w:pPr>
      <w:spacing w:line="240" w:lineRule="atLeast"/>
    </w:pPr>
    <w:rPr>
      <w:rFonts w:cs="Times New Roman"/>
      <w:color w:val="auto"/>
    </w:rPr>
  </w:style>
  <w:style w:type="paragraph" w:customStyle="1" w:styleId="Pa50">
    <w:name w:val="Pa50"/>
    <w:basedOn w:val="Default"/>
    <w:next w:val="Default"/>
    <w:rsid w:val="003F6473"/>
    <w:pPr>
      <w:spacing w:line="240" w:lineRule="atLeast"/>
    </w:pPr>
    <w:rPr>
      <w:rFonts w:cs="Times New Roman"/>
      <w:color w:val="auto"/>
    </w:rPr>
  </w:style>
  <w:style w:type="paragraph" w:customStyle="1" w:styleId="Pa51">
    <w:name w:val="Pa51"/>
    <w:basedOn w:val="Default"/>
    <w:next w:val="Default"/>
    <w:rsid w:val="003F6473"/>
    <w:pPr>
      <w:spacing w:line="240" w:lineRule="atLeast"/>
    </w:pPr>
    <w:rPr>
      <w:rFonts w:cs="Times New Roman"/>
      <w:color w:val="auto"/>
    </w:rPr>
  </w:style>
  <w:style w:type="paragraph" w:customStyle="1" w:styleId="Pa53">
    <w:name w:val="Pa53"/>
    <w:basedOn w:val="Default"/>
    <w:next w:val="Default"/>
    <w:rsid w:val="003F6473"/>
    <w:pPr>
      <w:spacing w:line="240" w:lineRule="atLeast"/>
    </w:pPr>
    <w:rPr>
      <w:rFonts w:cs="Times New Roman"/>
      <w:color w:val="auto"/>
    </w:rPr>
  </w:style>
  <w:style w:type="paragraph" w:customStyle="1" w:styleId="Pa14">
    <w:name w:val="Pa14"/>
    <w:basedOn w:val="Default"/>
    <w:next w:val="Default"/>
    <w:rsid w:val="003F6473"/>
    <w:pPr>
      <w:spacing w:line="240" w:lineRule="atLeast"/>
    </w:pPr>
    <w:rPr>
      <w:rFonts w:cs="Times New Roman"/>
      <w:color w:val="auto"/>
    </w:rPr>
  </w:style>
  <w:style w:type="character" w:styleId="nfasis">
    <w:name w:val="Emphasis"/>
    <w:uiPriority w:val="20"/>
    <w:qFormat/>
    <w:rsid w:val="003F6473"/>
    <w:rPr>
      <w:i/>
      <w:iCs/>
    </w:rPr>
  </w:style>
  <w:style w:type="paragraph" w:styleId="Citadestacada">
    <w:name w:val="Intense Quote"/>
    <w:basedOn w:val="Normal"/>
    <w:next w:val="Normal"/>
    <w:link w:val="CitadestacadaCar"/>
    <w:qFormat/>
    <w:rsid w:val="003F6473"/>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rsid w:val="003F6473"/>
    <w:rPr>
      <w:b/>
      <w:bCs/>
      <w:i/>
      <w:iCs/>
      <w:color w:val="4F81BD"/>
      <w:sz w:val="24"/>
      <w:szCs w:val="24"/>
      <w:lang w:val="es-ES" w:eastAsia="es-ES" w:bidi="ar-SA"/>
    </w:rPr>
  </w:style>
  <w:style w:type="character" w:customStyle="1" w:styleId="st1">
    <w:name w:val="st1"/>
    <w:basedOn w:val="Fuentedeprrafopredeter"/>
    <w:rsid w:val="003F6473"/>
  </w:style>
  <w:style w:type="paragraph" w:styleId="HTMLconformatoprevio">
    <w:name w:val="HTML Preformatted"/>
    <w:basedOn w:val="Normal"/>
    <w:semiHidden/>
    <w:unhideWhenUsed/>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137696"/>
    <w:pPr>
      <w:autoSpaceDE w:val="0"/>
      <w:autoSpaceDN w:val="0"/>
      <w:adjustRightInd w:val="0"/>
      <w:spacing w:line="240" w:lineRule="atLeast"/>
    </w:pPr>
    <w:rPr>
      <w:rFonts w:ascii="NBIQZG+HelveticaNeue-Light" w:hAnsi="NBIQZG+HelveticaNeue-Light"/>
    </w:rPr>
  </w:style>
  <w:style w:type="character" w:customStyle="1" w:styleId="A6">
    <w:name w:val="A6"/>
    <w:uiPriority w:val="99"/>
    <w:rsid w:val="00137696"/>
    <w:rPr>
      <w:rFonts w:cs="NBIQZG+HelveticaNeue-Light"/>
      <w:color w:val="000000"/>
      <w:sz w:val="18"/>
      <w:szCs w:val="18"/>
    </w:rPr>
  </w:style>
  <w:style w:type="paragraph" w:styleId="Sangra2detindependiente">
    <w:name w:val="Body Text Indent 2"/>
    <w:basedOn w:val="Normal"/>
    <w:rsid w:val="00137696"/>
    <w:pPr>
      <w:spacing w:after="120" w:line="480" w:lineRule="auto"/>
      <w:ind w:left="283"/>
    </w:pPr>
    <w:rPr>
      <w:sz w:val="20"/>
      <w:szCs w:val="20"/>
    </w:rPr>
  </w:style>
  <w:style w:type="paragraph" w:styleId="Textonotaalfinal">
    <w:name w:val="endnote text"/>
    <w:basedOn w:val="Normal"/>
    <w:semiHidden/>
    <w:rsid w:val="00137696"/>
    <w:rPr>
      <w:sz w:val="20"/>
      <w:szCs w:val="20"/>
    </w:rPr>
  </w:style>
  <w:style w:type="character" w:styleId="Refdenotaalfinal">
    <w:name w:val="endnote reference"/>
    <w:semiHidden/>
    <w:rsid w:val="00137696"/>
    <w:rPr>
      <w:vertAlign w:val="superscript"/>
    </w:rPr>
  </w:style>
  <w:style w:type="character" w:customStyle="1" w:styleId="sel1348427992542">
    <w:name w:val="sel_1348427992542"/>
    <w:basedOn w:val="Fuentedeprrafopredeter"/>
    <w:rsid w:val="00137696"/>
  </w:style>
  <w:style w:type="character" w:styleId="Refdecomentario">
    <w:name w:val="annotation reference"/>
    <w:rsid w:val="00290575"/>
    <w:rPr>
      <w:sz w:val="16"/>
      <w:szCs w:val="16"/>
    </w:rPr>
  </w:style>
  <w:style w:type="paragraph" w:styleId="Asuntodelcomentario">
    <w:name w:val="annotation subject"/>
    <w:basedOn w:val="Textocomentario"/>
    <w:next w:val="Textocomentario"/>
    <w:rsid w:val="00290575"/>
    <w:rPr>
      <w:b/>
      <w:bCs/>
    </w:rPr>
  </w:style>
  <w:style w:type="character" w:customStyle="1" w:styleId="HeaderChar">
    <w:name w:val="Header Char"/>
    <w:semiHidden/>
    <w:rsid w:val="00F112F1"/>
    <w:rPr>
      <w:rFonts w:cs="Times New Roman"/>
      <w:sz w:val="24"/>
      <w:szCs w:val="24"/>
    </w:rPr>
  </w:style>
  <w:style w:type="character" w:styleId="CitaHTML">
    <w:name w:val="HTML Cite"/>
    <w:rsid w:val="00657B03"/>
    <w:rPr>
      <w:i w:val="0"/>
      <w:iCs w:val="0"/>
      <w:color w:val="009933"/>
    </w:rPr>
  </w:style>
  <w:style w:type="character" w:customStyle="1" w:styleId="yiv1702884738149114909-15062012">
    <w:name w:val="yiv1702884738149114909-15062012"/>
    <w:basedOn w:val="Fuentedeprrafopredeter"/>
    <w:rsid w:val="00657B03"/>
  </w:style>
  <w:style w:type="paragraph" w:customStyle="1" w:styleId="yiv1702884738msonormal">
    <w:name w:val="yiv1702884738msonormal"/>
    <w:basedOn w:val="Normal"/>
    <w:rsid w:val="00657B03"/>
    <w:pPr>
      <w:spacing w:before="100" w:beforeAutospacing="1" w:after="100" w:afterAutospacing="1"/>
    </w:pPr>
  </w:style>
  <w:style w:type="paragraph" w:styleId="Prrafodelista">
    <w:name w:val="List Paragraph"/>
    <w:basedOn w:val="Normal"/>
    <w:qFormat/>
    <w:rsid w:val="00455830"/>
    <w:pPr>
      <w:ind w:left="708"/>
    </w:pPr>
  </w:style>
  <w:style w:type="character" w:customStyle="1" w:styleId="highlight">
    <w:name w:val="highlight"/>
    <w:basedOn w:val="Fuentedeprrafopredeter"/>
    <w:rsid w:val="002F4972"/>
  </w:style>
  <w:style w:type="paragraph" w:styleId="TDC1">
    <w:name w:val="toc 1"/>
    <w:basedOn w:val="Normal"/>
    <w:next w:val="Normal"/>
    <w:autoRedefine/>
    <w:uiPriority w:val="39"/>
    <w:rsid w:val="005B6F77"/>
  </w:style>
  <w:style w:type="paragraph" w:styleId="TDC2">
    <w:name w:val="toc 2"/>
    <w:basedOn w:val="Normal"/>
    <w:next w:val="Normal"/>
    <w:autoRedefine/>
    <w:uiPriority w:val="39"/>
    <w:rsid w:val="005B6F77"/>
    <w:pPr>
      <w:ind w:left="240"/>
    </w:pPr>
  </w:style>
  <w:style w:type="paragraph" w:styleId="TDC3">
    <w:name w:val="toc 3"/>
    <w:basedOn w:val="Normal"/>
    <w:next w:val="Normal"/>
    <w:autoRedefine/>
    <w:uiPriority w:val="39"/>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character" w:customStyle="1" w:styleId="CarCar22">
    <w:name w:val="Car Car22"/>
    <w:locked/>
    <w:rsid w:val="00BC3E8E"/>
    <w:rPr>
      <w:rFonts w:ascii="Cambria" w:hAnsi="Cambria" w:cs="Times New Roman"/>
      <w:b/>
      <w:bCs/>
      <w:kern w:val="32"/>
      <w:sz w:val="32"/>
      <w:szCs w:val="32"/>
    </w:rPr>
  </w:style>
  <w:style w:type="character" w:customStyle="1" w:styleId="A2">
    <w:name w:val="A2"/>
    <w:rsid w:val="00BC3E8E"/>
    <w:rPr>
      <w:rFonts w:ascii="DZMIPA+HelveticaNeue-Medium" w:hAnsi="DZMIPA+HelveticaNeue-Medium" w:cs="DZMIPA+HelveticaNeue-Medium"/>
      <w:color w:val="000000"/>
      <w:sz w:val="16"/>
      <w:szCs w:val="16"/>
    </w:rPr>
  </w:style>
  <w:style w:type="character" w:customStyle="1" w:styleId="longtext">
    <w:name w:val="long_text"/>
    <w:basedOn w:val="Fuentedeprrafopredeter"/>
    <w:rsid w:val="00BC3E8E"/>
  </w:style>
  <w:style w:type="character" w:customStyle="1" w:styleId="hps">
    <w:name w:val="hps"/>
    <w:basedOn w:val="Fuentedeprrafopredeter"/>
    <w:rsid w:val="00BC3E8E"/>
  </w:style>
  <w:style w:type="character" w:customStyle="1" w:styleId="hpsatn">
    <w:name w:val="hps atn"/>
    <w:basedOn w:val="Fuentedeprrafopredeter"/>
    <w:rsid w:val="00BC3E8E"/>
  </w:style>
  <w:style w:type="character" w:styleId="Refdenotaalpie">
    <w:name w:val="footnote reference"/>
    <w:unhideWhenUsed/>
    <w:rsid w:val="00BC3E8E"/>
    <w:rPr>
      <w:vertAlign w:val="superscript"/>
    </w:rPr>
  </w:style>
  <w:style w:type="character" w:customStyle="1" w:styleId="A7">
    <w:name w:val="A7"/>
    <w:rsid w:val="009935F1"/>
    <w:rPr>
      <w:color w:val="211D1E"/>
      <w:sz w:val="16"/>
      <w:szCs w:val="16"/>
    </w:rPr>
  </w:style>
  <w:style w:type="character" w:customStyle="1" w:styleId="Refdecomentario1">
    <w:name w:val="Ref. de comentario1"/>
    <w:rsid w:val="00FA140C"/>
    <w:rPr>
      <w:sz w:val="16"/>
      <w:szCs w:val="16"/>
    </w:rPr>
  </w:style>
  <w:style w:type="character" w:customStyle="1" w:styleId="markedcontent">
    <w:name w:val="markedcontent"/>
    <w:rsid w:val="000E1646"/>
  </w:style>
  <w:style w:type="character" w:customStyle="1" w:styleId="Mencinsinresolver1">
    <w:name w:val="Mención sin resolver1"/>
    <w:uiPriority w:val="99"/>
    <w:semiHidden/>
    <w:unhideWhenUsed/>
    <w:rsid w:val="008C7881"/>
    <w:rPr>
      <w:color w:val="605E5C"/>
      <w:shd w:val="clear" w:color="auto" w:fill="E1DFDD"/>
    </w:rPr>
  </w:style>
  <w:style w:type="paragraph" w:customStyle="1" w:styleId="Prrafodelista1">
    <w:name w:val="Párrafo de lista1"/>
    <w:basedOn w:val="Normal"/>
    <w:rsid w:val="00AD295C"/>
    <w:pPr>
      <w:suppressAutoHyphens/>
      <w:ind w:left="708"/>
    </w:pPr>
    <w:rPr>
      <w:lang w:eastAsia="ar-SA"/>
    </w:rPr>
  </w:style>
  <w:style w:type="paragraph" w:customStyle="1" w:styleId="Descripcin1">
    <w:name w:val="Descripción1"/>
    <w:basedOn w:val="Normal"/>
    <w:next w:val="Normal"/>
    <w:unhideWhenUsed/>
    <w:qFormat/>
    <w:rsid w:val="00442773"/>
    <w:rPr>
      <w:b/>
      <w:bCs/>
      <w:sz w:val="20"/>
      <w:szCs w:val="20"/>
    </w:rPr>
  </w:style>
  <w:style w:type="paragraph" w:customStyle="1" w:styleId="Textoindependiente32">
    <w:name w:val="Texto independiente 32"/>
    <w:basedOn w:val="Normal"/>
    <w:rsid w:val="001376BA"/>
    <w:pPr>
      <w:suppressAutoHyphens/>
    </w:pPr>
    <w:rPr>
      <w:sz w:val="16"/>
      <w:szCs w:val="16"/>
      <w:lang w:eastAsia="zh-CN"/>
    </w:rPr>
  </w:style>
  <w:style w:type="character" w:customStyle="1" w:styleId="personname">
    <w:name w:val="person_name"/>
    <w:rsid w:val="00AB119B"/>
  </w:style>
  <w:style w:type="character" w:customStyle="1" w:styleId="fs">
    <w:name w:val="fs"/>
    <w:rsid w:val="00C325BC"/>
  </w:style>
  <w:style w:type="character" w:customStyle="1" w:styleId="Ninguno">
    <w:name w:val="Ninguno"/>
    <w:rsid w:val="007D02A5"/>
    <w:rPr>
      <w:lang w:val="es-ES_tradnl"/>
    </w:rPr>
  </w:style>
  <w:style w:type="paragraph" w:styleId="ndice1">
    <w:name w:val="index 1"/>
    <w:basedOn w:val="Normal"/>
    <w:next w:val="Normal"/>
    <w:autoRedefine/>
    <w:rsid w:val="00D1499E"/>
    <w:pPr>
      <w:ind w:left="240" w:hanging="240"/>
    </w:pPr>
    <w:rPr>
      <w:rFonts w:ascii="Calibri" w:hAnsi="Calibri" w:cs="Calibri"/>
      <w:sz w:val="18"/>
      <w:szCs w:val="18"/>
    </w:rPr>
  </w:style>
  <w:style w:type="paragraph" w:styleId="ndice2">
    <w:name w:val="index 2"/>
    <w:basedOn w:val="Normal"/>
    <w:next w:val="Normal"/>
    <w:autoRedefine/>
    <w:rsid w:val="00D1499E"/>
    <w:pPr>
      <w:ind w:left="480" w:hanging="240"/>
    </w:pPr>
    <w:rPr>
      <w:rFonts w:ascii="Calibri" w:hAnsi="Calibri" w:cs="Calibri"/>
      <w:sz w:val="18"/>
      <w:szCs w:val="18"/>
    </w:rPr>
  </w:style>
  <w:style w:type="paragraph" w:styleId="ndice3">
    <w:name w:val="index 3"/>
    <w:basedOn w:val="Normal"/>
    <w:next w:val="Normal"/>
    <w:autoRedefine/>
    <w:rsid w:val="00D1499E"/>
    <w:pPr>
      <w:ind w:left="720" w:hanging="240"/>
    </w:pPr>
    <w:rPr>
      <w:rFonts w:ascii="Calibri" w:hAnsi="Calibri" w:cs="Calibri"/>
      <w:sz w:val="18"/>
      <w:szCs w:val="18"/>
    </w:rPr>
  </w:style>
  <w:style w:type="paragraph" w:styleId="ndice4">
    <w:name w:val="index 4"/>
    <w:basedOn w:val="Normal"/>
    <w:next w:val="Normal"/>
    <w:autoRedefine/>
    <w:rsid w:val="00D1499E"/>
    <w:pPr>
      <w:ind w:left="960" w:hanging="240"/>
    </w:pPr>
    <w:rPr>
      <w:rFonts w:ascii="Calibri" w:hAnsi="Calibri" w:cs="Calibri"/>
      <w:sz w:val="18"/>
      <w:szCs w:val="18"/>
    </w:rPr>
  </w:style>
  <w:style w:type="paragraph" w:styleId="ndice5">
    <w:name w:val="index 5"/>
    <w:basedOn w:val="Normal"/>
    <w:next w:val="Normal"/>
    <w:autoRedefine/>
    <w:rsid w:val="00D1499E"/>
    <w:pPr>
      <w:ind w:left="1200" w:hanging="240"/>
    </w:pPr>
    <w:rPr>
      <w:rFonts w:ascii="Calibri" w:hAnsi="Calibri" w:cs="Calibri"/>
      <w:sz w:val="18"/>
      <w:szCs w:val="18"/>
    </w:rPr>
  </w:style>
  <w:style w:type="paragraph" w:styleId="ndice6">
    <w:name w:val="index 6"/>
    <w:basedOn w:val="Normal"/>
    <w:next w:val="Normal"/>
    <w:autoRedefine/>
    <w:rsid w:val="00D1499E"/>
    <w:pPr>
      <w:ind w:left="1440" w:hanging="240"/>
    </w:pPr>
    <w:rPr>
      <w:rFonts w:ascii="Calibri" w:hAnsi="Calibri" w:cs="Calibri"/>
      <w:sz w:val="18"/>
      <w:szCs w:val="18"/>
    </w:rPr>
  </w:style>
  <w:style w:type="paragraph" w:styleId="ndice7">
    <w:name w:val="index 7"/>
    <w:basedOn w:val="Normal"/>
    <w:next w:val="Normal"/>
    <w:autoRedefine/>
    <w:rsid w:val="00D1499E"/>
    <w:pPr>
      <w:ind w:left="1680" w:hanging="240"/>
    </w:pPr>
    <w:rPr>
      <w:rFonts w:ascii="Calibri" w:hAnsi="Calibri" w:cs="Calibri"/>
      <w:sz w:val="18"/>
      <w:szCs w:val="18"/>
    </w:rPr>
  </w:style>
  <w:style w:type="paragraph" w:styleId="ndice8">
    <w:name w:val="index 8"/>
    <w:basedOn w:val="Normal"/>
    <w:next w:val="Normal"/>
    <w:autoRedefine/>
    <w:rsid w:val="00D1499E"/>
    <w:pPr>
      <w:ind w:left="1920" w:hanging="240"/>
    </w:pPr>
    <w:rPr>
      <w:rFonts w:ascii="Calibri" w:hAnsi="Calibri" w:cs="Calibri"/>
      <w:sz w:val="18"/>
      <w:szCs w:val="18"/>
    </w:rPr>
  </w:style>
  <w:style w:type="paragraph" w:styleId="ndice9">
    <w:name w:val="index 9"/>
    <w:basedOn w:val="Normal"/>
    <w:next w:val="Normal"/>
    <w:autoRedefine/>
    <w:rsid w:val="00D1499E"/>
    <w:pPr>
      <w:ind w:left="2160" w:hanging="240"/>
    </w:pPr>
    <w:rPr>
      <w:rFonts w:ascii="Calibri" w:hAnsi="Calibri" w:cs="Calibri"/>
      <w:sz w:val="18"/>
      <w:szCs w:val="18"/>
    </w:rPr>
  </w:style>
  <w:style w:type="paragraph" w:styleId="Ttulodendice">
    <w:name w:val="index heading"/>
    <w:basedOn w:val="Normal"/>
    <w:next w:val="ndice1"/>
    <w:rsid w:val="00D1499E"/>
    <w:pPr>
      <w:spacing w:before="240" w:after="120"/>
      <w:jc w:val="center"/>
    </w:pPr>
    <w:rPr>
      <w:rFonts w:ascii="Calibri" w:hAnsi="Calibri" w:cs="Calibri"/>
      <w:b/>
      <w:bCs/>
      <w:sz w:val="26"/>
      <w:szCs w:val="26"/>
    </w:rPr>
  </w:style>
  <w:style w:type="paragraph" w:customStyle="1" w:styleId="TtuloTDC1">
    <w:name w:val="Título TDC1"/>
    <w:basedOn w:val="Ttulo1"/>
    <w:next w:val="Normal"/>
    <w:uiPriority w:val="39"/>
    <w:unhideWhenUsed/>
    <w:qFormat/>
    <w:rsid w:val="00D1499E"/>
    <w:pPr>
      <w:keepLines/>
      <w:autoSpaceDE/>
      <w:autoSpaceDN/>
      <w:adjustRightInd/>
      <w:spacing w:before="240" w:line="259" w:lineRule="auto"/>
      <w:outlineLvl w:val="9"/>
    </w:pPr>
    <w:rPr>
      <w:rFonts w:ascii="Calibri Light" w:hAnsi="Calibri Light"/>
      <w:b w:val="0"/>
      <w:bCs w:val="0"/>
      <w:color w:val="2F5496"/>
      <w:kern w:val="0"/>
    </w:rPr>
  </w:style>
  <w:style w:type="paragraph" w:styleId="Revisin">
    <w:name w:val="Revision"/>
    <w:hidden/>
    <w:uiPriority w:val="99"/>
    <w:semiHidden/>
    <w:rsid w:val="00801BBF"/>
    <w:rPr>
      <w:sz w:val="24"/>
      <w:szCs w:val="24"/>
    </w:rPr>
  </w:style>
  <w:style w:type="character" w:customStyle="1" w:styleId="Mencinsinresolver2">
    <w:name w:val="Mención sin resolver2"/>
    <w:basedOn w:val="Fuentedeprrafopredeter"/>
    <w:uiPriority w:val="99"/>
    <w:semiHidden/>
    <w:unhideWhenUsed/>
    <w:rsid w:val="0021555D"/>
    <w:rPr>
      <w:color w:val="605E5C"/>
      <w:shd w:val="clear" w:color="auto" w:fill="E1DFDD"/>
    </w:rPr>
  </w:style>
  <w:style w:type="character" w:customStyle="1" w:styleId="authors0">
    <w:name w:val="authors"/>
    <w:basedOn w:val="Fuentedeprrafopredeter"/>
    <w:rsid w:val="00877C49"/>
  </w:style>
  <w:style w:type="character" w:customStyle="1" w:styleId="authors-list-item">
    <w:name w:val="authors-list-item"/>
    <w:basedOn w:val="Fuentedeprrafopredeter"/>
    <w:rsid w:val="00877C49"/>
  </w:style>
  <w:style w:type="character" w:customStyle="1" w:styleId="comma">
    <w:name w:val="comma"/>
    <w:basedOn w:val="Fuentedeprrafopredeter"/>
    <w:rsid w:val="00877C49"/>
  </w:style>
  <w:style w:type="character" w:customStyle="1" w:styleId="author-sup-separator">
    <w:name w:val="author-sup-separator"/>
    <w:basedOn w:val="Fuentedeprrafopredeter"/>
    <w:rsid w:val="000970B0"/>
  </w:style>
  <w:style w:type="character" w:customStyle="1" w:styleId="UnresolvedMention">
    <w:name w:val="Unresolved Mention"/>
    <w:basedOn w:val="Fuentedeprrafopredeter"/>
    <w:uiPriority w:val="99"/>
    <w:semiHidden/>
    <w:unhideWhenUsed/>
    <w:rsid w:val="00097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6774">
      <w:bodyDiv w:val="1"/>
      <w:marLeft w:val="0"/>
      <w:marRight w:val="0"/>
      <w:marTop w:val="0"/>
      <w:marBottom w:val="0"/>
      <w:divBdr>
        <w:top w:val="none" w:sz="0" w:space="0" w:color="auto"/>
        <w:left w:val="none" w:sz="0" w:space="0" w:color="auto"/>
        <w:bottom w:val="none" w:sz="0" w:space="0" w:color="auto"/>
        <w:right w:val="none" w:sz="0" w:space="0" w:color="auto"/>
      </w:divBdr>
    </w:div>
    <w:div w:id="136924405">
      <w:bodyDiv w:val="1"/>
      <w:marLeft w:val="0"/>
      <w:marRight w:val="0"/>
      <w:marTop w:val="0"/>
      <w:marBottom w:val="0"/>
      <w:divBdr>
        <w:top w:val="none" w:sz="0" w:space="0" w:color="auto"/>
        <w:left w:val="none" w:sz="0" w:space="0" w:color="auto"/>
        <w:bottom w:val="none" w:sz="0" w:space="0" w:color="auto"/>
        <w:right w:val="none" w:sz="0" w:space="0" w:color="auto"/>
      </w:divBdr>
      <w:divsChild>
        <w:div w:id="1695882539">
          <w:marLeft w:val="0"/>
          <w:marRight w:val="0"/>
          <w:marTop w:val="0"/>
          <w:marBottom w:val="0"/>
          <w:divBdr>
            <w:top w:val="none" w:sz="0" w:space="0" w:color="auto"/>
            <w:left w:val="none" w:sz="0" w:space="0" w:color="auto"/>
            <w:bottom w:val="none" w:sz="0" w:space="0" w:color="auto"/>
            <w:right w:val="none" w:sz="0" w:space="0" w:color="auto"/>
          </w:divBdr>
          <w:divsChild>
            <w:div w:id="1765879717">
              <w:marLeft w:val="0"/>
              <w:marRight w:val="0"/>
              <w:marTop w:val="0"/>
              <w:marBottom w:val="0"/>
              <w:divBdr>
                <w:top w:val="none" w:sz="0" w:space="0" w:color="auto"/>
                <w:left w:val="none" w:sz="0" w:space="0" w:color="auto"/>
                <w:bottom w:val="none" w:sz="0" w:space="0" w:color="auto"/>
                <w:right w:val="none" w:sz="0" w:space="0" w:color="auto"/>
              </w:divBdr>
              <w:divsChild>
                <w:div w:id="88502656">
                  <w:marLeft w:val="0"/>
                  <w:marRight w:val="0"/>
                  <w:marTop w:val="0"/>
                  <w:marBottom w:val="0"/>
                  <w:divBdr>
                    <w:top w:val="none" w:sz="0" w:space="0" w:color="auto"/>
                    <w:left w:val="none" w:sz="0" w:space="0" w:color="auto"/>
                    <w:bottom w:val="none" w:sz="0" w:space="0" w:color="auto"/>
                    <w:right w:val="none" w:sz="0" w:space="0" w:color="auto"/>
                  </w:divBdr>
                  <w:divsChild>
                    <w:div w:id="412316276">
                      <w:marLeft w:val="0"/>
                      <w:marRight w:val="0"/>
                      <w:marTop w:val="0"/>
                      <w:marBottom w:val="0"/>
                      <w:divBdr>
                        <w:top w:val="none" w:sz="0" w:space="0" w:color="auto"/>
                        <w:left w:val="none" w:sz="0" w:space="0" w:color="auto"/>
                        <w:bottom w:val="none" w:sz="0" w:space="0" w:color="auto"/>
                        <w:right w:val="none" w:sz="0" w:space="0" w:color="auto"/>
                      </w:divBdr>
                      <w:divsChild>
                        <w:div w:id="1428423387">
                          <w:marLeft w:val="0"/>
                          <w:marRight w:val="0"/>
                          <w:marTop w:val="0"/>
                          <w:marBottom w:val="0"/>
                          <w:divBdr>
                            <w:top w:val="none" w:sz="0" w:space="0" w:color="auto"/>
                            <w:left w:val="none" w:sz="0" w:space="0" w:color="auto"/>
                            <w:bottom w:val="none" w:sz="0" w:space="0" w:color="auto"/>
                            <w:right w:val="none" w:sz="0" w:space="0" w:color="auto"/>
                          </w:divBdr>
                          <w:divsChild>
                            <w:div w:id="1811357637">
                              <w:marLeft w:val="0"/>
                              <w:marRight w:val="0"/>
                              <w:marTop w:val="0"/>
                              <w:marBottom w:val="0"/>
                              <w:divBdr>
                                <w:top w:val="none" w:sz="0" w:space="0" w:color="auto"/>
                                <w:left w:val="none" w:sz="0" w:space="0" w:color="auto"/>
                                <w:bottom w:val="none" w:sz="0" w:space="0" w:color="auto"/>
                                <w:right w:val="none" w:sz="0" w:space="0" w:color="auto"/>
                              </w:divBdr>
                              <w:divsChild>
                                <w:div w:id="890458768">
                                  <w:marLeft w:val="0"/>
                                  <w:marRight w:val="0"/>
                                  <w:marTop w:val="0"/>
                                  <w:marBottom w:val="0"/>
                                  <w:divBdr>
                                    <w:top w:val="none" w:sz="0" w:space="0" w:color="auto"/>
                                    <w:left w:val="none" w:sz="0" w:space="0" w:color="auto"/>
                                    <w:bottom w:val="none" w:sz="0" w:space="0" w:color="auto"/>
                                    <w:right w:val="none" w:sz="0" w:space="0" w:color="auto"/>
                                  </w:divBdr>
                                  <w:divsChild>
                                    <w:div w:id="1833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96306">
      <w:bodyDiv w:val="1"/>
      <w:marLeft w:val="0"/>
      <w:marRight w:val="0"/>
      <w:marTop w:val="0"/>
      <w:marBottom w:val="0"/>
      <w:divBdr>
        <w:top w:val="none" w:sz="0" w:space="0" w:color="auto"/>
        <w:left w:val="none" w:sz="0" w:space="0" w:color="auto"/>
        <w:bottom w:val="none" w:sz="0" w:space="0" w:color="auto"/>
        <w:right w:val="none" w:sz="0" w:space="0" w:color="auto"/>
      </w:divBdr>
    </w:div>
    <w:div w:id="316956298">
      <w:bodyDiv w:val="1"/>
      <w:marLeft w:val="0"/>
      <w:marRight w:val="0"/>
      <w:marTop w:val="0"/>
      <w:marBottom w:val="0"/>
      <w:divBdr>
        <w:top w:val="none" w:sz="0" w:space="0" w:color="auto"/>
        <w:left w:val="none" w:sz="0" w:space="0" w:color="auto"/>
        <w:bottom w:val="none" w:sz="0" w:space="0" w:color="auto"/>
        <w:right w:val="none" w:sz="0" w:space="0" w:color="auto"/>
      </w:divBdr>
      <w:divsChild>
        <w:div w:id="225607379">
          <w:marLeft w:val="0"/>
          <w:marRight w:val="0"/>
          <w:marTop w:val="0"/>
          <w:marBottom w:val="0"/>
          <w:divBdr>
            <w:top w:val="none" w:sz="0" w:space="0" w:color="auto"/>
            <w:left w:val="none" w:sz="0" w:space="0" w:color="auto"/>
            <w:bottom w:val="none" w:sz="0" w:space="0" w:color="auto"/>
            <w:right w:val="none" w:sz="0" w:space="0" w:color="auto"/>
          </w:divBdr>
        </w:div>
      </w:divsChild>
    </w:div>
    <w:div w:id="338236322">
      <w:bodyDiv w:val="1"/>
      <w:marLeft w:val="0"/>
      <w:marRight w:val="0"/>
      <w:marTop w:val="0"/>
      <w:marBottom w:val="0"/>
      <w:divBdr>
        <w:top w:val="none" w:sz="0" w:space="0" w:color="auto"/>
        <w:left w:val="none" w:sz="0" w:space="0" w:color="auto"/>
        <w:bottom w:val="none" w:sz="0" w:space="0" w:color="auto"/>
        <w:right w:val="none" w:sz="0" w:space="0" w:color="auto"/>
      </w:divBdr>
    </w:div>
    <w:div w:id="584805228">
      <w:bodyDiv w:val="1"/>
      <w:marLeft w:val="0"/>
      <w:marRight w:val="0"/>
      <w:marTop w:val="0"/>
      <w:marBottom w:val="0"/>
      <w:divBdr>
        <w:top w:val="none" w:sz="0" w:space="0" w:color="auto"/>
        <w:left w:val="none" w:sz="0" w:space="0" w:color="auto"/>
        <w:bottom w:val="none" w:sz="0" w:space="0" w:color="auto"/>
        <w:right w:val="none" w:sz="0" w:space="0" w:color="auto"/>
      </w:divBdr>
    </w:div>
    <w:div w:id="660960543">
      <w:bodyDiv w:val="1"/>
      <w:marLeft w:val="0"/>
      <w:marRight w:val="0"/>
      <w:marTop w:val="0"/>
      <w:marBottom w:val="0"/>
      <w:divBdr>
        <w:top w:val="none" w:sz="0" w:space="0" w:color="auto"/>
        <w:left w:val="none" w:sz="0" w:space="0" w:color="auto"/>
        <w:bottom w:val="none" w:sz="0" w:space="0" w:color="auto"/>
        <w:right w:val="none" w:sz="0" w:space="0" w:color="auto"/>
      </w:divBdr>
      <w:divsChild>
        <w:div w:id="1489634322">
          <w:marLeft w:val="0"/>
          <w:marRight w:val="0"/>
          <w:marTop w:val="0"/>
          <w:marBottom w:val="0"/>
          <w:divBdr>
            <w:top w:val="none" w:sz="0" w:space="0" w:color="auto"/>
            <w:left w:val="none" w:sz="0" w:space="0" w:color="auto"/>
            <w:bottom w:val="none" w:sz="0" w:space="0" w:color="auto"/>
            <w:right w:val="none" w:sz="0" w:space="0" w:color="auto"/>
          </w:divBdr>
        </w:div>
      </w:divsChild>
    </w:div>
    <w:div w:id="710763519">
      <w:bodyDiv w:val="1"/>
      <w:marLeft w:val="0"/>
      <w:marRight w:val="0"/>
      <w:marTop w:val="0"/>
      <w:marBottom w:val="0"/>
      <w:divBdr>
        <w:top w:val="none" w:sz="0" w:space="0" w:color="auto"/>
        <w:left w:val="none" w:sz="0" w:space="0" w:color="auto"/>
        <w:bottom w:val="none" w:sz="0" w:space="0" w:color="auto"/>
        <w:right w:val="none" w:sz="0" w:space="0" w:color="auto"/>
      </w:divBdr>
    </w:div>
    <w:div w:id="1039013582">
      <w:bodyDiv w:val="1"/>
      <w:marLeft w:val="0"/>
      <w:marRight w:val="0"/>
      <w:marTop w:val="0"/>
      <w:marBottom w:val="0"/>
      <w:divBdr>
        <w:top w:val="none" w:sz="0" w:space="0" w:color="auto"/>
        <w:left w:val="none" w:sz="0" w:space="0" w:color="auto"/>
        <w:bottom w:val="none" w:sz="0" w:space="0" w:color="auto"/>
        <w:right w:val="none" w:sz="0" w:space="0" w:color="auto"/>
      </w:divBdr>
      <w:divsChild>
        <w:div w:id="430129982">
          <w:marLeft w:val="0"/>
          <w:marRight w:val="0"/>
          <w:marTop w:val="0"/>
          <w:marBottom w:val="0"/>
          <w:divBdr>
            <w:top w:val="none" w:sz="0" w:space="0" w:color="auto"/>
            <w:left w:val="none" w:sz="0" w:space="0" w:color="auto"/>
            <w:bottom w:val="none" w:sz="0" w:space="0" w:color="auto"/>
            <w:right w:val="none" w:sz="0" w:space="0" w:color="auto"/>
          </w:divBdr>
        </w:div>
      </w:divsChild>
    </w:div>
    <w:div w:id="1085145849">
      <w:bodyDiv w:val="1"/>
      <w:marLeft w:val="0"/>
      <w:marRight w:val="0"/>
      <w:marTop w:val="0"/>
      <w:marBottom w:val="0"/>
      <w:divBdr>
        <w:top w:val="none" w:sz="0" w:space="0" w:color="auto"/>
        <w:left w:val="none" w:sz="0" w:space="0" w:color="auto"/>
        <w:bottom w:val="none" w:sz="0" w:space="0" w:color="auto"/>
        <w:right w:val="none" w:sz="0" w:space="0" w:color="auto"/>
      </w:divBdr>
    </w:div>
    <w:div w:id="1166365402">
      <w:bodyDiv w:val="1"/>
      <w:marLeft w:val="0"/>
      <w:marRight w:val="0"/>
      <w:marTop w:val="0"/>
      <w:marBottom w:val="0"/>
      <w:divBdr>
        <w:top w:val="none" w:sz="0" w:space="0" w:color="auto"/>
        <w:left w:val="none" w:sz="0" w:space="0" w:color="auto"/>
        <w:bottom w:val="none" w:sz="0" w:space="0" w:color="auto"/>
        <w:right w:val="none" w:sz="0" w:space="0" w:color="auto"/>
      </w:divBdr>
    </w:div>
    <w:div w:id="1179614389">
      <w:bodyDiv w:val="1"/>
      <w:marLeft w:val="0"/>
      <w:marRight w:val="0"/>
      <w:marTop w:val="0"/>
      <w:marBottom w:val="0"/>
      <w:divBdr>
        <w:top w:val="none" w:sz="0" w:space="0" w:color="auto"/>
        <w:left w:val="none" w:sz="0" w:space="0" w:color="auto"/>
        <w:bottom w:val="none" w:sz="0" w:space="0" w:color="auto"/>
        <w:right w:val="none" w:sz="0" w:space="0" w:color="auto"/>
      </w:divBdr>
    </w:div>
    <w:div w:id="1224021894">
      <w:bodyDiv w:val="1"/>
      <w:marLeft w:val="0"/>
      <w:marRight w:val="0"/>
      <w:marTop w:val="0"/>
      <w:marBottom w:val="0"/>
      <w:divBdr>
        <w:top w:val="none" w:sz="0" w:space="0" w:color="auto"/>
        <w:left w:val="none" w:sz="0" w:space="0" w:color="auto"/>
        <w:bottom w:val="none" w:sz="0" w:space="0" w:color="auto"/>
        <w:right w:val="none" w:sz="0" w:space="0" w:color="auto"/>
      </w:divBdr>
    </w:div>
    <w:div w:id="1278292098">
      <w:bodyDiv w:val="1"/>
      <w:marLeft w:val="0"/>
      <w:marRight w:val="0"/>
      <w:marTop w:val="0"/>
      <w:marBottom w:val="0"/>
      <w:divBdr>
        <w:top w:val="none" w:sz="0" w:space="0" w:color="auto"/>
        <w:left w:val="none" w:sz="0" w:space="0" w:color="auto"/>
        <w:bottom w:val="none" w:sz="0" w:space="0" w:color="auto"/>
        <w:right w:val="none" w:sz="0" w:space="0" w:color="auto"/>
      </w:divBdr>
    </w:div>
    <w:div w:id="1304575734">
      <w:bodyDiv w:val="1"/>
      <w:marLeft w:val="0"/>
      <w:marRight w:val="0"/>
      <w:marTop w:val="0"/>
      <w:marBottom w:val="0"/>
      <w:divBdr>
        <w:top w:val="none" w:sz="0" w:space="0" w:color="auto"/>
        <w:left w:val="none" w:sz="0" w:space="0" w:color="auto"/>
        <w:bottom w:val="none" w:sz="0" w:space="0" w:color="auto"/>
        <w:right w:val="none" w:sz="0" w:space="0" w:color="auto"/>
      </w:divBdr>
    </w:div>
    <w:div w:id="1315918137">
      <w:bodyDiv w:val="1"/>
      <w:marLeft w:val="0"/>
      <w:marRight w:val="0"/>
      <w:marTop w:val="0"/>
      <w:marBottom w:val="0"/>
      <w:divBdr>
        <w:top w:val="none" w:sz="0" w:space="0" w:color="auto"/>
        <w:left w:val="none" w:sz="0" w:space="0" w:color="auto"/>
        <w:bottom w:val="none" w:sz="0" w:space="0" w:color="auto"/>
        <w:right w:val="none" w:sz="0" w:space="0" w:color="auto"/>
      </w:divBdr>
      <w:divsChild>
        <w:div w:id="1922369285">
          <w:marLeft w:val="0"/>
          <w:marRight w:val="0"/>
          <w:marTop w:val="0"/>
          <w:marBottom w:val="0"/>
          <w:divBdr>
            <w:top w:val="none" w:sz="0" w:space="0" w:color="auto"/>
            <w:left w:val="none" w:sz="0" w:space="0" w:color="auto"/>
            <w:bottom w:val="none" w:sz="0" w:space="0" w:color="auto"/>
            <w:right w:val="none" w:sz="0" w:space="0" w:color="auto"/>
          </w:divBdr>
          <w:divsChild>
            <w:div w:id="476650327">
              <w:marLeft w:val="0"/>
              <w:marRight w:val="0"/>
              <w:marTop w:val="0"/>
              <w:marBottom w:val="0"/>
              <w:divBdr>
                <w:top w:val="none" w:sz="0" w:space="0" w:color="auto"/>
                <w:left w:val="none" w:sz="0" w:space="0" w:color="auto"/>
                <w:bottom w:val="none" w:sz="0" w:space="0" w:color="auto"/>
                <w:right w:val="none" w:sz="0" w:space="0" w:color="auto"/>
              </w:divBdr>
            </w:div>
            <w:div w:id="850296807">
              <w:marLeft w:val="0"/>
              <w:marRight w:val="0"/>
              <w:marTop w:val="0"/>
              <w:marBottom w:val="0"/>
              <w:divBdr>
                <w:top w:val="none" w:sz="0" w:space="0" w:color="auto"/>
                <w:left w:val="none" w:sz="0" w:space="0" w:color="auto"/>
                <w:bottom w:val="none" w:sz="0" w:space="0" w:color="auto"/>
                <w:right w:val="none" w:sz="0" w:space="0" w:color="auto"/>
              </w:divBdr>
            </w:div>
            <w:div w:id="950237117">
              <w:marLeft w:val="0"/>
              <w:marRight w:val="0"/>
              <w:marTop w:val="0"/>
              <w:marBottom w:val="0"/>
              <w:divBdr>
                <w:top w:val="none" w:sz="0" w:space="0" w:color="auto"/>
                <w:left w:val="none" w:sz="0" w:space="0" w:color="auto"/>
                <w:bottom w:val="none" w:sz="0" w:space="0" w:color="auto"/>
                <w:right w:val="none" w:sz="0" w:space="0" w:color="auto"/>
              </w:divBdr>
            </w:div>
            <w:div w:id="1666013163">
              <w:marLeft w:val="0"/>
              <w:marRight w:val="0"/>
              <w:marTop w:val="0"/>
              <w:marBottom w:val="0"/>
              <w:divBdr>
                <w:top w:val="none" w:sz="0" w:space="0" w:color="auto"/>
                <w:left w:val="none" w:sz="0" w:space="0" w:color="auto"/>
                <w:bottom w:val="none" w:sz="0" w:space="0" w:color="auto"/>
                <w:right w:val="none" w:sz="0" w:space="0" w:color="auto"/>
              </w:divBdr>
            </w:div>
            <w:div w:id="1673265795">
              <w:marLeft w:val="0"/>
              <w:marRight w:val="0"/>
              <w:marTop w:val="0"/>
              <w:marBottom w:val="0"/>
              <w:divBdr>
                <w:top w:val="none" w:sz="0" w:space="0" w:color="auto"/>
                <w:left w:val="none" w:sz="0" w:space="0" w:color="auto"/>
                <w:bottom w:val="none" w:sz="0" w:space="0" w:color="auto"/>
                <w:right w:val="none" w:sz="0" w:space="0" w:color="auto"/>
              </w:divBdr>
            </w:div>
            <w:div w:id="1925645934">
              <w:marLeft w:val="0"/>
              <w:marRight w:val="0"/>
              <w:marTop w:val="0"/>
              <w:marBottom w:val="0"/>
              <w:divBdr>
                <w:top w:val="none" w:sz="0" w:space="0" w:color="auto"/>
                <w:left w:val="none" w:sz="0" w:space="0" w:color="auto"/>
                <w:bottom w:val="none" w:sz="0" w:space="0" w:color="auto"/>
                <w:right w:val="none" w:sz="0" w:space="0" w:color="auto"/>
              </w:divBdr>
            </w:div>
            <w:div w:id="20999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068">
      <w:bodyDiv w:val="1"/>
      <w:marLeft w:val="0"/>
      <w:marRight w:val="0"/>
      <w:marTop w:val="0"/>
      <w:marBottom w:val="0"/>
      <w:divBdr>
        <w:top w:val="none" w:sz="0" w:space="0" w:color="auto"/>
        <w:left w:val="none" w:sz="0" w:space="0" w:color="auto"/>
        <w:bottom w:val="none" w:sz="0" w:space="0" w:color="auto"/>
        <w:right w:val="none" w:sz="0" w:space="0" w:color="auto"/>
      </w:divBdr>
    </w:div>
    <w:div w:id="1325627041">
      <w:bodyDiv w:val="1"/>
      <w:marLeft w:val="0"/>
      <w:marRight w:val="0"/>
      <w:marTop w:val="0"/>
      <w:marBottom w:val="0"/>
      <w:divBdr>
        <w:top w:val="none" w:sz="0" w:space="0" w:color="auto"/>
        <w:left w:val="none" w:sz="0" w:space="0" w:color="auto"/>
        <w:bottom w:val="none" w:sz="0" w:space="0" w:color="auto"/>
        <w:right w:val="none" w:sz="0" w:space="0" w:color="auto"/>
      </w:divBdr>
    </w:div>
    <w:div w:id="1329136018">
      <w:bodyDiv w:val="1"/>
      <w:marLeft w:val="0"/>
      <w:marRight w:val="0"/>
      <w:marTop w:val="0"/>
      <w:marBottom w:val="0"/>
      <w:divBdr>
        <w:top w:val="none" w:sz="0" w:space="0" w:color="auto"/>
        <w:left w:val="none" w:sz="0" w:space="0" w:color="auto"/>
        <w:bottom w:val="none" w:sz="0" w:space="0" w:color="auto"/>
        <w:right w:val="none" w:sz="0" w:space="0" w:color="auto"/>
      </w:divBdr>
      <w:divsChild>
        <w:div w:id="1383285733">
          <w:marLeft w:val="0"/>
          <w:marRight w:val="0"/>
          <w:marTop w:val="0"/>
          <w:marBottom w:val="0"/>
          <w:divBdr>
            <w:top w:val="none" w:sz="0" w:space="0" w:color="auto"/>
            <w:left w:val="none" w:sz="0" w:space="0" w:color="auto"/>
            <w:bottom w:val="none" w:sz="0" w:space="0" w:color="auto"/>
            <w:right w:val="none" w:sz="0" w:space="0" w:color="auto"/>
          </w:divBdr>
        </w:div>
      </w:divsChild>
    </w:div>
    <w:div w:id="1358190182">
      <w:bodyDiv w:val="1"/>
      <w:marLeft w:val="0"/>
      <w:marRight w:val="0"/>
      <w:marTop w:val="0"/>
      <w:marBottom w:val="0"/>
      <w:divBdr>
        <w:top w:val="none" w:sz="0" w:space="0" w:color="auto"/>
        <w:left w:val="none" w:sz="0" w:space="0" w:color="auto"/>
        <w:bottom w:val="none" w:sz="0" w:space="0" w:color="auto"/>
        <w:right w:val="none" w:sz="0" w:space="0" w:color="auto"/>
      </w:divBdr>
    </w:div>
    <w:div w:id="1415278525">
      <w:bodyDiv w:val="1"/>
      <w:marLeft w:val="0"/>
      <w:marRight w:val="0"/>
      <w:marTop w:val="0"/>
      <w:marBottom w:val="0"/>
      <w:divBdr>
        <w:top w:val="none" w:sz="0" w:space="0" w:color="auto"/>
        <w:left w:val="none" w:sz="0" w:space="0" w:color="auto"/>
        <w:bottom w:val="none" w:sz="0" w:space="0" w:color="auto"/>
        <w:right w:val="none" w:sz="0" w:space="0" w:color="auto"/>
      </w:divBdr>
      <w:divsChild>
        <w:div w:id="927076719">
          <w:marLeft w:val="0"/>
          <w:marRight w:val="0"/>
          <w:marTop w:val="0"/>
          <w:marBottom w:val="0"/>
          <w:divBdr>
            <w:top w:val="none" w:sz="0" w:space="0" w:color="auto"/>
            <w:left w:val="none" w:sz="0" w:space="0" w:color="auto"/>
            <w:bottom w:val="none" w:sz="0" w:space="0" w:color="auto"/>
            <w:right w:val="none" w:sz="0" w:space="0" w:color="auto"/>
          </w:divBdr>
          <w:divsChild>
            <w:div w:id="472411378">
              <w:marLeft w:val="0"/>
              <w:marRight w:val="0"/>
              <w:marTop w:val="0"/>
              <w:marBottom w:val="0"/>
              <w:divBdr>
                <w:top w:val="none" w:sz="0" w:space="0" w:color="auto"/>
                <w:left w:val="none" w:sz="0" w:space="0" w:color="auto"/>
                <w:bottom w:val="none" w:sz="0" w:space="0" w:color="auto"/>
                <w:right w:val="none" w:sz="0" w:space="0" w:color="auto"/>
              </w:divBdr>
              <w:divsChild>
                <w:div w:id="318769206">
                  <w:marLeft w:val="0"/>
                  <w:marRight w:val="0"/>
                  <w:marTop w:val="0"/>
                  <w:marBottom w:val="0"/>
                  <w:divBdr>
                    <w:top w:val="none" w:sz="0" w:space="0" w:color="auto"/>
                    <w:left w:val="none" w:sz="0" w:space="0" w:color="auto"/>
                    <w:bottom w:val="none" w:sz="0" w:space="0" w:color="auto"/>
                    <w:right w:val="none" w:sz="0" w:space="0" w:color="auto"/>
                  </w:divBdr>
                  <w:divsChild>
                    <w:div w:id="2052462681">
                      <w:marLeft w:val="0"/>
                      <w:marRight w:val="0"/>
                      <w:marTop w:val="0"/>
                      <w:marBottom w:val="0"/>
                      <w:divBdr>
                        <w:top w:val="none" w:sz="0" w:space="0" w:color="auto"/>
                        <w:left w:val="none" w:sz="0" w:space="0" w:color="auto"/>
                        <w:bottom w:val="none" w:sz="0" w:space="0" w:color="auto"/>
                        <w:right w:val="none" w:sz="0" w:space="0" w:color="auto"/>
                      </w:divBdr>
                      <w:divsChild>
                        <w:div w:id="1498573311">
                          <w:marLeft w:val="0"/>
                          <w:marRight w:val="0"/>
                          <w:marTop w:val="0"/>
                          <w:marBottom w:val="0"/>
                          <w:divBdr>
                            <w:top w:val="none" w:sz="0" w:space="0" w:color="auto"/>
                            <w:left w:val="none" w:sz="0" w:space="0" w:color="auto"/>
                            <w:bottom w:val="none" w:sz="0" w:space="0" w:color="auto"/>
                            <w:right w:val="none" w:sz="0" w:space="0" w:color="auto"/>
                          </w:divBdr>
                          <w:divsChild>
                            <w:div w:id="1128358231">
                              <w:marLeft w:val="0"/>
                              <w:marRight w:val="0"/>
                              <w:marTop w:val="0"/>
                              <w:marBottom w:val="0"/>
                              <w:divBdr>
                                <w:top w:val="none" w:sz="0" w:space="0" w:color="auto"/>
                                <w:left w:val="none" w:sz="0" w:space="0" w:color="auto"/>
                                <w:bottom w:val="none" w:sz="0" w:space="0" w:color="auto"/>
                                <w:right w:val="none" w:sz="0" w:space="0" w:color="auto"/>
                              </w:divBdr>
                              <w:divsChild>
                                <w:div w:id="1778021623">
                                  <w:marLeft w:val="0"/>
                                  <w:marRight w:val="0"/>
                                  <w:marTop w:val="0"/>
                                  <w:marBottom w:val="0"/>
                                  <w:divBdr>
                                    <w:top w:val="none" w:sz="0" w:space="0" w:color="auto"/>
                                    <w:left w:val="none" w:sz="0" w:space="0" w:color="auto"/>
                                    <w:bottom w:val="none" w:sz="0" w:space="0" w:color="auto"/>
                                    <w:right w:val="none" w:sz="0" w:space="0" w:color="auto"/>
                                  </w:divBdr>
                                  <w:divsChild>
                                    <w:div w:id="4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92432">
      <w:bodyDiv w:val="1"/>
      <w:marLeft w:val="0"/>
      <w:marRight w:val="0"/>
      <w:marTop w:val="0"/>
      <w:marBottom w:val="0"/>
      <w:divBdr>
        <w:top w:val="none" w:sz="0" w:space="0" w:color="auto"/>
        <w:left w:val="none" w:sz="0" w:space="0" w:color="auto"/>
        <w:bottom w:val="none" w:sz="0" w:space="0" w:color="auto"/>
        <w:right w:val="none" w:sz="0" w:space="0" w:color="auto"/>
      </w:divBdr>
    </w:div>
    <w:div w:id="1461415397">
      <w:bodyDiv w:val="1"/>
      <w:marLeft w:val="0"/>
      <w:marRight w:val="0"/>
      <w:marTop w:val="0"/>
      <w:marBottom w:val="0"/>
      <w:divBdr>
        <w:top w:val="none" w:sz="0" w:space="0" w:color="auto"/>
        <w:left w:val="none" w:sz="0" w:space="0" w:color="auto"/>
        <w:bottom w:val="none" w:sz="0" w:space="0" w:color="auto"/>
        <w:right w:val="none" w:sz="0" w:space="0" w:color="auto"/>
      </w:divBdr>
      <w:divsChild>
        <w:div w:id="888420134">
          <w:marLeft w:val="0"/>
          <w:marRight w:val="0"/>
          <w:marTop w:val="0"/>
          <w:marBottom w:val="0"/>
          <w:divBdr>
            <w:top w:val="none" w:sz="0" w:space="0" w:color="auto"/>
            <w:left w:val="none" w:sz="0" w:space="0" w:color="auto"/>
            <w:bottom w:val="none" w:sz="0" w:space="0" w:color="auto"/>
            <w:right w:val="none" w:sz="0" w:space="0" w:color="auto"/>
          </w:divBdr>
          <w:divsChild>
            <w:div w:id="521669167">
              <w:marLeft w:val="0"/>
              <w:marRight w:val="0"/>
              <w:marTop w:val="0"/>
              <w:marBottom w:val="0"/>
              <w:divBdr>
                <w:top w:val="none" w:sz="0" w:space="0" w:color="auto"/>
                <w:left w:val="none" w:sz="0" w:space="0" w:color="auto"/>
                <w:bottom w:val="none" w:sz="0" w:space="0" w:color="auto"/>
                <w:right w:val="none" w:sz="0" w:space="0" w:color="auto"/>
              </w:divBdr>
              <w:divsChild>
                <w:div w:id="117116523">
                  <w:marLeft w:val="0"/>
                  <w:marRight w:val="0"/>
                  <w:marTop w:val="0"/>
                  <w:marBottom w:val="0"/>
                  <w:divBdr>
                    <w:top w:val="none" w:sz="0" w:space="0" w:color="auto"/>
                    <w:left w:val="none" w:sz="0" w:space="0" w:color="auto"/>
                    <w:bottom w:val="none" w:sz="0" w:space="0" w:color="auto"/>
                    <w:right w:val="none" w:sz="0" w:space="0" w:color="auto"/>
                  </w:divBdr>
                  <w:divsChild>
                    <w:div w:id="89813587">
                      <w:marLeft w:val="0"/>
                      <w:marRight w:val="0"/>
                      <w:marTop w:val="0"/>
                      <w:marBottom w:val="0"/>
                      <w:divBdr>
                        <w:top w:val="none" w:sz="0" w:space="0" w:color="auto"/>
                        <w:left w:val="none" w:sz="0" w:space="0" w:color="auto"/>
                        <w:bottom w:val="none" w:sz="0" w:space="0" w:color="auto"/>
                        <w:right w:val="none" w:sz="0" w:space="0" w:color="auto"/>
                      </w:divBdr>
                      <w:divsChild>
                        <w:div w:id="346906077">
                          <w:marLeft w:val="0"/>
                          <w:marRight w:val="0"/>
                          <w:marTop w:val="0"/>
                          <w:marBottom w:val="0"/>
                          <w:divBdr>
                            <w:top w:val="none" w:sz="0" w:space="0" w:color="auto"/>
                            <w:left w:val="none" w:sz="0" w:space="0" w:color="auto"/>
                            <w:bottom w:val="none" w:sz="0" w:space="0" w:color="auto"/>
                            <w:right w:val="none" w:sz="0" w:space="0" w:color="auto"/>
                          </w:divBdr>
                          <w:divsChild>
                            <w:div w:id="1858230849">
                              <w:marLeft w:val="0"/>
                              <w:marRight w:val="0"/>
                              <w:marTop w:val="0"/>
                              <w:marBottom w:val="0"/>
                              <w:divBdr>
                                <w:top w:val="none" w:sz="0" w:space="0" w:color="auto"/>
                                <w:left w:val="none" w:sz="0" w:space="0" w:color="auto"/>
                                <w:bottom w:val="none" w:sz="0" w:space="0" w:color="auto"/>
                                <w:right w:val="none" w:sz="0" w:space="0" w:color="auto"/>
                              </w:divBdr>
                              <w:divsChild>
                                <w:div w:id="573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sChild>
        <w:div w:id="10423649">
          <w:marLeft w:val="0"/>
          <w:marRight w:val="0"/>
          <w:marTop w:val="0"/>
          <w:marBottom w:val="0"/>
          <w:divBdr>
            <w:top w:val="none" w:sz="0" w:space="0" w:color="auto"/>
            <w:left w:val="none" w:sz="0" w:space="0" w:color="auto"/>
            <w:bottom w:val="none" w:sz="0" w:space="0" w:color="auto"/>
            <w:right w:val="none" w:sz="0" w:space="0" w:color="auto"/>
          </w:divBdr>
          <w:divsChild>
            <w:div w:id="540481140">
              <w:marLeft w:val="0"/>
              <w:marRight w:val="0"/>
              <w:marTop w:val="0"/>
              <w:marBottom w:val="0"/>
              <w:divBdr>
                <w:top w:val="none" w:sz="0" w:space="0" w:color="auto"/>
                <w:left w:val="none" w:sz="0" w:space="0" w:color="auto"/>
                <w:bottom w:val="none" w:sz="0" w:space="0" w:color="auto"/>
                <w:right w:val="none" w:sz="0" w:space="0" w:color="auto"/>
              </w:divBdr>
            </w:div>
            <w:div w:id="13737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290">
      <w:bodyDiv w:val="1"/>
      <w:marLeft w:val="0"/>
      <w:marRight w:val="0"/>
      <w:marTop w:val="0"/>
      <w:marBottom w:val="0"/>
      <w:divBdr>
        <w:top w:val="none" w:sz="0" w:space="0" w:color="auto"/>
        <w:left w:val="none" w:sz="0" w:space="0" w:color="auto"/>
        <w:bottom w:val="none" w:sz="0" w:space="0" w:color="auto"/>
        <w:right w:val="none" w:sz="0" w:space="0" w:color="auto"/>
      </w:divBdr>
    </w:div>
    <w:div w:id="1533303751">
      <w:bodyDiv w:val="1"/>
      <w:marLeft w:val="0"/>
      <w:marRight w:val="0"/>
      <w:marTop w:val="0"/>
      <w:marBottom w:val="0"/>
      <w:divBdr>
        <w:top w:val="none" w:sz="0" w:space="0" w:color="auto"/>
        <w:left w:val="none" w:sz="0" w:space="0" w:color="auto"/>
        <w:bottom w:val="none" w:sz="0" w:space="0" w:color="auto"/>
        <w:right w:val="none" w:sz="0" w:space="0" w:color="auto"/>
      </w:divBdr>
    </w:div>
    <w:div w:id="1662000962">
      <w:bodyDiv w:val="1"/>
      <w:marLeft w:val="0"/>
      <w:marRight w:val="0"/>
      <w:marTop w:val="0"/>
      <w:marBottom w:val="0"/>
      <w:divBdr>
        <w:top w:val="none" w:sz="0" w:space="0" w:color="auto"/>
        <w:left w:val="none" w:sz="0" w:space="0" w:color="auto"/>
        <w:bottom w:val="none" w:sz="0" w:space="0" w:color="auto"/>
        <w:right w:val="none" w:sz="0" w:space="0" w:color="auto"/>
      </w:divBdr>
      <w:divsChild>
        <w:div w:id="791094891">
          <w:marLeft w:val="0"/>
          <w:marRight w:val="0"/>
          <w:marTop w:val="0"/>
          <w:marBottom w:val="0"/>
          <w:divBdr>
            <w:top w:val="none" w:sz="0" w:space="0" w:color="auto"/>
            <w:left w:val="none" w:sz="0" w:space="0" w:color="auto"/>
            <w:bottom w:val="none" w:sz="0" w:space="0" w:color="auto"/>
            <w:right w:val="none" w:sz="0" w:space="0" w:color="auto"/>
          </w:divBdr>
        </w:div>
      </w:divsChild>
    </w:div>
    <w:div w:id="183660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seom.org/seomcms/images/stories/Informes_SEOM/IEV_olaparib_ca_prostata_resistente.pdf" TargetMode="External"/><Relationship Id="rId47" Type="http://schemas.openxmlformats.org/officeDocument/2006/relationships/hyperlink" Target="https://doi.org/10.14740/wjon1191" TargetMode="External"/><Relationship Id="rId50" Type="http://schemas.openxmlformats.org/officeDocument/2006/relationships/hyperlink" Target="https://www.nccn.org/professionals/physician_gls/pdf/prostate.pdf" TargetMode="External"/><Relationship Id="rId55" Type="http://schemas.openxmlformats.org/officeDocument/2006/relationships/hyperlink" Target="https://cima.aemps.es/cima/dochtml/ft/111714003/FT_111714003.html" TargetMode="External"/><Relationship Id="rId63" Type="http://schemas.openxmlformats.org/officeDocument/2006/relationships/hyperlink" Target="https://seom.org/images/Las_cifras_del_Cancer_en_Espana_2023.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doi.org/10.1007/s00280-021-04249-7"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seom.org/seomcms/images/stories/Informes_SEOM/IEV_olaparib_ca_prostata_resistente.pdf" TargetMode="External"/><Relationship Id="rId45" Type="http://schemas.openxmlformats.org/officeDocument/2006/relationships/hyperlink" Target="https://www.aemps.gob.es/medicamentosUsoHumano/informesPublicos/docs/2022/IPT_19-2022-Xtandi.pdf" TargetMode="External"/><Relationship Id="rId53" Type="http://schemas.openxmlformats.org/officeDocument/2006/relationships/hyperlink" Target="https://www.accessdata.fda.gov/drugsatfda_docs/label/2023/211651s010lbl.pdf" TargetMode="External"/><Relationship Id="rId58" Type="http://schemas.openxmlformats.org/officeDocument/2006/relationships/hyperlink" Target="https://doi.org/10.1200/JCO.22.01649"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pubmed.ncbi.nlm.nih.gov/37285865/" TargetMode="External"/><Relationship Id="rId19" Type="http://schemas.openxmlformats.org/officeDocument/2006/relationships/image" Target="media/image4.png"/><Relationship Id="rId14" Type="http://schemas.openxmlformats.org/officeDocument/2006/relationships/hyperlink" Target="https://doi.org/10.1158/1078-0432.CCR-22-2526"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gruposdetrabajo.sefh.es/genesis/genesis/basesmetodologicas/programamadre/index.html" TargetMode="External"/><Relationship Id="rId48" Type="http://schemas.openxmlformats.org/officeDocument/2006/relationships/hyperlink" Target="https://doi.org/10.1200/JCO.2015.65.7270" TargetMode="External"/><Relationship Id="rId56" Type="http://schemas.openxmlformats.org/officeDocument/2006/relationships/hyperlink" Target="https://cima.aemps.es/cima/dochtml/ft/1231722002/FT_1231722002.html" TargetMode="External"/><Relationship Id="rId64" Type="http://schemas.openxmlformats.org/officeDocument/2006/relationships/hyperlink" Target="https://seom.org/seomcms/images/stories/Informes_SEOM/IEV_olaparib_ca_prostata_resistente.pdf" TargetMode="External"/><Relationship Id="rId8" Type="http://schemas.openxmlformats.org/officeDocument/2006/relationships/endnotes" Target="endnotes.xml"/><Relationship Id="rId51" Type="http://schemas.openxmlformats.org/officeDocument/2006/relationships/hyperlink" Target="https://cima.aemps.es/cima/pdfs/ft/114959002/FT_114959002.pdf" TargetMode="External"/><Relationship Id="rId3" Type="http://schemas.openxmlformats.org/officeDocument/2006/relationships/numbering" Target="numbering.xml"/><Relationship Id="rId12" Type="http://schemas.openxmlformats.org/officeDocument/2006/relationships/hyperlink" Target="https://doi.org/10.1200/JCO.22.01649"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globocan.iarc.fr/" TargetMode="External"/><Relationship Id="rId59" Type="http://schemas.openxmlformats.org/officeDocument/2006/relationships/hyperlink" Target="https://doi.org/10.1093/oncolo/oyad008" TargetMode="External"/><Relationship Id="rId20" Type="http://schemas.openxmlformats.org/officeDocument/2006/relationships/image" Target="media/image5.png"/><Relationship Id="rId41" Type="http://schemas.openxmlformats.org/officeDocument/2006/relationships/hyperlink" Target="https://seom.org/seomcms/images/stories/Informes_SEOM/IEV_olaparib_ca_prostata_resistente.pdf" TargetMode="External"/><Relationship Id="rId54" Type="http://schemas.openxmlformats.org/officeDocument/2006/relationships/hyperlink" Target="https://cima.aemps.es/cima/dochtml/ft/113846002/FT_113846002.html" TargetMode="External"/><Relationship Id="rId62" Type="http://schemas.openxmlformats.org/officeDocument/2006/relationships/hyperlink" Target="http://gruposdetrabajo.sefh.es/genes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200/JCO.22.01649"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ema.europa.eu/en/documents/assessment-report/akeega-epar-public-assessment-report_en.pdf" TargetMode="External"/><Relationship Id="rId57" Type="http://schemas.openxmlformats.org/officeDocument/2006/relationships/hyperlink" Target="https://doi.org/10.1007/s00280-021-04249-7"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gruposdetrabajo.sefh.es/genesis" TargetMode="External"/><Relationship Id="rId52" Type="http://schemas.openxmlformats.org/officeDocument/2006/relationships/hyperlink" Target="https://www.accessdata.fda.gov/drugsatfda_docs/label/2022/209115s013lbl.pdf" TargetMode="External"/><Relationship Id="rId60" Type="http://schemas.openxmlformats.org/officeDocument/2006/relationships/hyperlink" Target="https://pubmed.ncbi.nlm.nih.gov/37574390/"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1093/oncolo/oyad008" TargetMode="External"/><Relationship Id="rId18" Type="http://schemas.openxmlformats.org/officeDocument/2006/relationships/image" Target="media/image3.png"/><Relationship Id="rId39" Type="http://schemas.openxmlformats.org/officeDocument/2006/relationships/hyperlink" Target="https://seom.org/images/Las_cifras_del_Cancer_en_Espana_202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7159D-A1FD-457B-BC09-BEDDDFCC515C}">
  <ds:schemaRefs>
    <ds:schemaRef ds:uri="http://schemas.openxmlformats.org/officeDocument/2006/bibliography"/>
  </ds:schemaRefs>
</ds:datastoreItem>
</file>

<file path=customXml/itemProps2.xml><?xml version="1.0" encoding="utf-8"?>
<ds:datastoreItem xmlns:ds="http://schemas.openxmlformats.org/officeDocument/2006/customXml" ds:itemID="{4FB7BDEE-9043-4305-B4D0-1D63ABB8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21324</Words>
  <Characters>117286</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Hospital La FE</Company>
  <LinksUpToDate>false</LinksUpToDate>
  <CharactersWithSpaces>138334</CharactersWithSpaces>
  <SharedDoc>false</SharedDoc>
  <HLinks>
    <vt:vector size="540" baseType="variant">
      <vt:variant>
        <vt:i4>1900593</vt:i4>
      </vt:variant>
      <vt:variant>
        <vt:i4>438</vt:i4>
      </vt:variant>
      <vt:variant>
        <vt:i4>0</vt:i4>
      </vt:variant>
      <vt:variant>
        <vt:i4>5</vt:i4>
      </vt:variant>
      <vt:variant>
        <vt:lpwstr>https://seom.org/seomcms/images/stories/Informes_SEOM/IEV_olaparib_ca_prostata_resistente.pdf</vt:lpwstr>
      </vt:variant>
      <vt:variant>
        <vt:lpwstr/>
      </vt:variant>
      <vt:variant>
        <vt:i4>6619195</vt:i4>
      </vt:variant>
      <vt:variant>
        <vt:i4>435</vt:i4>
      </vt:variant>
      <vt:variant>
        <vt:i4>0</vt:i4>
      </vt:variant>
      <vt:variant>
        <vt:i4>5</vt:i4>
      </vt:variant>
      <vt:variant>
        <vt:lpwstr>https://seom.org/images/Las_cifras_del_Cancer_en_Espana_2023.pdf</vt:lpwstr>
      </vt:variant>
      <vt:variant>
        <vt:lpwstr/>
      </vt:variant>
      <vt:variant>
        <vt:i4>6815847</vt:i4>
      </vt:variant>
      <vt:variant>
        <vt:i4>432</vt:i4>
      </vt:variant>
      <vt:variant>
        <vt:i4>0</vt:i4>
      </vt:variant>
      <vt:variant>
        <vt:i4>5</vt:i4>
      </vt:variant>
      <vt:variant>
        <vt:lpwstr>http://gruposdetrabajo.sefh.es/genesis</vt:lpwstr>
      </vt:variant>
      <vt:variant>
        <vt:lpwstr/>
      </vt:variant>
      <vt:variant>
        <vt:i4>2883641</vt:i4>
      </vt:variant>
      <vt:variant>
        <vt:i4>426</vt:i4>
      </vt:variant>
      <vt:variant>
        <vt:i4>0</vt:i4>
      </vt:variant>
      <vt:variant>
        <vt:i4>5</vt:i4>
      </vt:variant>
      <vt:variant>
        <vt:lpwstr>https://doi.org/10.1007/s00280-021-04249-7</vt:lpwstr>
      </vt:variant>
      <vt:variant>
        <vt:lpwstr/>
      </vt:variant>
      <vt:variant>
        <vt:i4>7471163</vt:i4>
      </vt:variant>
      <vt:variant>
        <vt:i4>423</vt:i4>
      </vt:variant>
      <vt:variant>
        <vt:i4>0</vt:i4>
      </vt:variant>
      <vt:variant>
        <vt:i4>5</vt:i4>
      </vt:variant>
      <vt:variant>
        <vt:lpwstr>https://doi.org/10.1093/oncolo/oyad008</vt:lpwstr>
      </vt:variant>
      <vt:variant>
        <vt:lpwstr/>
      </vt:variant>
      <vt:variant>
        <vt:i4>5439556</vt:i4>
      </vt:variant>
      <vt:variant>
        <vt:i4>420</vt:i4>
      </vt:variant>
      <vt:variant>
        <vt:i4>0</vt:i4>
      </vt:variant>
      <vt:variant>
        <vt:i4>5</vt:i4>
      </vt:variant>
      <vt:variant>
        <vt:lpwstr>https://doi.org/10.1200/JCO.22.01649</vt:lpwstr>
      </vt:variant>
      <vt:variant>
        <vt:lpwstr/>
      </vt:variant>
      <vt:variant>
        <vt:i4>5111820</vt:i4>
      </vt:variant>
      <vt:variant>
        <vt:i4>417</vt:i4>
      </vt:variant>
      <vt:variant>
        <vt:i4>0</vt:i4>
      </vt:variant>
      <vt:variant>
        <vt:i4>5</vt:i4>
      </vt:variant>
      <vt:variant>
        <vt:lpwstr>https://cima.aemps.es/cima/dochtml/ft/1231722002/FT_1231722002.html</vt:lpwstr>
      </vt:variant>
      <vt:variant>
        <vt:lpwstr>5</vt:lpwstr>
      </vt:variant>
      <vt:variant>
        <vt:i4>1900650</vt:i4>
      </vt:variant>
      <vt:variant>
        <vt:i4>414</vt:i4>
      </vt:variant>
      <vt:variant>
        <vt:i4>0</vt:i4>
      </vt:variant>
      <vt:variant>
        <vt:i4>5</vt:i4>
      </vt:variant>
      <vt:variant>
        <vt:lpwstr>https://cima.aemps.es/cima/dochtml/ft/71799/FT_71799.html</vt:lpwstr>
      </vt:variant>
      <vt:variant>
        <vt:lpwstr/>
      </vt:variant>
      <vt:variant>
        <vt:i4>1835115</vt:i4>
      </vt:variant>
      <vt:variant>
        <vt:i4>411</vt:i4>
      </vt:variant>
      <vt:variant>
        <vt:i4>0</vt:i4>
      </vt:variant>
      <vt:variant>
        <vt:i4>5</vt:i4>
      </vt:variant>
      <vt:variant>
        <vt:lpwstr>https://cima.aemps.es/cima/dochtml/ft/111714003/FT_111714003.html</vt:lpwstr>
      </vt:variant>
      <vt:variant>
        <vt:lpwstr/>
      </vt:variant>
      <vt:variant>
        <vt:i4>1507424</vt:i4>
      </vt:variant>
      <vt:variant>
        <vt:i4>408</vt:i4>
      </vt:variant>
      <vt:variant>
        <vt:i4>0</vt:i4>
      </vt:variant>
      <vt:variant>
        <vt:i4>5</vt:i4>
      </vt:variant>
      <vt:variant>
        <vt:lpwstr>https://cima.aemps.es/cima/dochtml/ft/113846002/FT_113846002.html</vt:lpwstr>
      </vt:variant>
      <vt:variant>
        <vt:lpwstr/>
      </vt:variant>
      <vt:variant>
        <vt:i4>4784242</vt:i4>
      </vt:variant>
      <vt:variant>
        <vt:i4>405</vt:i4>
      </vt:variant>
      <vt:variant>
        <vt:i4>0</vt:i4>
      </vt:variant>
      <vt:variant>
        <vt:i4>5</vt:i4>
      </vt:variant>
      <vt:variant>
        <vt:lpwstr>https://www.accessdata.fda.gov/drugsatfda_docs/label/2023/211651s010lbl.pdf</vt:lpwstr>
      </vt:variant>
      <vt:variant>
        <vt:lpwstr/>
      </vt:variant>
      <vt:variant>
        <vt:i4>4718719</vt:i4>
      </vt:variant>
      <vt:variant>
        <vt:i4>402</vt:i4>
      </vt:variant>
      <vt:variant>
        <vt:i4>0</vt:i4>
      </vt:variant>
      <vt:variant>
        <vt:i4>5</vt:i4>
      </vt:variant>
      <vt:variant>
        <vt:lpwstr>https://www.accessdata.fda.gov/drugsatfda_docs/label/2022/209115s013lbl.pdf</vt:lpwstr>
      </vt:variant>
      <vt:variant>
        <vt:lpwstr/>
      </vt:variant>
      <vt:variant>
        <vt:i4>2687055</vt:i4>
      </vt:variant>
      <vt:variant>
        <vt:i4>399</vt:i4>
      </vt:variant>
      <vt:variant>
        <vt:i4>0</vt:i4>
      </vt:variant>
      <vt:variant>
        <vt:i4>5</vt:i4>
      </vt:variant>
      <vt:variant>
        <vt:lpwstr>https://cima.aemps.es/cima/pdfs/ft/114959002/FT_114959002.pdf</vt:lpwstr>
      </vt:variant>
      <vt:variant>
        <vt:lpwstr/>
      </vt:variant>
      <vt:variant>
        <vt:i4>589862</vt:i4>
      </vt:variant>
      <vt:variant>
        <vt:i4>396</vt:i4>
      </vt:variant>
      <vt:variant>
        <vt:i4>0</vt:i4>
      </vt:variant>
      <vt:variant>
        <vt:i4>5</vt:i4>
      </vt:variant>
      <vt:variant>
        <vt:lpwstr>https://www.nccn.org/professionals/physician_gls/pdf/prostate.pdf</vt:lpwstr>
      </vt:variant>
      <vt:variant>
        <vt:lpwstr/>
      </vt:variant>
      <vt:variant>
        <vt:i4>2818079</vt:i4>
      </vt:variant>
      <vt:variant>
        <vt:i4>393</vt:i4>
      </vt:variant>
      <vt:variant>
        <vt:i4>0</vt:i4>
      </vt:variant>
      <vt:variant>
        <vt:i4>5</vt:i4>
      </vt:variant>
      <vt:variant>
        <vt:lpwstr>https://www.ema.europa.eu/en/documents/assessment-report/akeega-epar-public-assessment-report_en.pdf</vt:lpwstr>
      </vt:variant>
      <vt:variant>
        <vt:lpwstr/>
      </vt:variant>
      <vt:variant>
        <vt:i4>4259909</vt:i4>
      </vt:variant>
      <vt:variant>
        <vt:i4>390</vt:i4>
      </vt:variant>
      <vt:variant>
        <vt:i4>0</vt:i4>
      </vt:variant>
      <vt:variant>
        <vt:i4>5</vt:i4>
      </vt:variant>
      <vt:variant>
        <vt:lpwstr>https://doi.org/10.1200/JCO.2015.65.7270</vt:lpwstr>
      </vt:variant>
      <vt:variant>
        <vt:lpwstr/>
      </vt:variant>
      <vt:variant>
        <vt:i4>1769536</vt:i4>
      </vt:variant>
      <vt:variant>
        <vt:i4>387</vt:i4>
      </vt:variant>
      <vt:variant>
        <vt:i4>0</vt:i4>
      </vt:variant>
      <vt:variant>
        <vt:i4>5</vt:i4>
      </vt:variant>
      <vt:variant>
        <vt:lpwstr>https://doi.org/10.14740/wjon1191</vt:lpwstr>
      </vt:variant>
      <vt:variant>
        <vt:lpwstr/>
      </vt:variant>
      <vt:variant>
        <vt:i4>4718669</vt:i4>
      </vt:variant>
      <vt:variant>
        <vt:i4>384</vt:i4>
      </vt:variant>
      <vt:variant>
        <vt:i4>0</vt:i4>
      </vt:variant>
      <vt:variant>
        <vt:i4>5</vt:i4>
      </vt:variant>
      <vt:variant>
        <vt:lpwstr>http://globocan.iarc.fr/</vt:lpwstr>
      </vt:variant>
      <vt:variant>
        <vt:lpwstr/>
      </vt:variant>
      <vt:variant>
        <vt:i4>6815808</vt:i4>
      </vt:variant>
      <vt:variant>
        <vt:i4>381</vt:i4>
      </vt:variant>
      <vt:variant>
        <vt:i4>0</vt:i4>
      </vt:variant>
      <vt:variant>
        <vt:i4>5</vt:i4>
      </vt:variant>
      <vt:variant>
        <vt:lpwstr>https://www.aemps.gob.es/medicamentosUsoHumano/informesPublicos/docs/2022/IPT_19-2022-Xtandi.pdf</vt:lpwstr>
      </vt:variant>
      <vt:variant>
        <vt:lpwstr/>
      </vt:variant>
      <vt:variant>
        <vt:i4>6815847</vt:i4>
      </vt:variant>
      <vt:variant>
        <vt:i4>378</vt:i4>
      </vt:variant>
      <vt:variant>
        <vt:i4>0</vt:i4>
      </vt:variant>
      <vt:variant>
        <vt:i4>5</vt:i4>
      </vt:variant>
      <vt:variant>
        <vt:lpwstr>http://gruposdetrabajo.sefh.es/genesis</vt:lpwstr>
      </vt:variant>
      <vt:variant>
        <vt:lpwstr/>
      </vt:variant>
      <vt:variant>
        <vt:i4>3801200</vt:i4>
      </vt:variant>
      <vt:variant>
        <vt:i4>375</vt:i4>
      </vt:variant>
      <vt:variant>
        <vt:i4>0</vt:i4>
      </vt:variant>
      <vt:variant>
        <vt:i4>5</vt:i4>
      </vt:variant>
      <vt:variant>
        <vt:lpwstr>http://gruposdetrabajo.sefh.es/genesis/genesis/basesmetodologicas/programamadre/index.html</vt:lpwstr>
      </vt:variant>
      <vt:variant>
        <vt:lpwstr/>
      </vt:variant>
      <vt:variant>
        <vt:i4>1900593</vt:i4>
      </vt:variant>
      <vt:variant>
        <vt:i4>372</vt:i4>
      </vt:variant>
      <vt:variant>
        <vt:i4>0</vt:i4>
      </vt:variant>
      <vt:variant>
        <vt:i4>5</vt:i4>
      </vt:variant>
      <vt:variant>
        <vt:lpwstr>https://seom.org/seomcms/images/stories/Informes_SEOM/IEV_olaparib_ca_prostata_resistente.pdf</vt:lpwstr>
      </vt:variant>
      <vt:variant>
        <vt:lpwstr/>
      </vt:variant>
      <vt:variant>
        <vt:i4>1900593</vt:i4>
      </vt:variant>
      <vt:variant>
        <vt:i4>369</vt:i4>
      </vt:variant>
      <vt:variant>
        <vt:i4>0</vt:i4>
      </vt:variant>
      <vt:variant>
        <vt:i4>5</vt:i4>
      </vt:variant>
      <vt:variant>
        <vt:lpwstr>https://seom.org/seomcms/images/stories/Informes_SEOM/IEV_olaparib_ca_prostata_resistente.pdf</vt:lpwstr>
      </vt:variant>
      <vt:variant>
        <vt:lpwstr/>
      </vt:variant>
      <vt:variant>
        <vt:i4>1900593</vt:i4>
      </vt:variant>
      <vt:variant>
        <vt:i4>366</vt:i4>
      </vt:variant>
      <vt:variant>
        <vt:i4>0</vt:i4>
      </vt:variant>
      <vt:variant>
        <vt:i4>5</vt:i4>
      </vt:variant>
      <vt:variant>
        <vt:lpwstr>https://seom.org/seomcms/images/stories/Informes_SEOM/IEV_olaparib_ca_prostata_resistente.pdf</vt:lpwstr>
      </vt:variant>
      <vt:variant>
        <vt:lpwstr/>
      </vt:variant>
      <vt:variant>
        <vt:i4>6619195</vt:i4>
      </vt:variant>
      <vt:variant>
        <vt:i4>363</vt:i4>
      </vt:variant>
      <vt:variant>
        <vt:i4>0</vt:i4>
      </vt:variant>
      <vt:variant>
        <vt:i4>5</vt:i4>
      </vt:variant>
      <vt:variant>
        <vt:lpwstr>https://seom.org/images/Las_cifras_del_Cancer_en_Espana_2023.pdf</vt:lpwstr>
      </vt:variant>
      <vt:variant>
        <vt:lpwstr/>
      </vt:variant>
      <vt:variant>
        <vt:i4>5439556</vt:i4>
      </vt:variant>
      <vt:variant>
        <vt:i4>357</vt:i4>
      </vt:variant>
      <vt:variant>
        <vt:i4>0</vt:i4>
      </vt:variant>
      <vt:variant>
        <vt:i4>5</vt:i4>
      </vt:variant>
      <vt:variant>
        <vt:lpwstr>https://doi.org/10.1200/JCO.22.01649</vt:lpwstr>
      </vt:variant>
      <vt:variant>
        <vt:lpwstr/>
      </vt:variant>
      <vt:variant>
        <vt:i4>2883641</vt:i4>
      </vt:variant>
      <vt:variant>
        <vt:i4>354</vt:i4>
      </vt:variant>
      <vt:variant>
        <vt:i4>0</vt:i4>
      </vt:variant>
      <vt:variant>
        <vt:i4>5</vt:i4>
      </vt:variant>
      <vt:variant>
        <vt:lpwstr>https://doi.org/10.1007/s00280-021-04249-7</vt:lpwstr>
      </vt:variant>
      <vt:variant>
        <vt:lpwstr/>
      </vt:variant>
      <vt:variant>
        <vt:i4>5177413</vt:i4>
      </vt:variant>
      <vt:variant>
        <vt:i4>351</vt:i4>
      </vt:variant>
      <vt:variant>
        <vt:i4>0</vt:i4>
      </vt:variant>
      <vt:variant>
        <vt:i4>5</vt:i4>
      </vt:variant>
      <vt:variant>
        <vt:lpwstr>https://doi.org/10.1158/1078-0432.CCR-22-2526</vt:lpwstr>
      </vt:variant>
      <vt:variant>
        <vt:lpwstr/>
      </vt:variant>
      <vt:variant>
        <vt:i4>7471163</vt:i4>
      </vt:variant>
      <vt:variant>
        <vt:i4>348</vt:i4>
      </vt:variant>
      <vt:variant>
        <vt:i4>0</vt:i4>
      </vt:variant>
      <vt:variant>
        <vt:i4>5</vt:i4>
      </vt:variant>
      <vt:variant>
        <vt:lpwstr>https://doi.org/10.1093/oncolo/oyad008</vt:lpwstr>
      </vt:variant>
      <vt:variant>
        <vt:lpwstr/>
      </vt:variant>
      <vt:variant>
        <vt:i4>5439556</vt:i4>
      </vt:variant>
      <vt:variant>
        <vt:i4>345</vt:i4>
      </vt:variant>
      <vt:variant>
        <vt:i4>0</vt:i4>
      </vt:variant>
      <vt:variant>
        <vt:i4>5</vt:i4>
      </vt:variant>
      <vt:variant>
        <vt:lpwstr>https://doi.org/10.1200/JCO.22.01649</vt:lpwstr>
      </vt:variant>
      <vt:variant>
        <vt:lpwstr/>
      </vt:variant>
      <vt:variant>
        <vt:i4>1114162</vt:i4>
      </vt:variant>
      <vt:variant>
        <vt:i4>338</vt:i4>
      </vt:variant>
      <vt:variant>
        <vt:i4>0</vt:i4>
      </vt:variant>
      <vt:variant>
        <vt:i4>5</vt:i4>
      </vt:variant>
      <vt:variant>
        <vt:lpwstr/>
      </vt:variant>
      <vt:variant>
        <vt:lpwstr>_Toc153727233</vt:lpwstr>
      </vt:variant>
      <vt:variant>
        <vt:i4>1114162</vt:i4>
      </vt:variant>
      <vt:variant>
        <vt:i4>332</vt:i4>
      </vt:variant>
      <vt:variant>
        <vt:i4>0</vt:i4>
      </vt:variant>
      <vt:variant>
        <vt:i4>5</vt:i4>
      </vt:variant>
      <vt:variant>
        <vt:lpwstr/>
      </vt:variant>
      <vt:variant>
        <vt:lpwstr>_Toc153727232</vt:lpwstr>
      </vt:variant>
      <vt:variant>
        <vt:i4>1114162</vt:i4>
      </vt:variant>
      <vt:variant>
        <vt:i4>326</vt:i4>
      </vt:variant>
      <vt:variant>
        <vt:i4>0</vt:i4>
      </vt:variant>
      <vt:variant>
        <vt:i4>5</vt:i4>
      </vt:variant>
      <vt:variant>
        <vt:lpwstr/>
      </vt:variant>
      <vt:variant>
        <vt:lpwstr>_Toc153727231</vt:lpwstr>
      </vt:variant>
      <vt:variant>
        <vt:i4>1114162</vt:i4>
      </vt:variant>
      <vt:variant>
        <vt:i4>320</vt:i4>
      </vt:variant>
      <vt:variant>
        <vt:i4>0</vt:i4>
      </vt:variant>
      <vt:variant>
        <vt:i4>5</vt:i4>
      </vt:variant>
      <vt:variant>
        <vt:lpwstr/>
      </vt:variant>
      <vt:variant>
        <vt:lpwstr>_Toc153727230</vt:lpwstr>
      </vt:variant>
      <vt:variant>
        <vt:i4>1048626</vt:i4>
      </vt:variant>
      <vt:variant>
        <vt:i4>314</vt:i4>
      </vt:variant>
      <vt:variant>
        <vt:i4>0</vt:i4>
      </vt:variant>
      <vt:variant>
        <vt:i4>5</vt:i4>
      </vt:variant>
      <vt:variant>
        <vt:lpwstr/>
      </vt:variant>
      <vt:variant>
        <vt:lpwstr>_Toc153727229</vt:lpwstr>
      </vt:variant>
      <vt:variant>
        <vt:i4>1048626</vt:i4>
      </vt:variant>
      <vt:variant>
        <vt:i4>308</vt:i4>
      </vt:variant>
      <vt:variant>
        <vt:i4>0</vt:i4>
      </vt:variant>
      <vt:variant>
        <vt:i4>5</vt:i4>
      </vt:variant>
      <vt:variant>
        <vt:lpwstr/>
      </vt:variant>
      <vt:variant>
        <vt:lpwstr>_Toc153727228</vt:lpwstr>
      </vt:variant>
      <vt:variant>
        <vt:i4>1048626</vt:i4>
      </vt:variant>
      <vt:variant>
        <vt:i4>302</vt:i4>
      </vt:variant>
      <vt:variant>
        <vt:i4>0</vt:i4>
      </vt:variant>
      <vt:variant>
        <vt:i4>5</vt:i4>
      </vt:variant>
      <vt:variant>
        <vt:lpwstr/>
      </vt:variant>
      <vt:variant>
        <vt:lpwstr>_Toc153727227</vt:lpwstr>
      </vt:variant>
      <vt:variant>
        <vt:i4>1048626</vt:i4>
      </vt:variant>
      <vt:variant>
        <vt:i4>296</vt:i4>
      </vt:variant>
      <vt:variant>
        <vt:i4>0</vt:i4>
      </vt:variant>
      <vt:variant>
        <vt:i4>5</vt:i4>
      </vt:variant>
      <vt:variant>
        <vt:lpwstr/>
      </vt:variant>
      <vt:variant>
        <vt:lpwstr>_Toc153727226</vt:lpwstr>
      </vt:variant>
      <vt:variant>
        <vt:i4>1048626</vt:i4>
      </vt:variant>
      <vt:variant>
        <vt:i4>290</vt:i4>
      </vt:variant>
      <vt:variant>
        <vt:i4>0</vt:i4>
      </vt:variant>
      <vt:variant>
        <vt:i4>5</vt:i4>
      </vt:variant>
      <vt:variant>
        <vt:lpwstr/>
      </vt:variant>
      <vt:variant>
        <vt:lpwstr>_Toc153727225</vt:lpwstr>
      </vt:variant>
      <vt:variant>
        <vt:i4>1048626</vt:i4>
      </vt:variant>
      <vt:variant>
        <vt:i4>284</vt:i4>
      </vt:variant>
      <vt:variant>
        <vt:i4>0</vt:i4>
      </vt:variant>
      <vt:variant>
        <vt:i4>5</vt:i4>
      </vt:variant>
      <vt:variant>
        <vt:lpwstr/>
      </vt:variant>
      <vt:variant>
        <vt:lpwstr>_Toc153727224</vt:lpwstr>
      </vt:variant>
      <vt:variant>
        <vt:i4>1048626</vt:i4>
      </vt:variant>
      <vt:variant>
        <vt:i4>278</vt:i4>
      </vt:variant>
      <vt:variant>
        <vt:i4>0</vt:i4>
      </vt:variant>
      <vt:variant>
        <vt:i4>5</vt:i4>
      </vt:variant>
      <vt:variant>
        <vt:lpwstr/>
      </vt:variant>
      <vt:variant>
        <vt:lpwstr>_Toc153727223</vt:lpwstr>
      </vt:variant>
      <vt:variant>
        <vt:i4>1048626</vt:i4>
      </vt:variant>
      <vt:variant>
        <vt:i4>272</vt:i4>
      </vt:variant>
      <vt:variant>
        <vt:i4>0</vt:i4>
      </vt:variant>
      <vt:variant>
        <vt:i4>5</vt:i4>
      </vt:variant>
      <vt:variant>
        <vt:lpwstr/>
      </vt:variant>
      <vt:variant>
        <vt:lpwstr>_Toc153727222</vt:lpwstr>
      </vt:variant>
      <vt:variant>
        <vt:i4>1048626</vt:i4>
      </vt:variant>
      <vt:variant>
        <vt:i4>266</vt:i4>
      </vt:variant>
      <vt:variant>
        <vt:i4>0</vt:i4>
      </vt:variant>
      <vt:variant>
        <vt:i4>5</vt:i4>
      </vt:variant>
      <vt:variant>
        <vt:lpwstr/>
      </vt:variant>
      <vt:variant>
        <vt:lpwstr>_Toc153727221</vt:lpwstr>
      </vt:variant>
      <vt:variant>
        <vt:i4>1048626</vt:i4>
      </vt:variant>
      <vt:variant>
        <vt:i4>260</vt:i4>
      </vt:variant>
      <vt:variant>
        <vt:i4>0</vt:i4>
      </vt:variant>
      <vt:variant>
        <vt:i4>5</vt:i4>
      </vt:variant>
      <vt:variant>
        <vt:lpwstr/>
      </vt:variant>
      <vt:variant>
        <vt:lpwstr>_Toc153727220</vt:lpwstr>
      </vt:variant>
      <vt:variant>
        <vt:i4>1245234</vt:i4>
      </vt:variant>
      <vt:variant>
        <vt:i4>254</vt:i4>
      </vt:variant>
      <vt:variant>
        <vt:i4>0</vt:i4>
      </vt:variant>
      <vt:variant>
        <vt:i4>5</vt:i4>
      </vt:variant>
      <vt:variant>
        <vt:lpwstr/>
      </vt:variant>
      <vt:variant>
        <vt:lpwstr>_Toc153727219</vt:lpwstr>
      </vt:variant>
      <vt:variant>
        <vt:i4>1245234</vt:i4>
      </vt:variant>
      <vt:variant>
        <vt:i4>248</vt:i4>
      </vt:variant>
      <vt:variant>
        <vt:i4>0</vt:i4>
      </vt:variant>
      <vt:variant>
        <vt:i4>5</vt:i4>
      </vt:variant>
      <vt:variant>
        <vt:lpwstr/>
      </vt:variant>
      <vt:variant>
        <vt:lpwstr>_Toc153727218</vt:lpwstr>
      </vt:variant>
      <vt:variant>
        <vt:i4>1245234</vt:i4>
      </vt:variant>
      <vt:variant>
        <vt:i4>242</vt:i4>
      </vt:variant>
      <vt:variant>
        <vt:i4>0</vt:i4>
      </vt:variant>
      <vt:variant>
        <vt:i4>5</vt:i4>
      </vt:variant>
      <vt:variant>
        <vt:lpwstr/>
      </vt:variant>
      <vt:variant>
        <vt:lpwstr>_Toc153727217</vt:lpwstr>
      </vt:variant>
      <vt:variant>
        <vt:i4>1245234</vt:i4>
      </vt:variant>
      <vt:variant>
        <vt:i4>236</vt:i4>
      </vt:variant>
      <vt:variant>
        <vt:i4>0</vt:i4>
      </vt:variant>
      <vt:variant>
        <vt:i4>5</vt:i4>
      </vt:variant>
      <vt:variant>
        <vt:lpwstr/>
      </vt:variant>
      <vt:variant>
        <vt:lpwstr>_Toc153727216</vt:lpwstr>
      </vt:variant>
      <vt:variant>
        <vt:i4>1245234</vt:i4>
      </vt:variant>
      <vt:variant>
        <vt:i4>230</vt:i4>
      </vt:variant>
      <vt:variant>
        <vt:i4>0</vt:i4>
      </vt:variant>
      <vt:variant>
        <vt:i4>5</vt:i4>
      </vt:variant>
      <vt:variant>
        <vt:lpwstr/>
      </vt:variant>
      <vt:variant>
        <vt:lpwstr>_Toc153727215</vt:lpwstr>
      </vt:variant>
      <vt:variant>
        <vt:i4>1245234</vt:i4>
      </vt:variant>
      <vt:variant>
        <vt:i4>224</vt:i4>
      </vt:variant>
      <vt:variant>
        <vt:i4>0</vt:i4>
      </vt:variant>
      <vt:variant>
        <vt:i4>5</vt:i4>
      </vt:variant>
      <vt:variant>
        <vt:lpwstr/>
      </vt:variant>
      <vt:variant>
        <vt:lpwstr>_Toc153727214</vt:lpwstr>
      </vt:variant>
      <vt:variant>
        <vt:i4>1245234</vt:i4>
      </vt:variant>
      <vt:variant>
        <vt:i4>218</vt:i4>
      </vt:variant>
      <vt:variant>
        <vt:i4>0</vt:i4>
      </vt:variant>
      <vt:variant>
        <vt:i4>5</vt:i4>
      </vt:variant>
      <vt:variant>
        <vt:lpwstr/>
      </vt:variant>
      <vt:variant>
        <vt:lpwstr>_Toc153727213</vt:lpwstr>
      </vt:variant>
      <vt:variant>
        <vt:i4>1245234</vt:i4>
      </vt:variant>
      <vt:variant>
        <vt:i4>212</vt:i4>
      </vt:variant>
      <vt:variant>
        <vt:i4>0</vt:i4>
      </vt:variant>
      <vt:variant>
        <vt:i4>5</vt:i4>
      </vt:variant>
      <vt:variant>
        <vt:lpwstr/>
      </vt:variant>
      <vt:variant>
        <vt:lpwstr>_Toc153727212</vt:lpwstr>
      </vt:variant>
      <vt:variant>
        <vt:i4>1245234</vt:i4>
      </vt:variant>
      <vt:variant>
        <vt:i4>206</vt:i4>
      </vt:variant>
      <vt:variant>
        <vt:i4>0</vt:i4>
      </vt:variant>
      <vt:variant>
        <vt:i4>5</vt:i4>
      </vt:variant>
      <vt:variant>
        <vt:lpwstr/>
      </vt:variant>
      <vt:variant>
        <vt:lpwstr>_Toc153727211</vt:lpwstr>
      </vt:variant>
      <vt:variant>
        <vt:i4>1245234</vt:i4>
      </vt:variant>
      <vt:variant>
        <vt:i4>200</vt:i4>
      </vt:variant>
      <vt:variant>
        <vt:i4>0</vt:i4>
      </vt:variant>
      <vt:variant>
        <vt:i4>5</vt:i4>
      </vt:variant>
      <vt:variant>
        <vt:lpwstr/>
      </vt:variant>
      <vt:variant>
        <vt:lpwstr>_Toc153727210</vt:lpwstr>
      </vt:variant>
      <vt:variant>
        <vt:i4>1179698</vt:i4>
      </vt:variant>
      <vt:variant>
        <vt:i4>194</vt:i4>
      </vt:variant>
      <vt:variant>
        <vt:i4>0</vt:i4>
      </vt:variant>
      <vt:variant>
        <vt:i4>5</vt:i4>
      </vt:variant>
      <vt:variant>
        <vt:lpwstr/>
      </vt:variant>
      <vt:variant>
        <vt:lpwstr>_Toc153727209</vt:lpwstr>
      </vt:variant>
      <vt:variant>
        <vt:i4>1179698</vt:i4>
      </vt:variant>
      <vt:variant>
        <vt:i4>188</vt:i4>
      </vt:variant>
      <vt:variant>
        <vt:i4>0</vt:i4>
      </vt:variant>
      <vt:variant>
        <vt:i4>5</vt:i4>
      </vt:variant>
      <vt:variant>
        <vt:lpwstr/>
      </vt:variant>
      <vt:variant>
        <vt:lpwstr>_Toc153727208</vt:lpwstr>
      </vt:variant>
      <vt:variant>
        <vt:i4>1179698</vt:i4>
      </vt:variant>
      <vt:variant>
        <vt:i4>182</vt:i4>
      </vt:variant>
      <vt:variant>
        <vt:i4>0</vt:i4>
      </vt:variant>
      <vt:variant>
        <vt:i4>5</vt:i4>
      </vt:variant>
      <vt:variant>
        <vt:lpwstr/>
      </vt:variant>
      <vt:variant>
        <vt:lpwstr>_Toc153727207</vt:lpwstr>
      </vt:variant>
      <vt:variant>
        <vt:i4>1179698</vt:i4>
      </vt:variant>
      <vt:variant>
        <vt:i4>176</vt:i4>
      </vt:variant>
      <vt:variant>
        <vt:i4>0</vt:i4>
      </vt:variant>
      <vt:variant>
        <vt:i4>5</vt:i4>
      </vt:variant>
      <vt:variant>
        <vt:lpwstr/>
      </vt:variant>
      <vt:variant>
        <vt:lpwstr>_Toc153727206</vt:lpwstr>
      </vt:variant>
      <vt:variant>
        <vt:i4>1179698</vt:i4>
      </vt:variant>
      <vt:variant>
        <vt:i4>170</vt:i4>
      </vt:variant>
      <vt:variant>
        <vt:i4>0</vt:i4>
      </vt:variant>
      <vt:variant>
        <vt:i4>5</vt:i4>
      </vt:variant>
      <vt:variant>
        <vt:lpwstr/>
      </vt:variant>
      <vt:variant>
        <vt:lpwstr>_Toc153727205</vt:lpwstr>
      </vt:variant>
      <vt:variant>
        <vt:i4>1179698</vt:i4>
      </vt:variant>
      <vt:variant>
        <vt:i4>164</vt:i4>
      </vt:variant>
      <vt:variant>
        <vt:i4>0</vt:i4>
      </vt:variant>
      <vt:variant>
        <vt:i4>5</vt:i4>
      </vt:variant>
      <vt:variant>
        <vt:lpwstr/>
      </vt:variant>
      <vt:variant>
        <vt:lpwstr>_Toc153727204</vt:lpwstr>
      </vt:variant>
      <vt:variant>
        <vt:i4>1179698</vt:i4>
      </vt:variant>
      <vt:variant>
        <vt:i4>158</vt:i4>
      </vt:variant>
      <vt:variant>
        <vt:i4>0</vt:i4>
      </vt:variant>
      <vt:variant>
        <vt:i4>5</vt:i4>
      </vt:variant>
      <vt:variant>
        <vt:lpwstr/>
      </vt:variant>
      <vt:variant>
        <vt:lpwstr>_Toc153727203</vt:lpwstr>
      </vt:variant>
      <vt:variant>
        <vt:i4>1179698</vt:i4>
      </vt:variant>
      <vt:variant>
        <vt:i4>152</vt:i4>
      </vt:variant>
      <vt:variant>
        <vt:i4>0</vt:i4>
      </vt:variant>
      <vt:variant>
        <vt:i4>5</vt:i4>
      </vt:variant>
      <vt:variant>
        <vt:lpwstr/>
      </vt:variant>
      <vt:variant>
        <vt:lpwstr>_Toc153727202</vt:lpwstr>
      </vt:variant>
      <vt:variant>
        <vt:i4>1179698</vt:i4>
      </vt:variant>
      <vt:variant>
        <vt:i4>146</vt:i4>
      </vt:variant>
      <vt:variant>
        <vt:i4>0</vt:i4>
      </vt:variant>
      <vt:variant>
        <vt:i4>5</vt:i4>
      </vt:variant>
      <vt:variant>
        <vt:lpwstr/>
      </vt:variant>
      <vt:variant>
        <vt:lpwstr>_Toc153727201</vt:lpwstr>
      </vt:variant>
      <vt:variant>
        <vt:i4>1179698</vt:i4>
      </vt:variant>
      <vt:variant>
        <vt:i4>140</vt:i4>
      </vt:variant>
      <vt:variant>
        <vt:i4>0</vt:i4>
      </vt:variant>
      <vt:variant>
        <vt:i4>5</vt:i4>
      </vt:variant>
      <vt:variant>
        <vt:lpwstr/>
      </vt:variant>
      <vt:variant>
        <vt:lpwstr>_Toc153727200</vt:lpwstr>
      </vt:variant>
      <vt:variant>
        <vt:i4>1769521</vt:i4>
      </vt:variant>
      <vt:variant>
        <vt:i4>134</vt:i4>
      </vt:variant>
      <vt:variant>
        <vt:i4>0</vt:i4>
      </vt:variant>
      <vt:variant>
        <vt:i4>5</vt:i4>
      </vt:variant>
      <vt:variant>
        <vt:lpwstr/>
      </vt:variant>
      <vt:variant>
        <vt:lpwstr>_Toc153727199</vt:lpwstr>
      </vt:variant>
      <vt:variant>
        <vt:i4>1769521</vt:i4>
      </vt:variant>
      <vt:variant>
        <vt:i4>128</vt:i4>
      </vt:variant>
      <vt:variant>
        <vt:i4>0</vt:i4>
      </vt:variant>
      <vt:variant>
        <vt:i4>5</vt:i4>
      </vt:variant>
      <vt:variant>
        <vt:lpwstr/>
      </vt:variant>
      <vt:variant>
        <vt:lpwstr>_Toc153727198</vt:lpwstr>
      </vt:variant>
      <vt:variant>
        <vt:i4>1769521</vt:i4>
      </vt:variant>
      <vt:variant>
        <vt:i4>122</vt:i4>
      </vt:variant>
      <vt:variant>
        <vt:i4>0</vt:i4>
      </vt:variant>
      <vt:variant>
        <vt:i4>5</vt:i4>
      </vt:variant>
      <vt:variant>
        <vt:lpwstr/>
      </vt:variant>
      <vt:variant>
        <vt:lpwstr>_Toc153727197</vt:lpwstr>
      </vt:variant>
      <vt:variant>
        <vt:i4>1769521</vt:i4>
      </vt:variant>
      <vt:variant>
        <vt:i4>116</vt:i4>
      </vt:variant>
      <vt:variant>
        <vt:i4>0</vt:i4>
      </vt:variant>
      <vt:variant>
        <vt:i4>5</vt:i4>
      </vt:variant>
      <vt:variant>
        <vt:lpwstr/>
      </vt:variant>
      <vt:variant>
        <vt:lpwstr>_Toc153727196</vt:lpwstr>
      </vt:variant>
      <vt:variant>
        <vt:i4>1769521</vt:i4>
      </vt:variant>
      <vt:variant>
        <vt:i4>110</vt:i4>
      </vt:variant>
      <vt:variant>
        <vt:i4>0</vt:i4>
      </vt:variant>
      <vt:variant>
        <vt:i4>5</vt:i4>
      </vt:variant>
      <vt:variant>
        <vt:lpwstr/>
      </vt:variant>
      <vt:variant>
        <vt:lpwstr>_Toc153727195</vt:lpwstr>
      </vt:variant>
      <vt:variant>
        <vt:i4>1769521</vt:i4>
      </vt:variant>
      <vt:variant>
        <vt:i4>104</vt:i4>
      </vt:variant>
      <vt:variant>
        <vt:i4>0</vt:i4>
      </vt:variant>
      <vt:variant>
        <vt:i4>5</vt:i4>
      </vt:variant>
      <vt:variant>
        <vt:lpwstr/>
      </vt:variant>
      <vt:variant>
        <vt:lpwstr>_Toc153727194</vt:lpwstr>
      </vt:variant>
      <vt:variant>
        <vt:i4>1769521</vt:i4>
      </vt:variant>
      <vt:variant>
        <vt:i4>98</vt:i4>
      </vt:variant>
      <vt:variant>
        <vt:i4>0</vt:i4>
      </vt:variant>
      <vt:variant>
        <vt:i4>5</vt:i4>
      </vt:variant>
      <vt:variant>
        <vt:lpwstr/>
      </vt:variant>
      <vt:variant>
        <vt:lpwstr>_Toc153727193</vt:lpwstr>
      </vt:variant>
      <vt:variant>
        <vt:i4>1769521</vt:i4>
      </vt:variant>
      <vt:variant>
        <vt:i4>92</vt:i4>
      </vt:variant>
      <vt:variant>
        <vt:i4>0</vt:i4>
      </vt:variant>
      <vt:variant>
        <vt:i4>5</vt:i4>
      </vt:variant>
      <vt:variant>
        <vt:lpwstr/>
      </vt:variant>
      <vt:variant>
        <vt:lpwstr>_Toc153727192</vt:lpwstr>
      </vt:variant>
      <vt:variant>
        <vt:i4>1769521</vt:i4>
      </vt:variant>
      <vt:variant>
        <vt:i4>86</vt:i4>
      </vt:variant>
      <vt:variant>
        <vt:i4>0</vt:i4>
      </vt:variant>
      <vt:variant>
        <vt:i4>5</vt:i4>
      </vt:variant>
      <vt:variant>
        <vt:lpwstr/>
      </vt:variant>
      <vt:variant>
        <vt:lpwstr>_Toc153727191</vt:lpwstr>
      </vt:variant>
      <vt:variant>
        <vt:i4>1769521</vt:i4>
      </vt:variant>
      <vt:variant>
        <vt:i4>80</vt:i4>
      </vt:variant>
      <vt:variant>
        <vt:i4>0</vt:i4>
      </vt:variant>
      <vt:variant>
        <vt:i4>5</vt:i4>
      </vt:variant>
      <vt:variant>
        <vt:lpwstr/>
      </vt:variant>
      <vt:variant>
        <vt:lpwstr>_Toc153727190</vt:lpwstr>
      </vt:variant>
      <vt:variant>
        <vt:i4>1703985</vt:i4>
      </vt:variant>
      <vt:variant>
        <vt:i4>74</vt:i4>
      </vt:variant>
      <vt:variant>
        <vt:i4>0</vt:i4>
      </vt:variant>
      <vt:variant>
        <vt:i4>5</vt:i4>
      </vt:variant>
      <vt:variant>
        <vt:lpwstr/>
      </vt:variant>
      <vt:variant>
        <vt:lpwstr>_Toc153727189</vt:lpwstr>
      </vt:variant>
      <vt:variant>
        <vt:i4>1703985</vt:i4>
      </vt:variant>
      <vt:variant>
        <vt:i4>68</vt:i4>
      </vt:variant>
      <vt:variant>
        <vt:i4>0</vt:i4>
      </vt:variant>
      <vt:variant>
        <vt:i4>5</vt:i4>
      </vt:variant>
      <vt:variant>
        <vt:lpwstr/>
      </vt:variant>
      <vt:variant>
        <vt:lpwstr>_Toc153727188</vt:lpwstr>
      </vt:variant>
      <vt:variant>
        <vt:i4>1703985</vt:i4>
      </vt:variant>
      <vt:variant>
        <vt:i4>62</vt:i4>
      </vt:variant>
      <vt:variant>
        <vt:i4>0</vt:i4>
      </vt:variant>
      <vt:variant>
        <vt:i4>5</vt:i4>
      </vt:variant>
      <vt:variant>
        <vt:lpwstr/>
      </vt:variant>
      <vt:variant>
        <vt:lpwstr>_Toc153727187</vt:lpwstr>
      </vt:variant>
      <vt:variant>
        <vt:i4>1703985</vt:i4>
      </vt:variant>
      <vt:variant>
        <vt:i4>56</vt:i4>
      </vt:variant>
      <vt:variant>
        <vt:i4>0</vt:i4>
      </vt:variant>
      <vt:variant>
        <vt:i4>5</vt:i4>
      </vt:variant>
      <vt:variant>
        <vt:lpwstr/>
      </vt:variant>
      <vt:variant>
        <vt:lpwstr>_Toc153727186</vt:lpwstr>
      </vt:variant>
      <vt:variant>
        <vt:i4>1703985</vt:i4>
      </vt:variant>
      <vt:variant>
        <vt:i4>50</vt:i4>
      </vt:variant>
      <vt:variant>
        <vt:i4>0</vt:i4>
      </vt:variant>
      <vt:variant>
        <vt:i4>5</vt:i4>
      </vt:variant>
      <vt:variant>
        <vt:lpwstr/>
      </vt:variant>
      <vt:variant>
        <vt:lpwstr>_Toc153727185</vt:lpwstr>
      </vt:variant>
      <vt:variant>
        <vt:i4>1703985</vt:i4>
      </vt:variant>
      <vt:variant>
        <vt:i4>44</vt:i4>
      </vt:variant>
      <vt:variant>
        <vt:i4>0</vt:i4>
      </vt:variant>
      <vt:variant>
        <vt:i4>5</vt:i4>
      </vt:variant>
      <vt:variant>
        <vt:lpwstr/>
      </vt:variant>
      <vt:variant>
        <vt:lpwstr>_Toc153727184</vt:lpwstr>
      </vt:variant>
      <vt:variant>
        <vt:i4>1703985</vt:i4>
      </vt:variant>
      <vt:variant>
        <vt:i4>38</vt:i4>
      </vt:variant>
      <vt:variant>
        <vt:i4>0</vt:i4>
      </vt:variant>
      <vt:variant>
        <vt:i4>5</vt:i4>
      </vt:variant>
      <vt:variant>
        <vt:lpwstr/>
      </vt:variant>
      <vt:variant>
        <vt:lpwstr>_Toc153727183</vt:lpwstr>
      </vt:variant>
      <vt:variant>
        <vt:i4>1703985</vt:i4>
      </vt:variant>
      <vt:variant>
        <vt:i4>32</vt:i4>
      </vt:variant>
      <vt:variant>
        <vt:i4>0</vt:i4>
      </vt:variant>
      <vt:variant>
        <vt:i4>5</vt:i4>
      </vt:variant>
      <vt:variant>
        <vt:lpwstr/>
      </vt:variant>
      <vt:variant>
        <vt:lpwstr>_Toc153727182</vt:lpwstr>
      </vt:variant>
      <vt:variant>
        <vt:i4>1703985</vt:i4>
      </vt:variant>
      <vt:variant>
        <vt:i4>26</vt:i4>
      </vt:variant>
      <vt:variant>
        <vt:i4>0</vt:i4>
      </vt:variant>
      <vt:variant>
        <vt:i4>5</vt:i4>
      </vt:variant>
      <vt:variant>
        <vt:lpwstr/>
      </vt:variant>
      <vt:variant>
        <vt:lpwstr>_Toc153727181</vt:lpwstr>
      </vt:variant>
      <vt:variant>
        <vt:i4>1703985</vt:i4>
      </vt:variant>
      <vt:variant>
        <vt:i4>20</vt:i4>
      </vt:variant>
      <vt:variant>
        <vt:i4>0</vt:i4>
      </vt:variant>
      <vt:variant>
        <vt:i4>5</vt:i4>
      </vt:variant>
      <vt:variant>
        <vt:lpwstr/>
      </vt:variant>
      <vt:variant>
        <vt:lpwstr>_Toc153727180</vt:lpwstr>
      </vt:variant>
      <vt:variant>
        <vt:i4>1376305</vt:i4>
      </vt:variant>
      <vt:variant>
        <vt:i4>14</vt:i4>
      </vt:variant>
      <vt:variant>
        <vt:i4>0</vt:i4>
      </vt:variant>
      <vt:variant>
        <vt:i4>5</vt:i4>
      </vt:variant>
      <vt:variant>
        <vt:lpwstr/>
      </vt:variant>
      <vt:variant>
        <vt:lpwstr>_Toc153727179</vt:lpwstr>
      </vt:variant>
      <vt:variant>
        <vt:i4>1376305</vt:i4>
      </vt:variant>
      <vt:variant>
        <vt:i4>8</vt:i4>
      </vt:variant>
      <vt:variant>
        <vt:i4>0</vt:i4>
      </vt:variant>
      <vt:variant>
        <vt:i4>5</vt:i4>
      </vt:variant>
      <vt:variant>
        <vt:lpwstr/>
      </vt:variant>
      <vt:variant>
        <vt:lpwstr>_Toc153727178</vt:lpwstr>
      </vt:variant>
      <vt:variant>
        <vt:i4>1376305</vt:i4>
      </vt:variant>
      <vt:variant>
        <vt:i4>2</vt:i4>
      </vt:variant>
      <vt:variant>
        <vt:i4>0</vt:i4>
      </vt:variant>
      <vt:variant>
        <vt:i4>5</vt:i4>
      </vt:variant>
      <vt:variant>
        <vt:lpwstr/>
      </vt:variant>
      <vt:variant>
        <vt:lpwstr>_Toc153727177</vt:lpwstr>
      </vt:variant>
      <vt:variant>
        <vt:i4>3801200</vt:i4>
      </vt:variant>
      <vt:variant>
        <vt:i4>0</vt:i4>
      </vt:variant>
      <vt:variant>
        <vt:i4>0</vt:i4>
      </vt:variant>
      <vt:variant>
        <vt:i4>5</vt:i4>
      </vt:variant>
      <vt:variant>
        <vt:lpwstr>http://gruposdetrabajo.sefh.es/genesis/genesis/basesmetodologicas/programamadre/index.html</vt:lpwstr>
      </vt:variant>
      <vt:variant>
        <vt:lpwstr/>
      </vt:variant>
      <vt:variant>
        <vt:i4>851978</vt:i4>
      </vt:variant>
      <vt:variant>
        <vt:i4>3</vt:i4>
      </vt:variant>
      <vt:variant>
        <vt:i4>0</vt:i4>
      </vt:variant>
      <vt:variant>
        <vt:i4>5</vt:i4>
      </vt:variant>
      <vt:variant>
        <vt:lpwstr>https://www.cadth.ca/sites/default/files/DRR/2024/PC0326 Akeega - Draft CADTH Recommendation (with redactions) January 4%2C 2024 for posting.pdf</vt:lpwstr>
      </vt:variant>
      <vt:variant>
        <vt:lpwstr/>
      </vt:variant>
      <vt:variant>
        <vt:i4>851978</vt:i4>
      </vt:variant>
      <vt:variant>
        <vt:i4>0</vt:i4>
      </vt:variant>
      <vt:variant>
        <vt:i4>0</vt:i4>
      </vt:variant>
      <vt:variant>
        <vt:i4>5</vt:i4>
      </vt:variant>
      <vt:variant>
        <vt:lpwstr>https://www.cadth.ca/sites/default/files/DRR/2024/PC0326 Akeega - Draft CADTH Recommendation (with redactions) January 4%2C 2024 for posting.pdf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PEREZ ALMAGRO, MANUEL FRANCISCO</dc:creator>
  <cp:lastModifiedBy>luciavelascoroces@outlook.es</cp:lastModifiedBy>
  <cp:revision>17</cp:revision>
  <cp:lastPrinted>2024-01-25T14:34:00Z</cp:lastPrinted>
  <dcterms:created xsi:type="dcterms:W3CDTF">2024-01-27T17:38:00Z</dcterms:created>
  <dcterms:modified xsi:type="dcterms:W3CDTF">2024-01-28T15:56:00Z</dcterms:modified>
</cp:coreProperties>
</file>